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F0CC4" w14:textId="77777777" w:rsidR="00527FF5" w:rsidRPr="004834D3" w:rsidRDefault="00527FF5" w:rsidP="004834D3">
      <w:pPr>
        <w:spacing w:line="360" w:lineRule="auto"/>
        <w:jc w:val="center"/>
        <w:rPr>
          <w:rFonts w:cstheme="majorBidi"/>
        </w:rPr>
      </w:pPr>
      <w:r w:rsidRPr="004834D3">
        <w:rPr>
          <w:rFonts w:cstheme="majorBidi"/>
        </w:rPr>
        <w:t>UNIVERSITY OF OKLAHOMA</w:t>
      </w:r>
    </w:p>
    <w:p w14:paraId="6579C67E" w14:textId="77777777" w:rsidR="00527FF5" w:rsidRPr="004834D3" w:rsidRDefault="00527FF5" w:rsidP="004834D3">
      <w:pPr>
        <w:spacing w:line="360" w:lineRule="auto"/>
        <w:jc w:val="center"/>
        <w:rPr>
          <w:rFonts w:cstheme="majorBidi"/>
        </w:rPr>
      </w:pPr>
      <w:r w:rsidRPr="004834D3">
        <w:rPr>
          <w:rFonts w:cstheme="majorBidi"/>
        </w:rPr>
        <w:t>GRADUATE COLLEGE</w:t>
      </w:r>
    </w:p>
    <w:p w14:paraId="0BC0C364" w14:textId="77777777" w:rsidR="00527FF5" w:rsidRPr="004834D3" w:rsidRDefault="00527FF5" w:rsidP="004834D3">
      <w:pPr>
        <w:spacing w:line="360" w:lineRule="auto"/>
        <w:rPr>
          <w:rFonts w:cstheme="majorBidi"/>
        </w:rPr>
      </w:pPr>
    </w:p>
    <w:p w14:paraId="7D149137" w14:textId="77777777" w:rsidR="00527FF5" w:rsidRPr="004834D3" w:rsidRDefault="00527FF5" w:rsidP="004834D3">
      <w:pPr>
        <w:spacing w:line="360" w:lineRule="auto"/>
        <w:rPr>
          <w:rFonts w:cstheme="majorBidi"/>
        </w:rPr>
      </w:pPr>
    </w:p>
    <w:p w14:paraId="2BC07BA7" w14:textId="2D0FEFF8" w:rsidR="002F637A" w:rsidRPr="004834D3" w:rsidRDefault="002F637A" w:rsidP="002F637A">
      <w:pPr>
        <w:spacing w:line="360" w:lineRule="auto"/>
        <w:jc w:val="center"/>
        <w:rPr>
          <w:rFonts w:cstheme="majorBidi"/>
        </w:rPr>
      </w:pPr>
      <w:r w:rsidRPr="004834D3">
        <w:rPr>
          <w:rFonts w:cstheme="majorBidi"/>
        </w:rPr>
        <w:t>EXPERIMENTAL</w:t>
      </w:r>
      <w:r>
        <w:rPr>
          <w:rFonts w:cstheme="majorBidi"/>
        </w:rPr>
        <w:t xml:space="preserve"> AND</w:t>
      </w:r>
      <w:r w:rsidRPr="004834D3">
        <w:rPr>
          <w:rFonts w:cstheme="majorBidi"/>
        </w:rPr>
        <w:t xml:space="preserve"> THEORETICAL</w:t>
      </w:r>
      <w:r w:rsidR="00762F5D">
        <w:rPr>
          <w:rFonts w:cstheme="majorBidi"/>
        </w:rPr>
        <w:t xml:space="preserve"> </w:t>
      </w:r>
      <w:r>
        <w:rPr>
          <w:rFonts w:cstheme="majorBidi"/>
        </w:rPr>
        <w:t>STUDY OF</w:t>
      </w:r>
      <w:r w:rsidRPr="004834D3">
        <w:rPr>
          <w:rFonts w:cstheme="majorBidi"/>
        </w:rPr>
        <w:t xml:space="preserve"> A NOVEL FREEZE DESALINATION </w:t>
      </w:r>
      <w:r>
        <w:rPr>
          <w:rFonts w:cstheme="majorBidi"/>
        </w:rPr>
        <w:t>METHOD USING AN INTERMEDIATE COOLING LIQUID</w:t>
      </w:r>
    </w:p>
    <w:p w14:paraId="14191FC6" w14:textId="77777777" w:rsidR="00527FF5" w:rsidRPr="004834D3" w:rsidRDefault="00527FF5" w:rsidP="004834D3">
      <w:pPr>
        <w:spacing w:line="360" w:lineRule="auto"/>
        <w:jc w:val="center"/>
        <w:rPr>
          <w:rFonts w:cstheme="majorBidi"/>
        </w:rPr>
      </w:pPr>
    </w:p>
    <w:p w14:paraId="6806A202" w14:textId="77777777" w:rsidR="003B3360" w:rsidRPr="004834D3" w:rsidRDefault="003B3360" w:rsidP="004834D3">
      <w:pPr>
        <w:spacing w:line="360" w:lineRule="auto"/>
        <w:jc w:val="center"/>
        <w:rPr>
          <w:rFonts w:cstheme="majorBidi"/>
        </w:rPr>
      </w:pPr>
    </w:p>
    <w:p w14:paraId="18AE9910" w14:textId="77777777" w:rsidR="00527FF5" w:rsidRPr="004834D3" w:rsidRDefault="00527FF5" w:rsidP="004834D3">
      <w:pPr>
        <w:spacing w:line="360" w:lineRule="auto"/>
        <w:jc w:val="center"/>
        <w:rPr>
          <w:rFonts w:cstheme="majorBidi"/>
        </w:rPr>
      </w:pPr>
      <w:r w:rsidRPr="004834D3">
        <w:rPr>
          <w:rFonts w:cstheme="majorBidi"/>
        </w:rPr>
        <w:t>A DISSERTATION</w:t>
      </w:r>
    </w:p>
    <w:p w14:paraId="7D32ADE9" w14:textId="77777777" w:rsidR="00527FF5" w:rsidRPr="004834D3" w:rsidRDefault="00527FF5" w:rsidP="004834D3">
      <w:pPr>
        <w:spacing w:line="360" w:lineRule="auto"/>
        <w:jc w:val="center"/>
        <w:rPr>
          <w:rFonts w:cstheme="majorBidi"/>
        </w:rPr>
      </w:pPr>
      <w:r w:rsidRPr="004834D3">
        <w:rPr>
          <w:rFonts w:cstheme="majorBidi"/>
        </w:rPr>
        <w:t>SUBMITTED TO THE GRADUATE FACULTY</w:t>
      </w:r>
    </w:p>
    <w:p w14:paraId="1C46BF34" w14:textId="2F7BD881" w:rsidR="00527FF5" w:rsidRPr="004834D3" w:rsidRDefault="006E5D5E" w:rsidP="004834D3">
      <w:pPr>
        <w:spacing w:line="360" w:lineRule="auto"/>
        <w:jc w:val="center"/>
        <w:rPr>
          <w:rFonts w:cstheme="majorBidi"/>
        </w:rPr>
      </w:pPr>
      <w:r>
        <w:rPr>
          <w:rFonts w:cstheme="majorBidi"/>
        </w:rPr>
        <w:t>i</w:t>
      </w:r>
      <w:r w:rsidR="00527FF5" w:rsidRPr="004834D3">
        <w:rPr>
          <w:rFonts w:cstheme="majorBidi"/>
        </w:rPr>
        <w:t xml:space="preserve">n partial fulfillment of the requirements for the </w:t>
      </w:r>
    </w:p>
    <w:p w14:paraId="6121F598" w14:textId="77777777" w:rsidR="00527FF5" w:rsidRPr="004834D3" w:rsidRDefault="00527FF5" w:rsidP="004834D3">
      <w:pPr>
        <w:spacing w:line="360" w:lineRule="auto"/>
        <w:jc w:val="center"/>
        <w:rPr>
          <w:rFonts w:cstheme="majorBidi"/>
        </w:rPr>
      </w:pPr>
      <w:r w:rsidRPr="004834D3">
        <w:rPr>
          <w:rFonts w:cstheme="majorBidi"/>
        </w:rPr>
        <w:t xml:space="preserve">Degree Of </w:t>
      </w:r>
    </w:p>
    <w:p w14:paraId="6ED7C1E6" w14:textId="77777777" w:rsidR="00527FF5" w:rsidRPr="004834D3" w:rsidRDefault="00527FF5" w:rsidP="004834D3">
      <w:pPr>
        <w:spacing w:line="360" w:lineRule="auto"/>
        <w:jc w:val="center"/>
        <w:rPr>
          <w:rFonts w:cstheme="majorBidi"/>
        </w:rPr>
      </w:pPr>
      <w:r w:rsidRPr="004834D3">
        <w:rPr>
          <w:rFonts w:cstheme="majorBidi"/>
        </w:rPr>
        <w:t>DOCTOR OF PHILOSOPHY</w:t>
      </w:r>
    </w:p>
    <w:p w14:paraId="66369428" w14:textId="77777777" w:rsidR="00527FF5" w:rsidRPr="004834D3" w:rsidRDefault="00527FF5" w:rsidP="004834D3">
      <w:pPr>
        <w:spacing w:line="360" w:lineRule="auto"/>
        <w:jc w:val="center"/>
        <w:rPr>
          <w:rFonts w:cstheme="majorBidi"/>
        </w:rPr>
      </w:pPr>
    </w:p>
    <w:p w14:paraId="56DEA942" w14:textId="77777777" w:rsidR="00527FF5" w:rsidRDefault="00527FF5" w:rsidP="004834D3">
      <w:pPr>
        <w:spacing w:line="360" w:lineRule="auto"/>
        <w:jc w:val="center"/>
        <w:rPr>
          <w:rFonts w:cstheme="majorBidi"/>
        </w:rPr>
      </w:pPr>
    </w:p>
    <w:p w14:paraId="6A7A39C4" w14:textId="77777777" w:rsidR="003E277B" w:rsidRDefault="003E277B" w:rsidP="004834D3">
      <w:pPr>
        <w:spacing w:line="360" w:lineRule="auto"/>
        <w:jc w:val="center"/>
        <w:rPr>
          <w:rFonts w:cstheme="majorBidi"/>
        </w:rPr>
      </w:pPr>
    </w:p>
    <w:p w14:paraId="20D4A963" w14:textId="77777777" w:rsidR="003E277B" w:rsidRDefault="003E277B" w:rsidP="004834D3">
      <w:pPr>
        <w:spacing w:line="360" w:lineRule="auto"/>
        <w:jc w:val="center"/>
        <w:rPr>
          <w:rFonts w:cstheme="majorBidi"/>
        </w:rPr>
      </w:pPr>
    </w:p>
    <w:p w14:paraId="6AC4A49D" w14:textId="77777777" w:rsidR="003E277B" w:rsidRPr="004834D3" w:rsidRDefault="003E277B" w:rsidP="004834D3">
      <w:pPr>
        <w:spacing w:line="360" w:lineRule="auto"/>
        <w:jc w:val="center"/>
        <w:rPr>
          <w:rFonts w:cstheme="majorBidi"/>
        </w:rPr>
      </w:pPr>
    </w:p>
    <w:p w14:paraId="013F9BA9" w14:textId="77777777" w:rsidR="00527FF5" w:rsidRPr="004834D3" w:rsidRDefault="00527FF5" w:rsidP="004834D3">
      <w:pPr>
        <w:spacing w:line="360" w:lineRule="auto"/>
        <w:jc w:val="center"/>
        <w:rPr>
          <w:rFonts w:cstheme="majorBidi"/>
        </w:rPr>
      </w:pPr>
    </w:p>
    <w:p w14:paraId="00436456" w14:textId="77777777" w:rsidR="00527FF5" w:rsidRPr="004834D3" w:rsidRDefault="00527FF5" w:rsidP="004834D3">
      <w:pPr>
        <w:spacing w:line="360" w:lineRule="auto"/>
        <w:jc w:val="center"/>
        <w:rPr>
          <w:rFonts w:cstheme="majorBidi"/>
        </w:rPr>
      </w:pPr>
      <w:r w:rsidRPr="004834D3">
        <w:rPr>
          <w:rFonts w:cstheme="majorBidi"/>
        </w:rPr>
        <w:t>By</w:t>
      </w:r>
    </w:p>
    <w:p w14:paraId="346CE4BA" w14:textId="019AC50D" w:rsidR="00527FF5" w:rsidRPr="004834D3" w:rsidRDefault="00527FF5" w:rsidP="004834D3">
      <w:pPr>
        <w:spacing w:after="0" w:line="360" w:lineRule="auto"/>
        <w:jc w:val="center"/>
        <w:rPr>
          <w:rFonts w:cstheme="majorBidi"/>
        </w:rPr>
      </w:pPr>
      <w:r w:rsidRPr="004834D3">
        <w:rPr>
          <w:rFonts w:cstheme="majorBidi"/>
        </w:rPr>
        <w:t>REZA KAVIANI</w:t>
      </w:r>
    </w:p>
    <w:p w14:paraId="508F7C5C" w14:textId="77777777" w:rsidR="00527FF5" w:rsidRPr="004834D3" w:rsidRDefault="00527FF5" w:rsidP="004834D3">
      <w:pPr>
        <w:spacing w:after="0" w:line="360" w:lineRule="auto"/>
        <w:jc w:val="center"/>
        <w:rPr>
          <w:rFonts w:cstheme="majorBidi"/>
        </w:rPr>
      </w:pPr>
      <w:r w:rsidRPr="004834D3">
        <w:rPr>
          <w:rFonts w:cstheme="majorBidi"/>
        </w:rPr>
        <w:t>Norman, Oklahoma</w:t>
      </w:r>
    </w:p>
    <w:p w14:paraId="2BA2C01F" w14:textId="1BF7FD1A" w:rsidR="00527FF5" w:rsidRPr="004834D3" w:rsidRDefault="00527FF5" w:rsidP="004834D3">
      <w:pPr>
        <w:spacing w:after="0" w:line="360" w:lineRule="auto"/>
        <w:jc w:val="center"/>
        <w:rPr>
          <w:rFonts w:cstheme="majorBidi"/>
        </w:rPr>
      </w:pPr>
      <w:r w:rsidRPr="004834D3">
        <w:rPr>
          <w:rFonts w:cstheme="majorBidi"/>
        </w:rPr>
        <w:t>2024</w:t>
      </w:r>
    </w:p>
    <w:p w14:paraId="69A24F86" w14:textId="77777777" w:rsidR="005657A2" w:rsidRDefault="005657A2" w:rsidP="004834D3">
      <w:pPr>
        <w:spacing w:line="360" w:lineRule="auto"/>
        <w:rPr>
          <w:rFonts w:cstheme="majorBidi"/>
        </w:rPr>
      </w:pPr>
    </w:p>
    <w:p w14:paraId="412B4CE4" w14:textId="3D2D935F" w:rsidR="002F637A" w:rsidRPr="004834D3" w:rsidRDefault="002F637A" w:rsidP="002F637A">
      <w:pPr>
        <w:spacing w:line="360" w:lineRule="auto"/>
        <w:jc w:val="center"/>
        <w:rPr>
          <w:rFonts w:cstheme="majorBidi"/>
        </w:rPr>
      </w:pPr>
      <w:r w:rsidRPr="004834D3">
        <w:rPr>
          <w:rFonts w:cstheme="majorBidi"/>
        </w:rPr>
        <w:lastRenderedPageBreak/>
        <w:t>EXPERIMENTAL</w:t>
      </w:r>
      <w:r>
        <w:rPr>
          <w:rFonts w:cstheme="majorBidi"/>
        </w:rPr>
        <w:t xml:space="preserve"> AND</w:t>
      </w:r>
      <w:r w:rsidRPr="004834D3">
        <w:rPr>
          <w:rFonts w:cstheme="majorBidi"/>
        </w:rPr>
        <w:t xml:space="preserve"> THEORETICAL</w:t>
      </w:r>
      <w:r w:rsidR="006E5D5E">
        <w:rPr>
          <w:rFonts w:cstheme="majorBidi"/>
        </w:rPr>
        <w:t xml:space="preserve"> </w:t>
      </w:r>
      <w:r>
        <w:rPr>
          <w:rFonts w:cstheme="majorBidi"/>
        </w:rPr>
        <w:t>STUDY OF</w:t>
      </w:r>
      <w:r w:rsidRPr="004834D3">
        <w:rPr>
          <w:rFonts w:cstheme="majorBidi"/>
        </w:rPr>
        <w:t xml:space="preserve"> A NOVEL FREEZE DESALINATION </w:t>
      </w:r>
      <w:r>
        <w:rPr>
          <w:rFonts w:cstheme="majorBidi"/>
        </w:rPr>
        <w:t>METHOD USING AN INTERMEDIATE COOLING LIQUID</w:t>
      </w:r>
    </w:p>
    <w:p w14:paraId="4363A0A8" w14:textId="77777777" w:rsidR="003B3360" w:rsidRDefault="003B3360" w:rsidP="004834D3">
      <w:pPr>
        <w:spacing w:line="360" w:lineRule="auto"/>
        <w:rPr>
          <w:rFonts w:cstheme="majorBidi"/>
        </w:rPr>
      </w:pPr>
    </w:p>
    <w:p w14:paraId="37FCFAE6" w14:textId="77777777" w:rsidR="003E277B" w:rsidRPr="004834D3" w:rsidRDefault="003E277B" w:rsidP="004834D3">
      <w:pPr>
        <w:spacing w:line="360" w:lineRule="auto"/>
        <w:rPr>
          <w:rFonts w:cstheme="majorBidi"/>
        </w:rPr>
      </w:pPr>
    </w:p>
    <w:p w14:paraId="6017315C" w14:textId="77777777" w:rsidR="003B3360" w:rsidRPr="004834D3" w:rsidRDefault="003B3360" w:rsidP="004834D3">
      <w:pPr>
        <w:spacing w:line="360" w:lineRule="auto"/>
        <w:jc w:val="center"/>
        <w:rPr>
          <w:rFonts w:cstheme="majorBidi"/>
        </w:rPr>
      </w:pPr>
      <w:r w:rsidRPr="004834D3">
        <w:rPr>
          <w:rFonts w:cstheme="majorBidi"/>
        </w:rPr>
        <w:t xml:space="preserve">A DISSERTATION APPROVED FOR THE </w:t>
      </w:r>
    </w:p>
    <w:p w14:paraId="09979DA9" w14:textId="5D7E76F4" w:rsidR="003B3360" w:rsidRPr="004834D3" w:rsidRDefault="003B3360" w:rsidP="004834D3">
      <w:pPr>
        <w:spacing w:line="360" w:lineRule="auto"/>
        <w:jc w:val="center"/>
        <w:rPr>
          <w:rFonts w:cstheme="majorBidi"/>
        </w:rPr>
      </w:pPr>
      <w:r w:rsidRPr="004834D3">
        <w:rPr>
          <w:rFonts w:cstheme="majorBidi"/>
        </w:rPr>
        <w:t>SCHOOL OF AEROSPACE AND MECHANICAL ENGINEERING</w:t>
      </w:r>
    </w:p>
    <w:p w14:paraId="1888126C" w14:textId="77777777" w:rsidR="003B3360" w:rsidRPr="004834D3" w:rsidRDefault="003B3360" w:rsidP="004834D3">
      <w:pPr>
        <w:spacing w:line="360" w:lineRule="auto"/>
        <w:jc w:val="center"/>
        <w:rPr>
          <w:rFonts w:cstheme="majorBidi"/>
        </w:rPr>
      </w:pPr>
    </w:p>
    <w:p w14:paraId="37376B4A" w14:textId="77777777" w:rsidR="003B3360" w:rsidRPr="004834D3" w:rsidRDefault="003B3360" w:rsidP="004834D3">
      <w:pPr>
        <w:spacing w:line="360" w:lineRule="auto"/>
        <w:jc w:val="center"/>
        <w:rPr>
          <w:rFonts w:cstheme="majorBidi"/>
        </w:rPr>
      </w:pPr>
    </w:p>
    <w:p w14:paraId="641BB63F" w14:textId="77777777" w:rsidR="003B3360" w:rsidRPr="004834D3" w:rsidRDefault="003B3360" w:rsidP="004834D3">
      <w:pPr>
        <w:spacing w:line="360" w:lineRule="auto"/>
        <w:jc w:val="center"/>
        <w:rPr>
          <w:rFonts w:cstheme="majorBidi"/>
        </w:rPr>
      </w:pPr>
      <w:r w:rsidRPr="004834D3">
        <w:rPr>
          <w:rFonts w:cstheme="majorBidi"/>
        </w:rPr>
        <w:t>BY THE COMMITTEE CONSISTING OF</w:t>
      </w:r>
    </w:p>
    <w:p w14:paraId="162B69DA" w14:textId="77777777" w:rsidR="003B3360" w:rsidRPr="004834D3" w:rsidRDefault="003B3360" w:rsidP="004834D3">
      <w:pPr>
        <w:spacing w:line="360" w:lineRule="auto"/>
        <w:jc w:val="center"/>
        <w:rPr>
          <w:rFonts w:cstheme="majorBidi"/>
        </w:rPr>
      </w:pPr>
    </w:p>
    <w:p w14:paraId="1A88974E" w14:textId="77777777" w:rsidR="003B3360" w:rsidRPr="004834D3" w:rsidRDefault="003B3360" w:rsidP="004834D3">
      <w:pPr>
        <w:spacing w:line="360" w:lineRule="auto"/>
        <w:jc w:val="center"/>
        <w:rPr>
          <w:rFonts w:cstheme="majorBidi"/>
        </w:rPr>
      </w:pPr>
    </w:p>
    <w:p w14:paraId="05214D47" w14:textId="77777777" w:rsidR="003B3360" w:rsidRDefault="003B3360" w:rsidP="004834D3">
      <w:pPr>
        <w:spacing w:line="360" w:lineRule="auto"/>
        <w:jc w:val="center"/>
        <w:rPr>
          <w:rFonts w:cstheme="majorBidi"/>
        </w:rPr>
      </w:pPr>
    </w:p>
    <w:p w14:paraId="1BDEB06A" w14:textId="77777777" w:rsidR="003E277B" w:rsidRDefault="003E277B" w:rsidP="004834D3">
      <w:pPr>
        <w:spacing w:line="360" w:lineRule="auto"/>
        <w:jc w:val="center"/>
        <w:rPr>
          <w:rFonts w:cstheme="majorBidi"/>
        </w:rPr>
      </w:pPr>
    </w:p>
    <w:p w14:paraId="2CB36C91" w14:textId="77777777" w:rsidR="003E277B" w:rsidRPr="004834D3" w:rsidRDefault="003E277B" w:rsidP="004834D3">
      <w:pPr>
        <w:spacing w:line="360" w:lineRule="auto"/>
        <w:jc w:val="center"/>
        <w:rPr>
          <w:rFonts w:cstheme="majorBidi"/>
        </w:rPr>
      </w:pPr>
    </w:p>
    <w:p w14:paraId="699E4A46" w14:textId="77777777" w:rsidR="003B3360" w:rsidRPr="004834D3" w:rsidRDefault="003B3360" w:rsidP="004834D3">
      <w:pPr>
        <w:spacing w:line="360" w:lineRule="auto"/>
        <w:jc w:val="center"/>
        <w:rPr>
          <w:rFonts w:cstheme="majorBidi"/>
        </w:rPr>
      </w:pPr>
    </w:p>
    <w:p w14:paraId="78944315" w14:textId="75D3FF70" w:rsidR="003B3360" w:rsidRPr="004834D3" w:rsidRDefault="003B3360" w:rsidP="004834D3">
      <w:pPr>
        <w:spacing w:line="360" w:lineRule="auto"/>
        <w:jc w:val="right"/>
        <w:rPr>
          <w:rFonts w:cstheme="majorBidi"/>
        </w:rPr>
      </w:pPr>
      <w:r w:rsidRPr="004834D3">
        <w:rPr>
          <w:rFonts w:cstheme="majorBidi"/>
        </w:rPr>
        <w:t>Dr. Hamidreza Shabgard, Chair</w:t>
      </w:r>
    </w:p>
    <w:p w14:paraId="6ADE6CCB" w14:textId="717FA2C7" w:rsidR="003B3360" w:rsidRPr="004834D3" w:rsidRDefault="003B3360" w:rsidP="004834D3">
      <w:pPr>
        <w:spacing w:line="360" w:lineRule="auto"/>
        <w:jc w:val="right"/>
        <w:rPr>
          <w:rFonts w:cstheme="majorBidi"/>
        </w:rPr>
      </w:pPr>
      <w:r w:rsidRPr="004834D3">
        <w:rPr>
          <w:rFonts w:cstheme="majorBidi"/>
        </w:rPr>
        <w:t>Dr. Ramkumar Parthasarathy</w:t>
      </w:r>
    </w:p>
    <w:p w14:paraId="7200A4CC" w14:textId="5BC8489C" w:rsidR="003B3360" w:rsidRPr="004834D3" w:rsidRDefault="003B3360" w:rsidP="004834D3">
      <w:pPr>
        <w:spacing w:line="360" w:lineRule="auto"/>
        <w:jc w:val="right"/>
        <w:rPr>
          <w:rFonts w:cstheme="majorBidi"/>
        </w:rPr>
      </w:pPr>
      <w:r w:rsidRPr="004834D3">
        <w:rPr>
          <w:rFonts w:cstheme="majorBidi"/>
        </w:rPr>
        <w:t>Dr. Jie Cai</w:t>
      </w:r>
    </w:p>
    <w:p w14:paraId="1DBF2C75" w14:textId="6CC78C92" w:rsidR="003B3360" w:rsidRPr="004834D3" w:rsidRDefault="003B3360" w:rsidP="004834D3">
      <w:pPr>
        <w:spacing w:line="360" w:lineRule="auto"/>
        <w:jc w:val="right"/>
        <w:rPr>
          <w:rFonts w:cstheme="majorBidi"/>
        </w:rPr>
      </w:pPr>
      <w:r w:rsidRPr="004834D3">
        <w:rPr>
          <w:rFonts w:cstheme="majorBidi"/>
        </w:rPr>
        <w:t>Dr. Pejman Kazempoor</w:t>
      </w:r>
    </w:p>
    <w:p w14:paraId="10CC555A" w14:textId="3FD206DC" w:rsidR="003B1840" w:rsidRPr="004834D3" w:rsidRDefault="003B3360" w:rsidP="003E277B">
      <w:pPr>
        <w:spacing w:line="360" w:lineRule="auto"/>
        <w:jc w:val="right"/>
        <w:rPr>
          <w:rFonts w:cstheme="majorBidi"/>
        </w:rPr>
      </w:pPr>
      <w:r w:rsidRPr="004834D3">
        <w:rPr>
          <w:rFonts w:cstheme="majorBidi"/>
        </w:rPr>
        <w:t xml:space="preserve">Dr. Dimitrios </w:t>
      </w:r>
      <w:r w:rsidR="00201067">
        <w:rPr>
          <w:rFonts w:cstheme="majorBidi"/>
        </w:rPr>
        <w:t xml:space="preserve">V. </w:t>
      </w:r>
      <w:r w:rsidRPr="004834D3">
        <w:rPr>
          <w:rFonts w:cstheme="majorBidi"/>
        </w:rPr>
        <w:t xml:space="preserve">Papavassiliou </w:t>
      </w:r>
    </w:p>
    <w:p w14:paraId="4DCC8C4F" w14:textId="77777777" w:rsidR="003B1840" w:rsidRPr="004834D3" w:rsidRDefault="003B1840" w:rsidP="004834D3">
      <w:pPr>
        <w:spacing w:line="360" w:lineRule="auto"/>
        <w:rPr>
          <w:rFonts w:cstheme="majorBidi"/>
        </w:rPr>
      </w:pPr>
    </w:p>
    <w:p w14:paraId="2C7401AF" w14:textId="77777777" w:rsidR="003B1840" w:rsidRPr="004834D3" w:rsidRDefault="003B1840" w:rsidP="004834D3">
      <w:pPr>
        <w:spacing w:line="360" w:lineRule="auto"/>
        <w:rPr>
          <w:rFonts w:cstheme="majorBidi"/>
        </w:rPr>
      </w:pPr>
    </w:p>
    <w:p w14:paraId="0BDC1342" w14:textId="77777777" w:rsidR="003B1840" w:rsidRPr="004834D3" w:rsidRDefault="003B1840" w:rsidP="004834D3">
      <w:pPr>
        <w:spacing w:line="360" w:lineRule="auto"/>
        <w:rPr>
          <w:rFonts w:cstheme="majorBidi"/>
        </w:rPr>
      </w:pPr>
    </w:p>
    <w:p w14:paraId="495245E8" w14:textId="2D874F4F" w:rsidR="003B1840" w:rsidRDefault="003B1840" w:rsidP="004834D3">
      <w:pPr>
        <w:spacing w:line="360" w:lineRule="auto"/>
        <w:rPr>
          <w:rFonts w:cstheme="majorBidi"/>
        </w:rPr>
      </w:pPr>
    </w:p>
    <w:p w14:paraId="2FE6B80B" w14:textId="77777777" w:rsidR="003E277B" w:rsidRDefault="003E277B" w:rsidP="004834D3">
      <w:pPr>
        <w:spacing w:line="360" w:lineRule="auto"/>
        <w:rPr>
          <w:rFonts w:cstheme="majorBidi"/>
        </w:rPr>
      </w:pPr>
    </w:p>
    <w:p w14:paraId="4DF6792F" w14:textId="77777777" w:rsidR="003E277B" w:rsidRDefault="003E277B" w:rsidP="004834D3">
      <w:pPr>
        <w:spacing w:line="360" w:lineRule="auto"/>
        <w:rPr>
          <w:rFonts w:cstheme="majorBidi"/>
        </w:rPr>
      </w:pPr>
    </w:p>
    <w:p w14:paraId="5B6648CE" w14:textId="77777777" w:rsidR="003E277B" w:rsidRDefault="003E277B" w:rsidP="004834D3">
      <w:pPr>
        <w:spacing w:line="360" w:lineRule="auto"/>
        <w:rPr>
          <w:rFonts w:cstheme="majorBidi"/>
        </w:rPr>
      </w:pPr>
    </w:p>
    <w:p w14:paraId="7975547C" w14:textId="77777777" w:rsidR="003E277B" w:rsidRDefault="003E277B" w:rsidP="004834D3">
      <w:pPr>
        <w:spacing w:line="360" w:lineRule="auto"/>
        <w:rPr>
          <w:rFonts w:cstheme="majorBidi"/>
        </w:rPr>
      </w:pPr>
    </w:p>
    <w:p w14:paraId="4E4378D3" w14:textId="77777777" w:rsidR="003E277B" w:rsidRDefault="003E277B" w:rsidP="004834D3">
      <w:pPr>
        <w:spacing w:line="360" w:lineRule="auto"/>
        <w:rPr>
          <w:rFonts w:cstheme="majorBidi"/>
        </w:rPr>
      </w:pPr>
    </w:p>
    <w:p w14:paraId="5DEDABDA" w14:textId="77777777" w:rsidR="003E277B" w:rsidRDefault="003E277B" w:rsidP="004834D3">
      <w:pPr>
        <w:spacing w:line="360" w:lineRule="auto"/>
        <w:rPr>
          <w:rFonts w:cstheme="majorBidi"/>
        </w:rPr>
      </w:pPr>
    </w:p>
    <w:p w14:paraId="0804A0E3" w14:textId="77777777" w:rsidR="003E277B" w:rsidRDefault="003E277B" w:rsidP="004834D3">
      <w:pPr>
        <w:spacing w:line="360" w:lineRule="auto"/>
        <w:rPr>
          <w:rFonts w:cstheme="majorBidi"/>
        </w:rPr>
      </w:pPr>
    </w:p>
    <w:p w14:paraId="7DC7DBB9" w14:textId="77777777" w:rsidR="003E277B" w:rsidRDefault="003E277B" w:rsidP="004834D3">
      <w:pPr>
        <w:spacing w:line="360" w:lineRule="auto"/>
        <w:rPr>
          <w:rFonts w:cstheme="majorBidi"/>
        </w:rPr>
      </w:pPr>
    </w:p>
    <w:p w14:paraId="3A210CF6" w14:textId="77777777" w:rsidR="003E277B" w:rsidRDefault="003E277B" w:rsidP="004834D3">
      <w:pPr>
        <w:spacing w:line="360" w:lineRule="auto"/>
        <w:rPr>
          <w:rFonts w:cstheme="majorBidi"/>
        </w:rPr>
      </w:pPr>
    </w:p>
    <w:p w14:paraId="57AD1180" w14:textId="77777777" w:rsidR="003E277B" w:rsidRDefault="003E277B" w:rsidP="004834D3">
      <w:pPr>
        <w:spacing w:line="360" w:lineRule="auto"/>
        <w:rPr>
          <w:rFonts w:cstheme="majorBidi"/>
        </w:rPr>
      </w:pPr>
    </w:p>
    <w:p w14:paraId="018D2598" w14:textId="77777777" w:rsidR="003E277B" w:rsidRDefault="003E277B" w:rsidP="004834D3">
      <w:pPr>
        <w:spacing w:line="360" w:lineRule="auto"/>
        <w:rPr>
          <w:rFonts w:cstheme="majorBidi"/>
        </w:rPr>
      </w:pPr>
    </w:p>
    <w:p w14:paraId="40B1AFB4" w14:textId="77777777" w:rsidR="003E277B" w:rsidRDefault="003E277B" w:rsidP="004834D3">
      <w:pPr>
        <w:spacing w:line="360" w:lineRule="auto"/>
        <w:rPr>
          <w:rFonts w:cstheme="majorBidi"/>
        </w:rPr>
      </w:pPr>
    </w:p>
    <w:p w14:paraId="69F2A578" w14:textId="77777777" w:rsidR="003E277B" w:rsidRDefault="003E277B" w:rsidP="004834D3">
      <w:pPr>
        <w:spacing w:line="360" w:lineRule="auto"/>
        <w:rPr>
          <w:rFonts w:cstheme="majorBidi"/>
        </w:rPr>
      </w:pPr>
    </w:p>
    <w:p w14:paraId="78D5CFE3" w14:textId="77777777" w:rsidR="003E277B" w:rsidRDefault="003E277B" w:rsidP="004834D3">
      <w:pPr>
        <w:spacing w:line="360" w:lineRule="auto"/>
        <w:rPr>
          <w:rFonts w:cstheme="majorBidi"/>
        </w:rPr>
      </w:pPr>
    </w:p>
    <w:p w14:paraId="203AB03C" w14:textId="77777777" w:rsidR="003E277B" w:rsidRDefault="003E277B" w:rsidP="004834D3">
      <w:pPr>
        <w:spacing w:line="360" w:lineRule="auto"/>
        <w:rPr>
          <w:rFonts w:cstheme="majorBidi"/>
        </w:rPr>
      </w:pPr>
    </w:p>
    <w:p w14:paraId="1C0C2E90" w14:textId="77777777" w:rsidR="003E277B" w:rsidRDefault="003E277B" w:rsidP="004834D3">
      <w:pPr>
        <w:spacing w:line="360" w:lineRule="auto"/>
        <w:rPr>
          <w:rFonts w:cstheme="majorBidi"/>
        </w:rPr>
      </w:pPr>
    </w:p>
    <w:p w14:paraId="62DA1E1D" w14:textId="77777777" w:rsidR="003E277B" w:rsidRDefault="003E277B" w:rsidP="004834D3">
      <w:pPr>
        <w:spacing w:line="360" w:lineRule="auto"/>
        <w:rPr>
          <w:rFonts w:cstheme="majorBidi"/>
        </w:rPr>
      </w:pPr>
    </w:p>
    <w:p w14:paraId="0758B397" w14:textId="77777777" w:rsidR="003E277B" w:rsidRPr="004834D3" w:rsidRDefault="003E277B" w:rsidP="004834D3">
      <w:pPr>
        <w:spacing w:line="360" w:lineRule="auto"/>
        <w:rPr>
          <w:rFonts w:cstheme="majorBidi"/>
        </w:rPr>
      </w:pPr>
    </w:p>
    <w:p w14:paraId="56B705CB" w14:textId="77777777" w:rsidR="003B1840" w:rsidRPr="004834D3" w:rsidRDefault="003B1840" w:rsidP="004834D3">
      <w:pPr>
        <w:spacing w:line="360" w:lineRule="auto"/>
        <w:rPr>
          <w:rFonts w:cstheme="majorBidi"/>
        </w:rPr>
      </w:pPr>
    </w:p>
    <w:p w14:paraId="0CD5CBF8" w14:textId="740BFE1E" w:rsidR="00C84A3D" w:rsidRPr="004834D3" w:rsidRDefault="00C84A3D" w:rsidP="004834D3">
      <w:pPr>
        <w:spacing w:after="0" w:line="360" w:lineRule="auto"/>
        <w:jc w:val="center"/>
        <w:rPr>
          <w:rFonts w:cstheme="majorBidi"/>
        </w:rPr>
      </w:pPr>
      <w:r w:rsidRPr="004834D3">
        <w:rPr>
          <w:rFonts w:cstheme="majorBidi"/>
        </w:rPr>
        <w:t>© Copyright by REZA KAVIANI 2024</w:t>
      </w:r>
    </w:p>
    <w:p w14:paraId="00FEA292" w14:textId="77777777" w:rsidR="00C84A3D" w:rsidRDefault="00C84A3D" w:rsidP="004834D3">
      <w:pPr>
        <w:spacing w:after="0" w:line="360" w:lineRule="auto"/>
        <w:jc w:val="center"/>
        <w:rPr>
          <w:rFonts w:cstheme="majorBidi"/>
        </w:rPr>
      </w:pPr>
      <w:r w:rsidRPr="004834D3">
        <w:rPr>
          <w:rFonts w:cstheme="majorBidi"/>
        </w:rPr>
        <w:t xml:space="preserve">All Rights Reserved. </w:t>
      </w:r>
    </w:p>
    <w:p w14:paraId="192D13E0" w14:textId="77777777" w:rsidR="005638E7" w:rsidRDefault="005638E7" w:rsidP="005638E7">
      <w:pPr>
        <w:rPr>
          <w:rFonts w:cstheme="majorBidi"/>
        </w:rPr>
        <w:sectPr w:rsidR="005638E7" w:rsidSect="005638E7">
          <w:pgSz w:w="12240" w:h="15840"/>
          <w:pgMar w:top="1440" w:right="1440" w:bottom="1440" w:left="1440" w:header="720" w:footer="720" w:gutter="0"/>
          <w:pgNumType w:fmt="upperRoman"/>
          <w:cols w:space="720"/>
          <w:docGrid w:linePitch="360"/>
        </w:sectPr>
      </w:pPr>
      <w:r>
        <w:rPr>
          <w:rFonts w:cstheme="majorBidi"/>
        </w:rPr>
        <w:br w:type="page"/>
      </w:r>
    </w:p>
    <w:p w14:paraId="02DED8A6" w14:textId="44F8AC1F" w:rsidR="00AF31EF" w:rsidRPr="00F365B7" w:rsidRDefault="007076A4" w:rsidP="00F365B7">
      <w:pPr>
        <w:pStyle w:val="Heading1"/>
        <w:spacing w:before="0" w:after="240" w:line="480" w:lineRule="auto"/>
        <w:rPr>
          <w:sz w:val="28"/>
          <w:szCs w:val="28"/>
        </w:rPr>
      </w:pPr>
      <w:bookmarkStart w:id="0" w:name="_Toc172367657"/>
      <w:r w:rsidRPr="00F365B7">
        <w:rPr>
          <w:sz w:val="28"/>
          <w:szCs w:val="28"/>
        </w:rPr>
        <w:lastRenderedPageBreak/>
        <w:t>Acknowledgments</w:t>
      </w:r>
      <w:bookmarkEnd w:id="0"/>
    </w:p>
    <w:p w14:paraId="5BF3FA74" w14:textId="5D1328E8" w:rsidR="00996FE6" w:rsidRDefault="00996FE6" w:rsidP="00F365B7">
      <w:pPr>
        <w:spacing w:after="0" w:line="480" w:lineRule="auto"/>
        <w:jc w:val="both"/>
      </w:pPr>
      <w:r w:rsidRPr="00996FE6">
        <w:t>First and foremost, I extend my deepest gratitude to my academic supervisor, Prof. Hamidreza Shabgard, for his invaluable guidance, insightful advice, and unwavering support throughout my Ph.D. journey. His expertise and mentorship have been crucial in shaping my academic development and research skills, significantly enriching my doctoral experience.</w:t>
      </w:r>
      <w:r w:rsidR="00F365B7">
        <w:t xml:space="preserve"> </w:t>
      </w:r>
      <w:r w:rsidRPr="00996FE6">
        <w:t>I would like to express my gratitude to Prof. Ramkumar Parthasarathy, Prof. Jie Cai, Prof. Pejman Kazempoor, and Prof. Dimitrios V. Papavassiliou for their invaluable contributions to my dissertation as members of my Ph.D. committee. Their expertise and insights have been instrumental in shaping and refining my research</w:t>
      </w:r>
      <w:r w:rsidR="00F365B7">
        <w:t xml:space="preserve">. </w:t>
      </w:r>
      <w:r w:rsidR="00F365B7" w:rsidRPr="00996FE6">
        <w:t>I am immensely grateful to the staff members of the School of Aerospace and Mechanical Engineering for their consistent kindness, support, and assistance. A special thanks goes to Mr. Billy Mays and Mr. Greg Williams, as well as to the students working in the machine shop. Their invaluable help and contributions were crucial in this</w:t>
      </w:r>
      <w:r w:rsidR="00F365B7">
        <w:t xml:space="preserve"> research. </w:t>
      </w:r>
    </w:p>
    <w:p w14:paraId="1DB92A58" w14:textId="12EBA8BD" w:rsidR="00201067" w:rsidRDefault="00996FE6" w:rsidP="00F365B7">
      <w:pPr>
        <w:spacing w:before="240" w:after="0" w:line="480" w:lineRule="auto"/>
        <w:ind w:firstLine="720"/>
        <w:jc w:val="both"/>
      </w:pPr>
      <w:r w:rsidRPr="00996FE6">
        <w:t xml:space="preserve">I am deeply appreciative of the generous financial support provided by the University of Oklahoma’s School of Aerospace and Mechanical Engineering, alongside several scholarships. These include the Conoco Phillips Scholarship, the Jim and Bee Close Scholarship, and the Tomorrow’s Engineering scholarship, offered by the Gallogly College of Engineering. Their continued and gracious contributions have been instrumental in supporting my academic pursuits and research endeavors. </w:t>
      </w:r>
      <w:r w:rsidR="00DA6675" w:rsidRPr="00DA6675">
        <w:t>Last but not least, I extend my deepest gratitude to my family for their support throughout my Ph.D. journey. My heartfelt thanks go to my mother, Mrs. Sima Yaghoobi, my father, Mr. Naser Kaviani, and my sister, M</w:t>
      </w:r>
      <w:r w:rsidR="00DA6675">
        <w:t>iss</w:t>
      </w:r>
      <w:r w:rsidR="00DA6675" w:rsidRPr="00DA6675">
        <w:t>. Sepideh Kaviani, for their perpetual encouragement and blessings. Their constant support has been a cornerstone of my strength and perseverance during this challenging and rewarding academic endeavor.</w:t>
      </w:r>
    </w:p>
    <w:bookmarkStart w:id="1" w:name="_Toc172367658" w:displacedByCustomXml="next"/>
    <w:sdt>
      <w:sdtPr>
        <w:rPr>
          <w:rFonts w:asciiTheme="minorHAnsi" w:eastAsiaTheme="minorHAnsi" w:hAnsiTheme="minorHAnsi" w:cstheme="minorBidi"/>
          <w:b w:val="0"/>
          <w:sz w:val="28"/>
          <w:szCs w:val="28"/>
        </w:rPr>
        <w:id w:val="1802266540"/>
        <w:docPartObj>
          <w:docPartGallery w:val="Table of Contents"/>
          <w:docPartUnique/>
        </w:docPartObj>
      </w:sdtPr>
      <w:sdtEndPr>
        <w:rPr>
          <w:rFonts w:asciiTheme="majorBidi" w:hAnsiTheme="majorBidi"/>
          <w:bCs/>
          <w:noProof/>
          <w:sz w:val="24"/>
          <w:szCs w:val="24"/>
        </w:rPr>
      </w:sdtEndPr>
      <w:sdtContent>
        <w:p w14:paraId="6E89259A" w14:textId="77777777" w:rsidR="007076A4" w:rsidRPr="001474C7" w:rsidRDefault="007076A4" w:rsidP="00F95C99">
          <w:pPr>
            <w:pStyle w:val="Heading1"/>
            <w:spacing w:before="480" w:after="240" w:line="480" w:lineRule="auto"/>
            <w:ind w:left="58"/>
            <w:rPr>
              <w:sz w:val="28"/>
              <w:szCs w:val="28"/>
            </w:rPr>
          </w:pPr>
          <w:r w:rsidRPr="001474C7">
            <w:rPr>
              <w:sz w:val="28"/>
              <w:szCs w:val="28"/>
            </w:rPr>
            <w:t>Table of Contents</w:t>
          </w:r>
          <w:bookmarkEnd w:id="1"/>
        </w:p>
        <w:p w14:paraId="7F5F5EC5" w14:textId="602819E3" w:rsidR="00C17F7D" w:rsidRDefault="0096167E">
          <w:pPr>
            <w:pStyle w:val="TOC1"/>
            <w:rPr>
              <w:rFonts w:asciiTheme="minorHAnsi" w:hAnsiTheme="minorHAnsi" w:cstheme="minorBidi"/>
              <w:b w:val="0"/>
              <w:noProof/>
              <w:kern w:val="2"/>
              <w:szCs w:val="24"/>
              <w14:ligatures w14:val="standardContextual"/>
            </w:rPr>
          </w:pPr>
          <w:r>
            <w:rPr>
              <w:rFonts w:cstheme="majorBidi"/>
              <w:sz w:val="28"/>
            </w:rPr>
            <w:fldChar w:fldCharType="begin"/>
          </w:r>
          <w:r>
            <w:rPr>
              <w:rFonts w:cstheme="majorBidi"/>
              <w:sz w:val="28"/>
            </w:rPr>
            <w:instrText xml:space="preserve"> TOC \o "1-3" \h \z \u </w:instrText>
          </w:r>
          <w:r>
            <w:rPr>
              <w:rFonts w:cstheme="majorBidi"/>
              <w:sz w:val="28"/>
            </w:rPr>
            <w:fldChar w:fldCharType="separate"/>
          </w:r>
          <w:hyperlink w:anchor="_Toc172367657" w:history="1">
            <w:r w:rsidR="00C17F7D" w:rsidRPr="000A1AE5">
              <w:rPr>
                <w:rStyle w:val="Hyperlink"/>
                <w:noProof/>
              </w:rPr>
              <w:t>Acknowledgments</w:t>
            </w:r>
            <w:r w:rsidR="00C17F7D">
              <w:rPr>
                <w:noProof/>
                <w:webHidden/>
              </w:rPr>
              <w:tab/>
            </w:r>
            <w:r w:rsidR="00C17F7D">
              <w:rPr>
                <w:noProof/>
                <w:webHidden/>
              </w:rPr>
              <w:fldChar w:fldCharType="begin"/>
            </w:r>
            <w:r w:rsidR="00C17F7D">
              <w:rPr>
                <w:noProof/>
                <w:webHidden/>
              </w:rPr>
              <w:instrText xml:space="preserve"> PAGEREF _Toc172367657 \h </w:instrText>
            </w:r>
            <w:r w:rsidR="00C17F7D">
              <w:rPr>
                <w:noProof/>
                <w:webHidden/>
              </w:rPr>
            </w:r>
            <w:r w:rsidR="00C17F7D">
              <w:rPr>
                <w:noProof/>
                <w:webHidden/>
              </w:rPr>
              <w:fldChar w:fldCharType="separate"/>
            </w:r>
            <w:r w:rsidR="00732AAC">
              <w:rPr>
                <w:noProof/>
                <w:webHidden/>
              </w:rPr>
              <w:t>iv</w:t>
            </w:r>
            <w:r w:rsidR="00C17F7D">
              <w:rPr>
                <w:noProof/>
                <w:webHidden/>
              </w:rPr>
              <w:fldChar w:fldCharType="end"/>
            </w:r>
          </w:hyperlink>
        </w:p>
        <w:p w14:paraId="08C3ABD9" w14:textId="3FDC302C" w:rsidR="00C17F7D" w:rsidRDefault="00000000">
          <w:pPr>
            <w:pStyle w:val="TOC1"/>
            <w:rPr>
              <w:rFonts w:asciiTheme="minorHAnsi" w:hAnsiTheme="minorHAnsi" w:cstheme="minorBidi"/>
              <w:b w:val="0"/>
              <w:noProof/>
              <w:kern w:val="2"/>
              <w:szCs w:val="24"/>
              <w14:ligatures w14:val="standardContextual"/>
            </w:rPr>
          </w:pPr>
          <w:hyperlink w:anchor="_Toc172367658" w:history="1">
            <w:r w:rsidR="00C17F7D" w:rsidRPr="000A1AE5">
              <w:rPr>
                <w:rStyle w:val="Hyperlink"/>
                <w:noProof/>
              </w:rPr>
              <w:t>Table of Contents</w:t>
            </w:r>
            <w:r w:rsidR="00C17F7D">
              <w:rPr>
                <w:noProof/>
                <w:webHidden/>
              </w:rPr>
              <w:tab/>
            </w:r>
            <w:r w:rsidR="00C17F7D">
              <w:rPr>
                <w:noProof/>
                <w:webHidden/>
              </w:rPr>
              <w:fldChar w:fldCharType="begin"/>
            </w:r>
            <w:r w:rsidR="00C17F7D">
              <w:rPr>
                <w:noProof/>
                <w:webHidden/>
              </w:rPr>
              <w:instrText xml:space="preserve"> PAGEREF _Toc172367658 \h </w:instrText>
            </w:r>
            <w:r w:rsidR="00C17F7D">
              <w:rPr>
                <w:noProof/>
                <w:webHidden/>
              </w:rPr>
            </w:r>
            <w:r w:rsidR="00C17F7D">
              <w:rPr>
                <w:noProof/>
                <w:webHidden/>
              </w:rPr>
              <w:fldChar w:fldCharType="separate"/>
            </w:r>
            <w:r w:rsidR="00732AAC">
              <w:rPr>
                <w:noProof/>
                <w:webHidden/>
              </w:rPr>
              <w:t>v</w:t>
            </w:r>
            <w:r w:rsidR="00C17F7D">
              <w:rPr>
                <w:noProof/>
                <w:webHidden/>
              </w:rPr>
              <w:fldChar w:fldCharType="end"/>
            </w:r>
          </w:hyperlink>
        </w:p>
        <w:p w14:paraId="55A4561C" w14:textId="54716E8F" w:rsidR="00C17F7D" w:rsidRDefault="00000000">
          <w:pPr>
            <w:pStyle w:val="TOC1"/>
            <w:rPr>
              <w:rFonts w:asciiTheme="minorHAnsi" w:hAnsiTheme="minorHAnsi" w:cstheme="minorBidi"/>
              <w:b w:val="0"/>
              <w:noProof/>
              <w:kern w:val="2"/>
              <w:szCs w:val="24"/>
              <w14:ligatures w14:val="standardContextual"/>
            </w:rPr>
          </w:pPr>
          <w:hyperlink w:anchor="_Toc172367659" w:history="1">
            <w:r w:rsidR="00C17F7D" w:rsidRPr="000A1AE5">
              <w:rPr>
                <w:rStyle w:val="Hyperlink"/>
                <w:noProof/>
              </w:rPr>
              <w:t>List of Tables</w:t>
            </w:r>
            <w:r w:rsidR="00C17F7D">
              <w:rPr>
                <w:noProof/>
                <w:webHidden/>
              </w:rPr>
              <w:tab/>
            </w:r>
            <w:r w:rsidR="00C17F7D">
              <w:rPr>
                <w:noProof/>
                <w:webHidden/>
              </w:rPr>
              <w:fldChar w:fldCharType="begin"/>
            </w:r>
            <w:r w:rsidR="00C17F7D">
              <w:rPr>
                <w:noProof/>
                <w:webHidden/>
              </w:rPr>
              <w:instrText xml:space="preserve"> PAGEREF _Toc172367659 \h </w:instrText>
            </w:r>
            <w:r w:rsidR="00C17F7D">
              <w:rPr>
                <w:noProof/>
                <w:webHidden/>
              </w:rPr>
            </w:r>
            <w:r w:rsidR="00C17F7D">
              <w:rPr>
                <w:noProof/>
                <w:webHidden/>
              </w:rPr>
              <w:fldChar w:fldCharType="separate"/>
            </w:r>
            <w:r w:rsidR="00732AAC">
              <w:rPr>
                <w:noProof/>
                <w:webHidden/>
              </w:rPr>
              <w:t>viii</w:t>
            </w:r>
            <w:r w:rsidR="00C17F7D">
              <w:rPr>
                <w:noProof/>
                <w:webHidden/>
              </w:rPr>
              <w:fldChar w:fldCharType="end"/>
            </w:r>
          </w:hyperlink>
        </w:p>
        <w:p w14:paraId="1C884571" w14:textId="2DDDD87B" w:rsidR="00C17F7D" w:rsidRDefault="00000000">
          <w:pPr>
            <w:pStyle w:val="TOC1"/>
            <w:rPr>
              <w:rFonts w:asciiTheme="minorHAnsi" w:hAnsiTheme="minorHAnsi" w:cstheme="minorBidi"/>
              <w:b w:val="0"/>
              <w:noProof/>
              <w:kern w:val="2"/>
              <w:szCs w:val="24"/>
              <w14:ligatures w14:val="standardContextual"/>
            </w:rPr>
          </w:pPr>
          <w:hyperlink w:anchor="_Toc172367660" w:history="1">
            <w:r w:rsidR="00C17F7D" w:rsidRPr="000A1AE5">
              <w:rPr>
                <w:rStyle w:val="Hyperlink"/>
                <w:noProof/>
              </w:rPr>
              <w:t>List of Figures</w:t>
            </w:r>
            <w:r w:rsidR="00C17F7D">
              <w:rPr>
                <w:noProof/>
                <w:webHidden/>
              </w:rPr>
              <w:tab/>
            </w:r>
            <w:r w:rsidR="00C17F7D">
              <w:rPr>
                <w:noProof/>
                <w:webHidden/>
              </w:rPr>
              <w:fldChar w:fldCharType="begin"/>
            </w:r>
            <w:r w:rsidR="00C17F7D">
              <w:rPr>
                <w:noProof/>
                <w:webHidden/>
              </w:rPr>
              <w:instrText xml:space="preserve"> PAGEREF _Toc172367660 \h </w:instrText>
            </w:r>
            <w:r w:rsidR="00C17F7D">
              <w:rPr>
                <w:noProof/>
                <w:webHidden/>
              </w:rPr>
            </w:r>
            <w:r w:rsidR="00C17F7D">
              <w:rPr>
                <w:noProof/>
                <w:webHidden/>
              </w:rPr>
              <w:fldChar w:fldCharType="separate"/>
            </w:r>
            <w:r w:rsidR="00732AAC">
              <w:rPr>
                <w:noProof/>
                <w:webHidden/>
              </w:rPr>
              <w:t>ix</w:t>
            </w:r>
            <w:r w:rsidR="00C17F7D">
              <w:rPr>
                <w:noProof/>
                <w:webHidden/>
              </w:rPr>
              <w:fldChar w:fldCharType="end"/>
            </w:r>
          </w:hyperlink>
        </w:p>
        <w:p w14:paraId="32DCCEA7" w14:textId="0E811E98" w:rsidR="00C17F7D" w:rsidRDefault="00000000">
          <w:pPr>
            <w:pStyle w:val="TOC1"/>
            <w:rPr>
              <w:rFonts w:asciiTheme="minorHAnsi" w:hAnsiTheme="minorHAnsi" w:cstheme="minorBidi"/>
              <w:b w:val="0"/>
              <w:noProof/>
              <w:kern w:val="2"/>
              <w:szCs w:val="24"/>
              <w14:ligatures w14:val="standardContextual"/>
            </w:rPr>
          </w:pPr>
          <w:hyperlink w:anchor="_Toc172367661" w:history="1">
            <w:r w:rsidR="00C17F7D" w:rsidRPr="000A1AE5">
              <w:rPr>
                <w:rStyle w:val="Hyperlink"/>
                <w:noProof/>
              </w:rPr>
              <w:t>Abstract</w:t>
            </w:r>
            <w:r w:rsidR="00C17F7D">
              <w:rPr>
                <w:noProof/>
                <w:webHidden/>
              </w:rPr>
              <w:tab/>
            </w:r>
            <w:r w:rsidR="00C17F7D">
              <w:rPr>
                <w:noProof/>
                <w:webHidden/>
              </w:rPr>
              <w:fldChar w:fldCharType="begin"/>
            </w:r>
            <w:r w:rsidR="00C17F7D">
              <w:rPr>
                <w:noProof/>
                <w:webHidden/>
              </w:rPr>
              <w:instrText xml:space="preserve"> PAGEREF _Toc172367661 \h </w:instrText>
            </w:r>
            <w:r w:rsidR="00C17F7D">
              <w:rPr>
                <w:noProof/>
                <w:webHidden/>
              </w:rPr>
            </w:r>
            <w:r w:rsidR="00C17F7D">
              <w:rPr>
                <w:noProof/>
                <w:webHidden/>
              </w:rPr>
              <w:fldChar w:fldCharType="separate"/>
            </w:r>
            <w:r w:rsidR="00732AAC">
              <w:rPr>
                <w:noProof/>
                <w:webHidden/>
              </w:rPr>
              <w:t>xii</w:t>
            </w:r>
            <w:r w:rsidR="00C17F7D">
              <w:rPr>
                <w:noProof/>
                <w:webHidden/>
              </w:rPr>
              <w:fldChar w:fldCharType="end"/>
            </w:r>
          </w:hyperlink>
        </w:p>
        <w:p w14:paraId="5BF0A4E6" w14:textId="56CC7A62"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662" w:history="1">
            <w:r w:rsidR="00C17F7D" w:rsidRPr="000A1AE5">
              <w:rPr>
                <w:rStyle w:val="Hyperlink"/>
                <w:bCs/>
                <w:noProof/>
              </w:rPr>
              <w:t>1.</w:t>
            </w:r>
            <w:r w:rsidR="00C17F7D">
              <w:rPr>
                <w:rFonts w:asciiTheme="minorHAnsi" w:hAnsiTheme="minorHAnsi" w:cstheme="minorBidi"/>
                <w:b w:val="0"/>
                <w:noProof/>
                <w:kern w:val="2"/>
                <w:szCs w:val="24"/>
                <w14:ligatures w14:val="standardContextual"/>
              </w:rPr>
              <w:tab/>
            </w:r>
            <w:r w:rsidR="00C17F7D" w:rsidRPr="000A1AE5">
              <w:rPr>
                <w:rStyle w:val="Hyperlink"/>
                <w:noProof/>
              </w:rPr>
              <w:t>Introduction</w:t>
            </w:r>
            <w:r w:rsidR="00C17F7D">
              <w:rPr>
                <w:noProof/>
                <w:webHidden/>
              </w:rPr>
              <w:tab/>
            </w:r>
            <w:r w:rsidR="00C17F7D">
              <w:rPr>
                <w:noProof/>
                <w:webHidden/>
              </w:rPr>
              <w:fldChar w:fldCharType="begin"/>
            </w:r>
            <w:r w:rsidR="00C17F7D">
              <w:rPr>
                <w:noProof/>
                <w:webHidden/>
              </w:rPr>
              <w:instrText xml:space="preserve"> PAGEREF _Toc172367662 \h </w:instrText>
            </w:r>
            <w:r w:rsidR="00C17F7D">
              <w:rPr>
                <w:noProof/>
                <w:webHidden/>
              </w:rPr>
            </w:r>
            <w:r w:rsidR="00C17F7D">
              <w:rPr>
                <w:noProof/>
                <w:webHidden/>
              </w:rPr>
              <w:fldChar w:fldCharType="separate"/>
            </w:r>
            <w:r w:rsidR="00732AAC">
              <w:rPr>
                <w:noProof/>
                <w:webHidden/>
              </w:rPr>
              <w:t>1</w:t>
            </w:r>
            <w:r w:rsidR="00C17F7D">
              <w:rPr>
                <w:noProof/>
                <w:webHidden/>
              </w:rPr>
              <w:fldChar w:fldCharType="end"/>
            </w:r>
          </w:hyperlink>
        </w:p>
        <w:p w14:paraId="39F2E94A" w14:textId="2DCA4772" w:rsidR="00C17F7D" w:rsidRDefault="00000000" w:rsidP="00FD2096">
          <w:pPr>
            <w:pStyle w:val="TOC2"/>
            <w:rPr>
              <w:rFonts w:asciiTheme="minorHAnsi" w:hAnsiTheme="minorHAnsi" w:cstheme="minorBidi"/>
              <w:noProof/>
              <w:kern w:val="2"/>
              <w:szCs w:val="24"/>
              <w14:ligatures w14:val="standardContextual"/>
            </w:rPr>
          </w:pPr>
          <w:hyperlink w:anchor="_Toc172367663" w:history="1">
            <w:r w:rsidR="00C17F7D" w:rsidRPr="000A1AE5">
              <w:rPr>
                <w:rStyle w:val="Hyperlink"/>
                <w:noProof/>
              </w:rPr>
              <w:t>1.1.</w:t>
            </w:r>
            <w:r w:rsidR="00C17F7D">
              <w:rPr>
                <w:rFonts w:asciiTheme="minorHAnsi" w:hAnsiTheme="minorHAnsi" w:cstheme="minorBidi"/>
                <w:noProof/>
                <w:kern w:val="2"/>
                <w:szCs w:val="24"/>
                <w14:ligatures w14:val="standardContextual"/>
              </w:rPr>
              <w:tab/>
            </w:r>
            <w:r w:rsidR="00C17F7D" w:rsidRPr="000A1AE5">
              <w:rPr>
                <w:rStyle w:val="Hyperlink"/>
                <w:noProof/>
              </w:rPr>
              <w:t>Background</w:t>
            </w:r>
            <w:r w:rsidR="00C17F7D">
              <w:rPr>
                <w:noProof/>
                <w:webHidden/>
              </w:rPr>
              <w:tab/>
            </w:r>
            <w:r w:rsidR="00C17F7D">
              <w:rPr>
                <w:noProof/>
                <w:webHidden/>
              </w:rPr>
              <w:fldChar w:fldCharType="begin"/>
            </w:r>
            <w:r w:rsidR="00C17F7D">
              <w:rPr>
                <w:noProof/>
                <w:webHidden/>
              </w:rPr>
              <w:instrText xml:space="preserve"> PAGEREF _Toc172367663 \h </w:instrText>
            </w:r>
            <w:r w:rsidR="00C17F7D">
              <w:rPr>
                <w:noProof/>
                <w:webHidden/>
              </w:rPr>
            </w:r>
            <w:r w:rsidR="00C17F7D">
              <w:rPr>
                <w:noProof/>
                <w:webHidden/>
              </w:rPr>
              <w:fldChar w:fldCharType="separate"/>
            </w:r>
            <w:r w:rsidR="00732AAC">
              <w:rPr>
                <w:noProof/>
                <w:webHidden/>
              </w:rPr>
              <w:t>1</w:t>
            </w:r>
            <w:r w:rsidR="00C17F7D">
              <w:rPr>
                <w:noProof/>
                <w:webHidden/>
              </w:rPr>
              <w:fldChar w:fldCharType="end"/>
            </w:r>
          </w:hyperlink>
        </w:p>
        <w:p w14:paraId="36EC9EA4" w14:textId="2A599987" w:rsidR="00C17F7D" w:rsidRDefault="00000000" w:rsidP="00FD2096">
          <w:pPr>
            <w:pStyle w:val="TOC2"/>
            <w:rPr>
              <w:rFonts w:asciiTheme="minorHAnsi" w:hAnsiTheme="minorHAnsi" w:cstheme="minorBidi"/>
              <w:noProof/>
              <w:kern w:val="2"/>
              <w:szCs w:val="24"/>
              <w14:ligatures w14:val="standardContextual"/>
            </w:rPr>
          </w:pPr>
          <w:hyperlink w:anchor="_Toc172367664" w:history="1">
            <w:r w:rsidR="00C17F7D" w:rsidRPr="000A1AE5">
              <w:rPr>
                <w:rStyle w:val="Hyperlink"/>
                <w:noProof/>
              </w:rPr>
              <w:t>1.2.</w:t>
            </w:r>
            <w:r w:rsidR="00C17F7D">
              <w:rPr>
                <w:rFonts w:asciiTheme="minorHAnsi" w:hAnsiTheme="minorHAnsi" w:cstheme="minorBidi"/>
                <w:noProof/>
                <w:kern w:val="2"/>
                <w:szCs w:val="24"/>
                <w14:ligatures w14:val="standardContextual"/>
              </w:rPr>
              <w:tab/>
            </w:r>
            <w:r w:rsidR="00C17F7D" w:rsidRPr="000A1AE5">
              <w:rPr>
                <w:rStyle w:val="Hyperlink"/>
                <w:noProof/>
              </w:rPr>
              <w:t>Desalination</w:t>
            </w:r>
            <w:r w:rsidR="00C17F7D">
              <w:rPr>
                <w:noProof/>
                <w:webHidden/>
              </w:rPr>
              <w:tab/>
            </w:r>
            <w:r w:rsidR="00C17F7D">
              <w:rPr>
                <w:noProof/>
                <w:webHidden/>
              </w:rPr>
              <w:fldChar w:fldCharType="begin"/>
            </w:r>
            <w:r w:rsidR="00C17F7D">
              <w:rPr>
                <w:noProof/>
                <w:webHidden/>
              </w:rPr>
              <w:instrText xml:space="preserve"> PAGEREF _Toc172367664 \h </w:instrText>
            </w:r>
            <w:r w:rsidR="00C17F7D">
              <w:rPr>
                <w:noProof/>
                <w:webHidden/>
              </w:rPr>
            </w:r>
            <w:r w:rsidR="00C17F7D">
              <w:rPr>
                <w:noProof/>
                <w:webHidden/>
              </w:rPr>
              <w:fldChar w:fldCharType="separate"/>
            </w:r>
            <w:r w:rsidR="00732AAC">
              <w:rPr>
                <w:noProof/>
                <w:webHidden/>
              </w:rPr>
              <w:t>3</w:t>
            </w:r>
            <w:r w:rsidR="00C17F7D">
              <w:rPr>
                <w:noProof/>
                <w:webHidden/>
              </w:rPr>
              <w:fldChar w:fldCharType="end"/>
            </w:r>
          </w:hyperlink>
        </w:p>
        <w:p w14:paraId="2E8EBC7E" w14:textId="69D87309"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65" w:history="1">
            <w:r w:rsidR="00C17F7D" w:rsidRPr="000A1AE5">
              <w:rPr>
                <w:rStyle w:val="Hyperlink"/>
                <w:noProof/>
              </w:rPr>
              <w:t>1.2.1.</w:t>
            </w:r>
            <w:r w:rsidR="00C17F7D">
              <w:rPr>
                <w:rFonts w:asciiTheme="minorHAnsi" w:hAnsiTheme="minorHAnsi" w:cstheme="minorBidi"/>
                <w:noProof/>
                <w:kern w:val="2"/>
                <w:szCs w:val="24"/>
                <w14:ligatures w14:val="standardContextual"/>
              </w:rPr>
              <w:tab/>
            </w:r>
            <w:r w:rsidR="00C17F7D" w:rsidRPr="000A1AE5">
              <w:rPr>
                <w:rStyle w:val="Hyperlink"/>
                <w:noProof/>
              </w:rPr>
              <w:t>Membrane Desalination</w:t>
            </w:r>
            <w:r w:rsidR="00C17F7D">
              <w:rPr>
                <w:noProof/>
                <w:webHidden/>
              </w:rPr>
              <w:tab/>
            </w:r>
            <w:r w:rsidR="00C17F7D">
              <w:rPr>
                <w:noProof/>
                <w:webHidden/>
              </w:rPr>
              <w:fldChar w:fldCharType="begin"/>
            </w:r>
            <w:r w:rsidR="00C17F7D">
              <w:rPr>
                <w:noProof/>
                <w:webHidden/>
              </w:rPr>
              <w:instrText xml:space="preserve"> PAGEREF _Toc172367665 \h </w:instrText>
            </w:r>
            <w:r w:rsidR="00C17F7D">
              <w:rPr>
                <w:noProof/>
                <w:webHidden/>
              </w:rPr>
            </w:r>
            <w:r w:rsidR="00C17F7D">
              <w:rPr>
                <w:noProof/>
                <w:webHidden/>
              </w:rPr>
              <w:fldChar w:fldCharType="separate"/>
            </w:r>
            <w:r w:rsidR="00732AAC">
              <w:rPr>
                <w:noProof/>
                <w:webHidden/>
              </w:rPr>
              <w:t>6</w:t>
            </w:r>
            <w:r w:rsidR="00C17F7D">
              <w:rPr>
                <w:noProof/>
                <w:webHidden/>
              </w:rPr>
              <w:fldChar w:fldCharType="end"/>
            </w:r>
          </w:hyperlink>
        </w:p>
        <w:p w14:paraId="34E1E91E" w14:textId="405CCD91"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66" w:history="1">
            <w:r w:rsidR="00C17F7D" w:rsidRPr="000A1AE5">
              <w:rPr>
                <w:rStyle w:val="Hyperlink"/>
                <w:noProof/>
              </w:rPr>
              <w:t>1.2.2.</w:t>
            </w:r>
            <w:r w:rsidR="00C17F7D">
              <w:rPr>
                <w:rFonts w:asciiTheme="minorHAnsi" w:hAnsiTheme="minorHAnsi" w:cstheme="minorBidi"/>
                <w:noProof/>
                <w:kern w:val="2"/>
                <w:szCs w:val="24"/>
                <w14:ligatures w14:val="standardContextual"/>
              </w:rPr>
              <w:tab/>
            </w:r>
            <w:r w:rsidR="00C17F7D" w:rsidRPr="000A1AE5">
              <w:rPr>
                <w:rStyle w:val="Hyperlink"/>
                <w:noProof/>
              </w:rPr>
              <w:t>Thermal Desalination</w:t>
            </w:r>
            <w:r w:rsidR="00C17F7D">
              <w:rPr>
                <w:noProof/>
                <w:webHidden/>
              </w:rPr>
              <w:tab/>
            </w:r>
            <w:r w:rsidR="00C17F7D">
              <w:rPr>
                <w:noProof/>
                <w:webHidden/>
              </w:rPr>
              <w:fldChar w:fldCharType="begin"/>
            </w:r>
            <w:r w:rsidR="00C17F7D">
              <w:rPr>
                <w:noProof/>
                <w:webHidden/>
              </w:rPr>
              <w:instrText xml:space="preserve"> PAGEREF _Toc172367666 \h </w:instrText>
            </w:r>
            <w:r w:rsidR="00C17F7D">
              <w:rPr>
                <w:noProof/>
                <w:webHidden/>
              </w:rPr>
            </w:r>
            <w:r w:rsidR="00C17F7D">
              <w:rPr>
                <w:noProof/>
                <w:webHidden/>
              </w:rPr>
              <w:fldChar w:fldCharType="separate"/>
            </w:r>
            <w:r w:rsidR="00732AAC">
              <w:rPr>
                <w:noProof/>
                <w:webHidden/>
              </w:rPr>
              <w:t>10</w:t>
            </w:r>
            <w:r w:rsidR="00C17F7D">
              <w:rPr>
                <w:noProof/>
                <w:webHidden/>
              </w:rPr>
              <w:fldChar w:fldCharType="end"/>
            </w:r>
          </w:hyperlink>
        </w:p>
        <w:p w14:paraId="59B8F857" w14:textId="18850B20" w:rsidR="00C17F7D" w:rsidRDefault="00000000" w:rsidP="00FD2096">
          <w:pPr>
            <w:pStyle w:val="TOC2"/>
            <w:rPr>
              <w:rFonts w:asciiTheme="minorHAnsi" w:hAnsiTheme="minorHAnsi" w:cstheme="minorBidi"/>
              <w:noProof/>
              <w:kern w:val="2"/>
              <w:szCs w:val="24"/>
              <w14:ligatures w14:val="standardContextual"/>
            </w:rPr>
          </w:pPr>
          <w:hyperlink w:anchor="_Toc172367667" w:history="1">
            <w:r w:rsidR="00C17F7D" w:rsidRPr="000A1AE5">
              <w:rPr>
                <w:rStyle w:val="Hyperlink"/>
                <w:noProof/>
              </w:rPr>
              <w:t>1.3.</w:t>
            </w:r>
            <w:r w:rsidR="00C17F7D">
              <w:rPr>
                <w:rFonts w:asciiTheme="minorHAnsi" w:hAnsiTheme="minorHAnsi" w:cstheme="minorBidi"/>
                <w:noProof/>
                <w:kern w:val="2"/>
                <w:szCs w:val="24"/>
                <w14:ligatures w14:val="standardContextual"/>
              </w:rPr>
              <w:tab/>
            </w:r>
            <w:r w:rsidR="00C17F7D" w:rsidRPr="000A1AE5">
              <w:rPr>
                <w:rStyle w:val="Hyperlink"/>
                <w:noProof/>
              </w:rPr>
              <w:t>Brine Management</w:t>
            </w:r>
            <w:r w:rsidR="00C17F7D">
              <w:rPr>
                <w:noProof/>
                <w:webHidden/>
              </w:rPr>
              <w:tab/>
            </w:r>
            <w:r w:rsidR="00C17F7D">
              <w:rPr>
                <w:noProof/>
                <w:webHidden/>
              </w:rPr>
              <w:fldChar w:fldCharType="begin"/>
            </w:r>
            <w:r w:rsidR="00C17F7D">
              <w:rPr>
                <w:noProof/>
                <w:webHidden/>
              </w:rPr>
              <w:instrText xml:space="preserve"> PAGEREF _Toc172367667 \h </w:instrText>
            </w:r>
            <w:r w:rsidR="00C17F7D">
              <w:rPr>
                <w:noProof/>
                <w:webHidden/>
              </w:rPr>
            </w:r>
            <w:r w:rsidR="00C17F7D">
              <w:rPr>
                <w:noProof/>
                <w:webHidden/>
              </w:rPr>
              <w:fldChar w:fldCharType="separate"/>
            </w:r>
            <w:r w:rsidR="00732AAC">
              <w:rPr>
                <w:noProof/>
                <w:webHidden/>
              </w:rPr>
              <w:t>14</w:t>
            </w:r>
            <w:r w:rsidR="00C17F7D">
              <w:rPr>
                <w:noProof/>
                <w:webHidden/>
              </w:rPr>
              <w:fldChar w:fldCharType="end"/>
            </w:r>
          </w:hyperlink>
        </w:p>
        <w:p w14:paraId="281C16A5" w14:textId="3C35CAF0"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68" w:history="1">
            <w:r w:rsidR="00C17F7D" w:rsidRPr="000A1AE5">
              <w:rPr>
                <w:rStyle w:val="Hyperlink"/>
                <w:noProof/>
              </w:rPr>
              <w:t>1.3.1.</w:t>
            </w:r>
            <w:r w:rsidR="00C17F7D">
              <w:rPr>
                <w:rFonts w:asciiTheme="minorHAnsi" w:hAnsiTheme="minorHAnsi" w:cstheme="minorBidi"/>
                <w:noProof/>
                <w:kern w:val="2"/>
                <w:szCs w:val="24"/>
                <w14:ligatures w14:val="standardContextual"/>
              </w:rPr>
              <w:tab/>
            </w:r>
            <w:r w:rsidR="00C17F7D" w:rsidRPr="000A1AE5">
              <w:rPr>
                <w:rStyle w:val="Hyperlink"/>
                <w:noProof/>
              </w:rPr>
              <w:t>Disposal Methods</w:t>
            </w:r>
            <w:r w:rsidR="00C17F7D">
              <w:rPr>
                <w:noProof/>
                <w:webHidden/>
              </w:rPr>
              <w:tab/>
            </w:r>
            <w:r w:rsidR="00C17F7D">
              <w:rPr>
                <w:noProof/>
                <w:webHidden/>
              </w:rPr>
              <w:fldChar w:fldCharType="begin"/>
            </w:r>
            <w:r w:rsidR="00C17F7D">
              <w:rPr>
                <w:noProof/>
                <w:webHidden/>
              </w:rPr>
              <w:instrText xml:space="preserve"> PAGEREF _Toc172367668 \h </w:instrText>
            </w:r>
            <w:r w:rsidR="00C17F7D">
              <w:rPr>
                <w:noProof/>
                <w:webHidden/>
              </w:rPr>
            </w:r>
            <w:r w:rsidR="00C17F7D">
              <w:rPr>
                <w:noProof/>
                <w:webHidden/>
              </w:rPr>
              <w:fldChar w:fldCharType="separate"/>
            </w:r>
            <w:r w:rsidR="00732AAC">
              <w:rPr>
                <w:noProof/>
                <w:webHidden/>
              </w:rPr>
              <w:t>16</w:t>
            </w:r>
            <w:r w:rsidR="00C17F7D">
              <w:rPr>
                <w:noProof/>
                <w:webHidden/>
              </w:rPr>
              <w:fldChar w:fldCharType="end"/>
            </w:r>
          </w:hyperlink>
        </w:p>
        <w:p w14:paraId="589D8724" w14:textId="6EF390C7"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69" w:history="1">
            <w:r w:rsidR="00C17F7D" w:rsidRPr="000A1AE5">
              <w:rPr>
                <w:rStyle w:val="Hyperlink"/>
                <w:noProof/>
              </w:rPr>
              <w:t>1.3.2.</w:t>
            </w:r>
            <w:r w:rsidR="00C17F7D">
              <w:rPr>
                <w:rFonts w:asciiTheme="minorHAnsi" w:hAnsiTheme="minorHAnsi" w:cstheme="minorBidi"/>
                <w:noProof/>
                <w:kern w:val="2"/>
                <w:szCs w:val="24"/>
                <w14:ligatures w14:val="standardContextual"/>
              </w:rPr>
              <w:tab/>
            </w:r>
            <w:r w:rsidR="00C17F7D" w:rsidRPr="000A1AE5">
              <w:rPr>
                <w:rStyle w:val="Hyperlink"/>
                <w:noProof/>
              </w:rPr>
              <w:t>Freeze Desalination (FD)</w:t>
            </w:r>
            <w:r w:rsidR="00C17F7D">
              <w:rPr>
                <w:noProof/>
                <w:webHidden/>
              </w:rPr>
              <w:tab/>
            </w:r>
            <w:r w:rsidR="00C17F7D">
              <w:rPr>
                <w:noProof/>
                <w:webHidden/>
              </w:rPr>
              <w:fldChar w:fldCharType="begin"/>
            </w:r>
            <w:r w:rsidR="00C17F7D">
              <w:rPr>
                <w:noProof/>
                <w:webHidden/>
              </w:rPr>
              <w:instrText xml:space="preserve"> PAGEREF _Toc172367669 \h </w:instrText>
            </w:r>
            <w:r w:rsidR="00C17F7D">
              <w:rPr>
                <w:noProof/>
                <w:webHidden/>
              </w:rPr>
            </w:r>
            <w:r w:rsidR="00C17F7D">
              <w:rPr>
                <w:noProof/>
                <w:webHidden/>
              </w:rPr>
              <w:fldChar w:fldCharType="separate"/>
            </w:r>
            <w:r w:rsidR="00732AAC">
              <w:rPr>
                <w:noProof/>
                <w:webHidden/>
              </w:rPr>
              <w:t>18</w:t>
            </w:r>
            <w:r w:rsidR="00C17F7D">
              <w:rPr>
                <w:noProof/>
                <w:webHidden/>
              </w:rPr>
              <w:fldChar w:fldCharType="end"/>
            </w:r>
          </w:hyperlink>
        </w:p>
        <w:p w14:paraId="2E5649B2" w14:textId="337D32DA"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670" w:history="1">
            <w:r w:rsidR="00C17F7D" w:rsidRPr="000A1AE5">
              <w:rPr>
                <w:rStyle w:val="Hyperlink"/>
                <w:bCs/>
                <w:noProof/>
              </w:rPr>
              <w:t>2.</w:t>
            </w:r>
            <w:r w:rsidR="00C17F7D">
              <w:rPr>
                <w:rFonts w:asciiTheme="minorHAnsi" w:hAnsiTheme="minorHAnsi" w:cstheme="minorBidi"/>
                <w:b w:val="0"/>
                <w:noProof/>
                <w:kern w:val="2"/>
                <w:szCs w:val="24"/>
                <w14:ligatures w14:val="standardContextual"/>
              </w:rPr>
              <w:tab/>
            </w:r>
            <w:r w:rsidR="00C17F7D" w:rsidRPr="000A1AE5">
              <w:rPr>
                <w:rStyle w:val="Hyperlink"/>
                <w:noProof/>
              </w:rPr>
              <w:t>Design and Fabrication of a Novel Freeze Desalination System</w:t>
            </w:r>
            <w:r w:rsidR="00C17F7D">
              <w:rPr>
                <w:noProof/>
                <w:webHidden/>
              </w:rPr>
              <w:tab/>
            </w:r>
            <w:r w:rsidR="00C17F7D">
              <w:rPr>
                <w:noProof/>
                <w:webHidden/>
              </w:rPr>
              <w:fldChar w:fldCharType="begin"/>
            </w:r>
            <w:r w:rsidR="00C17F7D">
              <w:rPr>
                <w:noProof/>
                <w:webHidden/>
              </w:rPr>
              <w:instrText xml:space="preserve"> PAGEREF _Toc172367670 \h </w:instrText>
            </w:r>
            <w:r w:rsidR="00C17F7D">
              <w:rPr>
                <w:noProof/>
                <w:webHidden/>
              </w:rPr>
            </w:r>
            <w:r w:rsidR="00C17F7D">
              <w:rPr>
                <w:noProof/>
                <w:webHidden/>
              </w:rPr>
              <w:fldChar w:fldCharType="separate"/>
            </w:r>
            <w:r w:rsidR="00732AAC">
              <w:rPr>
                <w:noProof/>
                <w:webHidden/>
              </w:rPr>
              <w:t>24</w:t>
            </w:r>
            <w:r w:rsidR="00C17F7D">
              <w:rPr>
                <w:noProof/>
                <w:webHidden/>
              </w:rPr>
              <w:fldChar w:fldCharType="end"/>
            </w:r>
          </w:hyperlink>
        </w:p>
        <w:p w14:paraId="3F55EE6E" w14:textId="61950B97" w:rsidR="00C17F7D" w:rsidRDefault="00000000" w:rsidP="00FD2096">
          <w:pPr>
            <w:pStyle w:val="TOC2"/>
            <w:rPr>
              <w:rFonts w:asciiTheme="minorHAnsi" w:hAnsiTheme="minorHAnsi" w:cstheme="minorBidi"/>
              <w:noProof/>
              <w:kern w:val="2"/>
              <w:szCs w:val="24"/>
              <w14:ligatures w14:val="standardContextual"/>
            </w:rPr>
          </w:pPr>
          <w:hyperlink w:anchor="_Toc172367671" w:history="1">
            <w:r w:rsidR="00C17F7D" w:rsidRPr="000A1AE5">
              <w:rPr>
                <w:rStyle w:val="Hyperlink"/>
                <w:rFonts w:eastAsia="MS Mincho"/>
                <w:noProof/>
              </w:rPr>
              <w:t>2.1.</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Literature Review &amp; State of the Art</w:t>
            </w:r>
            <w:r w:rsidR="00C17F7D">
              <w:rPr>
                <w:noProof/>
                <w:webHidden/>
              </w:rPr>
              <w:tab/>
            </w:r>
            <w:r w:rsidR="00C17F7D">
              <w:rPr>
                <w:noProof/>
                <w:webHidden/>
              </w:rPr>
              <w:fldChar w:fldCharType="begin"/>
            </w:r>
            <w:r w:rsidR="00C17F7D">
              <w:rPr>
                <w:noProof/>
                <w:webHidden/>
              </w:rPr>
              <w:instrText xml:space="preserve"> PAGEREF _Toc172367671 \h </w:instrText>
            </w:r>
            <w:r w:rsidR="00C17F7D">
              <w:rPr>
                <w:noProof/>
                <w:webHidden/>
              </w:rPr>
            </w:r>
            <w:r w:rsidR="00C17F7D">
              <w:rPr>
                <w:noProof/>
                <w:webHidden/>
              </w:rPr>
              <w:fldChar w:fldCharType="separate"/>
            </w:r>
            <w:r w:rsidR="00732AAC">
              <w:rPr>
                <w:noProof/>
                <w:webHidden/>
              </w:rPr>
              <w:t>24</w:t>
            </w:r>
            <w:r w:rsidR="00C17F7D">
              <w:rPr>
                <w:noProof/>
                <w:webHidden/>
              </w:rPr>
              <w:fldChar w:fldCharType="end"/>
            </w:r>
          </w:hyperlink>
        </w:p>
        <w:p w14:paraId="5EA8D7B6" w14:textId="1C841734" w:rsidR="00C17F7D" w:rsidRDefault="00000000" w:rsidP="00FD2096">
          <w:pPr>
            <w:pStyle w:val="TOC2"/>
            <w:rPr>
              <w:rFonts w:asciiTheme="minorHAnsi" w:hAnsiTheme="minorHAnsi" w:cstheme="minorBidi"/>
              <w:noProof/>
              <w:kern w:val="2"/>
              <w:szCs w:val="24"/>
              <w14:ligatures w14:val="standardContextual"/>
            </w:rPr>
          </w:pPr>
          <w:hyperlink w:anchor="_Toc172367672" w:history="1">
            <w:r w:rsidR="00C17F7D" w:rsidRPr="000A1AE5">
              <w:rPr>
                <w:rStyle w:val="Hyperlink"/>
                <w:noProof/>
              </w:rPr>
              <w:t>2.2.</w:t>
            </w:r>
            <w:r w:rsidR="00C17F7D">
              <w:rPr>
                <w:rFonts w:asciiTheme="minorHAnsi" w:hAnsiTheme="minorHAnsi" w:cstheme="minorBidi"/>
                <w:noProof/>
                <w:kern w:val="2"/>
                <w:szCs w:val="24"/>
                <w14:ligatures w14:val="standardContextual"/>
              </w:rPr>
              <w:tab/>
            </w:r>
            <w:r w:rsidR="00C17F7D" w:rsidRPr="000A1AE5">
              <w:rPr>
                <w:rStyle w:val="Hyperlink"/>
                <w:noProof/>
              </w:rPr>
              <w:t>Experimental Setup</w:t>
            </w:r>
            <w:r w:rsidR="00C17F7D">
              <w:rPr>
                <w:noProof/>
                <w:webHidden/>
              </w:rPr>
              <w:tab/>
            </w:r>
            <w:r w:rsidR="00C17F7D">
              <w:rPr>
                <w:noProof/>
                <w:webHidden/>
              </w:rPr>
              <w:fldChar w:fldCharType="begin"/>
            </w:r>
            <w:r w:rsidR="00C17F7D">
              <w:rPr>
                <w:noProof/>
                <w:webHidden/>
              </w:rPr>
              <w:instrText xml:space="preserve"> PAGEREF _Toc172367672 \h </w:instrText>
            </w:r>
            <w:r w:rsidR="00C17F7D">
              <w:rPr>
                <w:noProof/>
                <w:webHidden/>
              </w:rPr>
            </w:r>
            <w:r w:rsidR="00C17F7D">
              <w:rPr>
                <w:noProof/>
                <w:webHidden/>
              </w:rPr>
              <w:fldChar w:fldCharType="separate"/>
            </w:r>
            <w:r w:rsidR="00732AAC">
              <w:rPr>
                <w:noProof/>
                <w:webHidden/>
              </w:rPr>
              <w:t>28</w:t>
            </w:r>
            <w:r w:rsidR="00C17F7D">
              <w:rPr>
                <w:noProof/>
                <w:webHidden/>
              </w:rPr>
              <w:fldChar w:fldCharType="end"/>
            </w:r>
          </w:hyperlink>
        </w:p>
        <w:p w14:paraId="0E685496" w14:textId="0E285A5E"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3" w:history="1">
            <w:r w:rsidR="00C17F7D" w:rsidRPr="000A1AE5">
              <w:rPr>
                <w:rStyle w:val="Hyperlink"/>
                <w:rFonts w:eastAsia="MS Mincho"/>
                <w:noProof/>
                <w:lang w:eastAsia="ja-JP"/>
              </w:rPr>
              <w:t>2.2.1.</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lang w:eastAsia="ja-JP"/>
              </w:rPr>
              <w:t>Intermediate Cooling Liquid (ICL)</w:t>
            </w:r>
            <w:r w:rsidR="00C17F7D">
              <w:rPr>
                <w:noProof/>
                <w:webHidden/>
              </w:rPr>
              <w:tab/>
            </w:r>
            <w:r w:rsidR="00C17F7D">
              <w:rPr>
                <w:noProof/>
                <w:webHidden/>
              </w:rPr>
              <w:fldChar w:fldCharType="begin"/>
            </w:r>
            <w:r w:rsidR="00C17F7D">
              <w:rPr>
                <w:noProof/>
                <w:webHidden/>
              </w:rPr>
              <w:instrText xml:space="preserve"> PAGEREF _Toc172367673 \h </w:instrText>
            </w:r>
            <w:r w:rsidR="00C17F7D">
              <w:rPr>
                <w:noProof/>
                <w:webHidden/>
              </w:rPr>
            </w:r>
            <w:r w:rsidR="00C17F7D">
              <w:rPr>
                <w:noProof/>
                <w:webHidden/>
              </w:rPr>
              <w:fldChar w:fldCharType="separate"/>
            </w:r>
            <w:r w:rsidR="00732AAC">
              <w:rPr>
                <w:noProof/>
                <w:webHidden/>
              </w:rPr>
              <w:t>31</w:t>
            </w:r>
            <w:r w:rsidR="00C17F7D">
              <w:rPr>
                <w:noProof/>
                <w:webHidden/>
              </w:rPr>
              <w:fldChar w:fldCharType="end"/>
            </w:r>
          </w:hyperlink>
        </w:p>
        <w:p w14:paraId="5381AE72" w14:textId="7B88DE49"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4" w:history="1">
            <w:r w:rsidR="00C17F7D" w:rsidRPr="000A1AE5">
              <w:rPr>
                <w:rStyle w:val="Hyperlink"/>
                <w:rFonts w:eastAsia="MS Mincho"/>
                <w:noProof/>
              </w:rPr>
              <w:t>2.2.2.</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Refrigeration Unit</w:t>
            </w:r>
            <w:r w:rsidR="00C17F7D">
              <w:rPr>
                <w:noProof/>
                <w:webHidden/>
              </w:rPr>
              <w:tab/>
            </w:r>
            <w:r w:rsidR="00C17F7D">
              <w:rPr>
                <w:noProof/>
                <w:webHidden/>
              </w:rPr>
              <w:fldChar w:fldCharType="begin"/>
            </w:r>
            <w:r w:rsidR="00C17F7D">
              <w:rPr>
                <w:noProof/>
                <w:webHidden/>
              </w:rPr>
              <w:instrText xml:space="preserve"> PAGEREF _Toc172367674 \h </w:instrText>
            </w:r>
            <w:r w:rsidR="00C17F7D">
              <w:rPr>
                <w:noProof/>
                <w:webHidden/>
              </w:rPr>
            </w:r>
            <w:r w:rsidR="00C17F7D">
              <w:rPr>
                <w:noProof/>
                <w:webHidden/>
              </w:rPr>
              <w:fldChar w:fldCharType="separate"/>
            </w:r>
            <w:r w:rsidR="00732AAC">
              <w:rPr>
                <w:noProof/>
                <w:webHidden/>
              </w:rPr>
              <w:t>33</w:t>
            </w:r>
            <w:r w:rsidR="00C17F7D">
              <w:rPr>
                <w:noProof/>
                <w:webHidden/>
              </w:rPr>
              <w:fldChar w:fldCharType="end"/>
            </w:r>
          </w:hyperlink>
        </w:p>
        <w:p w14:paraId="310E2ED8" w14:textId="2C333067"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5" w:history="1">
            <w:r w:rsidR="00C17F7D" w:rsidRPr="000A1AE5">
              <w:rPr>
                <w:rStyle w:val="Hyperlink"/>
                <w:rFonts w:eastAsia="MS Mincho"/>
                <w:noProof/>
              </w:rPr>
              <w:t>2.2.3.</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Brine Preparation</w:t>
            </w:r>
            <w:r w:rsidR="00C17F7D">
              <w:rPr>
                <w:noProof/>
                <w:webHidden/>
              </w:rPr>
              <w:tab/>
            </w:r>
            <w:r w:rsidR="00C17F7D">
              <w:rPr>
                <w:noProof/>
                <w:webHidden/>
              </w:rPr>
              <w:fldChar w:fldCharType="begin"/>
            </w:r>
            <w:r w:rsidR="00C17F7D">
              <w:rPr>
                <w:noProof/>
                <w:webHidden/>
              </w:rPr>
              <w:instrText xml:space="preserve"> PAGEREF _Toc172367675 \h </w:instrText>
            </w:r>
            <w:r w:rsidR="00C17F7D">
              <w:rPr>
                <w:noProof/>
                <w:webHidden/>
              </w:rPr>
            </w:r>
            <w:r w:rsidR="00C17F7D">
              <w:rPr>
                <w:noProof/>
                <w:webHidden/>
              </w:rPr>
              <w:fldChar w:fldCharType="separate"/>
            </w:r>
            <w:r w:rsidR="00732AAC">
              <w:rPr>
                <w:noProof/>
                <w:webHidden/>
              </w:rPr>
              <w:t>35</w:t>
            </w:r>
            <w:r w:rsidR="00C17F7D">
              <w:rPr>
                <w:noProof/>
                <w:webHidden/>
              </w:rPr>
              <w:fldChar w:fldCharType="end"/>
            </w:r>
          </w:hyperlink>
        </w:p>
        <w:p w14:paraId="0827EFBC" w14:textId="72CEAD6F"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6" w:history="1">
            <w:r w:rsidR="00C17F7D" w:rsidRPr="000A1AE5">
              <w:rPr>
                <w:rStyle w:val="Hyperlink"/>
                <w:rFonts w:eastAsia="MS Mincho"/>
                <w:noProof/>
              </w:rPr>
              <w:t>2.2.4.</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Brine Injection</w:t>
            </w:r>
            <w:r w:rsidR="00C17F7D">
              <w:rPr>
                <w:noProof/>
                <w:webHidden/>
              </w:rPr>
              <w:tab/>
            </w:r>
            <w:r w:rsidR="00C17F7D">
              <w:rPr>
                <w:noProof/>
                <w:webHidden/>
              </w:rPr>
              <w:fldChar w:fldCharType="begin"/>
            </w:r>
            <w:r w:rsidR="00C17F7D">
              <w:rPr>
                <w:noProof/>
                <w:webHidden/>
              </w:rPr>
              <w:instrText xml:space="preserve"> PAGEREF _Toc172367676 \h </w:instrText>
            </w:r>
            <w:r w:rsidR="00C17F7D">
              <w:rPr>
                <w:noProof/>
                <w:webHidden/>
              </w:rPr>
            </w:r>
            <w:r w:rsidR="00C17F7D">
              <w:rPr>
                <w:noProof/>
                <w:webHidden/>
              </w:rPr>
              <w:fldChar w:fldCharType="separate"/>
            </w:r>
            <w:r w:rsidR="00732AAC">
              <w:rPr>
                <w:noProof/>
                <w:webHidden/>
              </w:rPr>
              <w:t>37</w:t>
            </w:r>
            <w:r w:rsidR="00C17F7D">
              <w:rPr>
                <w:noProof/>
                <w:webHidden/>
              </w:rPr>
              <w:fldChar w:fldCharType="end"/>
            </w:r>
          </w:hyperlink>
        </w:p>
        <w:p w14:paraId="7F24BBE9" w14:textId="27462359"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7" w:history="1">
            <w:r w:rsidR="00C17F7D" w:rsidRPr="000A1AE5">
              <w:rPr>
                <w:rStyle w:val="Hyperlink"/>
                <w:rFonts w:eastAsia="MS Mincho"/>
                <w:noProof/>
              </w:rPr>
              <w:t>2.2.5.</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Crystallization</w:t>
            </w:r>
            <w:r w:rsidR="00C17F7D">
              <w:rPr>
                <w:noProof/>
                <w:webHidden/>
              </w:rPr>
              <w:tab/>
            </w:r>
            <w:r w:rsidR="00C17F7D">
              <w:rPr>
                <w:noProof/>
                <w:webHidden/>
              </w:rPr>
              <w:fldChar w:fldCharType="begin"/>
            </w:r>
            <w:r w:rsidR="00C17F7D">
              <w:rPr>
                <w:noProof/>
                <w:webHidden/>
              </w:rPr>
              <w:instrText xml:space="preserve"> PAGEREF _Toc172367677 \h </w:instrText>
            </w:r>
            <w:r w:rsidR="00C17F7D">
              <w:rPr>
                <w:noProof/>
                <w:webHidden/>
              </w:rPr>
            </w:r>
            <w:r w:rsidR="00C17F7D">
              <w:rPr>
                <w:noProof/>
                <w:webHidden/>
              </w:rPr>
              <w:fldChar w:fldCharType="separate"/>
            </w:r>
            <w:r w:rsidR="00732AAC">
              <w:rPr>
                <w:noProof/>
                <w:webHidden/>
              </w:rPr>
              <w:t>38</w:t>
            </w:r>
            <w:r w:rsidR="00C17F7D">
              <w:rPr>
                <w:noProof/>
                <w:webHidden/>
              </w:rPr>
              <w:fldChar w:fldCharType="end"/>
            </w:r>
          </w:hyperlink>
        </w:p>
        <w:p w14:paraId="3F49D7D3" w14:textId="0DC28126"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8" w:history="1">
            <w:r w:rsidR="00C17F7D" w:rsidRPr="000A1AE5">
              <w:rPr>
                <w:rStyle w:val="Hyperlink"/>
                <w:rFonts w:eastAsia="MS Mincho"/>
                <w:noProof/>
              </w:rPr>
              <w:t>2.2.6.</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Slurry Separation</w:t>
            </w:r>
            <w:r w:rsidR="00C17F7D">
              <w:rPr>
                <w:noProof/>
                <w:webHidden/>
              </w:rPr>
              <w:tab/>
            </w:r>
            <w:r w:rsidR="00C17F7D">
              <w:rPr>
                <w:noProof/>
                <w:webHidden/>
              </w:rPr>
              <w:fldChar w:fldCharType="begin"/>
            </w:r>
            <w:r w:rsidR="00C17F7D">
              <w:rPr>
                <w:noProof/>
                <w:webHidden/>
              </w:rPr>
              <w:instrText xml:space="preserve"> PAGEREF _Toc172367678 \h </w:instrText>
            </w:r>
            <w:r w:rsidR="00C17F7D">
              <w:rPr>
                <w:noProof/>
                <w:webHidden/>
              </w:rPr>
            </w:r>
            <w:r w:rsidR="00C17F7D">
              <w:rPr>
                <w:noProof/>
                <w:webHidden/>
              </w:rPr>
              <w:fldChar w:fldCharType="separate"/>
            </w:r>
            <w:r w:rsidR="00732AAC">
              <w:rPr>
                <w:noProof/>
                <w:webHidden/>
              </w:rPr>
              <w:t>39</w:t>
            </w:r>
            <w:r w:rsidR="00C17F7D">
              <w:rPr>
                <w:noProof/>
                <w:webHidden/>
              </w:rPr>
              <w:fldChar w:fldCharType="end"/>
            </w:r>
          </w:hyperlink>
        </w:p>
        <w:p w14:paraId="0EE98F00" w14:textId="516259B5"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79" w:history="1">
            <w:r w:rsidR="00C17F7D" w:rsidRPr="000A1AE5">
              <w:rPr>
                <w:rStyle w:val="Hyperlink"/>
                <w:rFonts w:eastAsia="MS Mincho"/>
                <w:noProof/>
                <w:lang w:eastAsia="ja-JP"/>
              </w:rPr>
              <w:t>2.2.7.</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lang w:eastAsia="ja-JP"/>
              </w:rPr>
              <w:t>Ice Separation &amp; Melting</w:t>
            </w:r>
            <w:r w:rsidR="00C17F7D">
              <w:rPr>
                <w:noProof/>
                <w:webHidden/>
              </w:rPr>
              <w:tab/>
            </w:r>
            <w:r w:rsidR="00C17F7D">
              <w:rPr>
                <w:noProof/>
                <w:webHidden/>
              </w:rPr>
              <w:fldChar w:fldCharType="begin"/>
            </w:r>
            <w:r w:rsidR="00C17F7D">
              <w:rPr>
                <w:noProof/>
                <w:webHidden/>
              </w:rPr>
              <w:instrText xml:space="preserve"> PAGEREF _Toc172367679 \h </w:instrText>
            </w:r>
            <w:r w:rsidR="00C17F7D">
              <w:rPr>
                <w:noProof/>
                <w:webHidden/>
              </w:rPr>
            </w:r>
            <w:r w:rsidR="00C17F7D">
              <w:rPr>
                <w:noProof/>
                <w:webHidden/>
              </w:rPr>
              <w:fldChar w:fldCharType="separate"/>
            </w:r>
            <w:r w:rsidR="00732AAC">
              <w:rPr>
                <w:noProof/>
                <w:webHidden/>
              </w:rPr>
              <w:t>42</w:t>
            </w:r>
            <w:r w:rsidR="00C17F7D">
              <w:rPr>
                <w:noProof/>
                <w:webHidden/>
              </w:rPr>
              <w:fldChar w:fldCharType="end"/>
            </w:r>
          </w:hyperlink>
        </w:p>
        <w:p w14:paraId="311FA235" w14:textId="51C260EC"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680" w:history="1">
            <w:r w:rsidR="00C17F7D" w:rsidRPr="000A1AE5">
              <w:rPr>
                <w:rStyle w:val="Hyperlink"/>
                <w:rFonts w:eastAsia="MS Mincho"/>
                <w:bCs/>
                <w:noProof/>
                <w:spacing w:val="-3"/>
                <w:lang w:eastAsia="ja-JP"/>
              </w:rPr>
              <w:t>3.</w:t>
            </w:r>
            <w:r w:rsidR="00C17F7D">
              <w:rPr>
                <w:rFonts w:asciiTheme="minorHAnsi" w:hAnsiTheme="minorHAnsi" w:cstheme="minorBidi"/>
                <w:b w:val="0"/>
                <w:noProof/>
                <w:kern w:val="2"/>
                <w:szCs w:val="24"/>
                <w14:ligatures w14:val="standardContextual"/>
              </w:rPr>
              <w:tab/>
            </w:r>
            <w:r w:rsidR="00C17F7D" w:rsidRPr="000A1AE5">
              <w:rPr>
                <w:rStyle w:val="Hyperlink"/>
                <w:rFonts w:eastAsia="MS Mincho"/>
                <w:noProof/>
                <w:lang w:eastAsia="ja-JP"/>
              </w:rPr>
              <w:t>Theoretical Analysis of the Developed Freeze Desalination System</w:t>
            </w:r>
            <w:r w:rsidR="00C17F7D">
              <w:rPr>
                <w:noProof/>
                <w:webHidden/>
              </w:rPr>
              <w:tab/>
            </w:r>
            <w:r w:rsidR="00C17F7D">
              <w:rPr>
                <w:noProof/>
                <w:webHidden/>
              </w:rPr>
              <w:fldChar w:fldCharType="begin"/>
            </w:r>
            <w:r w:rsidR="00C17F7D">
              <w:rPr>
                <w:noProof/>
                <w:webHidden/>
              </w:rPr>
              <w:instrText xml:space="preserve"> PAGEREF _Toc172367680 \h </w:instrText>
            </w:r>
            <w:r w:rsidR="00C17F7D">
              <w:rPr>
                <w:noProof/>
                <w:webHidden/>
              </w:rPr>
            </w:r>
            <w:r w:rsidR="00C17F7D">
              <w:rPr>
                <w:noProof/>
                <w:webHidden/>
              </w:rPr>
              <w:fldChar w:fldCharType="separate"/>
            </w:r>
            <w:r w:rsidR="00732AAC">
              <w:rPr>
                <w:noProof/>
                <w:webHidden/>
              </w:rPr>
              <w:t>44</w:t>
            </w:r>
            <w:r w:rsidR="00C17F7D">
              <w:rPr>
                <w:noProof/>
                <w:webHidden/>
              </w:rPr>
              <w:fldChar w:fldCharType="end"/>
            </w:r>
          </w:hyperlink>
        </w:p>
        <w:p w14:paraId="259E8F5E" w14:textId="78875A77" w:rsidR="00C17F7D" w:rsidRDefault="00000000" w:rsidP="00FD2096">
          <w:pPr>
            <w:pStyle w:val="TOC2"/>
            <w:rPr>
              <w:rFonts w:asciiTheme="minorHAnsi" w:hAnsiTheme="minorHAnsi" w:cstheme="minorBidi"/>
              <w:noProof/>
              <w:kern w:val="2"/>
              <w:szCs w:val="24"/>
              <w14:ligatures w14:val="standardContextual"/>
            </w:rPr>
          </w:pPr>
          <w:hyperlink w:anchor="_Toc172367681" w:history="1">
            <w:r w:rsidR="00C17F7D" w:rsidRPr="000A1AE5">
              <w:rPr>
                <w:rStyle w:val="Hyperlink"/>
                <w:noProof/>
              </w:rPr>
              <w:t>3.1.</w:t>
            </w:r>
            <w:r w:rsidR="00C17F7D">
              <w:rPr>
                <w:rFonts w:asciiTheme="minorHAnsi" w:hAnsiTheme="minorHAnsi" w:cstheme="minorBidi"/>
                <w:noProof/>
                <w:kern w:val="2"/>
                <w:szCs w:val="24"/>
                <w14:ligatures w14:val="standardContextual"/>
              </w:rPr>
              <w:tab/>
            </w:r>
            <w:r w:rsidR="00C17F7D" w:rsidRPr="000A1AE5">
              <w:rPr>
                <w:rStyle w:val="Hyperlink"/>
                <w:noProof/>
              </w:rPr>
              <w:t>Brine Freezing Process</w:t>
            </w:r>
            <w:r w:rsidR="00C17F7D">
              <w:rPr>
                <w:noProof/>
                <w:webHidden/>
              </w:rPr>
              <w:tab/>
            </w:r>
            <w:r w:rsidR="00C17F7D">
              <w:rPr>
                <w:noProof/>
                <w:webHidden/>
              </w:rPr>
              <w:fldChar w:fldCharType="begin"/>
            </w:r>
            <w:r w:rsidR="00C17F7D">
              <w:rPr>
                <w:noProof/>
                <w:webHidden/>
              </w:rPr>
              <w:instrText xml:space="preserve"> PAGEREF _Toc172367681 \h </w:instrText>
            </w:r>
            <w:r w:rsidR="00C17F7D">
              <w:rPr>
                <w:noProof/>
                <w:webHidden/>
              </w:rPr>
            </w:r>
            <w:r w:rsidR="00C17F7D">
              <w:rPr>
                <w:noProof/>
                <w:webHidden/>
              </w:rPr>
              <w:fldChar w:fldCharType="separate"/>
            </w:r>
            <w:r w:rsidR="00732AAC">
              <w:rPr>
                <w:noProof/>
                <w:webHidden/>
              </w:rPr>
              <w:t>44</w:t>
            </w:r>
            <w:r w:rsidR="00C17F7D">
              <w:rPr>
                <w:noProof/>
                <w:webHidden/>
              </w:rPr>
              <w:fldChar w:fldCharType="end"/>
            </w:r>
          </w:hyperlink>
        </w:p>
        <w:p w14:paraId="4EEEC0E5" w14:textId="3D0891B2" w:rsidR="00C17F7D" w:rsidRDefault="00000000" w:rsidP="00FD2096">
          <w:pPr>
            <w:pStyle w:val="TOC2"/>
            <w:rPr>
              <w:rFonts w:asciiTheme="minorHAnsi" w:hAnsiTheme="minorHAnsi" w:cstheme="minorBidi"/>
              <w:noProof/>
              <w:kern w:val="2"/>
              <w:szCs w:val="24"/>
              <w14:ligatures w14:val="standardContextual"/>
            </w:rPr>
          </w:pPr>
          <w:hyperlink w:anchor="_Toc172367682" w:history="1">
            <w:r w:rsidR="00C17F7D" w:rsidRPr="000A1AE5">
              <w:rPr>
                <w:rStyle w:val="Hyperlink"/>
                <w:noProof/>
              </w:rPr>
              <w:t>3.2.</w:t>
            </w:r>
            <w:r w:rsidR="00C17F7D">
              <w:rPr>
                <w:rFonts w:asciiTheme="minorHAnsi" w:hAnsiTheme="minorHAnsi" w:cstheme="minorBidi"/>
                <w:noProof/>
                <w:kern w:val="2"/>
                <w:szCs w:val="24"/>
                <w14:ligatures w14:val="standardContextual"/>
              </w:rPr>
              <w:tab/>
            </w:r>
            <w:r w:rsidR="00C17F7D" w:rsidRPr="000A1AE5">
              <w:rPr>
                <w:rStyle w:val="Hyperlink"/>
                <w:noProof/>
              </w:rPr>
              <w:t>Energy Balance Study</w:t>
            </w:r>
            <w:r w:rsidR="00C17F7D">
              <w:rPr>
                <w:noProof/>
                <w:webHidden/>
              </w:rPr>
              <w:tab/>
            </w:r>
            <w:r w:rsidR="00C17F7D">
              <w:rPr>
                <w:noProof/>
                <w:webHidden/>
              </w:rPr>
              <w:fldChar w:fldCharType="begin"/>
            </w:r>
            <w:r w:rsidR="00C17F7D">
              <w:rPr>
                <w:noProof/>
                <w:webHidden/>
              </w:rPr>
              <w:instrText xml:space="preserve"> PAGEREF _Toc172367682 \h </w:instrText>
            </w:r>
            <w:r w:rsidR="00C17F7D">
              <w:rPr>
                <w:noProof/>
                <w:webHidden/>
              </w:rPr>
            </w:r>
            <w:r w:rsidR="00C17F7D">
              <w:rPr>
                <w:noProof/>
                <w:webHidden/>
              </w:rPr>
              <w:fldChar w:fldCharType="separate"/>
            </w:r>
            <w:r w:rsidR="00732AAC">
              <w:rPr>
                <w:noProof/>
                <w:webHidden/>
              </w:rPr>
              <w:t>45</w:t>
            </w:r>
            <w:r w:rsidR="00C17F7D">
              <w:rPr>
                <w:noProof/>
                <w:webHidden/>
              </w:rPr>
              <w:fldChar w:fldCharType="end"/>
            </w:r>
          </w:hyperlink>
        </w:p>
        <w:p w14:paraId="386AF06D" w14:textId="4215C555"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683" w:history="1">
            <w:r w:rsidR="00C17F7D" w:rsidRPr="000A1AE5">
              <w:rPr>
                <w:rStyle w:val="Hyperlink"/>
                <w:rFonts w:eastAsia="MS Mincho"/>
                <w:bCs/>
                <w:noProof/>
              </w:rPr>
              <w:t>4.</w:t>
            </w:r>
            <w:r w:rsidR="00C17F7D">
              <w:rPr>
                <w:rFonts w:asciiTheme="minorHAnsi" w:hAnsiTheme="minorHAnsi" w:cstheme="minorBidi"/>
                <w:b w:val="0"/>
                <w:noProof/>
                <w:kern w:val="2"/>
                <w:szCs w:val="24"/>
                <w14:ligatures w14:val="standardContextual"/>
              </w:rPr>
              <w:tab/>
            </w:r>
            <w:r w:rsidR="00C17F7D" w:rsidRPr="000A1AE5">
              <w:rPr>
                <w:rStyle w:val="Hyperlink"/>
                <w:rFonts w:eastAsia="MS Mincho"/>
                <w:noProof/>
              </w:rPr>
              <w:t>Freeze Desalination Experimental and Theoretical Results</w:t>
            </w:r>
            <w:r w:rsidR="00C17F7D">
              <w:rPr>
                <w:noProof/>
                <w:webHidden/>
              </w:rPr>
              <w:tab/>
            </w:r>
            <w:r w:rsidR="00C17F7D">
              <w:rPr>
                <w:noProof/>
                <w:webHidden/>
              </w:rPr>
              <w:fldChar w:fldCharType="begin"/>
            </w:r>
            <w:r w:rsidR="00C17F7D">
              <w:rPr>
                <w:noProof/>
                <w:webHidden/>
              </w:rPr>
              <w:instrText xml:space="preserve"> PAGEREF _Toc172367683 \h </w:instrText>
            </w:r>
            <w:r w:rsidR="00C17F7D">
              <w:rPr>
                <w:noProof/>
                <w:webHidden/>
              </w:rPr>
            </w:r>
            <w:r w:rsidR="00C17F7D">
              <w:rPr>
                <w:noProof/>
                <w:webHidden/>
              </w:rPr>
              <w:fldChar w:fldCharType="separate"/>
            </w:r>
            <w:r w:rsidR="00732AAC">
              <w:rPr>
                <w:noProof/>
                <w:webHidden/>
              </w:rPr>
              <w:t>53</w:t>
            </w:r>
            <w:r w:rsidR="00C17F7D">
              <w:rPr>
                <w:noProof/>
                <w:webHidden/>
              </w:rPr>
              <w:fldChar w:fldCharType="end"/>
            </w:r>
          </w:hyperlink>
        </w:p>
        <w:p w14:paraId="79965A43" w14:textId="2ED65FD0" w:rsidR="00C17F7D" w:rsidRDefault="00000000" w:rsidP="00FD2096">
          <w:pPr>
            <w:pStyle w:val="TOC2"/>
            <w:rPr>
              <w:rFonts w:asciiTheme="minorHAnsi" w:hAnsiTheme="minorHAnsi" w:cstheme="minorBidi"/>
              <w:noProof/>
              <w:kern w:val="2"/>
              <w:szCs w:val="24"/>
              <w14:ligatures w14:val="standardContextual"/>
            </w:rPr>
          </w:pPr>
          <w:hyperlink w:anchor="_Toc172367684" w:history="1">
            <w:r w:rsidR="00C17F7D" w:rsidRPr="000A1AE5">
              <w:rPr>
                <w:rStyle w:val="Hyperlink"/>
                <w:rFonts w:eastAsia="MS Mincho"/>
                <w:noProof/>
                <w:spacing w:val="-3"/>
              </w:rPr>
              <w:t>4.1.</w:t>
            </w:r>
            <w:r w:rsidR="00C17F7D">
              <w:rPr>
                <w:rFonts w:asciiTheme="minorHAnsi" w:hAnsiTheme="minorHAnsi" w:cstheme="minorBidi"/>
                <w:noProof/>
                <w:kern w:val="2"/>
                <w:szCs w:val="24"/>
                <w14:ligatures w14:val="standardContextual"/>
              </w:rPr>
              <w:tab/>
            </w:r>
            <w:r w:rsidR="00C17F7D" w:rsidRPr="000A1AE5">
              <w:rPr>
                <w:rStyle w:val="Hyperlink"/>
                <w:noProof/>
              </w:rPr>
              <w:t>Effect of Cooling Temperature</w:t>
            </w:r>
            <w:r w:rsidR="00C17F7D">
              <w:rPr>
                <w:noProof/>
                <w:webHidden/>
              </w:rPr>
              <w:tab/>
            </w:r>
            <w:r w:rsidR="00C17F7D">
              <w:rPr>
                <w:noProof/>
                <w:webHidden/>
              </w:rPr>
              <w:fldChar w:fldCharType="begin"/>
            </w:r>
            <w:r w:rsidR="00C17F7D">
              <w:rPr>
                <w:noProof/>
                <w:webHidden/>
              </w:rPr>
              <w:instrText xml:space="preserve"> PAGEREF _Toc172367684 \h </w:instrText>
            </w:r>
            <w:r w:rsidR="00C17F7D">
              <w:rPr>
                <w:noProof/>
                <w:webHidden/>
              </w:rPr>
            </w:r>
            <w:r w:rsidR="00C17F7D">
              <w:rPr>
                <w:noProof/>
                <w:webHidden/>
              </w:rPr>
              <w:fldChar w:fldCharType="separate"/>
            </w:r>
            <w:r w:rsidR="00732AAC">
              <w:rPr>
                <w:noProof/>
                <w:webHidden/>
              </w:rPr>
              <w:t>53</w:t>
            </w:r>
            <w:r w:rsidR="00C17F7D">
              <w:rPr>
                <w:noProof/>
                <w:webHidden/>
              </w:rPr>
              <w:fldChar w:fldCharType="end"/>
            </w:r>
          </w:hyperlink>
        </w:p>
        <w:p w14:paraId="1811C649" w14:textId="6B8E48A5" w:rsidR="00C17F7D" w:rsidRDefault="00000000" w:rsidP="00FD2096">
          <w:pPr>
            <w:pStyle w:val="TOC2"/>
            <w:rPr>
              <w:rFonts w:asciiTheme="minorHAnsi" w:hAnsiTheme="minorHAnsi" w:cstheme="minorBidi"/>
              <w:noProof/>
              <w:kern w:val="2"/>
              <w:szCs w:val="24"/>
              <w14:ligatures w14:val="standardContextual"/>
            </w:rPr>
          </w:pPr>
          <w:hyperlink w:anchor="_Toc172367685" w:history="1">
            <w:r w:rsidR="00C17F7D" w:rsidRPr="000A1AE5">
              <w:rPr>
                <w:rStyle w:val="Hyperlink"/>
                <w:rFonts w:eastAsia="MS Mincho"/>
                <w:noProof/>
              </w:rPr>
              <w:t>4.2.</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Effect of Brine Salinity</w:t>
            </w:r>
            <w:r w:rsidR="00C17F7D">
              <w:rPr>
                <w:noProof/>
                <w:webHidden/>
              </w:rPr>
              <w:tab/>
            </w:r>
            <w:r w:rsidR="00C17F7D">
              <w:rPr>
                <w:noProof/>
                <w:webHidden/>
              </w:rPr>
              <w:fldChar w:fldCharType="begin"/>
            </w:r>
            <w:r w:rsidR="00C17F7D">
              <w:rPr>
                <w:noProof/>
                <w:webHidden/>
              </w:rPr>
              <w:instrText xml:space="preserve"> PAGEREF _Toc172367685 \h </w:instrText>
            </w:r>
            <w:r w:rsidR="00C17F7D">
              <w:rPr>
                <w:noProof/>
                <w:webHidden/>
              </w:rPr>
            </w:r>
            <w:r w:rsidR="00C17F7D">
              <w:rPr>
                <w:noProof/>
                <w:webHidden/>
              </w:rPr>
              <w:fldChar w:fldCharType="separate"/>
            </w:r>
            <w:r w:rsidR="00732AAC">
              <w:rPr>
                <w:noProof/>
                <w:webHidden/>
              </w:rPr>
              <w:t>56</w:t>
            </w:r>
            <w:r w:rsidR="00C17F7D">
              <w:rPr>
                <w:noProof/>
                <w:webHidden/>
              </w:rPr>
              <w:fldChar w:fldCharType="end"/>
            </w:r>
          </w:hyperlink>
        </w:p>
        <w:p w14:paraId="7CF0A16D" w14:textId="42ACABF4" w:rsidR="00C17F7D" w:rsidRDefault="00000000" w:rsidP="00FD2096">
          <w:pPr>
            <w:pStyle w:val="TOC2"/>
            <w:rPr>
              <w:rFonts w:asciiTheme="minorHAnsi" w:hAnsiTheme="minorHAnsi" w:cstheme="minorBidi"/>
              <w:noProof/>
              <w:kern w:val="2"/>
              <w:szCs w:val="24"/>
              <w14:ligatures w14:val="standardContextual"/>
            </w:rPr>
          </w:pPr>
          <w:hyperlink w:anchor="_Toc172367686" w:history="1">
            <w:r w:rsidR="00C17F7D" w:rsidRPr="000A1AE5">
              <w:rPr>
                <w:rStyle w:val="Hyperlink"/>
                <w:rFonts w:eastAsia="MS Mincho"/>
                <w:noProof/>
              </w:rPr>
              <w:t>4.3.</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Effect of Centrifugal Brine Removal Duration</w:t>
            </w:r>
            <w:r w:rsidR="00C17F7D">
              <w:rPr>
                <w:noProof/>
                <w:webHidden/>
              </w:rPr>
              <w:tab/>
            </w:r>
            <w:r w:rsidR="00C17F7D">
              <w:rPr>
                <w:noProof/>
                <w:webHidden/>
              </w:rPr>
              <w:fldChar w:fldCharType="begin"/>
            </w:r>
            <w:r w:rsidR="00C17F7D">
              <w:rPr>
                <w:noProof/>
                <w:webHidden/>
              </w:rPr>
              <w:instrText xml:space="preserve"> PAGEREF _Toc172367686 \h </w:instrText>
            </w:r>
            <w:r w:rsidR="00C17F7D">
              <w:rPr>
                <w:noProof/>
                <w:webHidden/>
              </w:rPr>
            </w:r>
            <w:r w:rsidR="00C17F7D">
              <w:rPr>
                <w:noProof/>
                <w:webHidden/>
              </w:rPr>
              <w:fldChar w:fldCharType="separate"/>
            </w:r>
            <w:r w:rsidR="00732AAC">
              <w:rPr>
                <w:noProof/>
                <w:webHidden/>
              </w:rPr>
              <w:t>60</w:t>
            </w:r>
            <w:r w:rsidR="00C17F7D">
              <w:rPr>
                <w:noProof/>
                <w:webHidden/>
              </w:rPr>
              <w:fldChar w:fldCharType="end"/>
            </w:r>
          </w:hyperlink>
        </w:p>
        <w:p w14:paraId="366DDAAB" w14:textId="3A9D257C" w:rsidR="00C17F7D" w:rsidRDefault="00000000" w:rsidP="00FD2096">
          <w:pPr>
            <w:pStyle w:val="TOC2"/>
            <w:rPr>
              <w:rFonts w:asciiTheme="minorHAnsi" w:hAnsiTheme="minorHAnsi" w:cstheme="minorBidi"/>
              <w:noProof/>
              <w:kern w:val="2"/>
              <w:szCs w:val="24"/>
              <w14:ligatures w14:val="standardContextual"/>
            </w:rPr>
          </w:pPr>
          <w:hyperlink w:anchor="_Toc172367687" w:history="1">
            <w:r w:rsidR="00C17F7D" w:rsidRPr="000A1AE5">
              <w:rPr>
                <w:rStyle w:val="Hyperlink"/>
                <w:rFonts w:eastAsia="MS Mincho"/>
                <w:noProof/>
              </w:rPr>
              <w:t>4.4.</w:t>
            </w:r>
            <w:r w:rsidR="00C17F7D">
              <w:rPr>
                <w:rFonts w:asciiTheme="minorHAnsi" w:hAnsiTheme="minorHAnsi" w:cstheme="minorBidi"/>
                <w:noProof/>
                <w:kern w:val="2"/>
                <w:szCs w:val="24"/>
                <w14:ligatures w14:val="standardContextual"/>
              </w:rPr>
              <w:tab/>
            </w:r>
            <w:r w:rsidR="00C17F7D" w:rsidRPr="000A1AE5">
              <w:rPr>
                <w:rStyle w:val="Hyperlink"/>
                <w:rFonts w:eastAsia="MS Mincho"/>
                <w:noProof/>
              </w:rPr>
              <w:t>Concluding Remarks</w:t>
            </w:r>
            <w:r w:rsidR="00C17F7D">
              <w:rPr>
                <w:noProof/>
                <w:webHidden/>
              </w:rPr>
              <w:tab/>
            </w:r>
            <w:r w:rsidR="00C17F7D">
              <w:rPr>
                <w:noProof/>
                <w:webHidden/>
              </w:rPr>
              <w:fldChar w:fldCharType="begin"/>
            </w:r>
            <w:r w:rsidR="00C17F7D">
              <w:rPr>
                <w:noProof/>
                <w:webHidden/>
              </w:rPr>
              <w:instrText xml:space="preserve"> PAGEREF _Toc172367687 \h </w:instrText>
            </w:r>
            <w:r w:rsidR="00C17F7D">
              <w:rPr>
                <w:noProof/>
                <w:webHidden/>
              </w:rPr>
            </w:r>
            <w:r w:rsidR="00C17F7D">
              <w:rPr>
                <w:noProof/>
                <w:webHidden/>
              </w:rPr>
              <w:fldChar w:fldCharType="separate"/>
            </w:r>
            <w:r w:rsidR="00732AAC">
              <w:rPr>
                <w:noProof/>
                <w:webHidden/>
              </w:rPr>
              <w:t>62</w:t>
            </w:r>
            <w:r w:rsidR="00C17F7D">
              <w:rPr>
                <w:noProof/>
                <w:webHidden/>
              </w:rPr>
              <w:fldChar w:fldCharType="end"/>
            </w:r>
          </w:hyperlink>
        </w:p>
        <w:p w14:paraId="2F6AA691" w14:textId="453092AC"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688" w:history="1">
            <w:r w:rsidR="00C17F7D" w:rsidRPr="000A1AE5">
              <w:rPr>
                <w:rStyle w:val="Hyperlink"/>
                <w:rFonts w:eastAsia="MS Mincho"/>
                <w:bCs/>
                <w:noProof/>
                <w:lang w:eastAsia="ja-JP"/>
              </w:rPr>
              <w:t>5.</w:t>
            </w:r>
            <w:r w:rsidR="00C17F7D">
              <w:rPr>
                <w:rFonts w:asciiTheme="minorHAnsi" w:hAnsiTheme="minorHAnsi" w:cstheme="minorBidi"/>
                <w:b w:val="0"/>
                <w:noProof/>
                <w:kern w:val="2"/>
                <w:szCs w:val="24"/>
                <w14:ligatures w14:val="standardContextual"/>
              </w:rPr>
              <w:tab/>
            </w:r>
            <w:r w:rsidR="00C17F7D" w:rsidRPr="000A1AE5">
              <w:rPr>
                <w:rStyle w:val="Hyperlink"/>
                <w:rFonts w:eastAsia="MS Mincho"/>
                <w:noProof/>
                <w:lang w:eastAsia="ja-JP"/>
              </w:rPr>
              <w:t>Migration and Melting of Suspended Solid Particle in Poiseuille Flow</w:t>
            </w:r>
            <w:r w:rsidR="00C17F7D">
              <w:rPr>
                <w:noProof/>
                <w:webHidden/>
              </w:rPr>
              <w:tab/>
            </w:r>
            <w:r w:rsidR="00C17F7D">
              <w:rPr>
                <w:noProof/>
                <w:webHidden/>
              </w:rPr>
              <w:fldChar w:fldCharType="begin"/>
            </w:r>
            <w:r w:rsidR="00C17F7D">
              <w:rPr>
                <w:noProof/>
                <w:webHidden/>
              </w:rPr>
              <w:instrText xml:space="preserve"> PAGEREF _Toc172367688 \h </w:instrText>
            </w:r>
            <w:r w:rsidR="00C17F7D">
              <w:rPr>
                <w:noProof/>
                <w:webHidden/>
              </w:rPr>
            </w:r>
            <w:r w:rsidR="00C17F7D">
              <w:rPr>
                <w:noProof/>
                <w:webHidden/>
              </w:rPr>
              <w:fldChar w:fldCharType="separate"/>
            </w:r>
            <w:r w:rsidR="00732AAC">
              <w:rPr>
                <w:noProof/>
                <w:webHidden/>
              </w:rPr>
              <w:t>66</w:t>
            </w:r>
            <w:r w:rsidR="00C17F7D">
              <w:rPr>
                <w:noProof/>
                <w:webHidden/>
              </w:rPr>
              <w:fldChar w:fldCharType="end"/>
            </w:r>
          </w:hyperlink>
        </w:p>
        <w:p w14:paraId="2984D75A" w14:textId="4E9A9D2C" w:rsidR="00C17F7D" w:rsidRDefault="00000000" w:rsidP="00FD2096">
          <w:pPr>
            <w:pStyle w:val="TOC2"/>
            <w:rPr>
              <w:rFonts w:asciiTheme="minorHAnsi" w:hAnsiTheme="minorHAnsi" w:cstheme="minorBidi"/>
              <w:noProof/>
              <w:kern w:val="2"/>
              <w:szCs w:val="24"/>
              <w14:ligatures w14:val="standardContextual"/>
            </w:rPr>
          </w:pPr>
          <w:hyperlink w:anchor="_Toc172367689" w:history="1">
            <w:r w:rsidR="00C17F7D" w:rsidRPr="000A1AE5">
              <w:rPr>
                <w:rStyle w:val="Hyperlink"/>
                <w:noProof/>
                <w:lang w:eastAsia="ja-JP"/>
              </w:rPr>
              <w:t>5.1.</w:t>
            </w:r>
            <w:r w:rsidR="00C17F7D">
              <w:rPr>
                <w:rFonts w:asciiTheme="minorHAnsi" w:hAnsiTheme="minorHAnsi" w:cstheme="minorBidi"/>
                <w:noProof/>
                <w:kern w:val="2"/>
                <w:szCs w:val="24"/>
                <w14:ligatures w14:val="standardContextual"/>
              </w:rPr>
              <w:tab/>
            </w:r>
            <w:r w:rsidR="00C17F7D" w:rsidRPr="000A1AE5">
              <w:rPr>
                <w:rStyle w:val="Hyperlink"/>
                <w:noProof/>
                <w:lang w:eastAsia="ja-JP"/>
              </w:rPr>
              <w:t>Literature Review &amp; State of the Art</w:t>
            </w:r>
            <w:r w:rsidR="00C17F7D">
              <w:rPr>
                <w:noProof/>
                <w:webHidden/>
              </w:rPr>
              <w:tab/>
            </w:r>
            <w:r w:rsidR="00C17F7D">
              <w:rPr>
                <w:noProof/>
                <w:webHidden/>
              </w:rPr>
              <w:fldChar w:fldCharType="begin"/>
            </w:r>
            <w:r w:rsidR="00C17F7D">
              <w:rPr>
                <w:noProof/>
                <w:webHidden/>
              </w:rPr>
              <w:instrText xml:space="preserve"> PAGEREF _Toc172367689 \h </w:instrText>
            </w:r>
            <w:r w:rsidR="00C17F7D">
              <w:rPr>
                <w:noProof/>
                <w:webHidden/>
              </w:rPr>
            </w:r>
            <w:r w:rsidR="00C17F7D">
              <w:rPr>
                <w:noProof/>
                <w:webHidden/>
              </w:rPr>
              <w:fldChar w:fldCharType="separate"/>
            </w:r>
            <w:r w:rsidR="00732AAC">
              <w:rPr>
                <w:noProof/>
                <w:webHidden/>
              </w:rPr>
              <w:t>67</w:t>
            </w:r>
            <w:r w:rsidR="00C17F7D">
              <w:rPr>
                <w:noProof/>
                <w:webHidden/>
              </w:rPr>
              <w:fldChar w:fldCharType="end"/>
            </w:r>
          </w:hyperlink>
        </w:p>
        <w:p w14:paraId="684666E4" w14:textId="5495BF38" w:rsidR="00C17F7D" w:rsidRDefault="00000000" w:rsidP="00FD2096">
          <w:pPr>
            <w:pStyle w:val="TOC2"/>
            <w:rPr>
              <w:rFonts w:asciiTheme="minorHAnsi" w:hAnsiTheme="minorHAnsi" w:cstheme="minorBidi"/>
              <w:noProof/>
              <w:kern w:val="2"/>
              <w:szCs w:val="24"/>
              <w14:ligatures w14:val="standardContextual"/>
            </w:rPr>
          </w:pPr>
          <w:hyperlink w:anchor="_Toc172367690" w:history="1">
            <w:r w:rsidR="00C17F7D" w:rsidRPr="000A1AE5">
              <w:rPr>
                <w:rStyle w:val="Hyperlink"/>
                <w:noProof/>
              </w:rPr>
              <w:t>5.2.</w:t>
            </w:r>
            <w:r w:rsidR="00C17F7D">
              <w:rPr>
                <w:rFonts w:asciiTheme="minorHAnsi" w:hAnsiTheme="minorHAnsi" w:cstheme="minorBidi"/>
                <w:noProof/>
                <w:kern w:val="2"/>
                <w:szCs w:val="24"/>
                <w14:ligatures w14:val="standardContextual"/>
              </w:rPr>
              <w:tab/>
            </w:r>
            <w:r w:rsidR="00C17F7D" w:rsidRPr="000A1AE5">
              <w:rPr>
                <w:rStyle w:val="Hyperlink"/>
                <w:noProof/>
              </w:rPr>
              <w:t>Interface Tracking Methods</w:t>
            </w:r>
            <w:r w:rsidR="00C17F7D">
              <w:rPr>
                <w:noProof/>
                <w:webHidden/>
              </w:rPr>
              <w:tab/>
            </w:r>
            <w:r w:rsidR="00C17F7D">
              <w:rPr>
                <w:noProof/>
                <w:webHidden/>
              </w:rPr>
              <w:fldChar w:fldCharType="begin"/>
            </w:r>
            <w:r w:rsidR="00C17F7D">
              <w:rPr>
                <w:noProof/>
                <w:webHidden/>
              </w:rPr>
              <w:instrText xml:space="preserve"> PAGEREF _Toc172367690 \h </w:instrText>
            </w:r>
            <w:r w:rsidR="00C17F7D">
              <w:rPr>
                <w:noProof/>
                <w:webHidden/>
              </w:rPr>
            </w:r>
            <w:r w:rsidR="00C17F7D">
              <w:rPr>
                <w:noProof/>
                <w:webHidden/>
              </w:rPr>
              <w:fldChar w:fldCharType="separate"/>
            </w:r>
            <w:r w:rsidR="00732AAC">
              <w:rPr>
                <w:noProof/>
                <w:webHidden/>
              </w:rPr>
              <w:t>72</w:t>
            </w:r>
            <w:r w:rsidR="00C17F7D">
              <w:rPr>
                <w:noProof/>
                <w:webHidden/>
              </w:rPr>
              <w:fldChar w:fldCharType="end"/>
            </w:r>
          </w:hyperlink>
        </w:p>
        <w:p w14:paraId="6FE638CE" w14:textId="13F0FE97"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1" w:history="1">
            <w:r w:rsidR="00C17F7D" w:rsidRPr="000A1AE5">
              <w:rPr>
                <w:rStyle w:val="Hyperlink"/>
                <w:noProof/>
              </w:rPr>
              <w:t>5.2.1.</w:t>
            </w:r>
            <w:r w:rsidR="00C17F7D">
              <w:rPr>
                <w:rFonts w:asciiTheme="minorHAnsi" w:hAnsiTheme="minorHAnsi" w:cstheme="minorBidi"/>
                <w:noProof/>
                <w:kern w:val="2"/>
                <w:szCs w:val="24"/>
                <w14:ligatures w14:val="standardContextual"/>
              </w:rPr>
              <w:tab/>
            </w:r>
            <w:r w:rsidR="00C17F7D" w:rsidRPr="000A1AE5">
              <w:rPr>
                <w:rStyle w:val="Hyperlink"/>
                <w:noProof/>
              </w:rPr>
              <w:t>Lagrangian Method</w:t>
            </w:r>
            <w:r w:rsidR="00C17F7D">
              <w:rPr>
                <w:noProof/>
                <w:webHidden/>
              </w:rPr>
              <w:tab/>
            </w:r>
            <w:r w:rsidR="00C17F7D">
              <w:rPr>
                <w:noProof/>
                <w:webHidden/>
              </w:rPr>
              <w:fldChar w:fldCharType="begin"/>
            </w:r>
            <w:r w:rsidR="00C17F7D">
              <w:rPr>
                <w:noProof/>
                <w:webHidden/>
              </w:rPr>
              <w:instrText xml:space="preserve"> PAGEREF _Toc172367691 \h </w:instrText>
            </w:r>
            <w:r w:rsidR="00C17F7D">
              <w:rPr>
                <w:noProof/>
                <w:webHidden/>
              </w:rPr>
            </w:r>
            <w:r w:rsidR="00C17F7D">
              <w:rPr>
                <w:noProof/>
                <w:webHidden/>
              </w:rPr>
              <w:fldChar w:fldCharType="separate"/>
            </w:r>
            <w:r w:rsidR="00732AAC">
              <w:rPr>
                <w:noProof/>
                <w:webHidden/>
              </w:rPr>
              <w:t>73</w:t>
            </w:r>
            <w:r w:rsidR="00C17F7D">
              <w:rPr>
                <w:noProof/>
                <w:webHidden/>
              </w:rPr>
              <w:fldChar w:fldCharType="end"/>
            </w:r>
          </w:hyperlink>
        </w:p>
        <w:p w14:paraId="6E1E19F7" w14:textId="4D9CE419"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2" w:history="1">
            <w:r w:rsidR="00C17F7D" w:rsidRPr="000A1AE5">
              <w:rPr>
                <w:rStyle w:val="Hyperlink"/>
                <w:noProof/>
              </w:rPr>
              <w:t>5.2.2.</w:t>
            </w:r>
            <w:r w:rsidR="00C17F7D">
              <w:rPr>
                <w:rFonts w:asciiTheme="minorHAnsi" w:hAnsiTheme="minorHAnsi" w:cstheme="minorBidi"/>
                <w:noProof/>
                <w:kern w:val="2"/>
                <w:szCs w:val="24"/>
                <w14:ligatures w14:val="standardContextual"/>
              </w:rPr>
              <w:tab/>
            </w:r>
            <w:r w:rsidR="00C17F7D" w:rsidRPr="000A1AE5">
              <w:rPr>
                <w:rStyle w:val="Hyperlink"/>
                <w:noProof/>
              </w:rPr>
              <w:t>Volume of Fluid (VOF) Method</w:t>
            </w:r>
            <w:r w:rsidR="00C17F7D">
              <w:rPr>
                <w:noProof/>
                <w:webHidden/>
              </w:rPr>
              <w:tab/>
            </w:r>
            <w:r w:rsidR="00C17F7D">
              <w:rPr>
                <w:noProof/>
                <w:webHidden/>
              </w:rPr>
              <w:fldChar w:fldCharType="begin"/>
            </w:r>
            <w:r w:rsidR="00C17F7D">
              <w:rPr>
                <w:noProof/>
                <w:webHidden/>
              </w:rPr>
              <w:instrText xml:space="preserve"> PAGEREF _Toc172367692 \h </w:instrText>
            </w:r>
            <w:r w:rsidR="00C17F7D">
              <w:rPr>
                <w:noProof/>
                <w:webHidden/>
              </w:rPr>
            </w:r>
            <w:r w:rsidR="00C17F7D">
              <w:rPr>
                <w:noProof/>
                <w:webHidden/>
              </w:rPr>
              <w:fldChar w:fldCharType="separate"/>
            </w:r>
            <w:r w:rsidR="00732AAC">
              <w:rPr>
                <w:noProof/>
                <w:webHidden/>
              </w:rPr>
              <w:t>73</w:t>
            </w:r>
            <w:r w:rsidR="00C17F7D">
              <w:rPr>
                <w:noProof/>
                <w:webHidden/>
              </w:rPr>
              <w:fldChar w:fldCharType="end"/>
            </w:r>
          </w:hyperlink>
        </w:p>
        <w:p w14:paraId="13D6FE90" w14:textId="495593DE"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3" w:history="1">
            <w:r w:rsidR="00C17F7D" w:rsidRPr="000A1AE5">
              <w:rPr>
                <w:rStyle w:val="Hyperlink"/>
                <w:noProof/>
              </w:rPr>
              <w:t>5.2.3.</w:t>
            </w:r>
            <w:r w:rsidR="00C17F7D">
              <w:rPr>
                <w:rFonts w:asciiTheme="minorHAnsi" w:hAnsiTheme="minorHAnsi" w:cstheme="minorBidi"/>
                <w:noProof/>
                <w:kern w:val="2"/>
                <w:szCs w:val="24"/>
                <w14:ligatures w14:val="standardContextual"/>
              </w:rPr>
              <w:tab/>
            </w:r>
            <w:r w:rsidR="00C17F7D" w:rsidRPr="000A1AE5">
              <w:rPr>
                <w:rStyle w:val="Hyperlink"/>
                <w:noProof/>
              </w:rPr>
              <w:t>Level-Set Method</w:t>
            </w:r>
            <w:r w:rsidR="00C17F7D">
              <w:rPr>
                <w:noProof/>
                <w:webHidden/>
              </w:rPr>
              <w:tab/>
            </w:r>
            <w:r w:rsidR="00C17F7D">
              <w:rPr>
                <w:noProof/>
                <w:webHidden/>
              </w:rPr>
              <w:fldChar w:fldCharType="begin"/>
            </w:r>
            <w:r w:rsidR="00C17F7D">
              <w:rPr>
                <w:noProof/>
                <w:webHidden/>
              </w:rPr>
              <w:instrText xml:space="preserve"> PAGEREF _Toc172367693 \h </w:instrText>
            </w:r>
            <w:r w:rsidR="00C17F7D">
              <w:rPr>
                <w:noProof/>
                <w:webHidden/>
              </w:rPr>
            </w:r>
            <w:r w:rsidR="00C17F7D">
              <w:rPr>
                <w:noProof/>
                <w:webHidden/>
              </w:rPr>
              <w:fldChar w:fldCharType="separate"/>
            </w:r>
            <w:r w:rsidR="00732AAC">
              <w:rPr>
                <w:noProof/>
                <w:webHidden/>
              </w:rPr>
              <w:t>74</w:t>
            </w:r>
            <w:r w:rsidR="00C17F7D">
              <w:rPr>
                <w:noProof/>
                <w:webHidden/>
              </w:rPr>
              <w:fldChar w:fldCharType="end"/>
            </w:r>
          </w:hyperlink>
        </w:p>
        <w:p w14:paraId="39F08818" w14:textId="448FC11D"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4" w:history="1">
            <w:r w:rsidR="00C17F7D" w:rsidRPr="000A1AE5">
              <w:rPr>
                <w:rStyle w:val="Hyperlink"/>
                <w:noProof/>
              </w:rPr>
              <w:t>5.2.4.</w:t>
            </w:r>
            <w:r w:rsidR="00C17F7D">
              <w:rPr>
                <w:rFonts w:asciiTheme="minorHAnsi" w:hAnsiTheme="minorHAnsi" w:cstheme="minorBidi"/>
                <w:noProof/>
                <w:kern w:val="2"/>
                <w:szCs w:val="24"/>
                <w14:ligatures w14:val="standardContextual"/>
              </w:rPr>
              <w:tab/>
            </w:r>
            <w:r w:rsidR="00C17F7D" w:rsidRPr="000A1AE5">
              <w:rPr>
                <w:rStyle w:val="Hyperlink"/>
                <w:noProof/>
              </w:rPr>
              <w:t>Arbitrary Lagrangian-Eulerian (ALE) Method</w:t>
            </w:r>
            <w:r w:rsidR="00C17F7D">
              <w:rPr>
                <w:noProof/>
                <w:webHidden/>
              </w:rPr>
              <w:tab/>
            </w:r>
            <w:r w:rsidR="00C17F7D">
              <w:rPr>
                <w:noProof/>
                <w:webHidden/>
              </w:rPr>
              <w:fldChar w:fldCharType="begin"/>
            </w:r>
            <w:r w:rsidR="00C17F7D">
              <w:rPr>
                <w:noProof/>
                <w:webHidden/>
              </w:rPr>
              <w:instrText xml:space="preserve"> PAGEREF _Toc172367694 \h </w:instrText>
            </w:r>
            <w:r w:rsidR="00C17F7D">
              <w:rPr>
                <w:noProof/>
                <w:webHidden/>
              </w:rPr>
            </w:r>
            <w:r w:rsidR="00C17F7D">
              <w:rPr>
                <w:noProof/>
                <w:webHidden/>
              </w:rPr>
              <w:fldChar w:fldCharType="separate"/>
            </w:r>
            <w:r w:rsidR="00732AAC">
              <w:rPr>
                <w:noProof/>
                <w:webHidden/>
              </w:rPr>
              <w:t>75</w:t>
            </w:r>
            <w:r w:rsidR="00C17F7D">
              <w:rPr>
                <w:noProof/>
                <w:webHidden/>
              </w:rPr>
              <w:fldChar w:fldCharType="end"/>
            </w:r>
          </w:hyperlink>
        </w:p>
        <w:p w14:paraId="5BA1D9E2" w14:textId="72BA6C33" w:rsidR="00C17F7D" w:rsidRDefault="00000000" w:rsidP="00FD2096">
          <w:pPr>
            <w:pStyle w:val="TOC2"/>
            <w:rPr>
              <w:rFonts w:asciiTheme="minorHAnsi" w:hAnsiTheme="minorHAnsi" w:cstheme="minorBidi"/>
              <w:noProof/>
              <w:kern w:val="2"/>
              <w:szCs w:val="24"/>
              <w14:ligatures w14:val="standardContextual"/>
            </w:rPr>
          </w:pPr>
          <w:hyperlink w:anchor="_Toc172367695" w:history="1">
            <w:r w:rsidR="00C17F7D" w:rsidRPr="000A1AE5">
              <w:rPr>
                <w:rStyle w:val="Hyperlink"/>
                <w:noProof/>
              </w:rPr>
              <w:t>5.3.</w:t>
            </w:r>
            <w:r w:rsidR="00C17F7D">
              <w:rPr>
                <w:rFonts w:asciiTheme="minorHAnsi" w:hAnsiTheme="minorHAnsi" w:cstheme="minorBidi"/>
                <w:noProof/>
                <w:kern w:val="2"/>
                <w:szCs w:val="24"/>
                <w14:ligatures w14:val="standardContextual"/>
              </w:rPr>
              <w:tab/>
            </w:r>
            <w:r w:rsidR="00C17F7D" w:rsidRPr="000A1AE5">
              <w:rPr>
                <w:rStyle w:val="Hyperlink"/>
                <w:noProof/>
              </w:rPr>
              <w:t>Problem Description</w:t>
            </w:r>
            <w:r w:rsidR="00C17F7D">
              <w:rPr>
                <w:noProof/>
                <w:webHidden/>
              </w:rPr>
              <w:tab/>
            </w:r>
            <w:r w:rsidR="00C17F7D">
              <w:rPr>
                <w:noProof/>
                <w:webHidden/>
              </w:rPr>
              <w:fldChar w:fldCharType="begin"/>
            </w:r>
            <w:r w:rsidR="00C17F7D">
              <w:rPr>
                <w:noProof/>
                <w:webHidden/>
              </w:rPr>
              <w:instrText xml:space="preserve"> PAGEREF _Toc172367695 \h </w:instrText>
            </w:r>
            <w:r w:rsidR="00C17F7D">
              <w:rPr>
                <w:noProof/>
                <w:webHidden/>
              </w:rPr>
            </w:r>
            <w:r w:rsidR="00C17F7D">
              <w:rPr>
                <w:noProof/>
                <w:webHidden/>
              </w:rPr>
              <w:fldChar w:fldCharType="separate"/>
            </w:r>
            <w:r w:rsidR="00732AAC">
              <w:rPr>
                <w:noProof/>
                <w:webHidden/>
              </w:rPr>
              <w:t>77</w:t>
            </w:r>
            <w:r w:rsidR="00C17F7D">
              <w:rPr>
                <w:noProof/>
                <w:webHidden/>
              </w:rPr>
              <w:fldChar w:fldCharType="end"/>
            </w:r>
          </w:hyperlink>
        </w:p>
        <w:p w14:paraId="6B3092C8" w14:textId="4B468140" w:rsidR="00C17F7D" w:rsidRDefault="00000000" w:rsidP="00FD2096">
          <w:pPr>
            <w:pStyle w:val="TOC2"/>
            <w:rPr>
              <w:rFonts w:asciiTheme="minorHAnsi" w:hAnsiTheme="minorHAnsi" w:cstheme="minorBidi"/>
              <w:noProof/>
              <w:kern w:val="2"/>
              <w:szCs w:val="24"/>
              <w14:ligatures w14:val="standardContextual"/>
            </w:rPr>
          </w:pPr>
          <w:hyperlink w:anchor="_Toc172367696" w:history="1">
            <w:r w:rsidR="00C17F7D" w:rsidRPr="000A1AE5">
              <w:rPr>
                <w:rStyle w:val="Hyperlink"/>
                <w:noProof/>
              </w:rPr>
              <w:t>5.4.</w:t>
            </w:r>
            <w:r w:rsidR="00C17F7D">
              <w:rPr>
                <w:rFonts w:asciiTheme="minorHAnsi" w:hAnsiTheme="minorHAnsi" w:cstheme="minorBidi"/>
                <w:noProof/>
                <w:kern w:val="2"/>
                <w:szCs w:val="24"/>
                <w14:ligatures w14:val="standardContextual"/>
              </w:rPr>
              <w:tab/>
            </w:r>
            <w:r w:rsidR="00C17F7D" w:rsidRPr="000A1AE5">
              <w:rPr>
                <w:rStyle w:val="Hyperlink"/>
                <w:noProof/>
              </w:rPr>
              <w:t>Mathematical Model</w:t>
            </w:r>
            <w:r w:rsidR="00C17F7D">
              <w:rPr>
                <w:noProof/>
                <w:webHidden/>
              </w:rPr>
              <w:tab/>
            </w:r>
            <w:r w:rsidR="00C17F7D">
              <w:rPr>
                <w:noProof/>
                <w:webHidden/>
              </w:rPr>
              <w:fldChar w:fldCharType="begin"/>
            </w:r>
            <w:r w:rsidR="00C17F7D">
              <w:rPr>
                <w:noProof/>
                <w:webHidden/>
              </w:rPr>
              <w:instrText xml:space="preserve"> PAGEREF _Toc172367696 \h </w:instrText>
            </w:r>
            <w:r w:rsidR="00C17F7D">
              <w:rPr>
                <w:noProof/>
                <w:webHidden/>
              </w:rPr>
            </w:r>
            <w:r w:rsidR="00C17F7D">
              <w:rPr>
                <w:noProof/>
                <w:webHidden/>
              </w:rPr>
              <w:fldChar w:fldCharType="separate"/>
            </w:r>
            <w:r w:rsidR="00732AAC">
              <w:rPr>
                <w:noProof/>
                <w:webHidden/>
              </w:rPr>
              <w:t>79</w:t>
            </w:r>
            <w:r w:rsidR="00C17F7D">
              <w:rPr>
                <w:noProof/>
                <w:webHidden/>
              </w:rPr>
              <w:fldChar w:fldCharType="end"/>
            </w:r>
          </w:hyperlink>
        </w:p>
        <w:p w14:paraId="417C0123" w14:textId="2E47D203"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7" w:history="1">
            <w:r w:rsidR="00C17F7D" w:rsidRPr="000A1AE5">
              <w:rPr>
                <w:rStyle w:val="Hyperlink"/>
                <w:noProof/>
              </w:rPr>
              <w:t>5.4.1.</w:t>
            </w:r>
            <w:r w:rsidR="00C17F7D">
              <w:rPr>
                <w:rFonts w:asciiTheme="minorHAnsi" w:hAnsiTheme="minorHAnsi" w:cstheme="minorBidi"/>
                <w:noProof/>
                <w:kern w:val="2"/>
                <w:szCs w:val="24"/>
                <w14:ligatures w14:val="standardContextual"/>
              </w:rPr>
              <w:tab/>
            </w:r>
            <w:r w:rsidR="00C17F7D" w:rsidRPr="000A1AE5">
              <w:rPr>
                <w:rStyle w:val="Hyperlink"/>
                <w:noProof/>
              </w:rPr>
              <w:t>Measurement Approach</w:t>
            </w:r>
            <w:r w:rsidR="00C17F7D">
              <w:rPr>
                <w:noProof/>
                <w:webHidden/>
              </w:rPr>
              <w:tab/>
            </w:r>
            <w:r w:rsidR="00C17F7D">
              <w:rPr>
                <w:noProof/>
                <w:webHidden/>
              </w:rPr>
              <w:fldChar w:fldCharType="begin"/>
            </w:r>
            <w:r w:rsidR="00C17F7D">
              <w:rPr>
                <w:noProof/>
                <w:webHidden/>
              </w:rPr>
              <w:instrText xml:space="preserve"> PAGEREF _Toc172367697 \h </w:instrText>
            </w:r>
            <w:r w:rsidR="00C17F7D">
              <w:rPr>
                <w:noProof/>
                <w:webHidden/>
              </w:rPr>
            </w:r>
            <w:r w:rsidR="00C17F7D">
              <w:rPr>
                <w:noProof/>
                <w:webHidden/>
              </w:rPr>
              <w:fldChar w:fldCharType="separate"/>
            </w:r>
            <w:r w:rsidR="00732AAC">
              <w:rPr>
                <w:noProof/>
                <w:webHidden/>
              </w:rPr>
              <w:t>90</w:t>
            </w:r>
            <w:r w:rsidR="00C17F7D">
              <w:rPr>
                <w:noProof/>
                <w:webHidden/>
              </w:rPr>
              <w:fldChar w:fldCharType="end"/>
            </w:r>
          </w:hyperlink>
        </w:p>
        <w:p w14:paraId="4D446691" w14:textId="6EDE269E"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8" w:history="1">
            <w:r w:rsidR="00C17F7D" w:rsidRPr="000A1AE5">
              <w:rPr>
                <w:rStyle w:val="Hyperlink"/>
                <w:noProof/>
              </w:rPr>
              <w:t>5.4.2.</w:t>
            </w:r>
            <w:r w:rsidR="00C17F7D">
              <w:rPr>
                <w:rFonts w:asciiTheme="minorHAnsi" w:hAnsiTheme="minorHAnsi" w:cstheme="minorBidi"/>
                <w:noProof/>
                <w:kern w:val="2"/>
                <w:szCs w:val="24"/>
                <w14:ligatures w14:val="standardContextual"/>
              </w:rPr>
              <w:tab/>
            </w:r>
            <w:r w:rsidR="00C17F7D" w:rsidRPr="000A1AE5">
              <w:rPr>
                <w:rStyle w:val="Hyperlink"/>
                <w:noProof/>
              </w:rPr>
              <w:t>Numerical Procedure</w:t>
            </w:r>
            <w:r w:rsidR="00C17F7D">
              <w:rPr>
                <w:noProof/>
                <w:webHidden/>
              </w:rPr>
              <w:tab/>
            </w:r>
            <w:r w:rsidR="00C17F7D">
              <w:rPr>
                <w:noProof/>
                <w:webHidden/>
              </w:rPr>
              <w:fldChar w:fldCharType="begin"/>
            </w:r>
            <w:r w:rsidR="00C17F7D">
              <w:rPr>
                <w:noProof/>
                <w:webHidden/>
              </w:rPr>
              <w:instrText xml:space="preserve"> PAGEREF _Toc172367698 \h </w:instrText>
            </w:r>
            <w:r w:rsidR="00C17F7D">
              <w:rPr>
                <w:noProof/>
                <w:webHidden/>
              </w:rPr>
            </w:r>
            <w:r w:rsidR="00C17F7D">
              <w:rPr>
                <w:noProof/>
                <w:webHidden/>
              </w:rPr>
              <w:fldChar w:fldCharType="separate"/>
            </w:r>
            <w:r w:rsidR="00732AAC">
              <w:rPr>
                <w:noProof/>
                <w:webHidden/>
              </w:rPr>
              <w:t>91</w:t>
            </w:r>
            <w:r w:rsidR="00C17F7D">
              <w:rPr>
                <w:noProof/>
                <w:webHidden/>
              </w:rPr>
              <w:fldChar w:fldCharType="end"/>
            </w:r>
          </w:hyperlink>
        </w:p>
        <w:p w14:paraId="541FB41F" w14:textId="51485892"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699" w:history="1">
            <w:r w:rsidR="00C17F7D" w:rsidRPr="000A1AE5">
              <w:rPr>
                <w:rStyle w:val="Hyperlink"/>
                <w:noProof/>
              </w:rPr>
              <w:t>5.4.3.</w:t>
            </w:r>
            <w:r w:rsidR="00C17F7D">
              <w:rPr>
                <w:rFonts w:asciiTheme="minorHAnsi" w:hAnsiTheme="minorHAnsi" w:cstheme="minorBidi"/>
                <w:noProof/>
                <w:kern w:val="2"/>
                <w:szCs w:val="24"/>
                <w14:ligatures w14:val="standardContextual"/>
              </w:rPr>
              <w:tab/>
            </w:r>
            <w:r w:rsidR="00C17F7D" w:rsidRPr="000A1AE5">
              <w:rPr>
                <w:rStyle w:val="Hyperlink"/>
                <w:noProof/>
              </w:rPr>
              <w:t>Grid &amp; Time Step Size Independence</w:t>
            </w:r>
            <w:r w:rsidR="00C17F7D">
              <w:rPr>
                <w:noProof/>
                <w:webHidden/>
              </w:rPr>
              <w:tab/>
            </w:r>
            <w:r w:rsidR="00C17F7D">
              <w:rPr>
                <w:noProof/>
                <w:webHidden/>
              </w:rPr>
              <w:fldChar w:fldCharType="begin"/>
            </w:r>
            <w:r w:rsidR="00C17F7D">
              <w:rPr>
                <w:noProof/>
                <w:webHidden/>
              </w:rPr>
              <w:instrText xml:space="preserve"> PAGEREF _Toc172367699 \h </w:instrText>
            </w:r>
            <w:r w:rsidR="00C17F7D">
              <w:rPr>
                <w:noProof/>
                <w:webHidden/>
              </w:rPr>
            </w:r>
            <w:r w:rsidR="00C17F7D">
              <w:rPr>
                <w:noProof/>
                <w:webHidden/>
              </w:rPr>
              <w:fldChar w:fldCharType="separate"/>
            </w:r>
            <w:r w:rsidR="00732AAC">
              <w:rPr>
                <w:noProof/>
                <w:webHidden/>
              </w:rPr>
              <w:t>93</w:t>
            </w:r>
            <w:r w:rsidR="00C17F7D">
              <w:rPr>
                <w:noProof/>
                <w:webHidden/>
              </w:rPr>
              <w:fldChar w:fldCharType="end"/>
            </w:r>
          </w:hyperlink>
        </w:p>
        <w:p w14:paraId="5F4DF53B" w14:textId="036EF96B" w:rsidR="00C17F7D" w:rsidRDefault="00000000">
          <w:pPr>
            <w:pStyle w:val="TOC3"/>
            <w:tabs>
              <w:tab w:val="left" w:pos="1440"/>
              <w:tab w:val="right" w:leader="dot" w:pos="9350"/>
            </w:tabs>
            <w:rPr>
              <w:rFonts w:asciiTheme="minorHAnsi" w:hAnsiTheme="minorHAnsi" w:cstheme="minorBidi"/>
              <w:noProof/>
              <w:kern w:val="2"/>
              <w:szCs w:val="24"/>
              <w14:ligatures w14:val="standardContextual"/>
            </w:rPr>
          </w:pPr>
          <w:hyperlink w:anchor="_Toc172367700" w:history="1">
            <w:r w:rsidR="00C17F7D" w:rsidRPr="000A1AE5">
              <w:rPr>
                <w:rStyle w:val="Hyperlink"/>
                <w:noProof/>
              </w:rPr>
              <w:t>5.4.4.</w:t>
            </w:r>
            <w:r w:rsidR="00C17F7D">
              <w:rPr>
                <w:rFonts w:asciiTheme="minorHAnsi" w:hAnsiTheme="minorHAnsi" w:cstheme="minorBidi"/>
                <w:noProof/>
                <w:kern w:val="2"/>
                <w:szCs w:val="24"/>
                <w14:ligatures w14:val="standardContextual"/>
              </w:rPr>
              <w:tab/>
            </w:r>
            <w:r w:rsidR="00C17F7D" w:rsidRPr="000A1AE5">
              <w:rPr>
                <w:rStyle w:val="Hyperlink"/>
                <w:noProof/>
              </w:rPr>
              <w:t>Model Validation</w:t>
            </w:r>
            <w:r w:rsidR="00C17F7D">
              <w:rPr>
                <w:noProof/>
                <w:webHidden/>
              </w:rPr>
              <w:tab/>
            </w:r>
            <w:r w:rsidR="00C17F7D">
              <w:rPr>
                <w:noProof/>
                <w:webHidden/>
              </w:rPr>
              <w:fldChar w:fldCharType="begin"/>
            </w:r>
            <w:r w:rsidR="00C17F7D">
              <w:rPr>
                <w:noProof/>
                <w:webHidden/>
              </w:rPr>
              <w:instrText xml:space="preserve"> PAGEREF _Toc172367700 \h </w:instrText>
            </w:r>
            <w:r w:rsidR="00C17F7D">
              <w:rPr>
                <w:noProof/>
                <w:webHidden/>
              </w:rPr>
            </w:r>
            <w:r w:rsidR="00C17F7D">
              <w:rPr>
                <w:noProof/>
                <w:webHidden/>
              </w:rPr>
              <w:fldChar w:fldCharType="separate"/>
            </w:r>
            <w:r w:rsidR="00732AAC">
              <w:rPr>
                <w:noProof/>
                <w:webHidden/>
              </w:rPr>
              <w:t>96</w:t>
            </w:r>
            <w:r w:rsidR="00C17F7D">
              <w:rPr>
                <w:noProof/>
                <w:webHidden/>
              </w:rPr>
              <w:fldChar w:fldCharType="end"/>
            </w:r>
          </w:hyperlink>
        </w:p>
        <w:p w14:paraId="4CC5CED2" w14:textId="21B07AC1"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701" w:history="1">
            <w:r w:rsidR="00C17F7D" w:rsidRPr="000A1AE5">
              <w:rPr>
                <w:rStyle w:val="Hyperlink"/>
                <w:bCs/>
                <w:noProof/>
              </w:rPr>
              <w:t>6.</w:t>
            </w:r>
            <w:r w:rsidR="00C17F7D">
              <w:rPr>
                <w:rFonts w:asciiTheme="minorHAnsi" w:hAnsiTheme="minorHAnsi" w:cstheme="minorBidi"/>
                <w:b w:val="0"/>
                <w:noProof/>
                <w:kern w:val="2"/>
                <w:szCs w:val="24"/>
                <w14:ligatures w14:val="standardContextual"/>
              </w:rPr>
              <w:tab/>
            </w:r>
            <w:r w:rsidR="00C17F7D" w:rsidRPr="000A1AE5">
              <w:rPr>
                <w:rStyle w:val="Hyperlink"/>
                <w:noProof/>
              </w:rPr>
              <w:t>Particle Migration and Melting Simulation Results</w:t>
            </w:r>
            <w:r w:rsidR="00C17F7D">
              <w:rPr>
                <w:noProof/>
                <w:webHidden/>
              </w:rPr>
              <w:tab/>
            </w:r>
            <w:r w:rsidR="00C17F7D">
              <w:rPr>
                <w:noProof/>
                <w:webHidden/>
              </w:rPr>
              <w:fldChar w:fldCharType="begin"/>
            </w:r>
            <w:r w:rsidR="00C17F7D">
              <w:rPr>
                <w:noProof/>
                <w:webHidden/>
              </w:rPr>
              <w:instrText xml:space="preserve"> PAGEREF _Toc172367701 \h </w:instrText>
            </w:r>
            <w:r w:rsidR="00C17F7D">
              <w:rPr>
                <w:noProof/>
                <w:webHidden/>
              </w:rPr>
            </w:r>
            <w:r w:rsidR="00C17F7D">
              <w:rPr>
                <w:noProof/>
                <w:webHidden/>
              </w:rPr>
              <w:fldChar w:fldCharType="separate"/>
            </w:r>
            <w:r w:rsidR="00732AAC">
              <w:rPr>
                <w:noProof/>
                <w:webHidden/>
              </w:rPr>
              <w:t>101</w:t>
            </w:r>
            <w:r w:rsidR="00C17F7D">
              <w:rPr>
                <w:noProof/>
                <w:webHidden/>
              </w:rPr>
              <w:fldChar w:fldCharType="end"/>
            </w:r>
          </w:hyperlink>
        </w:p>
        <w:p w14:paraId="5B9C27D4" w14:textId="6B89537F" w:rsidR="00C17F7D" w:rsidRDefault="00000000" w:rsidP="00FD2096">
          <w:pPr>
            <w:pStyle w:val="TOC2"/>
            <w:rPr>
              <w:rFonts w:asciiTheme="minorHAnsi" w:hAnsiTheme="minorHAnsi" w:cstheme="minorBidi"/>
              <w:noProof/>
              <w:kern w:val="2"/>
              <w:szCs w:val="24"/>
              <w14:ligatures w14:val="standardContextual"/>
            </w:rPr>
          </w:pPr>
          <w:hyperlink w:anchor="_Toc172367702" w:history="1">
            <w:r w:rsidR="00C17F7D" w:rsidRPr="000A1AE5">
              <w:rPr>
                <w:rStyle w:val="Hyperlink"/>
                <w:noProof/>
              </w:rPr>
              <w:t>6.1.</w:t>
            </w:r>
            <w:r w:rsidR="00C17F7D">
              <w:rPr>
                <w:rFonts w:asciiTheme="minorHAnsi" w:hAnsiTheme="minorHAnsi" w:cstheme="minorBidi"/>
                <w:noProof/>
                <w:kern w:val="2"/>
                <w:szCs w:val="24"/>
                <w14:ligatures w14:val="standardContextual"/>
              </w:rPr>
              <w:tab/>
            </w:r>
            <w:r w:rsidR="00C17F7D" w:rsidRPr="000A1AE5">
              <w:rPr>
                <w:rStyle w:val="Hyperlink"/>
                <w:noProof/>
              </w:rPr>
              <w:t>Melting Particle Morphology</w:t>
            </w:r>
            <w:r w:rsidR="00C17F7D">
              <w:rPr>
                <w:noProof/>
                <w:webHidden/>
              </w:rPr>
              <w:tab/>
            </w:r>
            <w:r w:rsidR="00C17F7D">
              <w:rPr>
                <w:noProof/>
                <w:webHidden/>
              </w:rPr>
              <w:fldChar w:fldCharType="begin"/>
            </w:r>
            <w:r w:rsidR="00C17F7D">
              <w:rPr>
                <w:noProof/>
                <w:webHidden/>
              </w:rPr>
              <w:instrText xml:space="preserve"> PAGEREF _Toc172367702 \h </w:instrText>
            </w:r>
            <w:r w:rsidR="00C17F7D">
              <w:rPr>
                <w:noProof/>
                <w:webHidden/>
              </w:rPr>
            </w:r>
            <w:r w:rsidR="00C17F7D">
              <w:rPr>
                <w:noProof/>
                <w:webHidden/>
              </w:rPr>
              <w:fldChar w:fldCharType="separate"/>
            </w:r>
            <w:r w:rsidR="00732AAC">
              <w:rPr>
                <w:noProof/>
                <w:webHidden/>
              </w:rPr>
              <w:t>101</w:t>
            </w:r>
            <w:r w:rsidR="00C17F7D">
              <w:rPr>
                <w:noProof/>
                <w:webHidden/>
              </w:rPr>
              <w:fldChar w:fldCharType="end"/>
            </w:r>
          </w:hyperlink>
        </w:p>
        <w:p w14:paraId="10B0CC2E" w14:textId="75030E8E" w:rsidR="00C17F7D" w:rsidRDefault="00000000" w:rsidP="00FD2096">
          <w:pPr>
            <w:pStyle w:val="TOC2"/>
            <w:rPr>
              <w:rFonts w:asciiTheme="minorHAnsi" w:hAnsiTheme="minorHAnsi" w:cstheme="minorBidi"/>
              <w:noProof/>
              <w:kern w:val="2"/>
              <w:szCs w:val="24"/>
              <w14:ligatures w14:val="standardContextual"/>
            </w:rPr>
          </w:pPr>
          <w:hyperlink w:anchor="_Toc172367703" w:history="1">
            <w:r w:rsidR="00C17F7D" w:rsidRPr="000A1AE5">
              <w:rPr>
                <w:rStyle w:val="Hyperlink"/>
                <w:noProof/>
              </w:rPr>
              <w:t>6.2.</w:t>
            </w:r>
            <w:r w:rsidR="00C17F7D">
              <w:rPr>
                <w:rFonts w:asciiTheme="minorHAnsi" w:hAnsiTheme="minorHAnsi" w:cstheme="minorBidi"/>
                <w:noProof/>
                <w:kern w:val="2"/>
                <w:szCs w:val="24"/>
                <w14:ligatures w14:val="standardContextual"/>
              </w:rPr>
              <w:tab/>
            </w:r>
            <w:r w:rsidR="00C17F7D" w:rsidRPr="000A1AE5">
              <w:rPr>
                <w:rStyle w:val="Hyperlink"/>
                <w:noProof/>
              </w:rPr>
              <w:t>Streamlines</w:t>
            </w:r>
            <w:r w:rsidR="00C17F7D">
              <w:rPr>
                <w:noProof/>
                <w:webHidden/>
              </w:rPr>
              <w:tab/>
            </w:r>
            <w:r w:rsidR="00C17F7D">
              <w:rPr>
                <w:noProof/>
                <w:webHidden/>
              </w:rPr>
              <w:fldChar w:fldCharType="begin"/>
            </w:r>
            <w:r w:rsidR="00C17F7D">
              <w:rPr>
                <w:noProof/>
                <w:webHidden/>
              </w:rPr>
              <w:instrText xml:space="preserve"> PAGEREF _Toc172367703 \h </w:instrText>
            </w:r>
            <w:r w:rsidR="00C17F7D">
              <w:rPr>
                <w:noProof/>
                <w:webHidden/>
              </w:rPr>
            </w:r>
            <w:r w:rsidR="00C17F7D">
              <w:rPr>
                <w:noProof/>
                <w:webHidden/>
              </w:rPr>
              <w:fldChar w:fldCharType="separate"/>
            </w:r>
            <w:r w:rsidR="00732AAC">
              <w:rPr>
                <w:noProof/>
                <w:webHidden/>
              </w:rPr>
              <w:t>102</w:t>
            </w:r>
            <w:r w:rsidR="00C17F7D">
              <w:rPr>
                <w:noProof/>
                <w:webHidden/>
              </w:rPr>
              <w:fldChar w:fldCharType="end"/>
            </w:r>
          </w:hyperlink>
        </w:p>
        <w:p w14:paraId="6995C438" w14:textId="1CC8A408" w:rsidR="00C17F7D" w:rsidRDefault="00000000" w:rsidP="00FD2096">
          <w:pPr>
            <w:pStyle w:val="TOC2"/>
            <w:rPr>
              <w:rFonts w:asciiTheme="minorHAnsi" w:hAnsiTheme="minorHAnsi" w:cstheme="minorBidi"/>
              <w:noProof/>
              <w:kern w:val="2"/>
              <w:szCs w:val="24"/>
              <w14:ligatures w14:val="standardContextual"/>
            </w:rPr>
          </w:pPr>
          <w:hyperlink w:anchor="_Toc172367704" w:history="1">
            <w:r w:rsidR="00C17F7D" w:rsidRPr="000A1AE5">
              <w:rPr>
                <w:rStyle w:val="Hyperlink"/>
                <w:noProof/>
              </w:rPr>
              <w:t>6.3.</w:t>
            </w:r>
            <w:r w:rsidR="00C17F7D">
              <w:rPr>
                <w:rFonts w:asciiTheme="minorHAnsi" w:hAnsiTheme="minorHAnsi" w:cstheme="minorBidi"/>
                <w:noProof/>
                <w:kern w:val="2"/>
                <w:szCs w:val="24"/>
                <w14:ligatures w14:val="standardContextual"/>
              </w:rPr>
              <w:tab/>
            </w:r>
            <w:r w:rsidR="00C17F7D" w:rsidRPr="000A1AE5">
              <w:rPr>
                <w:rStyle w:val="Hyperlink"/>
                <w:noProof/>
              </w:rPr>
              <w:t xml:space="preserve">Parametric Studies on the Effect of </w:t>
            </w:r>
            <m:oMath>
              <m:r>
                <m:rPr>
                  <m:sty m:val="b"/>
                </m:rPr>
                <w:rPr>
                  <w:rStyle w:val="Hyperlink"/>
                  <w:rFonts w:ascii="Cambria Math" w:hAnsi="Cambria Math"/>
                  <w:noProof/>
                </w:rPr>
                <m:t>Re</m:t>
              </m:r>
            </m:oMath>
            <w:r w:rsidR="00C17F7D" w:rsidRPr="000A1AE5">
              <w:rPr>
                <w:rStyle w:val="Hyperlink"/>
                <w:noProof/>
              </w:rPr>
              <w:t xml:space="preserve">, </w:t>
            </w:r>
            <m:oMath>
              <m:r>
                <m:rPr>
                  <m:sty m:val="b"/>
                </m:rPr>
                <w:rPr>
                  <w:rStyle w:val="Hyperlink"/>
                  <w:rFonts w:ascii="Cambria Math" w:hAnsi="Cambria Math"/>
                  <w:noProof/>
                </w:rPr>
                <m:t>Gr</m:t>
              </m:r>
            </m:oMath>
            <w:r w:rsidR="00C17F7D" w:rsidRPr="000A1AE5">
              <w:rPr>
                <w:rStyle w:val="Hyperlink"/>
                <w:noProof/>
              </w:rPr>
              <w:t xml:space="preserve">, </w:t>
            </w:r>
            <m:oMath>
              <m:r>
                <m:rPr>
                  <m:sty m:val="b"/>
                </m:rPr>
                <w:rPr>
                  <w:rStyle w:val="Hyperlink"/>
                  <w:rFonts w:ascii="Cambria Math" w:hAnsi="Cambria Math"/>
                  <w:noProof/>
                </w:rPr>
                <m:t>Ste</m:t>
              </m:r>
            </m:oMath>
            <w:r w:rsidR="00C17F7D" w:rsidRPr="000A1AE5">
              <w:rPr>
                <w:rStyle w:val="Hyperlink"/>
                <w:noProof/>
              </w:rPr>
              <w:t xml:space="preserve">, &amp; </w:t>
            </w:r>
            <m:oMath>
              <m:sSubSup>
                <m:sSubSupPr>
                  <m:ctrlPr>
                    <w:rPr>
                      <w:rStyle w:val="Hyperlink"/>
                      <w:rFonts w:ascii="Cambria Math" w:eastAsia="Times New Roman" w:hAnsi="Cambria Math"/>
                      <w:b/>
                      <w:i/>
                      <w:noProof/>
                    </w:rPr>
                  </m:ctrlPr>
                </m:sSubSupPr>
                <m:e>
                  <m:r>
                    <m:rPr>
                      <m:sty m:val="bi"/>
                    </m:rPr>
                    <w:rPr>
                      <w:rStyle w:val="Hyperlink"/>
                      <w:rFonts w:ascii="Cambria Math" w:eastAsia="Times New Roman" w:hAnsi="Cambria Math"/>
                      <w:noProof/>
                    </w:rPr>
                    <m:t>Y</m:t>
                  </m:r>
                </m:e>
                <m:sub>
                  <m:r>
                    <m:rPr>
                      <m:sty m:val="bi"/>
                    </m:rPr>
                    <w:rPr>
                      <w:rStyle w:val="Hyperlink"/>
                      <w:rFonts w:ascii="Cambria Math" w:eastAsia="Times New Roman" w:hAnsi="Cambria Math"/>
                      <w:noProof/>
                    </w:rPr>
                    <m:t>0</m:t>
                  </m:r>
                </m:sub>
                <m:sup>
                  <m:r>
                    <m:rPr>
                      <m:sty m:val="bi"/>
                    </m:rPr>
                    <w:rPr>
                      <w:rStyle w:val="Hyperlink"/>
                      <w:rFonts w:ascii="Cambria Math" w:eastAsia="Times New Roman" w:hAnsi="Cambria Math"/>
                      <w:noProof/>
                    </w:rPr>
                    <m:t>*</m:t>
                  </m:r>
                </m:sup>
              </m:sSubSup>
            </m:oMath>
            <w:r w:rsidR="00C17F7D">
              <w:rPr>
                <w:noProof/>
                <w:webHidden/>
              </w:rPr>
              <w:tab/>
            </w:r>
            <w:r w:rsidR="00C17F7D">
              <w:rPr>
                <w:noProof/>
                <w:webHidden/>
              </w:rPr>
              <w:fldChar w:fldCharType="begin"/>
            </w:r>
            <w:r w:rsidR="00C17F7D">
              <w:rPr>
                <w:noProof/>
                <w:webHidden/>
              </w:rPr>
              <w:instrText xml:space="preserve"> PAGEREF _Toc172367704 \h </w:instrText>
            </w:r>
            <w:r w:rsidR="00C17F7D">
              <w:rPr>
                <w:noProof/>
                <w:webHidden/>
              </w:rPr>
            </w:r>
            <w:r w:rsidR="00C17F7D">
              <w:rPr>
                <w:noProof/>
                <w:webHidden/>
              </w:rPr>
              <w:fldChar w:fldCharType="separate"/>
            </w:r>
            <w:r w:rsidR="00732AAC">
              <w:rPr>
                <w:noProof/>
                <w:webHidden/>
              </w:rPr>
              <w:t>103</w:t>
            </w:r>
            <w:r w:rsidR="00C17F7D">
              <w:rPr>
                <w:noProof/>
                <w:webHidden/>
              </w:rPr>
              <w:fldChar w:fldCharType="end"/>
            </w:r>
          </w:hyperlink>
        </w:p>
        <w:p w14:paraId="31958B6F" w14:textId="1686EC2A" w:rsidR="00C17F7D" w:rsidRDefault="00000000" w:rsidP="00FD2096">
          <w:pPr>
            <w:pStyle w:val="TOC2"/>
            <w:rPr>
              <w:rFonts w:asciiTheme="minorHAnsi" w:hAnsiTheme="minorHAnsi" w:cstheme="minorBidi"/>
              <w:noProof/>
              <w:kern w:val="2"/>
              <w:szCs w:val="24"/>
              <w14:ligatures w14:val="standardContextual"/>
            </w:rPr>
          </w:pPr>
          <w:hyperlink w:anchor="_Toc172367705" w:history="1">
            <w:r w:rsidR="00C17F7D" w:rsidRPr="000A1AE5">
              <w:rPr>
                <w:rStyle w:val="Hyperlink"/>
                <w:noProof/>
              </w:rPr>
              <w:t>6.4.</w:t>
            </w:r>
            <w:r w:rsidR="00C17F7D">
              <w:rPr>
                <w:rFonts w:asciiTheme="minorHAnsi" w:hAnsiTheme="minorHAnsi" w:cstheme="minorBidi"/>
                <w:noProof/>
                <w:kern w:val="2"/>
                <w:szCs w:val="24"/>
                <w14:ligatures w14:val="standardContextual"/>
              </w:rPr>
              <w:tab/>
            </w:r>
            <w:r w:rsidR="00C17F7D" w:rsidRPr="000A1AE5">
              <w:rPr>
                <w:rStyle w:val="Hyperlink"/>
                <w:noProof/>
              </w:rPr>
              <w:t>Concluding Remarks</w:t>
            </w:r>
            <w:r w:rsidR="00C17F7D">
              <w:rPr>
                <w:noProof/>
                <w:webHidden/>
              </w:rPr>
              <w:tab/>
            </w:r>
            <w:r w:rsidR="00C17F7D">
              <w:rPr>
                <w:noProof/>
                <w:webHidden/>
              </w:rPr>
              <w:fldChar w:fldCharType="begin"/>
            </w:r>
            <w:r w:rsidR="00C17F7D">
              <w:rPr>
                <w:noProof/>
                <w:webHidden/>
              </w:rPr>
              <w:instrText xml:space="preserve"> PAGEREF _Toc172367705 \h </w:instrText>
            </w:r>
            <w:r w:rsidR="00C17F7D">
              <w:rPr>
                <w:noProof/>
                <w:webHidden/>
              </w:rPr>
            </w:r>
            <w:r w:rsidR="00C17F7D">
              <w:rPr>
                <w:noProof/>
                <w:webHidden/>
              </w:rPr>
              <w:fldChar w:fldCharType="separate"/>
            </w:r>
            <w:r w:rsidR="00732AAC">
              <w:rPr>
                <w:noProof/>
                <w:webHidden/>
              </w:rPr>
              <w:t>116</w:t>
            </w:r>
            <w:r w:rsidR="00C17F7D">
              <w:rPr>
                <w:noProof/>
                <w:webHidden/>
              </w:rPr>
              <w:fldChar w:fldCharType="end"/>
            </w:r>
          </w:hyperlink>
        </w:p>
        <w:p w14:paraId="5112FB2A" w14:textId="23646AAB"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706" w:history="1">
            <w:r w:rsidR="00C17F7D" w:rsidRPr="000A1AE5">
              <w:rPr>
                <w:rStyle w:val="Hyperlink"/>
                <w:bCs/>
                <w:noProof/>
              </w:rPr>
              <w:t>7.</w:t>
            </w:r>
            <w:r w:rsidR="00C17F7D">
              <w:rPr>
                <w:rFonts w:asciiTheme="minorHAnsi" w:hAnsiTheme="minorHAnsi" w:cstheme="minorBidi"/>
                <w:b w:val="0"/>
                <w:noProof/>
                <w:kern w:val="2"/>
                <w:szCs w:val="24"/>
                <w14:ligatures w14:val="standardContextual"/>
              </w:rPr>
              <w:tab/>
            </w:r>
            <w:r w:rsidR="00C17F7D" w:rsidRPr="000A1AE5">
              <w:rPr>
                <w:rStyle w:val="Hyperlink"/>
                <w:noProof/>
              </w:rPr>
              <w:t>Future Work</w:t>
            </w:r>
            <w:r w:rsidR="00C17F7D">
              <w:rPr>
                <w:noProof/>
                <w:webHidden/>
              </w:rPr>
              <w:tab/>
            </w:r>
            <w:r w:rsidR="00C17F7D">
              <w:rPr>
                <w:noProof/>
                <w:webHidden/>
              </w:rPr>
              <w:fldChar w:fldCharType="begin"/>
            </w:r>
            <w:r w:rsidR="00C17F7D">
              <w:rPr>
                <w:noProof/>
                <w:webHidden/>
              </w:rPr>
              <w:instrText xml:space="preserve"> PAGEREF _Toc172367706 \h </w:instrText>
            </w:r>
            <w:r w:rsidR="00C17F7D">
              <w:rPr>
                <w:noProof/>
                <w:webHidden/>
              </w:rPr>
            </w:r>
            <w:r w:rsidR="00C17F7D">
              <w:rPr>
                <w:noProof/>
                <w:webHidden/>
              </w:rPr>
              <w:fldChar w:fldCharType="separate"/>
            </w:r>
            <w:r w:rsidR="00732AAC">
              <w:rPr>
                <w:noProof/>
                <w:webHidden/>
              </w:rPr>
              <w:t>123</w:t>
            </w:r>
            <w:r w:rsidR="00C17F7D">
              <w:rPr>
                <w:noProof/>
                <w:webHidden/>
              </w:rPr>
              <w:fldChar w:fldCharType="end"/>
            </w:r>
          </w:hyperlink>
        </w:p>
        <w:p w14:paraId="603A4BEE" w14:textId="2DD69996" w:rsidR="00C17F7D" w:rsidRDefault="00000000">
          <w:pPr>
            <w:pStyle w:val="TOC1"/>
            <w:tabs>
              <w:tab w:val="left" w:pos="446"/>
            </w:tabs>
            <w:rPr>
              <w:rFonts w:asciiTheme="minorHAnsi" w:hAnsiTheme="minorHAnsi" w:cstheme="minorBidi"/>
              <w:b w:val="0"/>
              <w:noProof/>
              <w:kern w:val="2"/>
              <w:szCs w:val="24"/>
              <w14:ligatures w14:val="standardContextual"/>
            </w:rPr>
          </w:pPr>
          <w:hyperlink w:anchor="_Toc172367707" w:history="1">
            <w:r w:rsidR="00C17F7D" w:rsidRPr="000A1AE5">
              <w:rPr>
                <w:rStyle w:val="Hyperlink"/>
                <w:bCs/>
                <w:noProof/>
              </w:rPr>
              <w:t>8.</w:t>
            </w:r>
            <w:r w:rsidR="00C17F7D">
              <w:rPr>
                <w:rFonts w:asciiTheme="minorHAnsi" w:hAnsiTheme="minorHAnsi" w:cstheme="minorBidi"/>
                <w:b w:val="0"/>
                <w:noProof/>
                <w:kern w:val="2"/>
                <w:szCs w:val="24"/>
                <w14:ligatures w14:val="standardContextual"/>
              </w:rPr>
              <w:tab/>
            </w:r>
            <w:r w:rsidR="00C17F7D" w:rsidRPr="000A1AE5">
              <w:rPr>
                <w:rStyle w:val="Hyperlink"/>
                <w:noProof/>
              </w:rPr>
              <w:t>References</w:t>
            </w:r>
            <w:r w:rsidR="00C17F7D">
              <w:rPr>
                <w:noProof/>
                <w:webHidden/>
              </w:rPr>
              <w:tab/>
            </w:r>
            <w:r w:rsidR="00C17F7D">
              <w:rPr>
                <w:noProof/>
                <w:webHidden/>
              </w:rPr>
              <w:fldChar w:fldCharType="begin"/>
            </w:r>
            <w:r w:rsidR="00C17F7D">
              <w:rPr>
                <w:noProof/>
                <w:webHidden/>
              </w:rPr>
              <w:instrText xml:space="preserve"> PAGEREF _Toc172367707 \h </w:instrText>
            </w:r>
            <w:r w:rsidR="00C17F7D">
              <w:rPr>
                <w:noProof/>
                <w:webHidden/>
              </w:rPr>
            </w:r>
            <w:r w:rsidR="00C17F7D">
              <w:rPr>
                <w:noProof/>
                <w:webHidden/>
              </w:rPr>
              <w:fldChar w:fldCharType="separate"/>
            </w:r>
            <w:r w:rsidR="00732AAC">
              <w:rPr>
                <w:noProof/>
                <w:webHidden/>
              </w:rPr>
              <w:t>127</w:t>
            </w:r>
            <w:r w:rsidR="00C17F7D">
              <w:rPr>
                <w:noProof/>
                <w:webHidden/>
              </w:rPr>
              <w:fldChar w:fldCharType="end"/>
            </w:r>
          </w:hyperlink>
        </w:p>
        <w:p w14:paraId="1980B8D7" w14:textId="377FC2DA" w:rsidR="007076A4" w:rsidRPr="004834D3" w:rsidRDefault="0096167E" w:rsidP="001C0EB5">
          <w:pPr>
            <w:spacing w:after="0" w:line="480" w:lineRule="auto"/>
            <w:rPr>
              <w:rFonts w:cstheme="majorBidi"/>
              <w:bCs/>
              <w:noProof/>
            </w:rPr>
          </w:pPr>
          <w:r>
            <w:rPr>
              <w:rFonts w:eastAsiaTheme="minorEastAsia" w:cstheme="majorBidi"/>
              <w:kern w:val="0"/>
              <w:sz w:val="28"/>
              <w:szCs w:val="22"/>
              <w14:ligatures w14:val="none"/>
            </w:rPr>
            <w:fldChar w:fldCharType="end"/>
          </w:r>
        </w:p>
      </w:sdtContent>
    </w:sdt>
    <w:p w14:paraId="5C4A8B1D" w14:textId="77777777" w:rsidR="007076A4" w:rsidRDefault="007076A4" w:rsidP="004834D3">
      <w:pPr>
        <w:spacing w:line="360" w:lineRule="auto"/>
        <w:rPr>
          <w:rFonts w:cstheme="majorBidi"/>
        </w:rPr>
      </w:pPr>
    </w:p>
    <w:p w14:paraId="5295C52F" w14:textId="77777777" w:rsidR="002A0243" w:rsidRDefault="002A0243" w:rsidP="004834D3">
      <w:pPr>
        <w:spacing w:line="360" w:lineRule="auto"/>
        <w:rPr>
          <w:rFonts w:cstheme="majorBidi"/>
        </w:rPr>
      </w:pPr>
    </w:p>
    <w:p w14:paraId="1E7FC8B2" w14:textId="77777777" w:rsidR="002A0243" w:rsidRDefault="002A0243" w:rsidP="004834D3">
      <w:pPr>
        <w:spacing w:line="360" w:lineRule="auto"/>
        <w:rPr>
          <w:rFonts w:cstheme="majorBidi"/>
        </w:rPr>
      </w:pPr>
    </w:p>
    <w:p w14:paraId="543FA05C" w14:textId="77777777" w:rsidR="002A0243" w:rsidRPr="004834D3" w:rsidRDefault="002A0243" w:rsidP="004834D3">
      <w:pPr>
        <w:spacing w:line="360" w:lineRule="auto"/>
        <w:rPr>
          <w:rFonts w:cstheme="majorBidi"/>
        </w:rPr>
      </w:pPr>
    </w:p>
    <w:p w14:paraId="3619D170" w14:textId="77777777" w:rsidR="007076A4" w:rsidRDefault="007076A4" w:rsidP="004834D3">
      <w:pPr>
        <w:spacing w:line="360" w:lineRule="auto"/>
        <w:rPr>
          <w:rFonts w:cstheme="majorBidi"/>
        </w:rPr>
      </w:pPr>
    </w:p>
    <w:p w14:paraId="52AEA006" w14:textId="77777777" w:rsidR="001B7507" w:rsidRDefault="001B7507" w:rsidP="004834D3">
      <w:pPr>
        <w:spacing w:line="360" w:lineRule="auto"/>
        <w:rPr>
          <w:rFonts w:cstheme="majorBidi"/>
        </w:rPr>
      </w:pPr>
    </w:p>
    <w:p w14:paraId="534D7F4F" w14:textId="77777777" w:rsidR="001B7507" w:rsidRDefault="001B7507" w:rsidP="004834D3">
      <w:pPr>
        <w:spacing w:line="360" w:lineRule="auto"/>
        <w:rPr>
          <w:rFonts w:cstheme="majorBidi"/>
        </w:rPr>
      </w:pPr>
    </w:p>
    <w:p w14:paraId="7851A20D" w14:textId="77777777" w:rsidR="001B7507" w:rsidRDefault="001B7507" w:rsidP="004834D3">
      <w:pPr>
        <w:spacing w:line="360" w:lineRule="auto"/>
        <w:rPr>
          <w:rFonts w:cstheme="majorBidi"/>
        </w:rPr>
      </w:pPr>
    </w:p>
    <w:p w14:paraId="2EC22275" w14:textId="77777777" w:rsidR="001B7507" w:rsidRDefault="001B7507" w:rsidP="004834D3">
      <w:pPr>
        <w:spacing w:line="360" w:lineRule="auto"/>
        <w:rPr>
          <w:rFonts w:cstheme="majorBidi"/>
        </w:rPr>
      </w:pPr>
    </w:p>
    <w:p w14:paraId="030BADE9" w14:textId="77777777" w:rsidR="001B7507" w:rsidRDefault="001B7507" w:rsidP="004834D3">
      <w:pPr>
        <w:spacing w:line="360" w:lineRule="auto"/>
        <w:rPr>
          <w:rFonts w:cstheme="majorBidi"/>
        </w:rPr>
      </w:pPr>
    </w:p>
    <w:p w14:paraId="54AE3D97" w14:textId="77777777" w:rsidR="001B7507" w:rsidRDefault="001B7507" w:rsidP="004834D3">
      <w:pPr>
        <w:spacing w:line="360" w:lineRule="auto"/>
        <w:rPr>
          <w:rFonts w:cstheme="majorBidi"/>
        </w:rPr>
      </w:pPr>
    </w:p>
    <w:p w14:paraId="251F6C22" w14:textId="77777777" w:rsidR="001B7507" w:rsidRDefault="001B7507" w:rsidP="004834D3">
      <w:pPr>
        <w:spacing w:line="360" w:lineRule="auto"/>
        <w:rPr>
          <w:rFonts w:cstheme="majorBidi"/>
        </w:rPr>
      </w:pPr>
    </w:p>
    <w:p w14:paraId="6B435715" w14:textId="77777777" w:rsidR="001B7507" w:rsidRDefault="001B7507" w:rsidP="004834D3">
      <w:pPr>
        <w:spacing w:line="360" w:lineRule="auto"/>
        <w:rPr>
          <w:rFonts w:cstheme="majorBidi"/>
        </w:rPr>
      </w:pPr>
    </w:p>
    <w:p w14:paraId="2CCFAEEE" w14:textId="77777777" w:rsidR="001B7507" w:rsidRDefault="001B7507" w:rsidP="004834D3">
      <w:pPr>
        <w:spacing w:line="360" w:lineRule="auto"/>
        <w:rPr>
          <w:rFonts w:cstheme="majorBidi"/>
        </w:rPr>
      </w:pPr>
    </w:p>
    <w:p w14:paraId="343E4987" w14:textId="77777777" w:rsidR="001B7507" w:rsidRDefault="001B7507" w:rsidP="004834D3">
      <w:pPr>
        <w:spacing w:line="360" w:lineRule="auto"/>
        <w:rPr>
          <w:rFonts w:cstheme="majorBidi"/>
        </w:rPr>
      </w:pPr>
    </w:p>
    <w:p w14:paraId="538CE6AD" w14:textId="77777777" w:rsidR="001B7507" w:rsidRDefault="001B7507" w:rsidP="004834D3">
      <w:pPr>
        <w:spacing w:line="360" w:lineRule="auto"/>
        <w:rPr>
          <w:rFonts w:cstheme="majorBidi"/>
        </w:rPr>
      </w:pPr>
    </w:p>
    <w:p w14:paraId="4F0F7444" w14:textId="27C2CA5B" w:rsidR="00EE1A6F" w:rsidRPr="001474C7" w:rsidRDefault="00EE1A6F" w:rsidP="00F95C99">
      <w:pPr>
        <w:pStyle w:val="Heading1"/>
        <w:spacing w:before="480" w:after="240" w:line="480" w:lineRule="auto"/>
        <w:rPr>
          <w:sz w:val="28"/>
          <w:szCs w:val="28"/>
        </w:rPr>
      </w:pPr>
      <w:bookmarkStart w:id="2" w:name="_Toc172367659"/>
      <w:r w:rsidRPr="001474C7">
        <w:rPr>
          <w:sz w:val="28"/>
          <w:szCs w:val="28"/>
        </w:rPr>
        <w:lastRenderedPageBreak/>
        <w:t>List of Tables</w:t>
      </w:r>
      <w:bookmarkEnd w:id="2"/>
    </w:p>
    <w:p w14:paraId="79BCC024" w14:textId="7629A25E" w:rsidR="00D56DF6" w:rsidRDefault="0096167E">
      <w:pPr>
        <w:pStyle w:val="TableofFigures"/>
        <w:tabs>
          <w:tab w:val="right" w:leader="dot" w:pos="9350"/>
        </w:tabs>
        <w:rPr>
          <w:rFonts w:asciiTheme="minorHAnsi" w:eastAsiaTheme="minorEastAsia" w:hAnsiTheme="minorHAnsi"/>
          <w:noProof/>
          <w:szCs w:val="24"/>
        </w:rPr>
      </w:pPr>
      <w:r>
        <w:rPr>
          <w:rFonts w:cstheme="majorBidi"/>
        </w:rPr>
        <w:fldChar w:fldCharType="begin"/>
      </w:r>
      <w:r>
        <w:rPr>
          <w:rFonts w:cstheme="majorBidi"/>
        </w:rPr>
        <w:instrText xml:space="preserve"> TOC \c "Table" </w:instrText>
      </w:r>
      <w:r>
        <w:rPr>
          <w:rFonts w:cstheme="majorBidi"/>
        </w:rPr>
        <w:fldChar w:fldCharType="separate"/>
      </w:r>
      <w:r w:rsidR="00D56DF6" w:rsidRPr="001D563F">
        <w:rPr>
          <w:rFonts w:cstheme="majorBidi"/>
          <w:b/>
          <w:bCs/>
          <w:noProof/>
        </w:rPr>
        <w:t xml:space="preserve">Table </w:t>
      </w:r>
      <w:r w:rsidR="00D56DF6" w:rsidRPr="001D563F">
        <w:rPr>
          <w:rFonts w:cstheme="majorBidi" w:hint="eastAsia"/>
          <w:b/>
          <w:bCs/>
          <w:noProof/>
          <w:cs/>
        </w:rPr>
        <w:t>‎</w:t>
      </w:r>
      <w:r w:rsidR="00D56DF6" w:rsidRPr="001D563F">
        <w:rPr>
          <w:rFonts w:cstheme="majorBidi"/>
          <w:b/>
          <w:bCs/>
          <w:noProof/>
        </w:rPr>
        <w:t>1</w:t>
      </w:r>
      <w:r w:rsidR="00D56DF6" w:rsidRPr="001D563F">
        <w:rPr>
          <w:rFonts w:cstheme="majorBidi"/>
          <w:b/>
          <w:bCs/>
          <w:noProof/>
        </w:rPr>
        <w:noBreakHyphen/>
        <w:t>1</w:t>
      </w:r>
      <w:r w:rsidR="00D56DF6" w:rsidRPr="001D563F">
        <w:rPr>
          <w:rFonts w:cstheme="majorBidi"/>
          <w:noProof/>
        </w:rPr>
        <w:t xml:space="preserve"> Categorization of water sources based on dissolved solids content</w:t>
      </w:r>
      <w:r w:rsidR="00D56DF6">
        <w:rPr>
          <w:noProof/>
        </w:rPr>
        <w:tab/>
      </w:r>
      <w:r w:rsidR="00D56DF6">
        <w:rPr>
          <w:noProof/>
        </w:rPr>
        <w:fldChar w:fldCharType="begin"/>
      </w:r>
      <w:r w:rsidR="00D56DF6">
        <w:rPr>
          <w:noProof/>
        </w:rPr>
        <w:instrText xml:space="preserve"> PAGEREF _Toc172708773 \h </w:instrText>
      </w:r>
      <w:r w:rsidR="00D56DF6">
        <w:rPr>
          <w:noProof/>
        </w:rPr>
      </w:r>
      <w:r w:rsidR="00D56DF6">
        <w:rPr>
          <w:noProof/>
        </w:rPr>
        <w:fldChar w:fldCharType="separate"/>
      </w:r>
      <w:r w:rsidR="00732AAC">
        <w:rPr>
          <w:noProof/>
        </w:rPr>
        <w:t>5</w:t>
      </w:r>
      <w:r w:rsidR="00D56DF6">
        <w:rPr>
          <w:noProof/>
        </w:rPr>
        <w:fldChar w:fldCharType="end"/>
      </w:r>
    </w:p>
    <w:p w14:paraId="592413E5" w14:textId="58579746" w:rsidR="00D56DF6" w:rsidRDefault="00D56DF6">
      <w:pPr>
        <w:pStyle w:val="TableofFigures"/>
        <w:tabs>
          <w:tab w:val="right" w:leader="dot" w:pos="9350"/>
        </w:tabs>
        <w:rPr>
          <w:rFonts w:asciiTheme="minorHAnsi" w:eastAsiaTheme="minorEastAsia" w:hAnsiTheme="minorHAnsi"/>
          <w:noProof/>
          <w:szCs w:val="24"/>
        </w:rPr>
      </w:pPr>
      <w:r w:rsidRPr="001D563F">
        <w:rPr>
          <w:b/>
          <w:bCs/>
          <w:noProof/>
        </w:rPr>
        <w:t xml:space="preserve">Table </w:t>
      </w:r>
      <w:r w:rsidRPr="001D563F">
        <w:rPr>
          <w:rFonts w:hint="eastAsia"/>
          <w:b/>
          <w:bCs/>
          <w:noProof/>
          <w:cs/>
        </w:rPr>
        <w:t>‎</w:t>
      </w:r>
      <w:r w:rsidRPr="001D563F">
        <w:rPr>
          <w:b/>
          <w:bCs/>
          <w:noProof/>
        </w:rPr>
        <w:t>2</w:t>
      </w:r>
      <w:r w:rsidRPr="001D563F">
        <w:rPr>
          <w:b/>
          <w:bCs/>
          <w:noProof/>
        </w:rPr>
        <w:noBreakHyphen/>
        <w:t>1</w:t>
      </w:r>
      <w:r w:rsidRPr="001D563F">
        <w:rPr>
          <w:rFonts w:cstheme="majorBidi"/>
          <w:noProof/>
          <w:spacing w:val="-3"/>
          <w:lang w:eastAsia="ja-JP"/>
        </w:rPr>
        <w:t xml:space="preserve"> Thermophysical properties of silicone liquid (ICL) [131]</w:t>
      </w:r>
      <w:r>
        <w:rPr>
          <w:noProof/>
        </w:rPr>
        <w:tab/>
      </w:r>
      <w:r>
        <w:rPr>
          <w:noProof/>
        </w:rPr>
        <w:fldChar w:fldCharType="begin"/>
      </w:r>
      <w:r>
        <w:rPr>
          <w:noProof/>
        </w:rPr>
        <w:instrText xml:space="preserve"> PAGEREF _Toc172708774 \h </w:instrText>
      </w:r>
      <w:r>
        <w:rPr>
          <w:noProof/>
        </w:rPr>
      </w:r>
      <w:r>
        <w:rPr>
          <w:noProof/>
        </w:rPr>
        <w:fldChar w:fldCharType="separate"/>
      </w:r>
      <w:r w:rsidR="00732AAC">
        <w:rPr>
          <w:noProof/>
        </w:rPr>
        <w:t>33</w:t>
      </w:r>
      <w:r>
        <w:rPr>
          <w:noProof/>
        </w:rPr>
        <w:fldChar w:fldCharType="end"/>
      </w:r>
    </w:p>
    <w:p w14:paraId="581C2AE8" w14:textId="188E8052" w:rsidR="00D56DF6" w:rsidRDefault="00D56DF6">
      <w:pPr>
        <w:pStyle w:val="TableofFigures"/>
        <w:tabs>
          <w:tab w:val="right" w:leader="dot" w:pos="9350"/>
        </w:tabs>
        <w:rPr>
          <w:rFonts w:asciiTheme="minorHAnsi" w:eastAsiaTheme="minorEastAsia" w:hAnsiTheme="minorHAnsi"/>
          <w:noProof/>
          <w:szCs w:val="24"/>
        </w:rPr>
      </w:pPr>
      <w:r w:rsidRPr="001D563F">
        <w:rPr>
          <w:rFonts w:cstheme="majorBidi"/>
          <w:b/>
          <w:bCs/>
          <w:noProof/>
        </w:rPr>
        <w:t xml:space="preserve">Table </w:t>
      </w:r>
      <w:r w:rsidRPr="001D563F">
        <w:rPr>
          <w:rFonts w:cstheme="majorBidi" w:hint="eastAsia"/>
          <w:b/>
          <w:bCs/>
          <w:noProof/>
          <w:cs/>
        </w:rPr>
        <w:t>‎</w:t>
      </w:r>
      <w:r w:rsidRPr="001D563F">
        <w:rPr>
          <w:rFonts w:cstheme="majorBidi"/>
          <w:b/>
          <w:bCs/>
          <w:noProof/>
        </w:rPr>
        <w:t>2</w:t>
      </w:r>
      <w:r w:rsidRPr="001D563F">
        <w:rPr>
          <w:rFonts w:cstheme="majorBidi"/>
          <w:b/>
          <w:bCs/>
          <w:noProof/>
        </w:rPr>
        <w:noBreakHyphen/>
        <w:t>2</w:t>
      </w:r>
      <w:r w:rsidRPr="001D563F">
        <w:rPr>
          <w:rFonts w:cstheme="majorBidi"/>
          <w:noProof/>
        </w:rPr>
        <w:t xml:space="preserve"> The EDX analysis of the salt.</w:t>
      </w:r>
      <w:r>
        <w:rPr>
          <w:noProof/>
        </w:rPr>
        <w:tab/>
      </w:r>
      <w:r>
        <w:rPr>
          <w:noProof/>
        </w:rPr>
        <w:fldChar w:fldCharType="begin"/>
      </w:r>
      <w:r>
        <w:rPr>
          <w:noProof/>
        </w:rPr>
        <w:instrText xml:space="preserve"> PAGEREF _Toc172708775 \h </w:instrText>
      </w:r>
      <w:r>
        <w:rPr>
          <w:noProof/>
        </w:rPr>
      </w:r>
      <w:r>
        <w:rPr>
          <w:noProof/>
        </w:rPr>
        <w:fldChar w:fldCharType="separate"/>
      </w:r>
      <w:r w:rsidR="00732AAC">
        <w:rPr>
          <w:noProof/>
        </w:rPr>
        <w:t>37</w:t>
      </w:r>
      <w:r>
        <w:rPr>
          <w:noProof/>
        </w:rPr>
        <w:fldChar w:fldCharType="end"/>
      </w:r>
    </w:p>
    <w:p w14:paraId="4BA6E3A4" w14:textId="26A539A9" w:rsidR="00D56DF6" w:rsidRDefault="00D56DF6">
      <w:pPr>
        <w:pStyle w:val="TableofFigures"/>
        <w:tabs>
          <w:tab w:val="right" w:leader="dot" w:pos="9350"/>
        </w:tabs>
        <w:rPr>
          <w:rFonts w:asciiTheme="minorHAnsi" w:eastAsiaTheme="minorEastAsia" w:hAnsiTheme="minorHAnsi"/>
          <w:noProof/>
          <w:szCs w:val="24"/>
        </w:rPr>
      </w:pPr>
      <w:r w:rsidRPr="001D563F">
        <w:rPr>
          <w:b/>
          <w:bCs/>
          <w:noProof/>
        </w:rPr>
        <w:t xml:space="preserve">Table </w:t>
      </w:r>
      <w:r w:rsidRPr="001D563F">
        <w:rPr>
          <w:rFonts w:hint="eastAsia"/>
          <w:b/>
          <w:bCs/>
          <w:noProof/>
          <w:cs/>
        </w:rPr>
        <w:t>‎</w:t>
      </w:r>
      <w:r w:rsidRPr="001D563F">
        <w:rPr>
          <w:b/>
          <w:bCs/>
          <w:noProof/>
        </w:rPr>
        <w:t>3</w:t>
      </w:r>
      <w:r w:rsidRPr="001D563F">
        <w:rPr>
          <w:b/>
          <w:bCs/>
          <w:noProof/>
        </w:rPr>
        <w:noBreakHyphen/>
        <w:t>1</w:t>
      </w:r>
      <w:r w:rsidRPr="001D563F">
        <w:rPr>
          <w:rFonts w:cstheme="majorBidi"/>
          <w:noProof/>
        </w:rPr>
        <w:t xml:space="preserve"> Thermophysical properties of aqueous </w:t>
      </w:r>
      <w:r w:rsidRPr="001D563F">
        <w:rPr>
          <w:rFonts w:cstheme="majorBidi"/>
          <w:noProof/>
          <w:shd w:val="clear" w:color="auto" w:fill="FFFFFF" w:themeFill="background1"/>
        </w:rPr>
        <w:t>sodium chloride</w:t>
      </w:r>
      <w:r w:rsidRPr="001D563F">
        <w:rPr>
          <w:rFonts w:cstheme="majorBidi"/>
          <w:noProof/>
        </w:rPr>
        <w:t xml:space="preserve"> as a function of salinity </w:t>
      </w:r>
      <w:r w:rsidRPr="001D563F">
        <w:rPr>
          <w:rFonts w:cstheme="majorBidi"/>
          <w:i/>
          <w:iCs/>
          <w:noProof/>
        </w:rPr>
        <w:t>S</w:t>
      </w:r>
      <w:r w:rsidRPr="001D563F">
        <w:rPr>
          <w:rFonts w:cstheme="majorBidi"/>
          <w:noProof/>
        </w:rPr>
        <w:t xml:space="preserve"> (g/kg) [141–143]</w:t>
      </w:r>
      <w:r>
        <w:rPr>
          <w:noProof/>
        </w:rPr>
        <w:tab/>
      </w:r>
      <w:r>
        <w:rPr>
          <w:noProof/>
        </w:rPr>
        <w:fldChar w:fldCharType="begin"/>
      </w:r>
      <w:r>
        <w:rPr>
          <w:noProof/>
        </w:rPr>
        <w:instrText xml:space="preserve"> PAGEREF _Toc172708776 \h </w:instrText>
      </w:r>
      <w:r>
        <w:rPr>
          <w:noProof/>
        </w:rPr>
      </w:r>
      <w:r>
        <w:rPr>
          <w:noProof/>
        </w:rPr>
        <w:fldChar w:fldCharType="separate"/>
      </w:r>
      <w:r w:rsidR="00732AAC">
        <w:rPr>
          <w:noProof/>
        </w:rPr>
        <w:t>49</w:t>
      </w:r>
      <w:r>
        <w:rPr>
          <w:noProof/>
        </w:rPr>
        <w:fldChar w:fldCharType="end"/>
      </w:r>
    </w:p>
    <w:p w14:paraId="5C77F0DB" w14:textId="7840B9B4" w:rsidR="00D56DF6" w:rsidRDefault="00D56DF6">
      <w:pPr>
        <w:pStyle w:val="TableofFigures"/>
        <w:tabs>
          <w:tab w:val="right" w:leader="dot" w:pos="9350"/>
        </w:tabs>
        <w:rPr>
          <w:rFonts w:asciiTheme="minorHAnsi" w:eastAsiaTheme="minorEastAsia" w:hAnsiTheme="minorHAnsi"/>
          <w:noProof/>
          <w:szCs w:val="24"/>
        </w:rPr>
      </w:pPr>
      <w:r w:rsidRPr="001D563F">
        <w:rPr>
          <w:rFonts w:cstheme="majorBidi"/>
          <w:b/>
          <w:bCs/>
          <w:noProof/>
        </w:rPr>
        <w:t xml:space="preserve">Table </w:t>
      </w:r>
      <w:r w:rsidRPr="001D563F">
        <w:rPr>
          <w:rFonts w:cstheme="majorBidi" w:hint="eastAsia"/>
          <w:b/>
          <w:bCs/>
          <w:noProof/>
          <w:cs/>
        </w:rPr>
        <w:t>‎</w:t>
      </w:r>
      <w:r w:rsidRPr="001D563F">
        <w:rPr>
          <w:rFonts w:cstheme="majorBidi"/>
          <w:b/>
          <w:bCs/>
          <w:noProof/>
        </w:rPr>
        <w:t>4</w:t>
      </w:r>
      <w:r w:rsidRPr="001D563F">
        <w:rPr>
          <w:rFonts w:cstheme="majorBidi"/>
          <w:b/>
          <w:bCs/>
          <w:noProof/>
        </w:rPr>
        <w:noBreakHyphen/>
        <w:t>1</w:t>
      </w:r>
      <w:r w:rsidRPr="001D563F">
        <w:rPr>
          <w:rFonts w:eastAsia="MS Mincho" w:cstheme="majorBidi"/>
          <w:noProof/>
          <w:spacing w:val="-3"/>
        </w:rPr>
        <w:t xml:space="preserve"> The estimated values of sensible and latent heat components of the brine freezing and the heat gain during the freezing process for multiple feed brine salinities</w:t>
      </w:r>
      <w:r>
        <w:rPr>
          <w:noProof/>
        </w:rPr>
        <w:tab/>
      </w:r>
      <w:r>
        <w:rPr>
          <w:noProof/>
        </w:rPr>
        <w:fldChar w:fldCharType="begin"/>
      </w:r>
      <w:r>
        <w:rPr>
          <w:noProof/>
        </w:rPr>
        <w:instrText xml:space="preserve"> PAGEREF _Toc172708777 \h </w:instrText>
      </w:r>
      <w:r>
        <w:rPr>
          <w:noProof/>
        </w:rPr>
      </w:r>
      <w:r>
        <w:rPr>
          <w:noProof/>
        </w:rPr>
        <w:fldChar w:fldCharType="separate"/>
      </w:r>
      <w:r w:rsidR="00732AAC">
        <w:rPr>
          <w:noProof/>
        </w:rPr>
        <w:t>59</w:t>
      </w:r>
      <w:r>
        <w:rPr>
          <w:noProof/>
        </w:rPr>
        <w:fldChar w:fldCharType="end"/>
      </w:r>
    </w:p>
    <w:p w14:paraId="005FD914" w14:textId="2258AB24" w:rsidR="00D56DF6" w:rsidRDefault="00D56DF6">
      <w:pPr>
        <w:pStyle w:val="TableofFigures"/>
        <w:tabs>
          <w:tab w:val="right" w:leader="dot" w:pos="9350"/>
        </w:tabs>
        <w:rPr>
          <w:rFonts w:asciiTheme="minorHAnsi" w:eastAsiaTheme="minorEastAsia" w:hAnsiTheme="minorHAnsi"/>
          <w:noProof/>
          <w:szCs w:val="24"/>
        </w:rPr>
      </w:pPr>
      <w:r w:rsidRPr="001D563F">
        <w:rPr>
          <w:b/>
          <w:bCs/>
          <w:noProof/>
        </w:rPr>
        <w:t xml:space="preserve">Table </w:t>
      </w:r>
      <w:r w:rsidRPr="001D563F">
        <w:rPr>
          <w:rFonts w:hint="eastAsia"/>
          <w:b/>
          <w:bCs/>
          <w:noProof/>
          <w:cs/>
        </w:rPr>
        <w:t>‎</w:t>
      </w:r>
      <w:r w:rsidRPr="001D563F">
        <w:rPr>
          <w:b/>
          <w:bCs/>
          <w:noProof/>
        </w:rPr>
        <w:t>4</w:t>
      </w:r>
      <w:r w:rsidRPr="001D563F">
        <w:rPr>
          <w:b/>
          <w:bCs/>
          <w:noProof/>
        </w:rPr>
        <w:noBreakHyphen/>
        <w:t>2</w:t>
      </w:r>
      <w:r w:rsidRPr="001D563F">
        <w:rPr>
          <w:rFonts w:cstheme="majorBidi"/>
          <w:noProof/>
          <w:spacing w:val="-3"/>
        </w:rPr>
        <w:t xml:space="preserve"> The experimental recovery ratio (</w:t>
      </w:r>
      <m:oMath>
        <m:sSub>
          <m:sSubPr>
            <m:ctrlPr>
              <w:rPr>
                <w:rFonts w:ascii="Cambria Math" w:hAnsi="Cambria Math" w:cstheme="majorBidi"/>
                <w:i/>
                <w:noProof/>
                <w:spacing w:val="-3"/>
              </w:rPr>
            </m:ctrlPr>
          </m:sSubPr>
          <m:e>
            <m:r>
              <m:rPr>
                <m:sty m:val="p"/>
              </m:rPr>
              <w:rPr>
                <w:rFonts w:ascii="Cambria Math" w:hAnsi="Cambria Math" w:cstheme="majorBidi"/>
                <w:noProof/>
                <w:spacing w:val="-3"/>
              </w:rPr>
              <m:t>R</m:t>
            </m:r>
          </m:e>
          <m:sub>
            <m:r>
              <m:rPr>
                <m:sty m:val="p"/>
              </m:rPr>
              <w:rPr>
                <w:rFonts w:ascii="Cambria Math" w:hAnsi="Cambria Math" w:cstheme="majorBidi"/>
                <w:noProof/>
                <w:spacing w:val="-3"/>
              </w:rPr>
              <m:t>ex</m:t>
            </m:r>
          </m:sub>
        </m:sSub>
      </m:oMath>
      <w:r w:rsidRPr="001D563F">
        <w:rPr>
          <w:rFonts w:cstheme="majorBidi"/>
          <w:noProof/>
          <w:spacing w:val="-3"/>
        </w:rPr>
        <w:t>), TDS of the treated water (</w:t>
      </w:r>
      <m:oMath>
        <m:sSub>
          <m:sSubPr>
            <m:ctrlPr>
              <w:rPr>
                <w:rFonts w:ascii="Cambria Math" w:hAnsi="Cambria Math" w:cstheme="majorBidi"/>
                <w:noProof/>
                <w:spacing w:val="-3"/>
              </w:rPr>
            </m:ctrlPr>
          </m:sSubPr>
          <m:e>
            <m:r>
              <m:rPr>
                <m:sty m:val="p"/>
              </m:rPr>
              <w:rPr>
                <w:rFonts w:ascii="Cambria Math" w:hAnsi="Cambria Math" w:cstheme="majorBidi"/>
                <w:noProof/>
                <w:spacing w:val="-3"/>
              </w:rPr>
              <m:t>TDS</m:t>
            </m:r>
          </m:e>
          <m:sub>
            <m:r>
              <m:rPr>
                <m:sty m:val="p"/>
              </m:rPr>
              <w:rPr>
                <w:rFonts w:ascii="Cambria Math" w:hAnsi="Cambria Math" w:cstheme="majorBidi"/>
                <w:noProof/>
                <w:spacing w:val="-3"/>
              </w:rPr>
              <m:t>tw</m:t>
            </m:r>
          </m:sub>
        </m:sSub>
      </m:oMath>
      <w:r w:rsidRPr="001D563F">
        <w:rPr>
          <w:rFonts w:cstheme="majorBidi"/>
          <w:noProof/>
          <w:spacing w:val="-3"/>
        </w:rPr>
        <w:t>), and desalination rate</w:t>
      </w:r>
      <w:r w:rsidRPr="001D563F">
        <w:rPr>
          <w:rFonts w:cstheme="majorBidi"/>
          <w:iCs/>
          <w:noProof/>
          <w:spacing w:val="-3"/>
        </w:rPr>
        <w:t xml:space="preserve"> (</w:t>
      </w:r>
      <m:oMath>
        <m:r>
          <m:rPr>
            <m:sty m:val="p"/>
          </m:rPr>
          <w:rPr>
            <w:rFonts w:ascii="Cambria Math" w:hAnsi="Cambria Math" w:cstheme="majorBidi"/>
            <w:noProof/>
            <w:spacing w:val="-3"/>
          </w:rPr>
          <m:t>η</m:t>
        </m:r>
      </m:oMath>
      <w:r w:rsidRPr="001D563F">
        <w:rPr>
          <w:rFonts w:cstheme="majorBidi"/>
          <w:noProof/>
          <w:spacing w:val="-3"/>
        </w:rPr>
        <w:t>) for a feed brine TDS of 70,000 ppm and cooling temperature of -17°C for various centrifugation durations (</w:t>
      </w:r>
      <m:oMath>
        <m:sSub>
          <m:sSubPr>
            <m:ctrlPr>
              <w:rPr>
                <w:rFonts w:ascii="Cambria Math" w:hAnsi="Cambria Math" w:cstheme="majorBidi"/>
                <w:i/>
                <w:noProof/>
                <w:spacing w:val="-3"/>
              </w:rPr>
            </m:ctrlPr>
          </m:sSubPr>
          <m:e>
            <m:r>
              <m:rPr>
                <m:sty m:val="p"/>
              </m:rPr>
              <w:rPr>
                <w:rFonts w:ascii="Cambria Math" w:hAnsi="Cambria Math" w:cstheme="majorBidi"/>
                <w:noProof/>
                <w:spacing w:val="-3"/>
              </w:rPr>
              <m:t>t</m:t>
            </m:r>
          </m:e>
          <m:sub>
            <m:r>
              <m:rPr>
                <m:sty m:val="p"/>
              </m:rPr>
              <w:rPr>
                <w:rFonts w:ascii="Cambria Math" w:hAnsi="Cambria Math" w:cstheme="majorBidi"/>
                <w:noProof/>
                <w:spacing w:val="-3"/>
              </w:rPr>
              <m:t>cent</m:t>
            </m:r>
          </m:sub>
        </m:sSub>
      </m:oMath>
      <w:r w:rsidRPr="001D563F">
        <w:rPr>
          <w:rFonts w:cstheme="majorBidi"/>
          <w:noProof/>
          <w:spacing w:val="-3"/>
        </w:rPr>
        <w:t>).</w:t>
      </w:r>
      <w:r>
        <w:rPr>
          <w:noProof/>
        </w:rPr>
        <w:tab/>
      </w:r>
      <w:r>
        <w:rPr>
          <w:noProof/>
        </w:rPr>
        <w:fldChar w:fldCharType="begin"/>
      </w:r>
      <w:r>
        <w:rPr>
          <w:noProof/>
        </w:rPr>
        <w:instrText xml:space="preserve"> PAGEREF _Toc172708778 \h </w:instrText>
      </w:r>
      <w:r>
        <w:rPr>
          <w:noProof/>
        </w:rPr>
      </w:r>
      <w:r>
        <w:rPr>
          <w:noProof/>
        </w:rPr>
        <w:fldChar w:fldCharType="separate"/>
      </w:r>
      <w:r w:rsidR="00732AAC">
        <w:rPr>
          <w:noProof/>
        </w:rPr>
        <w:t>61</w:t>
      </w:r>
      <w:r>
        <w:rPr>
          <w:noProof/>
        </w:rPr>
        <w:fldChar w:fldCharType="end"/>
      </w:r>
    </w:p>
    <w:p w14:paraId="78178DBC" w14:textId="2826FA73" w:rsidR="00D56DF6" w:rsidRDefault="00D56DF6">
      <w:pPr>
        <w:pStyle w:val="TableofFigures"/>
        <w:tabs>
          <w:tab w:val="right" w:leader="dot" w:pos="9350"/>
        </w:tabs>
        <w:rPr>
          <w:rFonts w:asciiTheme="minorHAnsi" w:eastAsiaTheme="minorEastAsia" w:hAnsiTheme="minorHAnsi"/>
          <w:noProof/>
          <w:szCs w:val="24"/>
        </w:rPr>
      </w:pPr>
      <w:r w:rsidRPr="001D563F">
        <w:rPr>
          <w:b/>
          <w:bCs/>
          <w:noProof/>
        </w:rPr>
        <w:t xml:space="preserve">Table </w:t>
      </w:r>
      <w:r w:rsidRPr="001D563F">
        <w:rPr>
          <w:rFonts w:hint="eastAsia"/>
          <w:b/>
          <w:bCs/>
          <w:noProof/>
          <w:cs/>
        </w:rPr>
        <w:t>‎</w:t>
      </w:r>
      <w:r w:rsidRPr="001D563F">
        <w:rPr>
          <w:b/>
          <w:bCs/>
          <w:noProof/>
        </w:rPr>
        <w:t>5</w:t>
      </w:r>
      <w:r w:rsidRPr="001D563F">
        <w:rPr>
          <w:b/>
          <w:bCs/>
          <w:noProof/>
        </w:rPr>
        <w:noBreakHyphen/>
        <w:t>1</w:t>
      </w:r>
      <w:r w:rsidRPr="001D563F">
        <w:rPr>
          <w:rFonts w:cstheme="majorBidi"/>
          <w:noProof/>
        </w:rPr>
        <w:t xml:space="preserve"> The dimensionless parameters employed in the numerical simulation.</w:t>
      </w:r>
      <w:r>
        <w:rPr>
          <w:noProof/>
        </w:rPr>
        <w:tab/>
      </w:r>
      <w:r>
        <w:rPr>
          <w:noProof/>
        </w:rPr>
        <w:fldChar w:fldCharType="begin"/>
      </w:r>
      <w:r>
        <w:rPr>
          <w:noProof/>
        </w:rPr>
        <w:instrText xml:space="preserve"> PAGEREF _Toc172708779 \h </w:instrText>
      </w:r>
      <w:r>
        <w:rPr>
          <w:noProof/>
        </w:rPr>
      </w:r>
      <w:r>
        <w:rPr>
          <w:noProof/>
        </w:rPr>
        <w:fldChar w:fldCharType="separate"/>
      </w:r>
      <w:r w:rsidR="00732AAC">
        <w:rPr>
          <w:noProof/>
        </w:rPr>
        <w:t>90</w:t>
      </w:r>
      <w:r>
        <w:rPr>
          <w:noProof/>
        </w:rPr>
        <w:fldChar w:fldCharType="end"/>
      </w:r>
    </w:p>
    <w:p w14:paraId="3AA54B5A" w14:textId="3F314C03" w:rsidR="00D56DF6" w:rsidRDefault="00D56DF6">
      <w:pPr>
        <w:pStyle w:val="TableofFigures"/>
        <w:tabs>
          <w:tab w:val="right" w:leader="dot" w:pos="9350"/>
        </w:tabs>
        <w:rPr>
          <w:rFonts w:asciiTheme="minorHAnsi" w:eastAsiaTheme="minorEastAsia" w:hAnsiTheme="minorHAnsi"/>
          <w:noProof/>
          <w:szCs w:val="24"/>
        </w:rPr>
      </w:pPr>
      <w:r w:rsidRPr="001D563F">
        <w:rPr>
          <w:b/>
          <w:bCs/>
          <w:noProof/>
        </w:rPr>
        <w:t xml:space="preserve">Table </w:t>
      </w:r>
      <w:r w:rsidRPr="001D563F">
        <w:rPr>
          <w:rFonts w:hint="eastAsia"/>
          <w:b/>
          <w:bCs/>
          <w:noProof/>
          <w:cs/>
        </w:rPr>
        <w:t>‎</w:t>
      </w:r>
      <w:r w:rsidRPr="001D563F">
        <w:rPr>
          <w:b/>
          <w:bCs/>
          <w:noProof/>
        </w:rPr>
        <w:t>5</w:t>
      </w:r>
      <w:r w:rsidRPr="001D563F">
        <w:rPr>
          <w:b/>
          <w:bCs/>
          <w:noProof/>
        </w:rPr>
        <w:noBreakHyphen/>
        <w:t>2</w:t>
      </w:r>
      <w:r>
        <w:rPr>
          <w:noProof/>
        </w:rPr>
        <w:t xml:space="preserve"> </w:t>
      </w:r>
      <w:r w:rsidRPr="001D563F">
        <w:rPr>
          <w:rFonts w:eastAsiaTheme="minorEastAsia" w:cstheme="minorHAnsi"/>
          <w:noProof/>
        </w:rPr>
        <w:t xml:space="preserve">Comparison of equilibrium lateral position obtained from the current model with available data from the literature for </w:t>
      </w:r>
      <m:oMath>
        <m:r>
          <m:rPr>
            <m:sty m:val="p"/>
          </m:rPr>
          <w:rPr>
            <w:rFonts w:ascii="Cambria Math" w:eastAsiaTheme="minorEastAsia" w:hAnsi="Cambria Math" w:cstheme="minorHAnsi"/>
            <w:noProof/>
          </w:rPr>
          <m:t>Gr</m:t>
        </m:r>
      </m:oMath>
      <w:r w:rsidRPr="001D563F">
        <w:rPr>
          <w:rFonts w:eastAsiaTheme="minorEastAsia" w:cstheme="minorHAnsi"/>
          <w:noProof/>
        </w:rPr>
        <w:t xml:space="preserve"> = 1,000 and 2,000.</w:t>
      </w:r>
      <w:r>
        <w:rPr>
          <w:noProof/>
        </w:rPr>
        <w:tab/>
      </w:r>
      <w:r>
        <w:rPr>
          <w:noProof/>
        </w:rPr>
        <w:fldChar w:fldCharType="begin"/>
      </w:r>
      <w:r>
        <w:rPr>
          <w:noProof/>
        </w:rPr>
        <w:instrText xml:space="preserve"> PAGEREF _Toc172708780 \h </w:instrText>
      </w:r>
      <w:r>
        <w:rPr>
          <w:noProof/>
        </w:rPr>
      </w:r>
      <w:r>
        <w:rPr>
          <w:noProof/>
        </w:rPr>
        <w:fldChar w:fldCharType="separate"/>
      </w:r>
      <w:r w:rsidR="00732AAC">
        <w:rPr>
          <w:noProof/>
        </w:rPr>
        <w:t>99</w:t>
      </w:r>
      <w:r>
        <w:rPr>
          <w:noProof/>
        </w:rPr>
        <w:fldChar w:fldCharType="end"/>
      </w:r>
    </w:p>
    <w:p w14:paraId="5460B3EB" w14:textId="72488CB1" w:rsidR="007076A4" w:rsidRPr="004834D3" w:rsidRDefault="0096167E" w:rsidP="00D83446">
      <w:pPr>
        <w:spacing w:before="240" w:after="240" w:line="360" w:lineRule="auto"/>
        <w:rPr>
          <w:rFonts w:cstheme="majorBidi"/>
        </w:rPr>
      </w:pPr>
      <w:r>
        <w:rPr>
          <w:rFonts w:cstheme="majorBidi"/>
        </w:rPr>
        <w:fldChar w:fldCharType="end"/>
      </w:r>
    </w:p>
    <w:p w14:paraId="5204802E" w14:textId="77777777" w:rsidR="007076A4" w:rsidRPr="004834D3" w:rsidRDefault="007076A4" w:rsidP="004834D3">
      <w:pPr>
        <w:spacing w:line="360" w:lineRule="auto"/>
        <w:rPr>
          <w:rFonts w:cstheme="majorBidi"/>
        </w:rPr>
      </w:pPr>
    </w:p>
    <w:p w14:paraId="1A591891" w14:textId="77777777" w:rsidR="007076A4" w:rsidRPr="004834D3" w:rsidRDefault="007076A4" w:rsidP="004834D3">
      <w:pPr>
        <w:spacing w:line="360" w:lineRule="auto"/>
        <w:rPr>
          <w:rFonts w:cstheme="majorBidi"/>
        </w:rPr>
      </w:pPr>
    </w:p>
    <w:p w14:paraId="7257EF0B" w14:textId="77777777" w:rsidR="007076A4" w:rsidRPr="004834D3" w:rsidRDefault="007076A4" w:rsidP="004834D3">
      <w:pPr>
        <w:spacing w:line="360" w:lineRule="auto"/>
        <w:rPr>
          <w:rFonts w:cstheme="majorBidi"/>
        </w:rPr>
      </w:pPr>
    </w:p>
    <w:p w14:paraId="1DB6C03A" w14:textId="77777777" w:rsidR="007076A4" w:rsidRPr="004834D3" w:rsidRDefault="007076A4" w:rsidP="004834D3">
      <w:pPr>
        <w:spacing w:line="360" w:lineRule="auto"/>
        <w:rPr>
          <w:rFonts w:cstheme="majorBidi"/>
        </w:rPr>
      </w:pPr>
    </w:p>
    <w:p w14:paraId="22461AA4" w14:textId="77777777" w:rsidR="007076A4" w:rsidRPr="004834D3" w:rsidRDefault="007076A4" w:rsidP="004834D3">
      <w:pPr>
        <w:spacing w:line="360" w:lineRule="auto"/>
        <w:rPr>
          <w:rFonts w:cstheme="majorBidi"/>
        </w:rPr>
      </w:pPr>
    </w:p>
    <w:p w14:paraId="13541DC0" w14:textId="77777777" w:rsidR="007076A4" w:rsidRPr="004834D3" w:rsidRDefault="007076A4" w:rsidP="004834D3">
      <w:pPr>
        <w:spacing w:line="360" w:lineRule="auto"/>
        <w:rPr>
          <w:rFonts w:cstheme="majorBidi"/>
        </w:rPr>
      </w:pPr>
    </w:p>
    <w:p w14:paraId="090F0E13" w14:textId="77777777" w:rsidR="007076A4" w:rsidRPr="004834D3" w:rsidRDefault="007076A4" w:rsidP="004834D3">
      <w:pPr>
        <w:spacing w:line="360" w:lineRule="auto"/>
        <w:rPr>
          <w:rFonts w:cstheme="majorBidi"/>
        </w:rPr>
      </w:pPr>
    </w:p>
    <w:p w14:paraId="59B3958D" w14:textId="77777777" w:rsidR="00D56DF6" w:rsidRDefault="00EE1A6F" w:rsidP="0096167E">
      <w:pPr>
        <w:pStyle w:val="Heading1"/>
        <w:spacing w:before="480" w:after="240" w:line="480" w:lineRule="auto"/>
        <w:rPr>
          <w:noProof/>
        </w:rPr>
      </w:pPr>
      <w:bookmarkStart w:id="3" w:name="_Toc172367660"/>
      <w:r w:rsidRPr="00F95C99">
        <w:rPr>
          <w:sz w:val="28"/>
          <w:szCs w:val="28"/>
        </w:rPr>
        <w:lastRenderedPageBreak/>
        <w:t>List</w:t>
      </w:r>
      <w:r w:rsidR="005F3063" w:rsidRPr="00F95C99">
        <w:rPr>
          <w:sz w:val="28"/>
          <w:szCs w:val="28"/>
        </w:rPr>
        <w:t xml:space="preserve"> of Figures</w:t>
      </w:r>
      <w:bookmarkEnd w:id="3"/>
      <w:r w:rsidR="0096167E">
        <w:rPr>
          <w:sz w:val="28"/>
          <w:szCs w:val="28"/>
        </w:rPr>
        <w:fldChar w:fldCharType="begin"/>
      </w:r>
      <w:r w:rsidR="0096167E">
        <w:rPr>
          <w:sz w:val="28"/>
          <w:szCs w:val="28"/>
        </w:rPr>
        <w:instrText xml:space="preserve"> TOC \h \z \c "Fig." </w:instrText>
      </w:r>
      <w:r w:rsidR="0096167E">
        <w:rPr>
          <w:sz w:val="28"/>
          <w:szCs w:val="28"/>
        </w:rPr>
        <w:fldChar w:fldCharType="separate"/>
      </w:r>
    </w:p>
    <w:p w14:paraId="597D2307" w14:textId="1CD35E85" w:rsidR="00D56DF6" w:rsidRDefault="00000000">
      <w:pPr>
        <w:pStyle w:val="TableofFigures"/>
        <w:tabs>
          <w:tab w:val="right" w:leader="dot" w:pos="9350"/>
        </w:tabs>
        <w:rPr>
          <w:rFonts w:asciiTheme="minorHAnsi" w:eastAsiaTheme="minorEastAsia" w:hAnsiTheme="minorHAnsi"/>
          <w:noProof/>
          <w:szCs w:val="24"/>
        </w:rPr>
      </w:pPr>
      <w:hyperlink w:anchor="_Toc172708803"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1</w:t>
        </w:r>
        <w:r w:rsidR="00D56DF6" w:rsidRPr="00DC1691">
          <w:rPr>
            <w:rStyle w:val="Hyperlink"/>
            <w:rFonts w:cstheme="majorBidi"/>
            <w:noProof/>
          </w:rPr>
          <w:t xml:space="preserve"> Comparison of the specific energy consumption across various desalination technologies within their respective feed brine TDS ranges</w:t>
        </w:r>
        <w:r w:rsidR="00D56DF6">
          <w:rPr>
            <w:noProof/>
            <w:webHidden/>
          </w:rPr>
          <w:tab/>
        </w:r>
        <w:r w:rsidR="00D56DF6">
          <w:rPr>
            <w:noProof/>
            <w:webHidden/>
          </w:rPr>
          <w:fldChar w:fldCharType="begin"/>
        </w:r>
        <w:r w:rsidR="00D56DF6">
          <w:rPr>
            <w:noProof/>
            <w:webHidden/>
          </w:rPr>
          <w:instrText xml:space="preserve"> PAGEREF _Toc172708803 \h </w:instrText>
        </w:r>
        <w:r w:rsidR="00D56DF6">
          <w:rPr>
            <w:noProof/>
            <w:webHidden/>
          </w:rPr>
        </w:r>
        <w:r w:rsidR="00D56DF6">
          <w:rPr>
            <w:noProof/>
            <w:webHidden/>
          </w:rPr>
          <w:fldChar w:fldCharType="separate"/>
        </w:r>
        <w:r w:rsidR="00732AAC">
          <w:rPr>
            <w:noProof/>
            <w:webHidden/>
          </w:rPr>
          <w:t>6</w:t>
        </w:r>
        <w:r w:rsidR="00D56DF6">
          <w:rPr>
            <w:noProof/>
            <w:webHidden/>
          </w:rPr>
          <w:fldChar w:fldCharType="end"/>
        </w:r>
      </w:hyperlink>
    </w:p>
    <w:p w14:paraId="30B5B775" w14:textId="1DB6CEE3" w:rsidR="00D56DF6" w:rsidRDefault="00000000">
      <w:pPr>
        <w:pStyle w:val="TableofFigures"/>
        <w:tabs>
          <w:tab w:val="right" w:leader="dot" w:pos="9350"/>
        </w:tabs>
        <w:rPr>
          <w:rFonts w:asciiTheme="minorHAnsi" w:eastAsiaTheme="minorEastAsia" w:hAnsiTheme="minorHAnsi"/>
          <w:noProof/>
          <w:szCs w:val="24"/>
        </w:rPr>
      </w:pPr>
      <w:hyperlink w:anchor="_Toc172708804"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 xml:space="preserve">2 </w:t>
        </w:r>
        <w:r w:rsidR="00D56DF6" w:rsidRPr="00DC1691">
          <w:rPr>
            <w:rStyle w:val="Hyperlink"/>
            <w:noProof/>
          </w:rPr>
          <w:t xml:space="preserve">Different pressure-driven membrane processes </w:t>
        </w:r>
        <w:r w:rsidR="00D56DF6" w:rsidRPr="00DC1691">
          <w:rPr>
            <w:rStyle w:val="Hyperlink"/>
            <w:rFonts w:cstheme="majorBidi"/>
            <w:noProof/>
          </w:rPr>
          <w:t>[22]</w:t>
        </w:r>
        <w:r w:rsidR="00D56DF6">
          <w:rPr>
            <w:noProof/>
            <w:webHidden/>
          </w:rPr>
          <w:tab/>
        </w:r>
        <w:r w:rsidR="00D56DF6">
          <w:rPr>
            <w:noProof/>
            <w:webHidden/>
          </w:rPr>
          <w:fldChar w:fldCharType="begin"/>
        </w:r>
        <w:r w:rsidR="00D56DF6">
          <w:rPr>
            <w:noProof/>
            <w:webHidden/>
          </w:rPr>
          <w:instrText xml:space="preserve"> PAGEREF _Toc172708804 \h </w:instrText>
        </w:r>
        <w:r w:rsidR="00D56DF6">
          <w:rPr>
            <w:noProof/>
            <w:webHidden/>
          </w:rPr>
        </w:r>
        <w:r w:rsidR="00D56DF6">
          <w:rPr>
            <w:noProof/>
            <w:webHidden/>
          </w:rPr>
          <w:fldChar w:fldCharType="separate"/>
        </w:r>
        <w:r w:rsidR="00732AAC">
          <w:rPr>
            <w:noProof/>
            <w:webHidden/>
          </w:rPr>
          <w:t>7</w:t>
        </w:r>
        <w:r w:rsidR="00D56DF6">
          <w:rPr>
            <w:noProof/>
            <w:webHidden/>
          </w:rPr>
          <w:fldChar w:fldCharType="end"/>
        </w:r>
      </w:hyperlink>
    </w:p>
    <w:p w14:paraId="464BDD45" w14:textId="6902106D" w:rsidR="00D56DF6" w:rsidRDefault="00000000">
      <w:pPr>
        <w:pStyle w:val="TableofFigures"/>
        <w:tabs>
          <w:tab w:val="right" w:leader="dot" w:pos="9350"/>
        </w:tabs>
        <w:rPr>
          <w:rFonts w:asciiTheme="minorHAnsi" w:eastAsiaTheme="minorEastAsia" w:hAnsiTheme="minorHAnsi"/>
          <w:noProof/>
          <w:szCs w:val="24"/>
        </w:rPr>
      </w:pPr>
      <w:hyperlink w:anchor="_Toc172708805"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3</w:t>
        </w:r>
        <w:r w:rsidR="00D56DF6" w:rsidRPr="00DC1691">
          <w:rPr>
            <w:rStyle w:val="Hyperlink"/>
            <w:noProof/>
          </w:rPr>
          <w:t xml:space="preserve"> Osmosis process representation </w:t>
        </w:r>
        <w:r w:rsidR="00D56DF6" w:rsidRPr="00DC1691">
          <w:rPr>
            <w:rStyle w:val="Hyperlink"/>
            <w:rFonts w:cstheme="majorBidi"/>
            <w:noProof/>
          </w:rPr>
          <w:t>[32].</w:t>
        </w:r>
        <w:r w:rsidR="00D56DF6">
          <w:rPr>
            <w:noProof/>
            <w:webHidden/>
          </w:rPr>
          <w:tab/>
        </w:r>
        <w:r w:rsidR="00D56DF6">
          <w:rPr>
            <w:noProof/>
            <w:webHidden/>
          </w:rPr>
          <w:fldChar w:fldCharType="begin"/>
        </w:r>
        <w:r w:rsidR="00D56DF6">
          <w:rPr>
            <w:noProof/>
            <w:webHidden/>
          </w:rPr>
          <w:instrText xml:space="preserve"> PAGEREF _Toc172708805 \h </w:instrText>
        </w:r>
        <w:r w:rsidR="00D56DF6">
          <w:rPr>
            <w:noProof/>
            <w:webHidden/>
          </w:rPr>
        </w:r>
        <w:r w:rsidR="00D56DF6">
          <w:rPr>
            <w:noProof/>
            <w:webHidden/>
          </w:rPr>
          <w:fldChar w:fldCharType="separate"/>
        </w:r>
        <w:r w:rsidR="00732AAC">
          <w:rPr>
            <w:noProof/>
            <w:webHidden/>
          </w:rPr>
          <w:t>9</w:t>
        </w:r>
        <w:r w:rsidR="00D56DF6">
          <w:rPr>
            <w:noProof/>
            <w:webHidden/>
          </w:rPr>
          <w:fldChar w:fldCharType="end"/>
        </w:r>
      </w:hyperlink>
    </w:p>
    <w:p w14:paraId="67746AC5" w14:textId="3367EE9E" w:rsidR="00D56DF6" w:rsidRDefault="00000000">
      <w:pPr>
        <w:pStyle w:val="TableofFigures"/>
        <w:tabs>
          <w:tab w:val="right" w:leader="dot" w:pos="9350"/>
        </w:tabs>
        <w:rPr>
          <w:rFonts w:asciiTheme="minorHAnsi" w:eastAsiaTheme="minorEastAsia" w:hAnsiTheme="minorHAnsi"/>
          <w:noProof/>
          <w:szCs w:val="24"/>
        </w:rPr>
      </w:pPr>
      <w:hyperlink w:anchor="_Toc172708806"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4</w:t>
        </w:r>
        <w:r w:rsidR="00D56DF6" w:rsidRPr="00DC1691">
          <w:rPr>
            <w:rStyle w:val="Hyperlink"/>
            <w:noProof/>
          </w:rPr>
          <w:t xml:space="preserve"> </w:t>
        </w:r>
        <w:r w:rsidR="00D56DF6" w:rsidRPr="00DC1691">
          <w:rPr>
            <w:rStyle w:val="Hyperlink"/>
            <w:rFonts w:cstheme="majorBidi"/>
            <w:noProof/>
          </w:rPr>
          <w:t>A schematic diagram of FO [40].</w:t>
        </w:r>
        <w:r w:rsidR="00D56DF6">
          <w:rPr>
            <w:noProof/>
            <w:webHidden/>
          </w:rPr>
          <w:tab/>
        </w:r>
        <w:r w:rsidR="00D56DF6">
          <w:rPr>
            <w:noProof/>
            <w:webHidden/>
          </w:rPr>
          <w:fldChar w:fldCharType="begin"/>
        </w:r>
        <w:r w:rsidR="00D56DF6">
          <w:rPr>
            <w:noProof/>
            <w:webHidden/>
          </w:rPr>
          <w:instrText xml:space="preserve"> PAGEREF _Toc172708806 \h </w:instrText>
        </w:r>
        <w:r w:rsidR="00D56DF6">
          <w:rPr>
            <w:noProof/>
            <w:webHidden/>
          </w:rPr>
        </w:r>
        <w:r w:rsidR="00D56DF6">
          <w:rPr>
            <w:noProof/>
            <w:webHidden/>
          </w:rPr>
          <w:fldChar w:fldCharType="separate"/>
        </w:r>
        <w:r w:rsidR="00732AAC">
          <w:rPr>
            <w:noProof/>
            <w:webHidden/>
          </w:rPr>
          <w:t>10</w:t>
        </w:r>
        <w:r w:rsidR="00D56DF6">
          <w:rPr>
            <w:noProof/>
            <w:webHidden/>
          </w:rPr>
          <w:fldChar w:fldCharType="end"/>
        </w:r>
      </w:hyperlink>
    </w:p>
    <w:p w14:paraId="7830E513" w14:textId="0B396FE8" w:rsidR="00D56DF6" w:rsidRDefault="00000000">
      <w:pPr>
        <w:pStyle w:val="TableofFigures"/>
        <w:tabs>
          <w:tab w:val="right" w:leader="dot" w:pos="9350"/>
        </w:tabs>
        <w:rPr>
          <w:rFonts w:asciiTheme="minorHAnsi" w:eastAsiaTheme="minorEastAsia" w:hAnsiTheme="minorHAnsi"/>
          <w:noProof/>
          <w:szCs w:val="24"/>
        </w:rPr>
      </w:pPr>
      <w:hyperlink w:anchor="_Toc172708807"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5</w:t>
        </w:r>
        <w:r w:rsidR="00D56DF6" w:rsidRPr="00DC1691">
          <w:rPr>
            <w:rStyle w:val="Hyperlink"/>
            <w:noProof/>
          </w:rPr>
          <w:t xml:space="preserve"> Schematic of the MED desalination </w:t>
        </w:r>
        <w:r w:rsidR="00D56DF6" w:rsidRPr="00DC1691">
          <w:rPr>
            <w:rStyle w:val="Hyperlink"/>
            <w:rFonts w:cstheme="majorBidi"/>
            <w:noProof/>
          </w:rPr>
          <w:t>[30].</w:t>
        </w:r>
        <w:r w:rsidR="00D56DF6">
          <w:rPr>
            <w:noProof/>
            <w:webHidden/>
          </w:rPr>
          <w:tab/>
        </w:r>
        <w:r w:rsidR="00D56DF6">
          <w:rPr>
            <w:noProof/>
            <w:webHidden/>
          </w:rPr>
          <w:fldChar w:fldCharType="begin"/>
        </w:r>
        <w:r w:rsidR="00D56DF6">
          <w:rPr>
            <w:noProof/>
            <w:webHidden/>
          </w:rPr>
          <w:instrText xml:space="preserve"> PAGEREF _Toc172708807 \h </w:instrText>
        </w:r>
        <w:r w:rsidR="00D56DF6">
          <w:rPr>
            <w:noProof/>
            <w:webHidden/>
          </w:rPr>
        </w:r>
        <w:r w:rsidR="00D56DF6">
          <w:rPr>
            <w:noProof/>
            <w:webHidden/>
          </w:rPr>
          <w:fldChar w:fldCharType="separate"/>
        </w:r>
        <w:r w:rsidR="00732AAC">
          <w:rPr>
            <w:noProof/>
            <w:webHidden/>
          </w:rPr>
          <w:t>13</w:t>
        </w:r>
        <w:r w:rsidR="00D56DF6">
          <w:rPr>
            <w:noProof/>
            <w:webHidden/>
          </w:rPr>
          <w:fldChar w:fldCharType="end"/>
        </w:r>
      </w:hyperlink>
    </w:p>
    <w:p w14:paraId="06D0FE1F" w14:textId="10147B08" w:rsidR="00D56DF6" w:rsidRDefault="00000000">
      <w:pPr>
        <w:pStyle w:val="TableofFigures"/>
        <w:tabs>
          <w:tab w:val="right" w:leader="dot" w:pos="9350"/>
        </w:tabs>
        <w:rPr>
          <w:rFonts w:asciiTheme="minorHAnsi" w:eastAsiaTheme="minorEastAsia" w:hAnsiTheme="minorHAnsi"/>
          <w:noProof/>
          <w:szCs w:val="24"/>
        </w:rPr>
      </w:pPr>
      <w:hyperlink w:anchor="_Toc172708808"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1</w:t>
        </w:r>
        <w:r w:rsidR="00D56DF6" w:rsidRPr="00DC1691">
          <w:rPr>
            <w:rStyle w:val="Hyperlink"/>
            <w:b/>
            <w:bCs/>
            <w:noProof/>
          </w:rPr>
          <w:noBreakHyphen/>
          <w:t>6</w:t>
        </w:r>
        <w:r w:rsidR="00D56DF6" w:rsidRPr="00DC1691">
          <w:rPr>
            <w:rStyle w:val="Hyperlink"/>
            <w:noProof/>
          </w:rPr>
          <w:t xml:space="preserve"> Schematic of the MSF desalination </w:t>
        </w:r>
        <w:r w:rsidR="00D56DF6" w:rsidRPr="00DC1691">
          <w:rPr>
            <w:rStyle w:val="Hyperlink"/>
            <w:rFonts w:cstheme="majorBidi"/>
            <w:noProof/>
          </w:rPr>
          <w:t>[30]</w:t>
        </w:r>
        <w:r w:rsidR="00D56DF6">
          <w:rPr>
            <w:noProof/>
            <w:webHidden/>
          </w:rPr>
          <w:tab/>
        </w:r>
        <w:r w:rsidR="00D56DF6">
          <w:rPr>
            <w:noProof/>
            <w:webHidden/>
          </w:rPr>
          <w:fldChar w:fldCharType="begin"/>
        </w:r>
        <w:r w:rsidR="00D56DF6">
          <w:rPr>
            <w:noProof/>
            <w:webHidden/>
          </w:rPr>
          <w:instrText xml:space="preserve"> PAGEREF _Toc172708808 \h </w:instrText>
        </w:r>
        <w:r w:rsidR="00D56DF6">
          <w:rPr>
            <w:noProof/>
            <w:webHidden/>
          </w:rPr>
        </w:r>
        <w:r w:rsidR="00D56DF6">
          <w:rPr>
            <w:noProof/>
            <w:webHidden/>
          </w:rPr>
          <w:fldChar w:fldCharType="separate"/>
        </w:r>
        <w:r w:rsidR="00732AAC">
          <w:rPr>
            <w:noProof/>
            <w:webHidden/>
          </w:rPr>
          <w:t>14</w:t>
        </w:r>
        <w:r w:rsidR="00D56DF6">
          <w:rPr>
            <w:noProof/>
            <w:webHidden/>
          </w:rPr>
          <w:fldChar w:fldCharType="end"/>
        </w:r>
      </w:hyperlink>
    </w:p>
    <w:p w14:paraId="1AB19440" w14:textId="01BFB2D5" w:rsidR="00D56DF6" w:rsidRDefault="00000000">
      <w:pPr>
        <w:pStyle w:val="TableofFigures"/>
        <w:tabs>
          <w:tab w:val="right" w:leader="dot" w:pos="9350"/>
        </w:tabs>
        <w:rPr>
          <w:rFonts w:asciiTheme="minorHAnsi" w:eastAsiaTheme="minorEastAsia" w:hAnsiTheme="minorHAnsi"/>
          <w:noProof/>
          <w:szCs w:val="24"/>
        </w:rPr>
      </w:pPr>
      <w:hyperlink w:anchor="_Toc172708809"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2</w:t>
        </w:r>
        <w:r w:rsidR="00D56DF6" w:rsidRPr="00DC1691">
          <w:rPr>
            <w:rStyle w:val="Hyperlink"/>
            <w:b/>
            <w:bCs/>
            <w:noProof/>
          </w:rPr>
          <w:noBreakHyphen/>
          <w:t>1</w:t>
        </w:r>
        <w:r w:rsidR="00D56DF6" w:rsidRPr="00DC1691">
          <w:rPr>
            <w:rStyle w:val="Hyperlink"/>
            <w:rFonts w:cstheme="majorBidi"/>
            <w:noProof/>
            <w:spacing w:val="-3"/>
            <w:lang w:eastAsia="ja-JP"/>
          </w:rPr>
          <w:t xml:space="preserve"> (a) Experimental setup and (b) schematic view of it. The components in the schematic view: (1) brine tank, (2) brine spray nozzle, (3) freezing chamber, (4) ice grinder, (5) ice-liquid separation filter bag, (6) settling tank, (7) first brine-ICL separation filter, (8) ICL tank, (9) second brine-ICL separation filter, (10) heat exchanger, (11) flowmeter, (12) compressor, (13) condenser, (14) expansion valve.</w:t>
        </w:r>
        <w:r w:rsidR="00D56DF6">
          <w:rPr>
            <w:noProof/>
            <w:webHidden/>
          </w:rPr>
          <w:tab/>
        </w:r>
        <w:r w:rsidR="00D56DF6">
          <w:rPr>
            <w:noProof/>
            <w:webHidden/>
          </w:rPr>
          <w:fldChar w:fldCharType="begin"/>
        </w:r>
        <w:r w:rsidR="00D56DF6">
          <w:rPr>
            <w:noProof/>
            <w:webHidden/>
          </w:rPr>
          <w:instrText xml:space="preserve"> PAGEREF _Toc172708809 \h </w:instrText>
        </w:r>
        <w:r w:rsidR="00D56DF6">
          <w:rPr>
            <w:noProof/>
            <w:webHidden/>
          </w:rPr>
        </w:r>
        <w:r w:rsidR="00D56DF6">
          <w:rPr>
            <w:noProof/>
            <w:webHidden/>
          </w:rPr>
          <w:fldChar w:fldCharType="separate"/>
        </w:r>
        <w:r w:rsidR="00732AAC">
          <w:rPr>
            <w:noProof/>
            <w:webHidden/>
          </w:rPr>
          <w:t>30</w:t>
        </w:r>
        <w:r w:rsidR="00D56DF6">
          <w:rPr>
            <w:noProof/>
            <w:webHidden/>
          </w:rPr>
          <w:fldChar w:fldCharType="end"/>
        </w:r>
      </w:hyperlink>
    </w:p>
    <w:p w14:paraId="29911C70" w14:textId="4C485C4E" w:rsidR="00D56DF6" w:rsidRDefault="00000000">
      <w:pPr>
        <w:pStyle w:val="TableofFigures"/>
        <w:tabs>
          <w:tab w:val="right" w:leader="dot" w:pos="9350"/>
        </w:tabs>
        <w:rPr>
          <w:rFonts w:asciiTheme="minorHAnsi" w:eastAsiaTheme="minorEastAsia" w:hAnsiTheme="minorHAnsi"/>
          <w:noProof/>
          <w:szCs w:val="24"/>
        </w:rPr>
      </w:pPr>
      <w:hyperlink w:anchor="_Toc172708810"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2</w:t>
        </w:r>
        <w:r w:rsidR="00D56DF6" w:rsidRPr="00DC1691">
          <w:rPr>
            <w:rStyle w:val="Hyperlink"/>
            <w:b/>
            <w:bCs/>
            <w:noProof/>
          </w:rPr>
          <w:noBreakHyphen/>
          <w:t>2</w:t>
        </w:r>
        <w:r w:rsidR="00D56DF6" w:rsidRPr="00DC1691">
          <w:rPr>
            <w:rStyle w:val="Hyperlink"/>
            <w:rFonts w:cstheme="majorBidi"/>
            <w:noProof/>
          </w:rPr>
          <w:t xml:space="preserve"> The shell-and-tube heat exchanger and the ICL and refrigerant (R404-A) inlets and outlets.</w:t>
        </w:r>
        <w:r w:rsidR="00D56DF6">
          <w:rPr>
            <w:noProof/>
            <w:webHidden/>
          </w:rPr>
          <w:tab/>
        </w:r>
        <w:r w:rsidR="00D56DF6">
          <w:rPr>
            <w:noProof/>
            <w:webHidden/>
          </w:rPr>
          <w:fldChar w:fldCharType="begin"/>
        </w:r>
        <w:r w:rsidR="00D56DF6">
          <w:rPr>
            <w:noProof/>
            <w:webHidden/>
          </w:rPr>
          <w:instrText xml:space="preserve"> PAGEREF _Toc172708810 \h </w:instrText>
        </w:r>
        <w:r w:rsidR="00D56DF6">
          <w:rPr>
            <w:noProof/>
            <w:webHidden/>
          </w:rPr>
        </w:r>
        <w:r w:rsidR="00D56DF6">
          <w:rPr>
            <w:noProof/>
            <w:webHidden/>
          </w:rPr>
          <w:fldChar w:fldCharType="separate"/>
        </w:r>
        <w:r w:rsidR="00732AAC">
          <w:rPr>
            <w:noProof/>
            <w:webHidden/>
          </w:rPr>
          <w:t>35</w:t>
        </w:r>
        <w:r w:rsidR="00D56DF6">
          <w:rPr>
            <w:noProof/>
            <w:webHidden/>
          </w:rPr>
          <w:fldChar w:fldCharType="end"/>
        </w:r>
      </w:hyperlink>
    </w:p>
    <w:p w14:paraId="3EFCCF93" w14:textId="0ADFDD6A" w:rsidR="00D56DF6" w:rsidRDefault="00000000">
      <w:pPr>
        <w:pStyle w:val="TableofFigures"/>
        <w:tabs>
          <w:tab w:val="right" w:leader="dot" w:pos="9350"/>
        </w:tabs>
        <w:rPr>
          <w:rFonts w:asciiTheme="minorHAnsi" w:eastAsiaTheme="minorEastAsia" w:hAnsiTheme="minorHAnsi"/>
          <w:noProof/>
          <w:szCs w:val="24"/>
        </w:rPr>
      </w:pPr>
      <w:hyperlink w:anchor="_Toc172708811"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2</w:t>
        </w:r>
        <w:r w:rsidR="00D56DF6" w:rsidRPr="00DC1691">
          <w:rPr>
            <w:rStyle w:val="Hyperlink"/>
            <w:b/>
            <w:bCs/>
            <w:noProof/>
          </w:rPr>
          <w:noBreakHyphen/>
          <w:t>3</w:t>
        </w:r>
        <w:r w:rsidR="00D56DF6" w:rsidRPr="00DC1691">
          <w:rPr>
            <w:rStyle w:val="Hyperlink"/>
            <w:rFonts w:cstheme="majorBidi"/>
            <w:noProof/>
          </w:rPr>
          <w:t xml:space="preserve"> Scanning electron microscopy image of salt crystals.</w:t>
        </w:r>
        <w:r w:rsidR="00D56DF6">
          <w:rPr>
            <w:noProof/>
            <w:webHidden/>
          </w:rPr>
          <w:tab/>
        </w:r>
        <w:r w:rsidR="00D56DF6">
          <w:rPr>
            <w:noProof/>
            <w:webHidden/>
          </w:rPr>
          <w:fldChar w:fldCharType="begin"/>
        </w:r>
        <w:r w:rsidR="00D56DF6">
          <w:rPr>
            <w:noProof/>
            <w:webHidden/>
          </w:rPr>
          <w:instrText xml:space="preserve"> PAGEREF _Toc172708811 \h </w:instrText>
        </w:r>
        <w:r w:rsidR="00D56DF6">
          <w:rPr>
            <w:noProof/>
            <w:webHidden/>
          </w:rPr>
        </w:r>
        <w:r w:rsidR="00D56DF6">
          <w:rPr>
            <w:noProof/>
            <w:webHidden/>
          </w:rPr>
          <w:fldChar w:fldCharType="separate"/>
        </w:r>
        <w:r w:rsidR="00732AAC">
          <w:rPr>
            <w:noProof/>
            <w:webHidden/>
          </w:rPr>
          <w:t>36</w:t>
        </w:r>
        <w:r w:rsidR="00D56DF6">
          <w:rPr>
            <w:noProof/>
            <w:webHidden/>
          </w:rPr>
          <w:fldChar w:fldCharType="end"/>
        </w:r>
      </w:hyperlink>
    </w:p>
    <w:p w14:paraId="03B420E9" w14:textId="644FEA59" w:rsidR="00D56DF6" w:rsidRDefault="00000000">
      <w:pPr>
        <w:pStyle w:val="TableofFigures"/>
        <w:tabs>
          <w:tab w:val="right" w:leader="dot" w:pos="9350"/>
        </w:tabs>
        <w:rPr>
          <w:rFonts w:asciiTheme="minorHAnsi" w:eastAsiaTheme="minorEastAsia" w:hAnsiTheme="minorHAnsi"/>
          <w:noProof/>
          <w:szCs w:val="24"/>
        </w:rPr>
      </w:pPr>
      <w:hyperlink w:anchor="_Toc172708812"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2</w:t>
        </w:r>
        <w:r w:rsidR="00D56DF6" w:rsidRPr="00DC1691">
          <w:rPr>
            <w:rStyle w:val="Hyperlink"/>
            <w:b/>
            <w:bCs/>
            <w:noProof/>
          </w:rPr>
          <w:noBreakHyphen/>
          <w:t>4</w:t>
        </w:r>
        <w:r w:rsidR="00D56DF6" w:rsidRPr="00DC1691">
          <w:rPr>
            <w:rStyle w:val="Hyperlink"/>
            <w:noProof/>
          </w:rPr>
          <w:t xml:space="preserve"> </w:t>
        </w:r>
        <w:r w:rsidR="00D56DF6" w:rsidRPr="00DC1691">
          <w:rPr>
            <w:rStyle w:val="Hyperlink"/>
            <w:rFonts w:eastAsia="MS Mincho" w:cstheme="majorBidi"/>
            <w:noProof/>
          </w:rPr>
          <w:t>The (a) schematic [138] and (b) actual rotary separator.</w:t>
        </w:r>
        <w:r w:rsidR="00D56DF6">
          <w:rPr>
            <w:noProof/>
            <w:webHidden/>
          </w:rPr>
          <w:tab/>
        </w:r>
        <w:r w:rsidR="00D56DF6">
          <w:rPr>
            <w:noProof/>
            <w:webHidden/>
          </w:rPr>
          <w:fldChar w:fldCharType="begin"/>
        </w:r>
        <w:r w:rsidR="00D56DF6">
          <w:rPr>
            <w:noProof/>
            <w:webHidden/>
          </w:rPr>
          <w:instrText xml:space="preserve"> PAGEREF _Toc172708812 \h </w:instrText>
        </w:r>
        <w:r w:rsidR="00D56DF6">
          <w:rPr>
            <w:noProof/>
            <w:webHidden/>
          </w:rPr>
        </w:r>
        <w:r w:rsidR="00D56DF6">
          <w:rPr>
            <w:noProof/>
            <w:webHidden/>
          </w:rPr>
          <w:fldChar w:fldCharType="separate"/>
        </w:r>
        <w:r w:rsidR="00732AAC">
          <w:rPr>
            <w:noProof/>
            <w:webHidden/>
          </w:rPr>
          <w:t>40</w:t>
        </w:r>
        <w:r w:rsidR="00D56DF6">
          <w:rPr>
            <w:noProof/>
            <w:webHidden/>
          </w:rPr>
          <w:fldChar w:fldCharType="end"/>
        </w:r>
      </w:hyperlink>
    </w:p>
    <w:p w14:paraId="305F2A57" w14:textId="326ACECD" w:rsidR="00D56DF6" w:rsidRDefault="00000000">
      <w:pPr>
        <w:pStyle w:val="TableofFigures"/>
        <w:tabs>
          <w:tab w:val="right" w:leader="dot" w:pos="9350"/>
        </w:tabs>
        <w:rPr>
          <w:rFonts w:asciiTheme="minorHAnsi" w:eastAsiaTheme="minorEastAsia" w:hAnsiTheme="minorHAnsi"/>
          <w:noProof/>
          <w:szCs w:val="24"/>
        </w:rPr>
      </w:pPr>
      <w:hyperlink w:anchor="_Toc172708813"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3</w:t>
        </w:r>
        <w:r w:rsidR="00D56DF6" w:rsidRPr="00DC1691">
          <w:rPr>
            <w:rStyle w:val="Hyperlink"/>
            <w:b/>
            <w:bCs/>
            <w:noProof/>
          </w:rPr>
          <w:noBreakHyphen/>
          <w:t>1</w:t>
        </w:r>
        <w:r w:rsidR="00D56DF6" w:rsidRPr="00DC1691">
          <w:rPr>
            <w:rStyle w:val="Hyperlink"/>
            <w:rFonts w:cstheme="majorBidi"/>
            <w:noProof/>
          </w:rPr>
          <w:t xml:space="preserve"> Phase diagram of a binary salt-water solution [140].</w:t>
        </w:r>
        <w:r w:rsidR="00D56DF6">
          <w:rPr>
            <w:noProof/>
            <w:webHidden/>
          </w:rPr>
          <w:tab/>
        </w:r>
        <w:r w:rsidR="00D56DF6">
          <w:rPr>
            <w:noProof/>
            <w:webHidden/>
          </w:rPr>
          <w:fldChar w:fldCharType="begin"/>
        </w:r>
        <w:r w:rsidR="00D56DF6">
          <w:rPr>
            <w:noProof/>
            <w:webHidden/>
          </w:rPr>
          <w:instrText xml:space="preserve"> PAGEREF _Toc172708813 \h </w:instrText>
        </w:r>
        <w:r w:rsidR="00D56DF6">
          <w:rPr>
            <w:noProof/>
            <w:webHidden/>
          </w:rPr>
        </w:r>
        <w:r w:rsidR="00D56DF6">
          <w:rPr>
            <w:noProof/>
            <w:webHidden/>
          </w:rPr>
          <w:fldChar w:fldCharType="separate"/>
        </w:r>
        <w:r w:rsidR="00732AAC">
          <w:rPr>
            <w:noProof/>
            <w:webHidden/>
          </w:rPr>
          <w:t>45</w:t>
        </w:r>
        <w:r w:rsidR="00D56DF6">
          <w:rPr>
            <w:noProof/>
            <w:webHidden/>
          </w:rPr>
          <w:fldChar w:fldCharType="end"/>
        </w:r>
      </w:hyperlink>
    </w:p>
    <w:p w14:paraId="4DE81F13" w14:textId="0FEFE040" w:rsidR="00D56DF6" w:rsidRDefault="00000000">
      <w:pPr>
        <w:pStyle w:val="TableofFigures"/>
        <w:tabs>
          <w:tab w:val="right" w:leader="dot" w:pos="9350"/>
        </w:tabs>
        <w:rPr>
          <w:rFonts w:asciiTheme="minorHAnsi" w:eastAsiaTheme="minorEastAsia" w:hAnsiTheme="minorHAnsi"/>
          <w:noProof/>
          <w:szCs w:val="24"/>
        </w:rPr>
      </w:pPr>
      <w:hyperlink w:anchor="_Toc172708814"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3</w:t>
        </w:r>
        <w:r w:rsidR="00D56DF6" w:rsidRPr="00DC1691">
          <w:rPr>
            <w:rStyle w:val="Hyperlink"/>
            <w:b/>
            <w:bCs/>
            <w:noProof/>
          </w:rPr>
          <w:noBreakHyphen/>
          <w:t>2</w:t>
        </w:r>
        <w:r w:rsidR="00D56DF6" w:rsidRPr="00DC1691">
          <w:rPr>
            <w:rStyle w:val="Hyperlink"/>
            <w:rFonts w:cstheme="majorBidi"/>
            <w:noProof/>
          </w:rPr>
          <w:t xml:space="preserve"> Freezing chamber inlet and outlet streams.</w:t>
        </w:r>
        <w:r w:rsidR="00D56DF6">
          <w:rPr>
            <w:noProof/>
            <w:webHidden/>
          </w:rPr>
          <w:tab/>
        </w:r>
        <w:r w:rsidR="00D56DF6">
          <w:rPr>
            <w:noProof/>
            <w:webHidden/>
          </w:rPr>
          <w:fldChar w:fldCharType="begin"/>
        </w:r>
        <w:r w:rsidR="00D56DF6">
          <w:rPr>
            <w:noProof/>
            <w:webHidden/>
          </w:rPr>
          <w:instrText xml:space="preserve"> PAGEREF _Toc172708814 \h </w:instrText>
        </w:r>
        <w:r w:rsidR="00D56DF6">
          <w:rPr>
            <w:noProof/>
            <w:webHidden/>
          </w:rPr>
        </w:r>
        <w:r w:rsidR="00D56DF6">
          <w:rPr>
            <w:noProof/>
            <w:webHidden/>
          </w:rPr>
          <w:fldChar w:fldCharType="separate"/>
        </w:r>
        <w:r w:rsidR="00732AAC">
          <w:rPr>
            <w:noProof/>
            <w:webHidden/>
          </w:rPr>
          <w:t>46</w:t>
        </w:r>
        <w:r w:rsidR="00D56DF6">
          <w:rPr>
            <w:noProof/>
            <w:webHidden/>
          </w:rPr>
          <w:fldChar w:fldCharType="end"/>
        </w:r>
      </w:hyperlink>
    </w:p>
    <w:p w14:paraId="5CFD0314" w14:textId="7FA93412" w:rsidR="00D56DF6" w:rsidRDefault="00000000">
      <w:pPr>
        <w:pStyle w:val="TableofFigures"/>
        <w:tabs>
          <w:tab w:val="right" w:leader="dot" w:pos="9350"/>
        </w:tabs>
        <w:rPr>
          <w:rFonts w:asciiTheme="minorHAnsi" w:eastAsiaTheme="minorEastAsia" w:hAnsiTheme="minorHAnsi"/>
          <w:noProof/>
          <w:szCs w:val="24"/>
        </w:rPr>
      </w:pPr>
      <w:hyperlink w:anchor="_Toc172708815"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4</w:t>
        </w:r>
        <w:r w:rsidR="00D56DF6" w:rsidRPr="00DC1691">
          <w:rPr>
            <w:rStyle w:val="Hyperlink"/>
            <w:b/>
            <w:bCs/>
            <w:noProof/>
          </w:rPr>
          <w:noBreakHyphen/>
          <w:t>1</w:t>
        </w:r>
        <w:r w:rsidR="00D56DF6" w:rsidRPr="00DC1691">
          <w:rPr>
            <w:rStyle w:val="Hyperlink"/>
            <w:rFonts w:cstheme="majorBidi"/>
            <w:noProof/>
            <w:spacing w:val="-3"/>
          </w:rPr>
          <w:t xml:space="preserve"> Produced ice after centrifugal brine draining.</w:t>
        </w:r>
        <w:r w:rsidR="00D56DF6">
          <w:rPr>
            <w:noProof/>
            <w:webHidden/>
          </w:rPr>
          <w:tab/>
        </w:r>
        <w:r w:rsidR="00D56DF6">
          <w:rPr>
            <w:noProof/>
            <w:webHidden/>
          </w:rPr>
          <w:fldChar w:fldCharType="begin"/>
        </w:r>
        <w:r w:rsidR="00D56DF6">
          <w:rPr>
            <w:noProof/>
            <w:webHidden/>
          </w:rPr>
          <w:instrText xml:space="preserve"> PAGEREF _Toc172708815 \h </w:instrText>
        </w:r>
        <w:r w:rsidR="00D56DF6">
          <w:rPr>
            <w:noProof/>
            <w:webHidden/>
          </w:rPr>
        </w:r>
        <w:r w:rsidR="00D56DF6">
          <w:rPr>
            <w:noProof/>
            <w:webHidden/>
          </w:rPr>
          <w:fldChar w:fldCharType="separate"/>
        </w:r>
        <w:r w:rsidR="00732AAC">
          <w:rPr>
            <w:noProof/>
            <w:webHidden/>
          </w:rPr>
          <w:t>54</w:t>
        </w:r>
        <w:r w:rsidR="00D56DF6">
          <w:rPr>
            <w:noProof/>
            <w:webHidden/>
          </w:rPr>
          <w:fldChar w:fldCharType="end"/>
        </w:r>
      </w:hyperlink>
    </w:p>
    <w:p w14:paraId="716BF4AC" w14:textId="38196DA4" w:rsidR="00D56DF6" w:rsidRDefault="00000000">
      <w:pPr>
        <w:pStyle w:val="TableofFigures"/>
        <w:tabs>
          <w:tab w:val="right" w:leader="dot" w:pos="9350"/>
        </w:tabs>
        <w:rPr>
          <w:rFonts w:asciiTheme="minorHAnsi" w:eastAsiaTheme="minorEastAsia" w:hAnsiTheme="minorHAnsi"/>
          <w:noProof/>
          <w:szCs w:val="24"/>
        </w:rPr>
      </w:pPr>
      <w:hyperlink w:anchor="_Toc172708816"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4</w:t>
        </w:r>
        <w:r w:rsidR="00D56DF6" w:rsidRPr="00DC1691">
          <w:rPr>
            <w:rStyle w:val="Hyperlink"/>
            <w:b/>
            <w:bCs/>
            <w:noProof/>
          </w:rPr>
          <w:noBreakHyphen/>
          <w:t>2</w:t>
        </w:r>
        <w:r w:rsidR="00D56DF6" w:rsidRPr="00DC1691">
          <w:rPr>
            <w:rStyle w:val="Hyperlink"/>
            <w:rFonts w:cstheme="majorBidi"/>
            <w:b/>
            <w:bCs/>
            <w:noProof/>
            <w:spacing w:val="-3"/>
            <w:shd w:val="clear" w:color="auto" w:fill="FFFFFF" w:themeFill="background1"/>
          </w:rPr>
          <w:t xml:space="preserve"> </w:t>
        </w:r>
        <w:r w:rsidR="00D56DF6" w:rsidRPr="00DC1691">
          <w:rPr>
            <w:rStyle w:val="Hyperlink"/>
            <w:rFonts w:eastAsia="MS Mincho" w:cstheme="majorBidi"/>
            <w:noProof/>
            <w:spacing w:val="-3"/>
          </w:rPr>
          <w:t>Theoretical (</w:t>
        </w:r>
        <m:oMath>
          <m:r>
            <w:rPr>
              <w:rStyle w:val="Hyperlink"/>
              <w:rFonts w:ascii="Cambria Math" w:hAnsi="Cambria Math" w:cstheme="majorBidi"/>
              <w:noProof/>
              <w:spacing w:val="-3"/>
              <w:shd w:val="clear" w:color="auto" w:fill="FFFFFF" w:themeFill="background1"/>
            </w:rPr>
            <m:t>R</m:t>
          </m:r>
          <m:r>
            <m:rPr>
              <m:sty m:val="p"/>
            </m:rPr>
            <w:rPr>
              <w:rStyle w:val="Hyperlink"/>
              <w:rFonts w:ascii="Cambria Math" w:hAnsi="Cambria Math" w:cstheme="majorBidi"/>
              <w:noProof/>
              <w:spacing w:val="-3"/>
              <w:shd w:val="clear" w:color="auto" w:fill="FFFFFF" w:themeFill="background1"/>
            </w:rPr>
            <m:t>th</m:t>
          </m:r>
        </m:oMath>
        <w:r w:rsidR="00D56DF6" w:rsidRPr="00DC1691">
          <w:rPr>
            <w:rStyle w:val="Hyperlink"/>
            <w:rFonts w:eastAsia="MS Mincho" w:cstheme="majorBidi"/>
            <w:noProof/>
            <w:spacing w:val="-3"/>
          </w:rPr>
          <w:t>) and experimental (</w:t>
        </w:r>
        <m:oMath>
          <m:sSub>
            <m:sSubPr>
              <m:ctrlPr>
                <w:rPr>
                  <w:rStyle w:val="Hyperlink"/>
                  <w:rFonts w:ascii="Cambria Math" w:hAnsi="Cambria Math" w:cstheme="majorBidi"/>
                  <w:i/>
                  <w:noProof/>
                  <w:spacing w:val="-3"/>
                  <w:shd w:val="clear" w:color="auto" w:fill="FFFFFF" w:themeFill="background1"/>
                </w:rPr>
              </m:ctrlPr>
            </m:sSubPr>
            <m:e>
              <m:r>
                <w:rPr>
                  <w:rStyle w:val="Hyperlink"/>
                  <w:rFonts w:ascii="Cambria Math" w:hAnsi="Cambria Math" w:cstheme="majorBidi"/>
                  <w:noProof/>
                  <w:spacing w:val="-3"/>
                  <w:shd w:val="clear" w:color="auto" w:fill="FFFFFF" w:themeFill="background1"/>
                </w:rPr>
                <m:t>R</m:t>
              </m:r>
            </m:e>
            <m:sub>
              <m:r>
                <m:rPr>
                  <m:sty m:val="p"/>
                </m:rPr>
                <w:rPr>
                  <w:rStyle w:val="Hyperlink"/>
                  <w:rFonts w:ascii="Cambria Math" w:hAnsi="Cambria Math" w:cstheme="majorBidi"/>
                  <w:noProof/>
                  <w:spacing w:val="-3"/>
                  <w:shd w:val="clear" w:color="auto" w:fill="FFFFFF" w:themeFill="background1"/>
                </w:rPr>
                <m:t>ex</m:t>
              </m:r>
            </m:sub>
          </m:sSub>
        </m:oMath>
        <w:r w:rsidR="00D56DF6" w:rsidRPr="00DC1691">
          <w:rPr>
            <w:rStyle w:val="Hyperlink"/>
            <w:rFonts w:eastAsia="MS Mincho" w:cstheme="majorBidi"/>
            <w:noProof/>
            <w:spacing w:val="-3"/>
          </w:rPr>
          <w:t>) recovery ratios, along with the corresponding TDS of the treated water (</w:t>
        </w:r>
        <w:r w:rsidR="00D56DF6" w:rsidRPr="00DC1691">
          <w:rPr>
            <w:rStyle w:val="Hyperlink"/>
            <w:rFonts w:cstheme="majorBidi"/>
            <w:noProof/>
            <w:spacing w:val="-3"/>
          </w:rPr>
          <w:t>TDS</w:t>
        </w:r>
        <w:r w:rsidR="00D56DF6" w:rsidRPr="00DC1691">
          <w:rPr>
            <w:rStyle w:val="Hyperlink"/>
            <w:rFonts w:cstheme="majorBidi"/>
            <w:noProof/>
            <w:spacing w:val="-3"/>
            <w:vertAlign w:val="subscript"/>
          </w:rPr>
          <w:t>tw</w:t>
        </w:r>
        <w:r w:rsidR="00D56DF6" w:rsidRPr="00DC1691">
          <w:rPr>
            <w:rStyle w:val="Hyperlink"/>
            <w:rFonts w:eastAsia="MS Mincho" w:cstheme="majorBidi"/>
            <w:noProof/>
            <w:spacing w:val="-3"/>
          </w:rPr>
          <w:t>), for feed brine with a TDS of 70,000 ppm and various cooling temperatures. The error bars are the overall measurement uncertainty.</w:t>
        </w:r>
        <w:r w:rsidR="00D56DF6">
          <w:rPr>
            <w:noProof/>
            <w:webHidden/>
          </w:rPr>
          <w:tab/>
        </w:r>
        <w:r w:rsidR="00D56DF6">
          <w:rPr>
            <w:noProof/>
            <w:webHidden/>
          </w:rPr>
          <w:fldChar w:fldCharType="begin"/>
        </w:r>
        <w:r w:rsidR="00D56DF6">
          <w:rPr>
            <w:noProof/>
            <w:webHidden/>
          </w:rPr>
          <w:instrText xml:space="preserve"> PAGEREF _Toc172708816 \h </w:instrText>
        </w:r>
        <w:r w:rsidR="00D56DF6">
          <w:rPr>
            <w:noProof/>
            <w:webHidden/>
          </w:rPr>
        </w:r>
        <w:r w:rsidR="00D56DF6">
          <w:rPr>
            <w:noProof/>
            <w:webHidden/>
          </w:rPr>
          <w:fldChar w:fldCharType="separate"/>
        </w:r>
        <w:r w:rsidR="00732AAC">
          <w:rPr>
            <w:noProof/>
            <w:webHidden/>
          </w:rPr>
          <w:t>55</w:t>
        </w:r>
        <w:r w:rsidR="00D56DF6">
          <w:rPr>
            <w:noProof/>
            <w:webHidden/>
          </w:rPr>
          <w:fldChar w:fldCharType="end"/>
        </w:r>
      </w:hyperlink>
    </w:p>
    <w:p w14:paraId="55966597" w14:textId="27594AD1" w:rsidR="00D56DF6" w:rsidRDefault="00000000">
      <w:pPr>
        <w:pStyle w:val="TableofFigures"/>
        <w:tabs>
          <w:tab w:val="right" w:leader="dot" w:pos="9350"/>
        </w:tabs>
        <w:rPr>
          <w:rFonts w:asciiTheme="minorHAnsi" w:eastAsiaTheme="minorEastAsia" w:hAnsiTheme="minorHAnsi"/>
          <w:noProof/>
          <w:szCs w:val="24"/>
        </w:rPr>
      </w:pPr>
      <w:hyperlink w:anchor="_Toc172708817"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4</w:t>
        </w:r>
        <w:r w:rsidR="00D56DF6" w:rsidRPr="00DC1691">
          <w:rPr>
            <w:rStyle w:val="Hyperlink"/>
            <w:b/>
            <w:bCs/>
            <w:noProof/>
          </w:rPr>
          <w:noBreakHyphen/>
          <w:t>3</w:t>
        </w:r>
        <w:r w:rsidR="00D56DF6" w:rsidRPr="00DC1691">
          <w:rPr>
            <w:rStyle w:val="Hyperlink"/>
            <w:noProof/>
          </w:rPr>
          <w:t xml:space="preserve"> </w:t>
        </w:r>
        <w:r w:rsidR="00D56DF6" w:rsidRPr="00DC1691">
          <w:rPr>
            <w:rStyle w:val="Hyperlink"/>
            <w:rFonts w:eastAsia="MS Mincho" w:cstheme="majorBidi"/>
            <w:noProof/>
            <w:spacing w:val="-3"/>
          </w:rPr>
          <w:t>Theoretical (</w:t>
        </w:r>
        <m:oMath>
          <m:sSub>
            <m:sSubPr>
              <m:ctrlPr>
                <w:rPr>
                  <w:rStyle w:val="Hyperlink"/>
                  <w:rFonts w:ascii="Cambria Math" w:hAnsi="Cambria Math" w:cstheme="majorBidi"/>
                  <w:i/>
                  <w:noProof/>
                  <w:spacing w:val="-3"/>
                  <w:shd w:val="clear" w:color="auto" w:fill="FFFFFF" w:themeFill="background1"/>
                </w:rPr>
              </m:ctrlPr>
            </m:sSubPr>
            <m:e>
              <m:r>
                <w:rPr>
                  <w:rStyle w:val="Hyperlink"/>
                  <w:rFonts w:ascii="Cambria Math" w:hAnsi="Cambria Math" w:cstheme="majorBidi"/>
                  <w:noProof/>
                  <w:spacing w:val="-3"/>
                  <w:shd w:val="clear" w:color="auto" w:fill="FFFFFF" w:themeFill="background1"/>
                </w:rPr>
                <m:t>R</m:t>
              </m:r>
            </m:e>
            <m:sub>
              <m:r>
                <m:rPr>
                  <m:sty m:val="p"/>
                </m:rPr>
                <w:rPr>
                  <w:rStyle w:val="Hyperlink"/>
                  <w:rFonts w:ascii="Cambria Math" w:hAnsi="Cambria Math" w:cstheme="majorBidi"/>
                  <w:noProof/>
                  <w:spacing w:val="-3"/>
                  <w:shd w:val="clear" w:color="auto" w:fill="FFFFFF" w:themeFill="background1"/>
                </w:rPr>
                <m:t>th</m:t>
              </m:r>
            </m:sub>
          </m:sSub>
        </m:oMath>
        <w:r w:rsidR="00D56DF6" w:rsidRPr="00DC1691">
          <w:rPr>
            <w:rStyle w:val="Hyperlink"/>
            <w:rFonts w:eastAsia="MS Mincho" w:cstheme="majorBidi"/>
            <w:noProof/>
            <w:spacing w:val="-3"/>
          </w:rPr>
          <w:t>) and experimental (</w:t>
        </w:r>
        <m:oMath>
          <m:sSub>
            <m:sSubPr>
              <m:ctrlPr>
                <w:rPr>
                  <w:rStyle w:val="Hyperlink"/>
                  <w:rFonts w:ascii="Cambria Math" w:hAnsi="Cambria Math" w:cstheme="majorBidi"/>
                  <w:i/>
                  <w:noProof/>
                  <w:spacing w:val="-3"/>
                  <w:shd w:val="clear" w:color="auto" w:fill="FFFFFF" w:themeFill="background1"/>
                </w:rPr>
              </m:ctrlPr>
            </m:sSubPr>
            <m:e>
              <m:r>
                <w:rPr>
                  <w:rStyle w:val="Hyperlink"/>
                  <w:rFonts w:ascii="Cambria Math" w:hAnsi="Cambria Math" w:cstheme="majorBidi"/>
                  <w:noProof/>
                  <w:spacing w:val="-3"/>
                  <w:shd w:val="clear" w:color="auto" w:fill="FFFFFF" w:themeFill="background1"/>
                </w:rPr>
                <m:t>R</m:t>
              </m:r>
            </m:e>
            <m:sub>
              <m:r>
                <m:rPr>
                  <m:sty m:val="p"/>
                </m:rPr>
                <w:rPr>
                  <w:rStyle w:val="Hyperlink"/>
                  <w:rFonts w:ascii="Cambria Math" w:hAnsi="Cambria Math" w:cstheme="majorBidi"/>
                  <w:noProof/>
                  <w:spacing w:val="-3"/>
                  <w:shd w:val="clear" w:color="auto" w:fill="FFFFFF" w:themeFill="background1"/>
                </w:rPr>
                <m:t>ex</m:t>
              </m:r>
            </m:sub>
          </m:sSub>
        </m:oMath>
        <w:r w:rsidR="00D56DF6" w:rsidRPr="00DC1691">
          <w:rPr>
            <w:rStyle w:val="Hyperlink"/>
            <w:rFonts w:eastAsia="MS Mincho" w:cstheme="majorBidi"/>
            <w:noProof/>
            <w:spacing w:val="-3"/>
          </w:rPr>
          <w:t>) recovery ratios, along with the corresponding TDS of the treated water (</w:t>
        </w:r>
        <w:r w:rsidR="00D56DF6" w:rsidRPr="00DC1691">
          <w:rPr>
            <w:rStyle w:val="Hyperlink"/>
            <w:rFonts w:cstheme="majorBidi"/>
            <w:noProof/>
            <w:spacing w:val="-3"/>
          </w:rPr>
          <w:t>TDS</w:t>
        </w:r>
        <w:r w:rsidR="00D56DF6" w:rsidRPr="00DC1691">
          <w:rPr>
            <w:rStyle w:val="Hyperlink"/>
            <w:rFonts w:cstheme="majorBidi"/>
            <w:noProof/>
            <w:spacing w:val="-3"/>
            <w:vertAlign w:val="subscript"/>
          </w:rPr>
          <w:t>tw</w:t>
        </w:r>
        <w:r w:rsidR="00D56DF6" w:rsidRPr="00DC1691">
          <w:rPr>
            <w:rStyle w:val="Hyperlink"/>
            <w:rFonts w:eastAsia="MS Mincho" w:cstheme="majorBidi"/>
            <w:noProof/>
            <w:spacing w:val="-3"/>
          </w:rPr>
          <w:t>), for a cooling temperature of -17°C across a range of feed brine salinities (</w:t>
        </w:r>
        <w:r w:rsidR="00D56DF6" w:rsidRPr="00DC1691">
          <w:rPr>
            <w:rStyle w:val="Hyperlink"/>
            <w:rFonts w:cstheme="majorBidi"/>
            <w:noProof/>
            <w:spacing w:val="-3"/>
          </w:rPr>
          <w:t>TDS</w:t>
        </w:r>
        <w:r w:rsidR="00D56DF6" w:rsidRPr="00DC1691">
          <w:rPr>
            <w:rStyle w:val="Hyperlink"/>
            <w:rFonts w:cstheme="majorBidi"/>
            <w:noProof/>
            <w:spacing w:val="-3"/>
            <w:vertAlign w:val="subscript"/>
          </w:rPr>
          <w:t>fb</w:t>
        </w:r>
        <w:r w:rsidR="00D56DF6" w:rsidRPr="00DC1691">
          <w:rPr>
            <w:rStyle w:val="Hyperlink"/>
            <w:rFonts w:eastAsia="MS Mincho" w:cstheme="majorBidi"/>
            <w:noProof/>
            <w:spacing w:val="-3"/>
          </w:rPr>
          <w:t>). The error bars indicate the overall uncertainty of the measurements.</w:t>
        </w:r>
        <w:r w:rsidR="00D56DF6">
          <w:rPr>
            <w:noProof/>
            <w:webHidden/>
          </w:rPr>
          <w:tab/>
        </w:r>
        <w:r w:rsidR="00D56DF6">
          <w:rPr>
            <w:noProof/>
            <w:webHidden/>
          </w:rPr>
          <w:fldChar w:fldCharType="begin"/>
        </w:r>
        <w:r w:rsidR="00D56DF6">
          <w:rPr>
            <w:noProof/>
            <w:webHidden/>
          </w:rPr>
          <w:instrText xml:space="preserve"> PAGEREF _Toc172708817 \h </w:instrText>
        </w:r>
        <w:r w:rsidR="00D56DF6">
          <w:rPr>
            <w:noProof/>
            <w:webHidden/>
          </w:rPr>
        </w:r>
        <w:r w:rsidR="00D56DF6">
          <w:rPr>
            <w:noProof/>
            <w:webHidden/>
          </w:rPr>
          <w:fldChar w:fldCharType="separate"/>
        </w:r>
        <w:r w:rsidR="00732AAC">
          <w:rPr>
            <w:noProof/>
            <w:webHidden/>
          </w:rPr>
          <w:t>57</w:t>
        </w:r>
        <w:r w:rsidR="00D56DF6">
          <w:rPr>
            <w:noProof/>
            <w:webHidden/>
          </w:rPr>
          <w:fldChar w:fldCharType="end"/>
        </w:r>
      </w:hyperlink>
    </w:p>
    <w:p w14:paraId="05C43C7B" w14:textId="0C32EDF6" w:rsidR="00D56DF6" w:rsidRDefault="00000000">
      <w:pPr>
        <w:pStyle w:val="TableofFigures"/>
        <w:tabs>
          <w:tab w:val="right" w:leader="dot" w:pos="9350"/>
        </w:tabs>
        <w:rPr>
          <w:rFonts w:asciiTheme="minorHAnsi" w:eastAsiaTheme="minorEastAsia" w:hAnsiTheme="minorHAnsi"/>
          <w:noProof/>
          <w:szCs w:val="24"/>
        </w:rPr>
      </w:pPr>
      <w:hyperlink w:anchor="_Toc172708818"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4</w:t>
        </w:r>
        <w:r w:rsidR="00D56DF6" w:rsidRPr="00DC1691">
          <w:rPr>
            <w:rStyle w:val="Hyperlink"/>
            <w:b/>
            <w:bCs/>
            <w:noProof/>
          </w:rPr>
          <w:noBreakHyphen/>
          <w:t>4</w:t>
        </w:r>
        <w:r w:rsidR="00D56DF6" w:rsidRPr="00DC1691">
          <w:rPr>
            <w:rStyle w:val="Hyperlink"/>
            <w:rFonts w:cstheme="majorBidi"/>
            <w:noProof/>
            <w:spacing w:val="-3"/>
          </w:rPr>
          <w:t xml:space="preserve"> </w:t>
        </w:r>
        <w:r w:rsidR="00D56DF6" w:rsidRPr="00DC1691">
          <w:rPr>
            <w:rStyle w:val="Hyperlink"/>
            <w:rFonts w:eastAsia="MS Mincho" w:cstheme="majorBidi"/>
            <w:noProof/>
            <w:spacing w:val="-3"/>
          </w:rPr>
          <w:t>Experimentally measured desalination rate (</w:t>
        </w:r>
        <m:oMath>
          <m:r>
            <w:rPr>
              <w:rStyle w:val="Hyperlink"/>
              <w:rFonts w:ascii="Cambria Math" w:eastAsia="MS Mincho" w:hAnsi="Cambria Math" w:cstheme="majorBidi"/>
              <w:noProof/>
              <w:spacing w:val="-3"/>
            </w:rPr>
            <m:t>η</m:t>
          </m:r>
        </m:oMath>
        <w:r w:rsidR="00D56DF6" w:rsidRPr="00DC1691">
          <w:rPr>
            <w:rStyle w:val="Hyperlink"/>
            <w:rFonts w:eastAsia="MS Mincho" w:cstheme="majorBidi"/>
            <w:noProof/>
            <w:spacing w:val="-3"/>
          </w:rPr>
          <w:t>) and recovery ratio (</w:t>
        </w:r>
        <m:oMath>
          <m:sSub>
            <m:sSubPr>
              <m:ctrlPr>
                <w:rPr>
                  <w:rStyle w:val="Hyperlink"/>
                  <w:rFonts w:ascii="Cambria Math" w:hAnsi="Cambria Math" w:cstheme="majorBidi"/>
                  <w:i/>
                  <w:noProof/>
                  <w:spacing w:val="-3"/>
                </w:rPr>
              </m:ctrlPr>
            </m:sSubPr>
            <m:e>
              <m:r>
                <w:rPr>
                  <w:rStyle w:val="Hyperlink"/>
                  <w:rFonts w:ascii="Cambria Math" w:hAnsi="Cambria Math" w:cstheme="majorBidi"/>
                  <w:noProof/>
                  <w:spacing w:val="-3"/>
                </w:rPr>
                <m:t>R</m:t>
              </m:r>
            </m:e>
            <m:sub>
              <m:r>
                <m:rPr>
                  <m:sty m:val="p"/>
                </m:rPr>
                <w:rPr>
                  <w:rStyle w:val="Hyperlink"/>
                  <w:rFonts w:ascii="Cambria Math" w:hAnsi="Cambria Math" w:cstheme="majorBidi"/>
                  <w:noProof/>
                  <w:spacing w:val="-3"/>
                </w:rPr>
                <m:t>ex</m:t>
              </m:r>
            </m:sub>
          </m:sSub>
        </m:oMath>
        <w:r w:rsidR="00D56DF6" w:rsidRPr="00DC1691">
          <w:rPr>
            <w:rStyle w:val="Hyperlink"/>
            <w:rFonts w:eastAsia="MS Mincho" w:cstheme="majorBidi"/>
            <w:noProof/>
            <w:spacing w:val="-3"/>
          </w:rPr>
          <w:t>) across various feed brine salinities (</w:t>
        </w:r>
        <w:r w:rsidR="00D56DF6" w:rsidRPr="00DC1691">
          <w:rPr>
            <w:rStyle w:val="Hyperlink"/>
            <w:rFonts w:cstheme="majorBidi"/>
            <w:noProof/>
            <w:spacing w:val="-3"/>
          </w:rPr>
          <w:t>TDS</w:t>
        </w:r>
        <w:r w:rsidR="00D56DF6" w:rsidRPr="00DC1691">
          <w:rPr>
            <w:rStyle w:val="Hyperlink"/>
            <w:rFonts w:cstheme="majorBidi"/>
            <w:noProof/>
            <w:spacing w:val="-3"/>
            <w:vertAlign w:val="subscript"/>
          </w:rPr>
          <w:t>fb</w:t>
        </w:r>
        <w:r w:rsidR="00D56DF6" w:rsidRPr="00DC1691">
          <w:rPr>
            <w:rStyle w:val="Hyperlink"/>
            <w:rFonts w:eastAsia="MS Mincho" w:cstheme="majorBidi"/>
            <w:noProof/>
            <w:spacing w:val="-3"/>
          </w:rPr>
          <w:t>) at a cooling temperature of -17°C. Error bars illustrate the overall measurement uncertainty.</w:t>
        </w:r>
        <w:r w:rsidR="00D56DF6">
          <w:rPr>
            <w:noProof/>
            <w:webHidden/>
          </w:rPr>
          <w:tab/>
        </w:r>
        <w:r w:rsidR="00D56DF6">
          <w:rPr>
            <w:noProof/>
            <w:webHidden/>
          </w:rPr>
          <w:fldChar w:fldCharType="begin"/>
        </w:r>
        <w:r w:rsidR="00D56DF6">
          <w:rPr>
            <w:noProof/>
            <w:webHidden/>
          </w:rPr>
          <w:instrText xml:space="preserve"> PAGEREF _Toc172708818 \h </w:instrText>
        </w:r>
        <w:r w:rsidR="00D56DF6">
          <w:rPr>
            <w:noProof/>
            <w:webHidden/>
          </w:rPr>
        </w:r>
        <w:r w:rsidR="00D56DF6">
          <w:rPr>
            <w:noProof/>
            <w:webHidden/>
          </w:rPr>
          <w:fldChar w:fldCharType="separate"/>
        </w:r>
        <w:r w:rsidR="00732AAC">
          <w:rPr>
            <w:noProof/>
            <w:webHidden/>
          </w:rPr>
          <w:t>60</w:t>
        </w:r>
        <w:r w:rsidR="00D56DF6">
          <w:rPr>
            <w:noProof/>
            <w:webHidden/>
          </w:rPr>
          <w:fldChar w:fldCharType="end"/>
        </w:r>
      </w:hyperlink>
    </w:p>
    <w:p w14:paraId="5451005E" w14:textId="574737DB" w:rsidR="00D56DF6" w:rsidRDefault="00000000">
      <w:pPr>
        <w:pStyle w:val="TableofFigures"/>
        <w:tabs>
          <w:tab w:val="right" w:leader="dot" w:pos="9350"/>
        </w:tabs>
        <w:rPr>
          <w:rFonts w:asciiTheme="minorHAnsi" w:eastAsiaTheme="minorEastAsia" w:hAnsiTheme="minorHAnsi"/>
          <w:noProof/>
          <w:szCs w:val="24"/>
        </w:rPr>
      </w:pPr>
      <w:hyperlink w:anchor="_Toc172708819"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4</w:t>
        </w:r>
        <w:r w:rsidR="00D56DF6" w:rsidRPr="00DC1691">
          <w:rPr>
            <w:rStyle w:val="Hyperlink"/>
            <w:b/>
            <w:bCs/>
            <w:noProof/>
          </w:rPr>
          <w:noBreakHyphen/>
          <w:t>5</w:t>
        </w:r>
        <w:r w:rsidR="00D56DF6" w:rsidRPr="00DC1691">
          <w:rPr>
            <w:rStyle w:val="Hyperlink"/>
            <w:rFonts w:cstheme="majorBidi"/>
            <w:noProof/>
            <w:spacing w:val="-3"/>
          </w:rPr>
          <w:t xml:space="preserve"> </w:t>
        </w:r>
        <w:r w:rsidR="00D56DF6" w:rsidRPr="00DC1691">
          <w:rPr>
            <w:rStyle w:val="Hyperlink"/>
            <w:rFonts w:cstheme="majorBidi"/>
            <w:noProof/>
            <w:spacing w:val="-3"/>
            <w:shd w:val="clear" w:color="auto" w:fill="FFFFFF" w:themeFill="background1"/>
          </w:rPr>
          <w:t>Experimental</w:t>
        </w:r>
        <w:r w:rsidR="00D56DF6" w:rsidRPr="00DC1691">
          <w:rPr>
            <w:rStyle w:val="Hyperlink"/>
            <w:rFonts w:cstheme="majorBidi"/>
            <w:noProof/>
            <w:spacing w:val="-3"/>
          </w:rPr>
          <w:t xml:space="preserve"> recovery ratio (</w:t>
        </w:r>
        <m:oMath>
          <m:sSub>
            <m:sSubPr>
              <m:ctrlPr>
                <w:rPr>
                  <w:rStyle w:val="Hyperlink"/>
                  <w:rFonts w:ascii="Cambria Math" w:hAnsi="Cambria Math" w:cstheme="majorBidi"/>
                  <w:i/>
                  <w:noProof/>
                  <w:spacing w:val="-3"/>
                </w:rPr>
              </m:ctrlPr>
            </m:sSubPr>
            <m:e>
              <m:r>
                <w:rPr>
                  <w:rStyle w:val="Hyperlink"/>
                  <w:rFonts w:ascii="Cambria Math" w:hAnsi="Cambria Math" w:cstheme="majorBidi"/>
                  <w:noProof/>
                  <w:spacing w:val="-3"/>
                </w:rPr>
                <m:t>R</m:t>
              </m:r>
            </m:e>
            <m:sub>
              <m:r>
                <m:rPr>
                  <m:sty m:val="p"/>
                </m:rPr>
                <w:rPr>
                  <w:rStyle w:val="Hyperlink"/>
                  <w:rFonts w:ascii="Cambria Math" w:hAnsi="Cambria Math" w:cstheme="majorBidi"/>
                  <w:noProof/>
                  <w:spacing w:val="-3"/>
                </w:rPr>
                <m:t>ex</m:t>
              </m:r>
            </m:sub>
          </m:sSub>
        </m:oMath>
        <w:r w:rsidR="00D56DF6" w:rsidRPr="00DC1691">
          <w:rPr>
            <w:rStyle w:val="Hyperlink"/>
            <w:rFonts w:cstheme="majorBidi"/>
            <w:noProof/>
            <w:spacing w:val="-3"/>
          </w:rPr>
          <w:t>) and the corresponding TDS of the treated water (TDS</w:t>
        </w:r>
        <w:r w:rsidR="00D56DF6" w:rsidRPr="00DC1691">
          <w:rPr>
            <w:rStyle w:val="Hyperlink"/>
            <w:rFonts w:cstheme="majorBidi"/>
            <w:noProof/>
            <w:spacing w:val="-3"/>
            <w:vertAlign w:val="subscript"/>
          </w:rPr>
          <w:t>tw</w:t>
        </w:r>
        <w:r w:rsidR="00D56DF6" w:rsidRPr="00DC1691">
          <w:rPr>
            <w:rStyle w:val="Hyperlink"/>
            <w:rFonts w:cstheme="majorBidi"/>
            <w:noProof/>
            <w:spacing w:val="-3"/>
          </w:rPr>
          <w:t>) for a feed brine with TDS</w:t>
        </w:r>
        <w:r w:rsidR="00D56DF6" w:rsidRPr="00DC1691">
          <w:rPr>
            <w:rStyle w:val="Hyperlink"/>
            <w:rFonts w:cstheme="majorBidi"/>
            <w:noProof/>
            <w:spacing w:val="-3"/>
            <w:vertAlign w:val="subscript"/>
          </w:rPr>
          <w:t>fb</w:t>
        </w:r>
        <w:r w:rsidR="00D56DF6" w:rsidRPr="00DC1691">
          <w:rPr>
            <w:rStyle w:val="Hyperlink"/>
            <w:rFonts w:cstheme="majorBidi"/>
            <w:noProof/>
            <w:spacing w:val="-3"/>
          </w:rPr>
          <w:t xml:space="preserve"> of 70,000 ppm at a cooling temperature of -17°C. Error bars indicate the overall measurement uncertainty.</w:t>
        </w:r>
        <w:r w:rsidR="00D56DF6">
          <w:rPr>
            <w:noProof/>
            <w:webHidden/>
          </w:rPr>
          <w:tab/>
        </w:r>
        <w:r w:rsidR="00D56DF6">
          <w:rPr>
            <w:noProof/>
            <w:webHidden/>
          </w:rPr>
          <w:fldChar w:fldCharType="begin"/>
        </w:r>
        <w:r w:rsidR="00D56DF6">
          <w:rPr>
            <w:noProof/>
            <w:webHidden/>
          </w:rPr>
          <w:instrText xml:space="preserve"> PAGEREF _Toc172708819 \h </w:instrText>
        </w:r>
        <w:r w:rsidR="00D56DF6">
          <w:rPr>
            <w:noProof/>
            <w:webHidden/>
          </w:rPr>
        </w:r>
        <w:r w:rsidR="00D56DF6">
          <w:rPr>
            <w:noProof/>
            <w:webHidden/>
          </w:rPr>
          <w:fldChar w:fldCharType="separate"/>
        </w:r>
        <w:r w:rsidR="00732AAC">
          <w:rPr>
            <w:noProof/>
            <w:webHidden/>
          </w:rPr>
          <w:t>62</w:t>
        </w:r>
        <w:r w:rsidR="00D56DF6">
          <w:rPr>
            <w:noProof/>
            <w:webHidden/>
          </w:rPr>
          <w:fldChar w:fldCharType="end"/>
        </w:r>
      </w:hyperlink>
    </w:p>
    <w:p w14:paraId="4287ED24" w14:textId="6701B88F" w:rsidR="00D56DF6" w:rsidRDefault="00000000">
      <w:pPr>
        <w:pStyle w:val="TableofFigures"/>
        <w:tabs>
          <w:tab w:val="right" w:leader="dot" w:pos="9350"/>
        </w:tabs>
        <w:rPr>
          <w:rFonts w:asciiTheme="minorHAnsi" w:eastAsiaTheme="minorEastAsia" w:hAnsiTheme="minorHAnsi"/>
          <w:noProof/>
          <w:szCs w:val="24"/>
        </w:rPr>
      </w:pPr>
      <w:hyperlink w:anchor="_Toc172708820"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1</w:t>
        </w:r>
        <w:r w:rsidR="00D56DF6" w:rsidRPr="00DC1691">
          <w:rPr>
            <w:rStyle w:val="Hyperlink"/>
            <w:noProof/>
          </w:rPr>
          <w:t xml:space="preserve"> Schematic</w:t>
        </w:r>
        <w:r w:rsidR="00D56DF6" w:rsidRPr="00DC1691">
          <w:rPr>
            <w:rStyle w:val="Hyperlink"/>
            <w:noProof/>
            <w:spacing w:val="-2"/>
          </w:rPr>
          <w:t xml:space="preserve"> </w:t>
        </w:r>
        <w:r w:rsidR="00D56DF6" w:rsidRPr="00DC1691">
          <w:rPr>
            <w:rStyle w:val="Hyperlink"/>
            <w:noProof/>
          </w:rPr>
          <w:t>of</w:t>
        </w:r>
        <w:r w:rsidR="00D56DF6" w:rsidRPr="00DC1691">
          <w:rPr>
            <w:rStyle w:val="Hyperlink"/>
            <w:noProof/>
            <w:spacing w:val="-5"/>
          </w:rPr>
          <w:t xml:space="preserve"> </w:t>
        </w:r>
        <w:r w:rsidR="00D56DF6" w:rsidRPr="00DC1691">
          <w:rPr>
            <w:rStyle w:val="Hyperlink"/>
            <w:noProof/>
          </w:rPr>
          <w:t>Lagrangian,</w:t>
        </w:r>
        <w:r w:rsidR="00D56DF6" w:rsidRPr="00DC1691">
          <w:rPr>
            <w:rStyle w:val="Hyperlink"/>
            <w:noProof/>
            <w:spacing w:val="-3"/>
          </w:rPr>
          <w:t xml:space="preserve"> </w:t>
        </w:r>
        <w:r w:rsidR="00D56DF6" w:rsidRPr="00DC1691">
          <w:rPr>
            <w:rStyle w:val="Hyperlink"/>
            <w:noProof/>
          </w:rPr>
          <w:t>Eulerian,</w:t>
        </w:r>
        <w:r w:rsidR="00D56DF6" w:rsidRPr="00DC1691">
          <w:rPr>
            <w:rStyle w:val="Hyperlink"/>
            <w:noProof/>
            <w:spacing w:val="-2"/>
          </w:rPr>
          <w:t xml:space="preserve"> </w:t>
        </w:r>
        <w:r w:rsidR="00D56DF6" w:rsidRPr="00DC1691">
          <w:rPr>
            <w:rStyle w:val="Hyperlink"/>
            <w:noProof/>
          </w:rPr>
          <w:t>and</w:t>
        </w:r>
        <w:r w:rsidR="00D56DF6" w:rsidRPr="00DC1691">
          <w:rPr>
            <w:rStyle w:val="Hyperlink"/>
            <w:noProof/>
            <w:spacing w:val="-2"/>
          </w:rPr>
          <w:t xml:space="preserve"> </w:t>
        </w:r>
        <w:r w:rsidR="00D56DF6" w:rsidRPr="00DC1691">
          <w:rPr>
            <w:rStyle w:val="Hyperlink"/>
            <w:noProof/>
          </w:rPr>
          <w:t>ALE</w:t>
        </w:r>
        <w:r w:rsidR="00D56DF6" w:rsidRPr="00DC1691">
          <w:rPr>
            <w:rStyle w:val="Hyperlink"/>
            <w:noProof/>
            <w:spacing w:val="-3"/>
          </w:rPr>
          <w:t xml:space="preserve"> </w:t>
        </w:r>
        <w:r w:rsidR="00D56DF6" w:rsidRPr="00DC1691">
          <w:rPr>
            <w:rStyle w:val="Hyperlink"/>
            <w:noProof/>
          </w:rPr>
          <w:t>mesh</w:t>
        </w:r>
        <w:r w:rsidR="00D56DF6" w:rsidRPr="00DC1691">
          <w:rPr>
            <w:rStyle w:val="Hyperlink"/>
            <w:noProof/>
            <w:spacing w:val="-2"/>
          </w:rPr>
          <w:t xml:space="preserve"> </w:t>
        </w:r>
        <w:r w:rsidR="00D56DF6" w:rsidRPr="00DC1691">
          <w:rPr>
            <w:rStyle w:val="Hyperlink"/>
            <w:noProof/>
          </w:rPr>
          <w:t>motion [168]</w:t>
        </w:r>
        <w:r w:rsidR="00D56DF6">
          <w:rPr>
            <w:noProof/>
            <w:webHidden/>
          </w:rPr>
          <w:tab/>
        </w:r>
        <w:r w:rsidR="00D56DF6">
          <w:rPr>
            <w:noProof/>
            <w:webHidden/>
          </w:rPr>
          <w:fldChar w:fldCharType="begin"/>
        </w:r>
        <w:r w:rsidR="00D56DF6">
          <w:rPr>
            <w:noProof/>
            <w:webHidden/>
          </w:rPr>
          <w:instrText xml:space="preserve"> PAGEREF _Toc172708820 \h </w:instrText>
        </w:r>
        <w:r w:rsidR="00D56DF6">
          <w:rPr>
            <w:noProof/>
            <w:webHidden/>
          </w:rPr>
        </w:r>
        <w:r w:rsidR="00D56DF6">
          <w:rPr>
            <w:noProof/>
            <w:webHidden/>
          </w:rPr>
          <w:fldChar w:fldCharType="separate"/>
        </w:r>
        <w:r w:rsidR="00732AAC">
          <w:rPr>
            <w:noProof/>
            <w:webHidden/>
          </w:rPr>
          <w:t>76</w:t>
        </w:r>
        <w:r w:rsidR="00D56DF6">
          <w:rPr>
            <w:noProof/>
            <w:webHidden/>
          </w:rPr>
          <w:fldChar w:fldCharType="end"/>
        </w:r>
      </w:hyperlink>
    </w:p>
    <w:p w14:paraId="73A1537E" w14:textId="7D9354EF" w:rsidR="00D56DF6" w:rsidRDefault="00000000">
      <w:pPr>
        <w:pStyle w:val="TableofFigures"/>
        <w:tabs>
          <w:tab w:val="right" w:leader="dot" w:pos="9350"/>
        </w:tabs>
        <w:rPr>
          <w:rFonts w:asciiTheme="minorHAnsi" w:eastAsiaTheme="minorEastAsia" w:hAnsiTheme="minorHAnsi"/>
          <w:noProof/>
          <w:szCs w:val="24"/>
        </w:rPr>
      </w:pPr>
      <w:hyperlink w:anchor="_Toc172708821"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2</w:t>
        </w:r>
        <w:r w:rsidR="00D56DF6" w:rsidRPr="00DC1691">
          <w:rPr>
            <w:rStyle w:val="Hyperlink"/>
            <w:rFonts w:cstheme="majorBidi"/>
            <w:noProof/>
          </w:rPr>
          <w:t xml:space="preserve"> Schematic representation of the domain for a neutrally buoyant melting particle migrating in a planar Poiseuille flow.</w:t>
        </w:r>
        <w:r w:rsidR="00D56DF6">
          <w:rPr>
            <w:noProof/>
            <w:webHidden/>
          </w:rPr>
          <w:tab/>
        </w:r>
        <w:r w:rsidR="00D56DF6">
          <w:rPr>
            <w:noProof/>
            <w:webHidden/>
          </w:rPr>
          <w:fldChar w:fldCharType="begin"/>
        </w:r>
        <w:r w:rsidR="00D56DF6">
          <w:rPr>
            <w:noProof/>
            <w:webHidden/>
          </w:rPr>
          <w:instrText xml:space="preserve"> PAGEREF _Toc172708821 \h </w:instrText>
        </w:r>
        <w:r w:rsidR="00D56DF6">
          <w:rPr>
            <w:noProof/>
            <w:webHidden/>
          </w:rPr>
        </w:r>
        <w:r w:rsidR="00D56DF6">
          <w:rPr>
            <w:noProof/>
            <w:webHidden/>
          </w:rPr>
          <w:fldChar w:fldCharType="separate"/>
        </w:r>
        <w:r w:rsidR="00732AAC">
          <w:rPr>
            <w:noProof/>
            <w:webHidden/>
          </w:rPr>
          <w:t>78</w:t>
        </w:r>
        <w:r w:rsidR="00D56DF6">
          <w:rPr>
            <w:noProof/>
            <w:webHidden/>
          </w:rPr>
          <w:fldChar w:fldCharType="end"/>
        </w:r>
      </w:hyperlink>
    </w:p>
    <w:p w14:paraId="0F0D0BAD" w14:textId="456994BD" w:rsidR="00D56DF6" w:rsidRDefault="00000000">
      <w:pPr>
        <w:pStyle w:val="TableofFigures"/>
        <w:tabs>
          <w:tab w:val="right" w:leader="dot" w:pos="9350"/>
        </w:tabs>
        <w:rPr>
          <w:rFonts w:asciiTheme="minorHAnsi" w:eastAsiaTheme="minorEastAsia" w:hAnsiTheme="minorHAnsi"/>
          <w:noProof/>
          <w:szCs w:val="24"/>
        </w:rPr>
      </w:pPr>
      <w:hyperlink w:anchor="_Toc172708822"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3</w:t>
        </w:r>
        <w:r w:rsidR="00D56DF6" w:rsidRPr="00DC1691">
          <w:rPr>
            <w:rStyle w:val="Hyperlink"/>
            <w:rFonts w:cstheme="majorBidi"/>
            <w:noProof/>
          </w:rPr>
          <w:t xml:space="preserve"> Snapshot of the initial grid configuration, featuring a close-up of the finely meshed area around the particle, the displacement of the particle surface nodes, and the boundary layer mesh near the channel walls.</w:t>
        </w:r>
        <w:r w:rsidR="00D56DF6">
          <w:rPr>
            <w:noProof/>
            <w:webHidden/>
          </w:rPr>
          <w:tab/>
        </w:r>
        <w:r w:rsidR="00D56DF6">
          <w:rPr>
            <w:noProof/>
            <w:webHidden/>
          </w:rPr>
          <w:fldChar w:fldCharType="begin"/>
        </w:r>
        <w:r w:rsidR="00D56DF6">
          <w:rPr>
            <w:noProof/>
            <w:webHidden/>
          </w:rPr>
          <w:instrText xml:space="preserve"> PAGEREF _Toc172708822 \h </w:instrText>
        </w:r>
        <w:r w:rsidR="00D56DF6">
          <w:rPr>
            <w:noProof/>
            <w:webHidden/>
          </w:rPr>
        </w:r>
        <w:r w:rsidR="00D56DF6">
          <w:rPr>
            <w:noProof/>
            <w:webHidden/>
          </w:rPr>
          <w:fldChar w:fldCharType="separate"/>
        </w:r>
        <w:r w:rsidR="00732AAC">
          <w:rPr>
            <w:noProof/>
            <w:webHidden/>
          </w:rPr>
          <w:t>93</w:t>
        </w:r>
        <w:r w:rsidR="00D56DF6">
          <w:rPr>
            <w:noProof/>
            <w:webHidden/>
          </w:rPr>
          <w:fldChar w:fldCharType="end"/>
        </w:r>
      </w:hyperlink>
    </w:p>
    <w:p w14:paraId="0285ABEA" w14:textId="756CBD28" w:rsidR="00D56DF6" w:rsidRDefault="00000000">
      <w:pPr>
        <w:pStyle w:val="TableofFigures"/>
        <w:tabs>
          <w:tab w:val="right" w:leader="dot" w:pos="9350"/>
        </w:tabs>
        <w:rPr>
          <w:rFonts w:asciiTheme="minorHAnsi" w:eastAsiaTheme="minorEastAsia" w:hAnsiTheme="minorHAnsi"/>
          <w:noProof/>
          <w:szCs w:val="24"/>
        </w:rPr>
      </w:pPr>
      <w:hyperlink w:anchor="_Toc172708823"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4</w:t>
        </w:r>
        <w:r w:rsidR="00D56DF6" w:rsidRPr="00DC1691">
          <w:rPr>
            <w:rStyle w:val="Hyperlink"/>
            <w:rFonts w:cstheme="majorBidi"/>
            <w:noProof/>
          </w:rPr>
          <w:t xml:space="preserve"> Grid size impact on (a) lateral position, and (b) mass of the particle over dimensionless time, f</w:t>
        </w:r>
        <w:r w:rsidR="00D56DF6" w:rsidRPr="00DC1691">
          <w:rPr>
            <w:rStyle w:val="Hyperlink"/>
            <w:noProof/>
          </w:rPr>
          <w:t>or</w:t>
        </w:r>
        <w:r w:rsidR="00D56DF6" w:rsidRPr="00DC1691">
          <w:rPr>
            <w:rStyle w:val="Hyperlink"/>
            <w:rFonts w:cstheme="majorBidi"/>
            <w:noProof/>
          </w:rPr>
          <w:t xml:space="preserve"> </w:t>
        </w:r>
        <m:oMath>
          <m:r>
            <m:rPr>
              <m:sty m:val="p"/>
            </m:rPr>
            <w:rPr>
              <w:rStyle w:val="Hyperlink"/>
              <w:rFonts w:ascii="Cambria Math" w:hAnsi="Cambria Math" w:cstheme="majorBidi"/>
              <w:noProof/>
              <w:lang w:eastAsia="ja-JP"/>
            </w:rPr>
            <m:t>Re</m:t>
          </m:r>
        </m:oMath>
        <w:r w:rsidR="00D56DF6" w:rsidRPr="00DC1691">
          <w:rPr>
            <w:rStyle w:val="Hyperlink"/>
            <w:rFonts w:cstheme="majorBidi"/>
            <w:noProof/>
            <w:lang w:eastAsia="ja-JP"/>
          </w:rPr>
          <w:t xml:space="preserve"> = 100,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=1,000,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 and </w:t>
        </w:r>
        <m:oMath>
          <m:r>
            <w:rPr>
              <w:rStyle w:val="Hyperlink"/>
              <w:rFonts w:ascii="Cambria Math" w:hAnsi="Cambria Math" w:cstheme="majorBidi"/>
              <w:noProof/>
              <w:lang w:eastAsia="ja-JP"/>
            </w:rPr>
            <m:t>Δt</m:t>
          </m:r>
        </m:oMath>
        <w:r w:rsidR="00D56DF6" w:rsidRPr="00DC1691">
          <w:rPr>
            <w:rStyle w:val="Hyperlink"/>
            <w:rFonts w:cstheme="majorBidi"/>
            <w:noProof/>
            <w:lang w:eastAsia="ja-JP"/>
          </w:rPr>
          <w:t xml:space="preserve"> = 0.01 s.</w:t>
        </w:r>
        <w:r w:rsidR="00D56DF6">
          <w:rPr>
            <w:noProof/>
            <w:webHidden/>
          </w:rPr>
          <w:tab/>
        </w:r>
        <w:r w:rsidR="00D56DF6">
          <w:rPr>
            <w:noProof/>
            <w:webHidden/>
          </w:rPr>
          <w:fldChar w:fldCharType="begin"/>
        </w:r>
        <w:r w:rsidR="00D56DF6">
          <w:rPr>
            <w:noProof/>
            <w:webHidden/>
          </w:rPr>
          <w:instrText xml:space="preserve"> PAGEREF _Toc172708823 \h </w:instrText>
        </w:r>
        <w:r w:rsidR="00D56DF6">
          <w:rPr>
            <w:noProof/>
            <w:webHidden/>
          </w:rPr>
        </w:r>
        <w:r w:rsidR="00D56DF6">
          <w:rPr>
            <w:noProof/>
            <w:webHidden/>
          </w:rPr>
          <w:fldChar w:fldCharType="separate"/>
        </w:r>
        <w:r w:rsidR="00732AAC">
          <w:rPr>
            <w:noProof/>
            <w:webHidden/>
          </w:rPr>
          <w:t>94</w:t>
        </w:r>
        <w:r w:rsidR="00D56DF6">
          <w:rPr>
            <w:noProof/>
            <w:webHidden/>
          </w:rPr>
          <w:fldChar w:fldCharType="end"/>
        </w:r>
      </w:hyperlink>
    </w:p>
    <w:p w14:paraId="5D20EF19" w14:textId="40D1DBDA" w:rsidR="00D56DF6" w:rsidRDefault="00000000">
      <w:pPr>
        <w:pStyle w:val="TableofFigures"/>
        <w:tabs>
          <w:tab w:val="right" w:leader="dot" w:pos="9350"/>
        </w:tabs>
        <w:rPr>
          <w:rFonts w:asciiTheme="minorHAnsi" w:eastAsiaTheme="minorEastAsia" w:hAnsiTheme="minorHAnsi"/>
          <w:noProof/>
          <w:szCs w:val="24"/>
        </w:rPr>
      </w:pPr>
      <w:hyperlink w:anchor="_Toc172708824"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5</w:t>
        </w:r>
        <w:r w:rsidR="00D56DF6" w:rsidRPr="00DC1691">
          <w:rPr>
            <w:rStyle w:val="Hyperlink"/>
            <w:rFonts w:cstheme="majorBidi"/>
            <w:noProof/>
          </w:rPr>
          <w:t xml:space="preserve"> The time step size influence on the numerically predicted (a) lateral position, and (b) mass of the particle (</w:t>
        </w:r>
        <w:r w:rsidR="00D56DF6" w:rsidRPr="00DC1691">
          <w:rPr>
            <w:rStyle w:val="Hyperlink"/>
            <w:rFonts w:cstheme="majorBidi"/>
            <w:noProof/>
            <w:lang w:eastAsia="ja-JP"/>
          </w:rPr>
          <w:t xml:space="preserve">for Re = 100, Gr = 1,000, </w:t>
        </w:r>
        <m:oMath>
          <m:r>
            <m:rPr>
              <m:sty m:val="p"/>
            </m:rPr>
            <w:rPr>
              <w:rStyle w:val="Hyperlink"/>
              <w:rFonts w:ascii="Cambria Math" w:hAnsi="Cambria Math" w:cstheme="majorBidi"/>
              <w:noProof/>
              <w:lang w:eastAsia="ja-JP"/>
            </w:rPr>
            <m:t>Ste</m:t>
          </m:r>
        </m:oMath>
        <w:r w:rsidR="00D56DF6" w:rsidRPr="00DC1691">
          <w:rPr>
            <w:rStyle w:val="Hyperlink"/>
            <w:rFonts w:cstheme="majorBidi"/>
            <w:noProof/>
            <w:lang w:eastAsia="ja-JP"/>
          </w:rPr>
          <w:t xml:space="preserve"> = 0.1, </w:t>
        </w:r>
        <m:oMath>
          <m:sSubSup>
            <m:sSubSupPr>
              <m:ctrlPr>
                <w:rPr>
                  <w:rStyle w:val="Hyperlink"/>
                  <w:rFonts w:ascii="Cambria Math" w:hAnsi="Cambria Math" w:cstheme="majorBidi"/>
                  <w:bCs/>
                  <w:i/>
                  <w:noProof/>
                  <w:lang w:eastAsia="ja-JP"/>
                </w:rPr>
              </m:ctrlPr>
            </m:sSubSupPr>
            <m:e>
              <m:r>
                <w:rPr>
                  <w:rStyle w:val="Hyperlink"/>
                  <w:rFonts w:ascii="Cambria Math" w:hAnsi="Cambria Math" w:cstheme="majorBidi"/>
                  <w:noProof/>
                  <w:lang w:eastAsia="ja-JP"/>
                </w:rPr>
                <m:t>Y</m:t>
              </m:r>
            </m:e>
            <m:sub>
              <m:r>
                <w:rPr>
                  <w:rStyle w:val="Hyperlink"/>
                  <w:rFonts w:ascii="Cambria Math" w:hAnsi="Cambria Math" w:cstheme="majorBidi"/>
                  <w:noProof/>
                  <w:lang w:eastAsia="ja-JP"/>
                </w:rPr>
                <m:t>0</m:t>
              </m:r>
            </m:sub>
            <m:sup>
              <m:r>
                <w:rPr>
                  <w:rStyle w:val="Hyperlink"/>
                  <w:rFonts w:ascii="Cambria Math" w:hAnsi="Cambria Math" w:cstheme="majorBidi"/>
                  <w:noProof/>
                  <w:lang w:eastAsia="ja-JP"/>
                </w:rPr>
                <m:t>*</m:t>
              </m:r>
            </m:sup>
          </m:sSubSup>
        </m:oMath>
        <w:r w:rsidR="00D56DF6" w:rsidRPr="00DC1691">
          <w:rPr>
            <w:rStyle w:val="Hyperlink"/>
            <w:rFonts w:cstheme="majorBidi"/>
            <w:noProof/>
            <w:lang w:eastAsia="ja-JP"/>
          </w:rPr>
          <w:t xml:space="preserve"> = 0.5, and </w:t>
        </w:r>
        <m:oMath>
          <m:r>
            <w:rPr>
              <w:rStyle w:val="Hyperlink"/>
              <w:rFonts w:ascii="Cambria Math" w:hAnsi="Cambria Math" w:cstheme="majorBidi"/>
              <w:noProof/>
              <w:lang w:eastAsia="ja-JP"/>
            </w:rPr>
            <m:t>N</m:t>
          </m:r>
        </m:oMath>
        <w:r w:rsidR="00D56DF6" w:rsidRPr="00DC1691">
          <w:rPr>
            <w:rStyle w:val="Hyperlink"/>
            <w:rFonts w:cstheme="majorBidi"/>
            <w:noProof/>
          </w:rPr>
          <w:t xml:space="preserve"> = 47,000).</w:t>
        </w:r>
        <w:r w:rsidR="00D56DF6">
          <w:rPr>
            <w:noProof/>
            <w:webHidden/>
          </w:rPr>
          <w:tab/>
        </w:r>
        <w:r w:rsidR="00D56DF6">
          <w:rPr>
            <w:noProof/>
            <w:webHidden/>
          </w:rPr>
          <w:fldChar w:fldCharType="begin"/>
        </w:r>
        <w:r w:rsidR="00D56DF6">
          <w:rPr>
            <w:noProof/>
            <w:webHidden/>
          </w:rPr>
          <w:instrText xml:space="preserve"> PAGEREF _Toc172708824 \h </w:instrText>
        </w:r>
        <w:r w:rsidR="00D56DF6">
          <w:rPr>
            <w:noProof/>
            <w:webHidden/>
          </w:rPr>
        </w:r>
        <w:r w:rsidR="00D56DF6">
          <w:rPr>
            <w:noProof/>
            <w:webHidden/>
          </w:rPr>
          <w:fldChar w:fldCharType="separate"/>
        </w:r>
        <w:r w:rsidR="00732AAC">
          <w:rPr>
            <w:noProof/>
            <w:webHidden/>
          </w:rPr>
          <w:t>95</w:t>
        </w:r>
        <w:r w:rsidR="00D56DF6">
          <w:rPr>
            <w:noProof/>
            <w:webHidden/>
          </w:rPr>
          <w:fldChar w:fldCharType="end"/>
        </w:r>
      </w:hyperlink>
    </w:p>
    <w:p w14:paraId="538169AD" w14:textId="7602C0D8" w:rsidR="00D56DF6" w:rsidRDefault="00000000">
      <w:pPr>
        <w:pStyle w:val="TableofFigures"/>
        <w:tabs>
          <w:tab w:val="right" w:leader="dot" w:pos="9350"/>
        </w:tabs>
        <w:rPr>
          <w:rFonts w:asciiTheme="minorHAnsi" w:eastAsiaTheme="minorEastAsia" w:hAnsiTheme="minorHAnsi"/>
          <w:noProof/>
          <w:szCs w:val="24"/>
        </w:rPr>
      </w:pPr>
      <w:hyperlink w:anchor="_Toc172708825"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6</w:t>
        </w:r>
        <w:r w:rsidR="00D56DF6" w:rsidRPr="00DC1691">
          <w:rPr>
            <w:rStyle w:val="Hyperlink"/>
            <w:rFonts w:cstheme="majorBidi"/>
            <w:noProof/>
          </w:rPr>
          <w:t xml:space="preserve"> Schematic of a cold particle settling in a vertical channel.</w:t>
        </w:r>
        <w:r w:rsidR="00D56DF6">
          <w:rPr>
            <w:noProof/>
            <w:webHidden/>
          </w:rPr>
          <w:tab/>
        </w:r>
        <w:r w:rsidR="00D56DF6">
          <w:rPr>
            <w:noProof/>
            <w:webHidden/>
          </w:rPr>
          <w:fldChar w:fldCharType="begin"/>
        </w:r>
        <w:r w:rsidR="00D56DF6">
          <w:rPr>
            <w:noProof/>
            <w:webHidden/>
          </w:rPr>
          <w:instrText xml:space="preserve"> PAGEREF _Toc172708825 \h </w:instrText>
        </w:r>
        <w:r w:rsidR="00D56DF6">
          <w:rPr>
            <w:noProof/>
            <w:webHidden/>
          </w:rPr>
        </w:r>
        <w:r w:rsidR="00D56DF6">
          <w:rPr>
            <w:noProof/>
            <w:webHidden/>
          </w:rPr>
          <w:fldChar w:fldCharType="separate"/>
        </w:r>
        <w:r w:rsidR="00732AAC">
          <w:rPr>
            <w:noProof/>
            <w:webHidden/>
          </w:rPr>
          <w:t>97</w:t>
        </w:r>
        <w:r w:rsidR="00D56DF6">
          <w:rPr>
            <w:noProof/>
            <w:webHidden/>
          </w:rPr>
          <w:fldChar w:fldCharType="end"/>
        </w:r>
      </w:hyperlink>
    </w:p>
    <w:p w14:paraId="26BFE94A" w14:textId="2259CE08" w:rsidR="00D56DF6" w:rsidRDefault="00000000">
      <w:pPr>
        <w:pStyle w:val="TableofFigures"/>
        <w:tabs>
          <w:tab w:val="right" w:leader="dot" w:pos="9350"/>
        </w:tabs>
        <w:rPr>
          <w:rFonts w:asciiTheme="minorHAnsi" w:eastAsiaTheme="minorEastAsia" w:hAnsiTheme="minorHAnsi"/>
          <w:noProof/>
          <w:szCs w:val="24"/>
        </w:rPr>
      </w:pPr>
      <w:hyperlink w:anchor="_Toc172708826"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7</w:t>
        </w:r>
        <w:r w:rsidR="00D56DF6" w:rsidRPr="00DC1691">
          <w:rPr>
            <w:rStyle w:val="Hyperlink"/>
            <w:rFonts w:cstheme="majorBidi"/>
            <w:noProof/>
          </w:rPr>
          <w:t xml:space="preserve"> Lateral positioning of a cold particle during descent in a channel across different Gr numbers.</w:t>
        </w:r>
        <w:r w:rsidR="00D56DF6">
          <w:rPr>
            <w:noProof/>
            <w:webHidden/>
          </w:rPr>
          <w:tab/>
        </w:r>
        <w:r w:rsidR="00D56DF6">
          <w:rPr>
            <w:noProof/>
            <w:webHidden/>
          </w:rPr>
          <w:fldChar w:fldCharType="begin"/>
        </w:r>
        <w:r w:rsidR="00D56DF6">
          <w:rPr>
            <w:noProof/>
            <w:webHidden/>
          </w:rPr>
          <w:instrText xml:space="preserve"> PAGEREF _Toc172708826 \h </w:instrText>
        </w:r>
        <w:r w:rsidR="00D56DF6">
          <w:rPr>
            <w:noProof/>
            <w:webHidden/>
          </w:rPr>
        </w:r>
        <w:r w:rsidR="00D56DF6">
          <w:rPr>
            <w:noProof/>
            <w:webHidden/>
          </w:rPr>
          <w:fldChar w:fldCharType="separate"/>
        </w:r>
        <w:r w:rsidR="00732AAC">
          <w:rPr>
            <w:noProof/>
            <w:webHidden/>
          </w:rPr>
          <w:t>98</w:t>
        </w:r>
        <w:r w:rsidR="00D56DF6">
          <w:rPr>
            <w:noProof/>
            <w:webHidden/>
          </w:rPr>
          <w:fldChar w:fldCharType="end"/>
        </w:r>
      </w:hyperlink>
    </w:p>
    <w:p w14:paraId="2B6594C0" w14:textId="76D66DEB" w:rsidR="00D56DF6" w:rsidRDefault="00000000">
      <w:pPr>
        <w:pStyle w:val="TableofFigures"/>
        <w:tabs>
          <w:tab w:val="right" w:leader="dot" w:pos="9350"/>
        </w:tabs>
        <w:rPr>
          <w:rFonts w:asciiTheme="minorHAnsi" w:eastAsiaTheme="minorEastAsia" w:hAnsiTheme="minorHAnsi"/>
          <w:noProof/>
          <w:szCs w:val="24"/>
        </w:rPr>
      </w:pPr>
      <w:hyperlink w:anchor="_Toc172708827"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5</w:t>
        </w:r>
        <w:r w:rsidR="00D56DF6" w:rsidRPr="00DC1691">
          <w:rPr>
            <w:rStyle w:val="Hyperlink"/>
            <w:b/>
            <w:bCs/>
            <w:noProof/>
          </w:rPr>
          <w:noBreakHyphen/>
          <w:t>8</w:t>
        </w:r>
        <w:r w:rsidR="00D56DF6" w:rsidRPr="00DC1691">
          <w:rPr>
            <w:rStyle w:val="Hyperlink"/>
            <w:noProof/>
          </w:rPr>
          <w:t xml:space="preserve"> </w:t>
        </w:r>
        <w:r w:rsidR="00D56DF6" w:rsidRPr="00DC1691">
          <w:rPr>
            <w:rStyle w:val="Hyperlink"/>
            <w:rFonts w:cstheme="majorBidi"/>
            <w:noProof/>
          </w:rPr>
          <w:t xml:space="preserve">Comparison of (a) dimensionless particle mass, and (b) instantaneous </w:t>
        </w:r>
        <m:oMath>
          <m:r>
            <m:rPr>
              <m:sty m:val="p"/>
            </m:rPr>
            <w:rPr>
              <w:rStyle w:val="Hyperlink"/>
              <w:rFonts w:ascii="Cambria Math" w:hAnsi="Cambria Math" w:cstheme="majorBidi"/>
              <w:noProof/>
            </w:rPr>
            <m:t>Re</m:t>
          </m:r>
        </m:oMath>
        <w:r w:rsidR="00D56DF6" w:rsidRPr="00DC1691">
          <w:rPr>
            <w:rStyle w:val="Hyperlink"/>
            <w:rFonts w:eastAsia="Times New Roman" w:cstheme="majorBidi"/>
            <w:noProof/>
          </w:rPr>
          <w:t xml:space="preserve"> number,</w:t>
        </w:r>
        <w:r w:rsidR="00D56DF6" w:rsidRPr="00DC1691">
          <w:rPr>
            <w:rStyle w:val="Hyperlink"/>
            <w:rFonts w:cstheme="majorBidi"/>
            <w:noProof/>
          </w:rPr>
          <w:t xml:space="preserve"> for the settling and melting particle in a vertical channel with numerical results of Gan et al. [162].</w:t>
        </w:r>
        <w:r w:rsidR="00D56DF6">
          <w:rPr>
            <w:noProof/>
            <w:webHidden/>
          </w:rPr>
          <w:tab/>
        </w:r>
        <w:r w:rsidR="00D56DF6">
          <w:rPr>
            <w:noProof/>
            <w:webHidden/>
          </w:rPr>
          <w:fldChar w:fldCharType="begin"/>
        </w:r>
        <w:r w:rsidR="00D56DF6">
          <w:rPr>
            <w:noProof/>
            <w:webHidden/>
          </w:rPr>
          <w:instrText xml:space="preserve"> PAGEREF _Toc172708827 \h </w:instrText>
        </w:r>
        <w:r w:rsidR="00D56DF6">
          <w:rPr>
            <w:noProof/>
            <w:webHidden/>
          </w:rPr>
        </w:r>
        <w:r w:rsidR="00D56DF6">
          <w:rPr>
            <w:noProof/>
            <w:webHidden/>
          </w:rPr>
          <w:fldChar w:fldCharType="separate"/>
        </w:r>
        <w:r w:rsidR="00732AAC">
          <w:rPr>
            <w:noProof/>
            <w:webHidden/>
          </w:rPr>
          <w:t>100</w:t>
        </w:r>
        <w:r w:rsidR="00D56DF6">
          <w:rPr>
            <w:noProof/>
            <w:webHidden/>
          </w:rPr>
          <w:fldChar w:fldCharType="end"/>
        </w:r>
      </w:hyperlink>
    </w:p>
    <w:p w14:paraId="73084D8F" w14:textId="10EAE881" w:rsidR="00D56DF6" w:rsidRDefault="00000000">
      <w:pPr>
        <w:pStyle w:val="TableofFigures"/>
        <w:tabs>
          <w:tab w:val="right" w:leader="dot" w:pos="9350"/>
        </w:tabs>
        <w:rPr>
          <w:rFonts w:asciiTheme="minorHAnsi" w:eastAsiaTheme="minorEastAsia" w:hAnsiTheme="minorHAnsi"/>
          <w:noProof/>
          <w:szCs w:val="24"/>
        </w:rPr>
      </w:pPr>
      <w:hyperlink w:anchor="_Toc172708828"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6</w:t>
        </w:r>
        <w:r w:rsidR="00D56DF6" w:rsidRPr="00DC1691">
          <w:rPr>
            <w:rStyle w:val="Hyperlink"/>
            <w:b/>
            <w:bCs/>
            <w:noProof/>
          </w:rPr>
          <w:noBreakHyphen/>
          <w:t>1</w:t>
        </w:r>
        <w:r w:rsidR="00D56DF6" w:rsidRPr="00DC1691">
          <w:rPr>
            <w:rStyle w:val="Hyperlink"/>
            <w:noProof/>
          </w:rPr>
          <w:t xml:space="preserve"> </w:t>
        </w:r>
        <w:r w:rsidR="00D56DF6" w:rsidRPr="00DC1691">
          <w:rPr>
            <w:rStyle w:val="Hyperlink"/>
            <w:rFonts w:cstheme="majorBidi"/>
            <w:noProof/>
          </w:rPr>
          <w:t xml:space="preserve">Evolution of the temperature field surrounding the melting particle over time for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 1,000,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 </w:t>
        </w:r>
        <m:oMath>
          <m:sSubSup>
            <m:sSubSupPr>
              <m:ctrlPr>
                <w:rPr>
                  <w:rStyle w:val="Hyperlink"/>
                  <w:rFonts w:ascii="Cambria Math" w:eastAsia="Times New Roman" w:hAnsi="Cambria Math" w:cstheme="majorBidi"/>
                  <w:i/>
                  <w:noProof/>
                </w:rPr>
              </m:ctrlPr>
            </m:sSubSupPr>
            <m:e>
              <m:r>
                <w:rPr>
                  <w:rStyle w:val="Hyperlink"/>
                  <w:rFonts w:ascii="Cambria Math" w:eastAsia="Times New Roman" w:hAnsi="Cambria Math" w:cstheme="majorBidi"/>
                  <w:noProof/>
                </w:rPr>
                <m:t>Y</m:t>
              </m:r>
            </m:e>
            <m:sub>
              <m:r>
                <w:rPr>
                  <w:rStyle w:val="Hyperlink"/>
                  <w:rFonts w:ascii="Cambria Math" w:eastAsia="Times New Roman" w:hAnsi="Cambria Math" w:cstheme="majorBidi"/>
                  <w:noProof/>
                </w:rPr>
                <m:t>0</m:t>
              </m:r>
            </m:sub>
            <m:sup>
              <m:r>
                <w:rPr>
                  <w:rStyle w:val="Hyperlink"/>
                  <w:rFonts w:ascii="Cambria Math" w:eastAsia="Times New Roman" w:hAnsi="Cambria Math" w:cstheme="majorBidi"/>
                  <w:noProof/>
                </w:rPr>
                <m:t>*</m:t>
              </m:r>
            </m:sup>
          </m:sSubSup>
        </m:oMath>
        <w:r w:rsidR="00D56DF6" w:rsidRPr="00DC1691">
          <w:rPr>
            <w:rStyle w:val="Hyperlink"/>
            <w:rFonts w:eastAsia="Calibri" w:cstheme="majorBidi"/>
            <w:noProof/>
          </w:rPr>
          <w:t>= 0.5</w:t>
        </w:r>
        <w:r w:rsidR="00D56DF6" w:rsidRPr="00DC1691">
          <w:rPr>
            <w:rStyle w:val="Hyperlink"/>
            <w:rFonts w:cstheme="majorBidi"/>
            <w:noProof/>
          </w:rPr>
          <w:t xml:space="preserve">, with comparisons between (a)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 and (b)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1,000. The final observation point is when the particle mass has reduced to 5% of its initial mass.</w:t>
        </w:r>
        <w:r w:rsidR="00D56DF6">
          <w:rPr>
            <w:noProof/>
            <w:webHidden/>
          </w:rPr>
          <w:tab/>
        </w:r>
        <w:r w:rsidR="00D56DF6">
          <w:rPr>
            <w:noProof/>
            <w:webHidden/>
          </w:rPr>
          <w:fldChar w:fldCharType="begin"/>
        </w:r>
        <w:r w:rsidR="00D56DF6">
          <w:rPr>
            <w:noProof/>
            <w:webHidden/>
          </w:rPr>
          <w:instrText xml:space="preserve"> PAGEREF _Toc172708828 \h </w:instrText>
        </w:r>
        <w:r w:rsidR="00D56DF6">
          <w:rPr>
            <w:noProof/>
            <w:webHidden/>
          </w:rPr>
        </w:r>
        <w:r w:rsidR="00D56DF6">
          <w:rPr>
            <w:noProof/>
            <w:webHidden/>
          </w:rPr>
          <w:fldChar w:fldCharType="separate"/>
        </w:r>
        <w:r w:rsidR="00732AAC">
          <w:rPr>
            <w:noProof/>
            <w:webHidden/>
          </w:rPr>
          <w:t>102</w:t>
        </w:r>
        <w:r w:rsidR="00D56DF6">
          <w:rPr>
            <w:noProof/>
            <w:webHidden/>
          </w:rPr>
          <w:fldChar w:fldCharType="end"/>
        </w:r>
      </w:hyperlink>
    </w:p>
    <w:p w14:paraId="20944F8D" w14:textId="052C0534" w:rsidR="00D56DF6" w:rsidRDefault="00000000">
      <w:pPr>
        <w:pStyle w:val="TableofFigures"/>
        <w:tabs>
          <w:tab w:val="right" w:leader="dot" w:pos="9350"/>
        </w:tabs>
        <w:rPr>
          <w:rFonts w:asciiTheme="minorHAnsi" w:eastAsiaTheme="minorEastAsia" w:hAnsiTheme="minorHAnsi"/>
          <w:noProof/>
          <w:szCs w:val="24"/>
        </w:rPr>
      </w:pPr>
      <w:hyperlink w:anchor="_Toc172708829" w:history="1">
        <w:r w:rsidR="00D56DF6" w:rsidRPr="00DC1691">
          <w:rPr>
            <w:rStyle w:val="Hyperlink"/>
            <w:rFonts w:cstheme="majorBidi"/>
            <w:b/>
            <w:bCs/>
            <w:noProof/>
          </w:rPr>
          <w:t xml:space="preserve">Fig. </w:t>
        </w:r>
        <w:r w:rsidR="00D56DF6" w:rsidRPr="00DC1691">
          <w:rPr>
            <w:rStyle w:val="Hyperlink"/>
            <w:rFonts w:cstheme="majorBidi" w:hint="eastAsia"/>
            <w:b/>
            <w:bCs/>
            <w:noProof/>
            <w:cs/>
          </w:rPr>
          <w:t>‎</w:t>
        </w:r>
        <w:r w:rsidR="00D56DF6" w:rsidRPr="00DC1691">
          <w:rPr>
            <w:rStyle w:val="Hyperlink"/>
            <w:rFonts w:cstheme="majorBidi"/>
            <w:b/>
            <w:bCs/>
            <w:noProof/>
          </w:rPr>
          <w:t>6</w:t>
        </w:r>
        <w:r w:rsidR="00D56DF6" w:rsidRPr="00DC1691">
          <w:rPr>
            <w:rStyle w:val="Hyperlink"/>
            <w:rFonts w:cstheme="majorBidi"/>
            <w:b/>
            <w:bCs/>
            <w:noProof/>
          </w:rPr>
          <w:noBreakHyphen/>
          <w:t>2</w:t>
        </w:r>
        <w:r w:rsidR="00D56DF6" w:rsidRPr="00DC1691">
          <w:rPr>
            <w:rStyle w:val="Hyperlink"/>
            <w:noProof/>
          </w:rPr>
          <w:t xml:space="preserve"> </w:t>
        </w:r>
        <w:r w:rsidR="00D56DF6" w:rsidRPr="00DC1691">
          <w:rPr>
            <w:rStyle w:val="Hyperlink"/>
            <w:rFonts w:cstheme="majorBidi"/>
            <w:noProof/>
          </w:rPr>
          <w:t xml:space="preserve">Streamlines surrounding the particle at various dimensionless times for </w:t>
        </w:r>
        <m:oMath>
          <m:r>
            <m:rPr>
              <m:nor/>
            </m:rPr>
            <w:rPr>
              <w:rStyle w:val="Hyperlink"/>
              <w:rFonts w:cstheme="majorBidi"/>
              <w:noProof/>
            </w:rPr>
            <m:t>Gr</m:t>
          </m:r>
        </m:oMath>
        <w:r w:rsidR="00D56DF6" w:rsidRPr="00DC1691">
          <w:rPr>
            <w:rStyle w:val="Hyperlink"/>
            <w:rFonts w:cstheme="majorBidi"/>
            <w:noProof/>
          </w:rPr>
          <w:t xml:space="preserve"> = 10,000, </w:t>
        </w:r>
        <m:oMath>
          <m:r>
            <m:rPr>
              <m:nor/>
            </m:rPr>
            <w:rPr>
              <w:rStyle w:val="Hyperlink"/>
              <w:rFonts w:cstheme="majorBidi"/>
              <w:noProof/>
            </w:rPr>
            <m:t>Re</m:t>
          </m:r>
        </m:oMath>
        <w:r w:rsidR="00D56DF6" w:rsidRPr="00DC1691">
          <w:rPr>
            <w:rStyle w:val="Hyperlink"/>
            <w:rFonts w:cstheme="majorBidi"/>
            <w:noProof/>
          </w:rPr>
          <w:t xml:space="preserve"> = 100, </w:t>
        </w:r>
        <m:oMath>
          <m:r>
            <m:rPr>
              <m:nor/>
            </m:rPr>
            <w:rPr>
              <w:rStyle w:val="Hyperlink"/>
              <w:rFonts w:cstheme="majorBidi"/>
              <w:noProof/>
            </w:rPr>
            <m:t>Ste</m:t>
          </m:r>
        </m:oMath>
        <w:r w:rsidR="00D56DF6" w:rsidRPr="00DC1691">
          <w:rPr>
            <w:rStyle w:val="Hyperlink"/>
            <w:rFonts w:cstheme="majorBidi"/>
            <w:noProof/>
          </w:rPr>
          <w:t xml:space="preserve"> = 0.1, and </w:t>
        </w:r>
        <m:oMath>
          <m:sSubSup>
            <m:sSubSupPr>
              <m:ctrlPr>
                <w:rPr>
                  <w:rStyle w:val="Hyperlink"/>
                  <w:rFonts w:ascii="Cambria Math" w:eastAsia="Times New Roman" w:hAnsi="Cambria Math" w:cstheme="majorBidi"/>
                  <w:b/>
                  <w:i/>
                  <w:noProof/>
                </w:rPr>
              </m:ctrlPr>
            </m:sSubSupPr>
            <m:e>
              <m:r>
                <w:rPr>
                  <w:rStyle w:val="Hyperlink"/>
                  <w:rFonts w:ascii="Cambria Math" w:eastAsia="Times New Roman" w:hAnsi="Cambria Math" w:cstheme="majorBidi"/>
                  <w:noProof/>
                </w:rPr>
                <m:t>Y</m:t>
              </m:r>
            </m:e>
            <m:sub>
              <m:r>
                <w:rPr>
                  <w:rStyle w:val="Hyperlink"/>
                  <w:rFonts w:ascii="Cambria Math" w:eastAsia="Times New Roman" w:hAnsi="Cambria Math" w:cstheme="majorBidi"/>
                  <w:noProof/>
                </w:rPr>
                <m:t>0</m:t>
              </m:r>
            </m:sub>
            <m:sup>
              <m:r>
                <w:rPr>
                  <w:rStyle w:val="Hyperlink"/>
                  <w:rFonts w:ascii="Cambria Math" w:eastAsia="Times New Roman" w:hAnsi="Cambria Math" w:cstheme="majorBidi"/>
                  <w:noProof/>
                </w:rPr>
                <m:t>*</m:t>
              </m:r>
            </m:sup>
          </m:sSubSup>
        </m:oMath>
        <w:r w:rsidR="00D56DF6" w:rsidRPr="00DC1691">
          <w:rPr>
            <w:rStyle w:val="Hyperlink"/>
            <w:rFonts w:eastAsia="Calibri" w:cstheme="majorBidi"/>
            <w:noProof/>
          </w:rPr>
          <w:t>= 0.5.</w:t>
        </w:r>
        <w:r w:rsidR="00D56DF6">
          <w:rPr>
            <w:noProof/>
            <w:webHidden/>
          </w:rPr>
          <w:tab/>
        </w:r>
        <w:r w:rsidR="00D56DF6">
          <w:rPr>
            <w:noProof/>
            <w:webHidden/>
          </w:rPr>
          <w:fldChar w:fldCharType="begin"/>
        </w:r>
        <w:r w:rsidR="00D56DF6">
          <w:rPr>
            <w:noProof/>
            <w:webHidden/>
          </w:rPr>
          <w:instrText xml:space="preserve"> PAGEREF _Toc172708829 \h </w:instrText>
        </w:r>
        <w:r w:rsidR="00D56DF6">
          <w:rPr>
            <w:noProof/>
            <w:webHidden/>
          </w:rPr>
        </w:r>
        <w:r w:rsidR="00D56DF6">
          <w:rPr>
            <w:noProof/>
            <w:webHidden/>
          </w:rPr>
          <w:fldChar w:fldCharType="separate"/>
        </w:r>
        <w:r w:rsidR="00732AAC">
          <w:rPr>
            <w:noProof/>
            <w:webHidden/>
          </w:rPr>
          <w:t>103</w:t>
        </w:r>
        <w:r w:rsidR="00D56DF6">
          <w:rPr>
            <w:noProof/>
            <w:webHidden/>
          </w:rPr>
          <w:fldChar w:fldCharType="end"/>
        </w:r>
      </w:hyperlink>
    </w:p>
    <w:p w14:paraId="74BC9D93" w14:textId="46287ED4" w:rsidR="00D56DF6" w:rsidRDefault="00000000">
      <w:pPr>
        <w:pStyle w:val="TableofFigures"/>
        <w:tabs>
          <w:tab w:val="right" w:leader="dot" w:pos="9350"/>
        </w:tabs>
        <w:rPr>
          <w:rFonts w:asciiTheme="minorHAnsi" w:eastAsiaTheme="minorEastAsia" w:hAnsiTheme="minorHAnsi"/>
          <w:noProof/>
          <w:szCs w:val="24"/>
        </w:rPr>
      </w:pPr>
      <w:hyperlink w:anchor="_Toc172708830"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6</w:t>
        </w:r>
        <w:r w:rsidR="00D56DF6" w:rsidRPr="00DC1691">
          <w:rPr>
            <w:rStyle w:val="Hyperlink"/>
            <w:b/>
            <w:bCs/>
            <w:noProof/>
          </w:rPr>
          <w:noBreakHyphen/>
          <w:t>3</w:t>
        </w:r>
        <w:r w:rsidR="00D56DF6" w:rsidRPr="00DC1691">
          <w:rPr>
            <w:rStyle w:val="Hyperlink"/>
            <w:rFonts w:cstheme="majorBidi"/>
            <w:noProof/>
          </w:rPr>
          <w:t xml:space="preserve"> Temporal progression of inlet flow velocity subject to a constant pressure gradient.</w:t>
        </w:r>
        <w:r w:rsidR="00D56DF6">
          <w:rPr>
            <w:noProof/>
            <w:webHidden/>
          </w:rPr>
          <w:tab/>
        </w:r>
        <w:r w:rsidR="00D56DF6">
          <w:rPr>
            <w:noProof/>
            <w:webHidden/>
          </w:rPr>
          <w:fldChar w:fldCharType="begin"/>
        </w:r>
        <w:r w:rsidR="00D56DF6">
          <w:rPr>
            <w:noProof/>
            <w:webHidden/>
          </w:rPr>
          <w:instrText xml:space="preserve"> PAGEREF _Toc172708830 \h </w:instrText>
        </w:r>
        <w:r w:rsidR="00D56DF6">
          <w:rPr>
            <w:noProof/>
            <w:webHidden/>
          </w:rPr>
        </w:r>
        <w:r w:rsidR="00D56DF6">
          <w:rPr>
            <w:noProof/>
            <w:webHidden/>
          </w:rPr>
          <w:fldChar w:fldCharType="separate"/>
        </w:r>
        <w:r w:rsidR="00732AAC">
          <w:rPr>
            <w:noProof/>
            <w:webHidden/>
          </w:rPr>
          <w:t>105</w:t>
        </w:r>
        <w:r w:rsidR="00D56DF6">
          <w:rPr>
            <w:noProof/>
            <w:webHidden/>
          </w:rPr>
          <w:fldChar w:fldCharType="end"/>
        </w:r>
      </w:hyperlink>
    </w:p>
    <w:p w14:paraId="02F609F1" w14:textId="187C8227" w:rsidR="00D56DF6" w:rsidRDefault="00000000">
      <w:pPr>
        <w:pStyle w:val="TableofFigures"/>
        <w:tabs>
          <w:tab w:val="right" w:leader="dot" w:pos="9350"/>
        </w:tabs>
        <w:rPr>
          <w:rFonts w:asciiTheme="minorHAnsi" w:eastAsiaTheme="minorEastAsia" w:hAnsiTheme="minorHAnsi"/>
          <w:noProof/>
          <w:szCs w:val="24"/>
        </w:rPr>
      </w:pPr>
      <w:hyperlink w:anchor="_Toc172708831" w:history="1">
        <w:r w:rsidR="00D56DF6" w:rsidRPr="00DC1691">
          <w:rPr>
            <w:rStyle w:val="Hyperlink"/>
            <w:rFonts w:cstheme="majorBidi"/>
            <w:b/>
            <w:bCs/>
            <w:noProof/>
          </w:rPr>
          <w:t xml:space="preserve">Fig. </w:t>
        </w:r>
        <w:r w:rsidR="00D56DF6" w:rsidRPr="00DC1691">
          <w:rPr>
            <w:rStyle w:val="Hyperlink"/>
            <w:rFonts w:cstheme="majorBidi" w:hint="eastAsia"/>
            <w:b/>
            <w:bCs/>
            <w:noProof/>
            <w:cs/>
          </w:rPr>
          <w:t>‎</w:t>
        </w:r>
        <w:r w:rsidR="00D56DF6" w:rsidRPr="00DC1691">
          <w:rPr>
            <w:rStyle w:val="Hyperlink"/>
            <w:rFonts w:cstheme="majorBidi"/>
            <w:b/>
            <w:bCs/>
            <w:noProof/>
          </w:rPr>
          <w:t>6</w:t>
        </w:r>
        <w:r w:rsidR="00D56DF6" w:rsidRPr="00DC1691">
          <w:rPr>
            <w:rStyle w:val="Hyperlink"/>
            <w:rFonts w:cstheme="majorBidi"/>
            <w:b/>
            <w:bCs/>
            <w:noProof/>
          </w:rPr>
          <w:noBreakHyphen/>
          <w:t>4</w:t>
        </w:r>
        <w:r w:rsidR="00D56DF6" w:rsidRPr="00DC1691">
          <w:rPr>
            <w:rStyle w:val="Hyperlink"/>
            <w:rFonts w:cstheme="majorBidi"/>
            <w:noProof/>
          </w:rPr>
          <w:t xml:space="preserve"> The impact of Re number on the computationally determined transient (a) lateral position, (b) particle mass, and (c) Nu number. Results for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 1000,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w:t>
        </w:r>
        <w:r w:rsidR="00D56DF6">
          <w:rPr>
            <w:noProof/>
            <w:webHidden/>
          </w:rPr>
          <w:tab/>
        </w:r>
        <w:r w:rsidR="00D56DF6">
          <w:rPr>
            <w:noProof/>
            <w:webHidden/>
          </w:rPr>
          <w:fldChar w:fldCharType="begin"/>
        </w:r>
        <w:r w:rsidR="00D56DF6">
          <w:rPr>
            <w:noProof/>
            <w:webHidden/>
          </w:rPr>
          <w:instrText xml:space="preserve"> PAGEREF _Toc172708831 \h </w:instrText>
        </w:r>
        <w:r w:rsidR="00D56DF6">
          <w:rPr>
            <w:noProof/>
            <w:webHidden/>
          </w:rPr>
        </w:r>
        <w:r w:rsidR="00D56DF6">
          <w:rPr>
            <w:noProof/>
            <w:webHidden/>
          </w:rPr>
          <w:fldChar w:fldCharType="separate"/>
        </w:r>
        <w:r w:rsidR="00732AAC">
          <w:rPr>
            <w:noProof/>
            <w:webHidden/>
          </w:rPr>
          <w:t>106</w:t>
        </w:r>
        <w:r w:rsidR="00D56DF6">
          <w:rPr>
            <w:noProof/>
            <w:webHidden/>
          </w:rPr>
          <w:fldChar w:fldCharType="end"/>
        </w:r>
      </w:hyperlink>
    </w:p>
    <w:p w14:paraId="33E807A4" w14:textId="58005CED" w:rsidR="00D56DF6" w:rsidRDefault="00000000">
      <w:pPr>
        <w:pStyle w:val="TableofFigures"/>
        <w:tabs>
          <w:tab w:val="right" w:leader="dot" w:pos="9350"/>
        </w:tabs>
        <w:rPr>
          <w:rFonts w:asciiTheme="minorHAnsi" w:eastAsiaTheme="minorEastAsia" w:hAnsiTheme="minorHAnsi"/>
          <w:noProof/>
          <w:szCs w:val="24"/>
        </w:rPr>
      </w:pPr>
      <w:hyperlink w:anchor="_Toc172708832" w:history="1">
        <w:r w:rsidR="00D56DF6" w:rsidRPr="00DC1691">
          <w:rPr>
            <w:rStyle w:val="Hyperlink"/>
            <w:rFonts w:cstheme="majorBidi"/>
            <w:b/>
            <w:bCs/>
            <w:noProof/>
          </w:rPr>
          <w:t xml:space="preserve">Fig. </w:t>
        </w:r>
        <w:r w:rsidR="00D56DF6" w:rsidRPr="00DC1691">
          <w:rPr>
            <w:rStyle w:val="Hyperlink"/>
            <w:rFonts w:cstheme="majorBidi" w:hint="eastAsia"/>
            <w:b/>
            <w:bCs/>
            <w:noProof/>
            <w:cs/>
          </w:rPr>
          <w:t>‎</w:t>
        </w:r>
        <w:r w:rsidR="00D56DF6" w:rsidRPr="00DC1691">
          <w:rPr>
            <w:rStyle w:val="Hyperlink"/>
            <w:rFonts w:cstheme="majorBidi"/>
            <w:b/>
            <w:bCs/>
            <w:noProof/>
          </w:rPr>
          <w:t>6</w:t>
        </w:r>
        <w:r w:rsidR="00D56DF6" w:rsidRPr="00DC1691">
          <w:rPr>
            <w:rStyle w:val="Hyperlink"/>
            <w:rFonts w:cstheme="majorBidi"/>
            <w:b/>
            <w:bCs/>
            <w:noProof/>
          </w:rPr>
          <w:noBreakHyphen/>
          <w:t>5</w:t>
        </w:r>
        <w:r w:rsidR="00D56DF6" w:rsidRPr="00DC1691">
          <w:rPr>
            <w:rStyle w:val="Hyperlink"/>
            <w:rFonts w:cstheme="majorBidi"/>
            <w:noProof/>
          </w:rPr>
          <w:t xml:space="preserve"> The impact of Re number on the predicted transient (a) slip velocity and (b) rotational velocity. Results are obtained for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 1000,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w:t>
        </w:r>
        <w:r w:rsidR="00D56DF6">
          <w:rPr>
            <w:noProof/>
            <w:webHidden/>
          </w:rPr>
          <w:tab/>
        </w:r>
        <w:r w:rsidR="00D56DF6">
          <w:rPr>
            <w:noProof/>
            <w:webHidden/>
          </w:rPr>
          <w:fldChar w:fldCharType="begin"/>
        </w:r>
        <w:r w:rsidR="00D56DF6">
          <w:rPr>
            <w:noProof/>
            <w:webHidden/>
          </w:rPr>
          <w:instrText xml:space="preserve"> PAGEREF _Toc172708832 \h </w:instrText>
        </w:r>
        <w:r w:rsidR="00D56DF6">
          <w:rPr>
            <w:noProof/>
            <w:webHidden/>
          </w:rPr>
        </w:r>
        <w:r w:rsidR="00D56DF6">
          <w:rPr>
            <w:noProof/>
            <w:webHidden/>
          </w:rPr>
          <w:fldChar w:fldCharType="separate"/>
        </w:r>
        <w:r w:rsidR="00732AAC">
          <w:rPr>
            <w:noProof/>
            <w:webHidden/>
          </w:rPr>
          <w:t>109</w:t>
        </w:r>
        <w:r w:rsidR="00D56DF6">
          <w:rPr>
            <w:noProof/>
            <w:webHidden/>
          </w:rPr>
          <w:fldChar w:fldCharType="end"/>
        </w:r>
      </w:hyperlink>
    </w:p>
    <w:p w14:paraId="6779F50C" w14:textId="2DA1A15F" w:rsidR="00D56DF6" w:rsidRDefault="00000000">
      <w:pPr>
        <w:pStyle w:val="TableofFigures"/>
        <w:tabs>
          <w:tab w:val="right" w:leader="dot" w:pos="9350"/>
        </w:tabs>
        <w:rPr>
          <w:rFonts w:asciiTheme="minorHAnsi" w:eastAsiaTheme="minorEastAsia" w:hAnsiTheme="minorHAnsi"/>
          <w:noProof/>
          <w:szCs w:val="24"/>
        </w:rPr>
      </w:pPr>
      <w:hyperlink w:anchor="_Toc172708833" w:history="1">
        <w:r w:rsidR="00D56DF6" w:rsidRPr="00DC1691">
          <w:rPr>
            <w:rStyle w:val="Hyperlink"/>
            <w:rFonts w:cstheme="majorBidi"/>
            <w:b/>
            <w:bCs/>
            <w:noProof/>
          </w:rPr>
          <w:t xml:space="preserve">Fig. </w:t>
        </w:r>
        <w:r w:rsidR="00D56DF6" w:rsidRPr="00DC1691">
          <w:rPr>
            <w:rStyle w:val="Hyperlink"/>
            <w:rFonts w:cstheme="majorBidi" w:hint="eastAsia"/>
            <w:b/>
            <w:bCs/>
            <w:noProof/>
            <w:cs/>
          </w:rPr>
          <w:t>‎</w:t>
        </w:r>
        <w:r w:rsidR="00D56DF6" w:rsidRPr="00DC1691">
          <w:rPr>
            <w:rStyle w:val="Hyperlink"/>
            <w:rFonts w:cstheme="majorBidi"/>
            <w:b/>
            <w:bCs/>
            <w:noProof/>
          </w:rPr>
          <w:t>6</w:t>
        </w:r>
        <w:r w:rsidR="00D56DF6" w:rsidRPr="00DC1691">
          <w:rPr>
            <w:rStyle w:val="Hyperlink"/>
            <w:rFonts w:cstheme="majorBidi"/>
            <w:b/>
            <w:bCs/>
            <w:noProof/>
          </w:rPr>
          <w:noBreakHyphen/>
          <w:t>6</w:t>
        </w:r>
        <w:r w:rsidR="00D56DF6" w:rsidRPr="00DC1691">
          <w:rPr>
            <w:rStyle w:val="Hyperlink"/>
            <w:rFonts w:cstheme="majorBidi"/>
            <w:noProof/>
          </w:rPr>
          <w:t xml:space="preserve"> The impact of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number on (a) the lateral position, (b) the mass of the particle, and (c) the </w:t>
        </w:r>
        <m:oMath>
          <m:r>
            <m:rPr>
              <m:sty m:val="p"/>
            </m:rPr>
            <w:rPr>
              <w:rStyle w:val="Hyperlink"/>
              <w:rFonts w:ascii="Cambria Math" w:hAnsi="Cambria Math" w:cstheme="majorBidi"/>
              <w:noProof/>
            </w:rPr>
            <m:t>Nu</m:t>
          </m:r>
        </m:oMath>
        <w:r w:rsidR="00D56DF6" w:rsidRPr="00DC1691">
          <w:rPr>
            <w:rStyle w:val="Hyperlink"/>
            <w:rFonts w:cstheme="majorBidi"/>
            <w:noProof/>
          </w:rPr>
          <w:t xml:space="preserve"> number for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w:t>
        </w:r>
        <w:r w:rsidR="00D56DF6">
          <w:rPr>
            <w:noProof/>
            <w:webHidden/>
          </w:rPr>
          <w:tab/>
        </w:r>
        <w:r w:rsidR="00D56DF6">
          <w:rPr>
            <w:noProof/>
            <w:webHidden/>
          </w:rPr>
          <w:fldChar w:fldCharType="begin"/>
        </w:r>
        <w:r w:rsidR="00D56DF6">
          <w:rPr>
            <w:noProof/>
            <w:webHidden/>
          </w:rPr>
          <w:instrText xml:space="preserve"> PAGEREF _Toc172708833 \h </w:instrText>
        </w:r>
        <w:r w:rsidR="00D56DF6">
          <w:rPr>
            <w:noProof/>
            <w:webHidden/>
          </w:rPr>
        </w:r>
        <w:r w:rsidR="00D56DF6">
          <w:rPr>
            <w:noProof/>
            <w:webHidden/>
          </w:rPr>
          <w:fldChar w:fldCharType="separate"/>
        </w:r>
        <w:r w:rsidR="00732AAC">
          <w:rPr>
            <w:noProof/>
            <w:webHidden/>
          </w:rPr>
          <w:t>110</w:t>
        </w:r>
        <w:r w:rsidR="00D56DF6">
          <w:rPr>
            <w:noProof/>
            <w:webHidden/>
          </w:rPr>
          <w:fldChar w:fldCharType="end"/>
        </w:r>
      </w:hyperlink>
    </w:p>
    <w:p w14:paraId="4CBAAF5D" w14:textId="402D730A" w:rsidR="00D56DF6" w:rsidRDefault="00000000">
      <w:pPr>
        <w:pStyle w:val="TableofFigures"/>
        <w:tabs>
          <w:tab w:val="right" w:leader="dot" w:pos="9350"/>
        </w:tabs>
        <w:rPr>
          <w:rFonts w:asciiTheme="minorHAnsi" w:eastAsiaTheme="minorEastAsia" w:hAnsiTheme="minorHAnsi"/>
          <w:noProof/>
          <w:szCs w:val="24"/>
        </w:rPr>
      </w:pPr>
      <w:hyperlink w:anchor="_Toc172708834"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6</w:t>
        </w:r>
        <w:r w:rsidR="00D56DF6" w:rsidRPr="00DC1691">
          <w:rPr>
            <w:rStyle w:val="Hyperlink"/>
            <w:b/>
            <w:bCs/>
            <w:noProof/>
          </w:rPr>
          <w:noBreakHyphen/>
          <w:t>7</w:t>
        </w:r>
        <w:r w:rsidR="00D56DF6" w:rsidRPr="00DC1691">
          <w:rPr>
            <w:rStyle w:val="Hyperlink"/>
            <w:rFonts w:cstheme="majorBidi"/>
            <w:noProof/>
          </w:rPr>
          <w:t xml:space="preserve"> The pressure distribution around the particle for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 1,000,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 and multiple dimensionless times.</w:t>
        </w:r>
        <w:r w:rsidR="00D56DF6">
          <w:rPr>
            <w:noProof/>
            <w:webHidden/>
          </w:rPr>
          <w:tab/>
        </w:r>
        <w:r w:rsidR="00D56DF6">
          <w:rPr>
            <w:noProof/>
            <w:webHidden/>
          </w:rPr>
          <w:fldChar w:fldCharType="begin"/>
        </w:r>
        <w:r w:rsidR="00D56DF6">
          <w:rPr>
            <w:noProof/>
            <w:webHidden/>
          </w:rPr>
          <w:instrText xml:space="preserve"> PAGEREF _Toc172708834 \h </w:instrText>
        </w:r>
        <w:r w:rsidR="00D56DF6">
          <w:rPr>
            <w:noProof/>
            <w:webHidden/>
          </w:rPr>
        </w:r>
        <w:r w:rsidR="00D56DF6">
          <w:rPr>
            <w:noProof/>
            <w:webHidden/>
          </w:rPr>
          <w:fldChar w:fldCharType="separate"/>
        </w:r>
        <w:r w:rsidR="00732AAC">
          <w:rPr>
            <w:noProof/>
            <w:webHidden/>
          </w:rPr>
          <w:t>112</w:t>
        </w:r>
        <w:r w:rsidR="00D56DF6">
          <w:rPr>
            <w:noProof/>
            <w:webHidden/>
          </w:rPr>
          <w:fldChar w:fldCharType="end"/>
        </w:r>
      </w:hyperlink>
    </w:p>
    <w:p w14:paraId="30E6731B" w14:textId="4F721002" w:rsidR="00D56DF6" w:rsidRDefault="00000000">
      <w:pPr>
        <w:pStyle w:val="TableofFigures"/>
        <w:tabs>
          <w:tab w:val="right" w:leader="dot" w:pos="9350"/>
        </w:tabs>
        <w:rPr>
          <w:rFonts w:asciiTheme="minorHAnsi" w:eastAsiaTheme="minorEastAsia" w:hAnsiTheme="minorHAnsi"/>
          <w:noProof/>
          <w:szCs w:val="24"/>
        </w:rPr>
      </w:pPr>
      <w:hyperlink w:anchor="_Toc172708835" w:history="1">
        <w:r w:rsidR="00D56DF6" w:rsidRPr="00DC1691">
          <w:rPr>
            <w:rStyle w:val="Hyperlink"/>
            <w:rFonts w:cstheme="majorBidi"/>
            <w:b/>
            <w:bCs/>
            <w:noProof/>
          </w:rPr>
          <w:t xml:space="preserve">Fig. </w:t>
        </w:r>
        <w:r w:rsidR="00D56DF6" w:rsidRPr="00DC1691">
          <w:rPr>
            <w:rStyle w:val="Hyperlink"/>
            <w:rFonts w:cstheme="majorBidi" w:hint="eastAsia"/>
            <w:b/>
            <w:bCs/>
            <w:noProof/>
            <w:cs/>
          </w:rPr>
          <w:t>‎</w:t>
        </w:r>
        <w:r w:rsidR="00D56DF6" w:rsidRPr="00DC1691">
          <w:rPr>
            <w:rStyle w:val="Hyperlink"/>
            <w:rFonts w:cstheme="majorBidi"/>
            <w:b/>
            <w:bCs/>
            <w:noProof/>
          </w:rPr>
          <w:t>6</w:t>
        </w:r>
        <w:r w:rsidR="00D56DF6" w:rsidRPr="00DC1691">
          <w:rPr>
            <w:rStyle w:val="Hyperlink"/>
            <w:rFonts w:cstheme="majorBidi"/>
            <w:b/>
            <w:bCs/>
            <w:noProof/>
          </w:rPr>
          <w:noBreakHyphen/>
          <w:t>8</w:t>
        </w:r>
        <w:r w:rsidR="00D56DF6" w:rsidRPr="00DC1691">
          <w:rPr>
            <w:rStyle w:val="Hyperlink"/>
            <w:rFonts w:cstheme="majorBidi"/>
            <w:noProof/>
          </w:rPr>
          <w:t xml:space="preserve"> The impact of the </w:t>
        </w:r>
        <m:oMath>
          <m:r>
            <m:rPr>
              <m:sty m:val="p"/>
            </m:rPr>
            <w:rPr>
              <w:rStyle w:val="Hyperlink"/>
              <w:rFonts w:ascii="Cambria Math" w:hAnsi="Cambria Math" w:cstheme="majorBidi"/>
              <w:noProof/>
            </w:rPr>
            <m:t>St</m:t>
          </m:r>
        </m:oMath>
        <w:r w:rsidR="00D56DF6" w:rsidRPr="00DC1691">
          <w:rPr>
            <w:rStyle w:val="Hyperlink"/>
            <w:rFonts w:cstheme="majorBidi"/>
            <w:noProof/>
          </w:rPr>
          <w:t xml:space="preserve"> number on the computationally determined transient (a) lateral position, (b) particle mass, and (c) </w:t>
        </w:r>
        <m:oMath>
          <m:r>
            <m:rPr>
              <m:sty m:val="p"/>
            </m:rPr>
            <w:rPr>
              <w:rStyle w:val="Hyperlink"/>
              <w:rFonts w:ascii="Cambria Math" w:hAnsi="Cambria Math" w:cstheme="majorBidi"/>
              <w:noProof/>
            </w:rPr>
            <m:t>Nu</m:t>
          </m:r>
        </m:oMath>
        <w:r w:rsidR="00D56DF6" w:rsidRPr="00DC1691">
          <w:rPr>
            <w:rStyle w:val="Hyperlink"/>
            <w:rFonts w:cstheme="majorBidi"/>
            <w:noProof/>
          </w:rPr>
          <w:t xml:space="preserve"> number for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 </w:t>
        </w:r>
        <m:oMath>
          <m:r>
            <m:rPr>
              <m:sty m:val="p"/>
            </m:rPr>
            <w:rPr>
              <w:rStyle w:val="Hyperlink"/>
              <w:rFonts w:ascii="Cambria Math" w:hAnsi="Cambria Math" w:cstheme="majorBidi"/>
              <w:noProof/>
            </w:rPr>
            <m:t>Gr</m:t>
          </m:r>
        </m:oMath>
        <w:r w:rsidR="00D56DF6" w:rsidRPr="00DC1691">
          <w:rPr>
            <w:rStyle w:val="Hyperlink"/>
            <w:rFonts w:cstheme="majorBidi"/>
            <w:noProof/>
          </w:rPr>
          <w:t xml:space="preserve"> = 1,000,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w:t>
        </w:r>
        <w:r w:rsidR="00D56DF6">
          <w:rPr>
            <w:noProof/>
            <w:webHidden/>
          </w:rPr>
          <w:tab/>
        </w:r>
        <w:r w:rsidR="00D56DF6">
          <w:rPr>
            <w:noProof/>
            <w:webHidden/>
          </w:rPr>
          <w:fldChar w:fldCharType="begin"/>
        </w:r>
        <w:r w:rsidR="00D56DF6">
          <w:rPr>
            <w:noProof/>
            <w:webHidden/>
          </w:rPr>
          <w:instrText xml:space="preserve"> PAGEREF _Toc172708835 \h </w:instrText>
        </w:r>
        <w:r w:rsidR="00D56DF6">
          <w:rPr>
            <w:noProof/>
            <w:webHidden/>
          </w:rPr>
        </w:r>
        <w:r w:rsidR="00D56DF6">
          <w:rPr>
            <w:noProof/>
            <w:webHidden/>
          </w:rPr>
          <w:fldChar w:fldCharType="separate"/>
        </w:r>
        <w:r w:rsidR="00732AAC">
          <w:rPr>
            <w:noProof/>
            <w:webHidden/>
          </w:rPr>
          <w:t>114</w:t>
        </w:r>
        <w:r w:rsidR="00D56DF6">
          <w:rPr>
            <w:noProof/>
            <w:webHidden/>
          </w:rPr>
          <w:fldChar w:fldCharType="end"/>
        </w:r>
      </w:hyperlink>
    </w:p>
    <w:p w14:paraId="13DA9101" w14:textId="68CF2BA4" w:rsidR="00D56DF6" w:rsidRDefault="00000000">
      <w:pPr>
        <w:pStyle w:val="TableofFigures"/>
        <w:tabs>
          <w:tab w:val="right" w:leader="dot" w:pos="9350"/>
        </w:tabs>
        <w:rPr>
          <w:rFonts w:asciiTheme="minorHAnsi" w:eastAsiaTheme="minorEastAsia" w:hAnsiTheme="minorHAnsi"/>
          <w:noProof/>
          <w:szCs w:val="24"/>
        </w:rPr>
      </w:pPr>
      <w:hyperlink w:anchor="_Toc172708836" w:history="1">
        <w:r w:rsidR="00D56DF6" w:rsidRPr="00DC1691">
          <w:rPr>
            <w:rStyle w:val="Hyperlink"/>
            <w:b/>
            <w:bCs/>
            <w:noProof/>
          </w:rPr>
          <w:t xml:space="preserve">Fig. </w:t>
        </w:r>
        <w:r w:rsidR="00D56DF6" w:rsidRPr="00DC1691">
          <w:rPr>
            <w:rStyle w:val="Hyperlink"/>
            <w:rFonts w:hint="eastAsia"/>
            <w:b/>
            <w:bCs/>
            <w:noProof/>
            <w:cs/>
          </w:rPr>
          <w:t>‎</w:t>
        </w:r>
        <w:r w:rsidR="00D56DF6" w:rsidRPr="00DC1691">
          <w:rPr>
            <w:rStyle w:val="Hyperlink"/>
            <w:b/>
            <w:bCs/>
            <w:noProof/>
          </w:rPr>
          <w:t>6</w:t>
        </w:r>
        <w:r w:rsidR="00D56DF6" w:rsidRPr="00DC1691">
          <w:rPr>
            <w:rStyle w:val="Hyperlink"/>
            <w:b/>
            <w:bCs/>
            <w:noProof/>
          </w:rPr>
          <w:noBreakHyphen/>
          <w:t>9</w:t>
        </w:r>
        <w:r w:rsidR="00D56DF6" w:rsidRPr="00DC1691">
          <w:rPr>
            <w:rStyle w:val="Hyperlink"/>
            <w:rFonts w:cstheme="majorBidi"/>
            <w:noProof/>
          </w:rPr>
          <w:t xml:space="preserve"> The initial lateral position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impact on the particle transient lateral movement, for </w:t>
        </w:r>
        <m:oMath>
          <m:r>
            <w:rPr>
              <w:rStyle w:val="Hyperlink"/>
              <w:rFonts w:ascii="Cambria Math" w:hAnsi="Cambria Math" w:cstheme="majorBidi"/>
              <w:noProof/>
            </w:rPr>
            <m:t>Y0*</m:t>
          </m:r>
        </m:oMath>
        <w:r w:rsidR="00D56DF6" w:rsidRPr="00DC1691">
          <w:rPr>
            <w:rStyle w:val="Hyperlink"/>
            <w:rFonts w:cstheme="majorBidi"/>
            <w:noProof/>
          </w:rPr>
          <w:t xml:space="preserve"> = 0.25 (red), </w:t>
        </w:r>
        <m:oMath>
          <m:sSubSup>
            <m:sSubSupPr>
              <m:ctrlPr>
                <w:rPr>
                  <w:rStyle w:val="Hyperlink"/>
                  <w:rFonts w:ascii="Cambria Math" w:hAnsi="Cambria Math" w:cstheme="majorBidi"/>
                  <w:b/>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0.50 (black), and </w:t>
        </w:r>
        <m:oMath>
          <m:sSubSup>
            <m:sSubSupPr>
              <m:ctrlPr>
                <w:rPr>
                  <w:rStyle w:val="Hyperlink"/>
                  <w:rFonts w:ascii="Cambria Math" w:hAnsi="Cambria Math" w:cstheme="majorBidi"/>
                  <w:i/>
                  <w:noProof/>
                </w:rPr>
              </m:ctrlPr>
            </m:sSubSupPr>
            <m:e>
              <m:r>
                <w:rPr>
                  <w:rStyle w:val="Hyperlink"/>
                  <w:rFonts w:ascii="Cambria Math" w:hAnsi="Cambria Math" w:cstheme="majorBidi"/>
                  <w:noProof/>
                </w:rPr>
                <m:t>Y</m:t>
              </m:r>
            </m:e>
            <m:sub>
              <m:r>
                <w:rPr>
                  <w:rStyle w:val="Hyperlink"/>
                  <w:rFonts w:ascii="Cambria Math" w:hAnsi="Cambria Math" w:cstheme="majorBidi"/>
                  <w:noProof/>
                </w:rPr>
                <m:t>0</m:t>
              </m:r>
            </m:sub>
            <m:sup>
              <m:r>
                <w:rPr>
                  <w:rStyle w:val="Hyperlink"/>
                  <w:rFonts w:ascii="Cambria Math" w:hAnsi="Cambria Math" w:cstheme="majorBidi"/>
                  <w:noProof/>
                </w:rPr>
                <m:t>*</m:t>
              </m:r>
            </m:sup>
          </m:sSubSup>
        </m:oMath>
        <w:r w:rsidR="00D56DF6" w:rsidRPr="00DC1691">
          <w:rPr>
            <w:rStyle w:val="Hyperlink"/>
            <w:rFonts w:cstheme="majorBidi"/>
            <w:noProof/>
          </w:rPr>
          <w:t xml:space="preserve"> = 0.75 (green) for </w:t>
        </w:r>
        <m:oMath>
          <m:r>
            <m:rPr>
              <m:sty m:val="p"/>
            </m:rPr>
            <w:rPr>
              <w:rStyle w:val="Hyperlink"/>
              <w:rFonts w:ascii="Cambria Math" w:hAnsi="Cambria Math" w:cstheme="majorBidi"/>
              <w:noProof/>
            </w:rPr>
            <m:t>Re</m:t>
          </m:r>
        </m:oMath>
        <w:r w:rsidR="00D56DF6" w:rsidRPr="00DC1691">
          <w:rPr>
            <w:rStyle w:val="Hyperlink"/>
            <w:rFonts w:cstheme="majorBidi"/>
            <w:noProof/>
          </w:rPr>
          <w:t xml:space="preserve"> = 100, and </w:t>
        </w:r>
        <m:oMath>
          <m:r>
            <m:rPr>
              <m:sty m:val="p"/>
            </m:rPr>
            <w:rPr>
              <w:rStyle w:val="Hyperlink"/>
              <w:rFonts w:ascii="Cambria Math" w:hAnsi="Cambria Math" w:cstheme="majorBidi"/>
              <w:noProof/>
            </w:rPr>
            <m:t>Ste</m:t>
          </m:r>
        </m:oMath>
        <w:r w:rsidR="00D56DF6" w:rsidRPr="00DC1691">
          <w:rPr>
            <w:rStyle w:val="Hyperlink"/>
            <w:rFonts w:cstheme="majorBidi"/>
            <w:noProof/>
          </w:rPr>
          <w:t xml:space="preserve"> = 0.1.</w:t>
        </w:r>
        <w:r w:rsidR="00D56DF6">
          <w:rPr>
            <w:noProof/>
            <w:webHidden/>
          </w:rPr>
          <w:tab/>
        </w:r>
        <w:r w:rsidR="00D56DF6">
          <w:rPr>
            <w:noProof/>
            <w:webHidden/>
          </w:rPr>
          <w:fldChar w:fldCharType="begin"/>
        </w:r>
        <w:r w:rsidR="00D56DF6">
          <w:rPr>
            <w:noProof/>
            <w:webHidden/>
          </w:rPr>
          <w:instrText xml:space="preserve"> PAGEREF _Toc172708836 \h </w:instrText>
        </w:r>
        <w:r w:rsidR="00D56DF6">
          <w:rPr>
            <w:noProof/>
            <w:webHidden/>
          </w:rPr>
        </w:r>
        <w:r w:rsidR="00D56DF6">
          <w:rPr>
            <w:noProof/>
            <w:webHidden/>
          </w:rPr>
          <w:fldChar w:fldCharType="separate"/>
        </w:r>
        <w:r w:rsidR="00732AAC">
          <w:rPr>
            <w:noProof/>
            <w:webHidden/>
          </w:rPr>
          <w:t>116</w:t>
        </w:r>
        <w:r w:rsidR="00D56DF6">
          <w:rPr>
            <w:noProof/>
            <w:webHidden/>
          </w:rPr>
          <w:fldChar w:fldCharType="end"/>
        </w:r>
      </w:hyperlink>
    </w:p>
    <w:p w14:paraId="5100D14F" w14:textId="6E4559E8" w:rsidR="00EE34A7" w:rsidRPr="00F365B7" w:rsidRDefault="0096167E" w:rsidP="00012978">
      <w:pPr>
        <w:pStyle w:val="Heading1"/>
        <w:spacing w:before="480" w:after="240" w:line="480" w:lineRule="auto"/>
        <w:rPr>
          <w:sz w:val="28"/>
          <w:szCs w:val="28"/>
        </w:rPr>
      </w:pPr>
      <w:r>
        <w:rPr>
          <w:sz w:val="28"/>
          <w:szCs w:val="28"/>
        </w:rPr>
        <w:lastRenderedPageBreak/>
        <w:fldChar w:fldCharType="end"/>
      </w:r>
      <w:bookmarkStart w:id="4" w:name="_Toc172367661"/>
      <w:r w:rsidR="00EE34A7" w:rsidRPr="00F365B7">
        <w:rPr>
          <w:sz w:val="28"/>
          <w:szCs w:val="28"/>
        </w:rPr>
        <w:t>Abstract</w:t>
      </w:r>
      <w:bookmarkEnd w:id="4"/>
    </w:p>
    <w:p w14:paraId="6DEBE9FC" w14:textId="444B8506" w:rsidR="00EE34A7" w:rsidRPr="00DF4FDA" w:rsidRDefault="00EE34A7" w:rsidP="00DF4FDA">
      <w:pPr>
        <w:spacing w:before="240" w:after="240" w:line="480" w:lineRule="auto"/>
        <w:jc w:val="both"/>
        <w:rPr>
          <w:rFonts w:cstheme="majorBidi"/>
        </w:rPr>
      </w:pPr>
      <w:r w:rsidRPr="00757728">
        <w:rPr>
          <w:rFonts w:cstheme="majorBidi"/>
        </w:rPr>
        <w:t xml:space="preserve">Freeze desalination (FD) emerges as a </w:t>
      </w:r>
      <w:r>
        <w:rPr>
          <w:rFonts w:cstheme="majorBidi"/>
        </w:rPr>
        <w:t>promising</w:t>
      </w:r>
      <w:r w:rsidRPr="00757728">
        <w:rPr>
          <w:rFonts w:cstheme="majorBidi"/>
        </w:rPr>
        <w:t xml:space="preserve"> method for </w:t>
      </w:r>
      <w:r>
        <w:rPr>
          <w:rFonts w:cstheme="majorBidi"/>
        </w:rPr>
        <w:t>treatment of</w:t>
      </w:r>
      <w:r w:rsidRPr="00757728">
        <w:rPr>
          <w:rFonts w:cstheme="majorBidi"/>
        </w:rPr>
        <w:t xml:space="preserve"> high-salinity brines. </w:t>
      </w:r>
      <w:r>
        <w:rPr>
          <w:rFonts w:cstheme="majorBidi"/>
        </w:rPr>
        <w:t>In this work, experimental and theoretical studies are conducted on</w:t>
      </w:r>
      <w:r w:rsidRPr="00757728">
        <w:rPr>
          <w:rFonts w:cstheme="majorBidi"/>
        </w:rPr>
        <w:t xml:space="preserve"> </w:t>
      </w:r>
      <w:r>
        <w:rPr>
          <w:rFonts w:cstheme="majorBidi"/>
        </w:rPr>
        <w:t>the design, fabrication,</w:t>
      </w:r>
      <w:r w:rsidRPr="00757728">
        <w:rPr>
          <w:rFonts w:cstheme="majorBidi"/>
        </w:rPr>
        <w:t xml:space="preserve"> and testing of a novel FD system </w:t>
      </w:r>
      <w:r>
        <w:rPr>
          <w:rFonts w:cstheme="majorBidi"/>
        </w:rPr>
        <w:t xml:space="preserve">for desalinating </w:t>
      </w:r>
      <w:r w:rsidRPr="00757728">
        <w:rPr>
          <w:rFonts w:eastAsia="MS Mincho" w:cstheme="majorBidi"/>
          <w:spacing w:val="-3"/>
        </w:rPr>
        <w:t>brines with salinities up to 100,000 ppm</w:t>
      </w:r>
      <w:r w:rsidRPr="00757728">
        <w:rPr>
          <w:rFonts w:cstheme="majorBidi"/>
        </w:rPr>
        <w:t xml:space="preserve">. </w:t>
      </w:r>
      <w:r>
        <w:rPr>
          <w:rFonts w:cstheme="majorBidi"/>
        </w:rPr>
        <w:t>The</w:t>
      </w:r>
      <w:r w:rsidRPr="00757728">
        <w:rPr>
          <w:rFonts w:cstheme="majorBidi"/>
        </w:rPr>
        <w:t xml:space="preserve"> system integrat</w:t>
      </w:r>
      <w:r>
        <w:rPr>
          <w:rFonts w:cstheme="majorBidi"/>
        </w:rPr>
        <w:t>es</w:t>
      </w:r>
      <w:r w:rsidRPr="00757728">
        <w:rPr>
          <w:rFonts w:cstheme="majorBidi"/>
        </w:rPr>
        <w:t xml:space="preserve"> a refrigeration unit with a desalination unit</w:t>
      </w:r>
      <w:r>
        <w:rPr>
          <w:rFonts w:cstheme="majorBidi"/>
        </w:rPr>
        <w:t xml:space="preserve"> via an intermediate </w:t>
      </w:r>
      <w:r w:rsidRPr="00F55A06">
        <w:rPr>
          <w:rFonts w:cstheme="majorBidi"/>
        </w:rPr>
        <w:t xml:space="preserve">cooling liquid (ICL). </w:t>
      </w:r>
      <w:r w:rsidR="00166D2B" w:rsidRPr="00F55A06">
        <w:rPr>
          <w:rFonts w:cstheme="majorBidi"/>
        </w:rPr>
        <w:t>The desalination unit is comprised of a freezing chamber, a slurry transport section, and sep</w:t>
      </w:r>
      <w:r w:rsidR="004D61DE" w:rsidRPr="00F55A06">
        <w:rPr>
          <w:rFonts w:cstheme="majorBidi"/>
        </w:rPr>
        <w:t>aration modules.</w:t>
      </w:r>
      <w:r w:rsidR="004D61DE" w:rsidRPr="00F55A06">
        <w:rPr>
          <w:rFonts w:cstheme="majorBidi"/>
          <w:color w:val="00B050"/>
        </w:rPr>
        <w:t xml:space="preserve"> </w:t>
      </w:r>
      <w:r w:rsidRPr="00F55A06">
        <w:rPr>
          <w:rFonts w:cstheme="majorBidi"/>
        </w:rPr>
        <w:t>Operating at atmospheric pressure, the FD system leverages</w:t>
      </w:r>
      <w:r w:rsidRPr="00757728">
        <w:rPr>
          <w:rFonts w:cstheme="majorBidi"/>
        </w:rPr>
        <w:t xml:space="preserve"> the efficient heat transfer </w:t>
      </w:r>
      <w:r>
        <w:rPr>
          <w:rFonts w:cstheme="majorBidi"/>
        </w:rPr>
        <w:t>achieved through</w:t>
      </w:r>
      <w:r w:rsidRPr="00757728">
        <w:rPr>
          <w:rFonts w:cstheme="majorBidi"/>
        </w:rPr>
        <w:t xml:space="preserve"> direct contact between the brine and the </w:t>
      </w:r>
      <w:r>
        <w:rPr>
          <w:rFonts w:cstheme="majorBidi"/>
        </w:rPr>
        <w:t>ICL</w:t>
      </w:r>
      <w:r w:rsidRPr="00757728">
        <w:rPr>
          <w:rFonts w:cstheme="majorBidi"/>
        </w:rPr>
        <w:t xml:space="preserve">, thus avoiding complications like ice adhesion to cooling surfaces and the mixing of refrigerant with the treated water. </w:t>
      </w:r>
      <w:r>
        <w:rPr>
          <w:rFonts w:cstheme="minorHAnsi"/>
        </w:rPr>
        <w:t xml:space="preserve">A key factor in increasing the energy efficiency of the developed method is recovering the cold energy of the generated ice to cool the condenser of the refrigeration unit. This can be achieved by running an ice-water slurry through a heat exchanger to absorb heat from the condensing refrigerant. To better understand the fundamentals of ice-water slurry heat transfer, a computational model is developed to simulate the melting of a suspended solid particle in its own melt. </w:t>
      </w:r>
      <w:r>
        <w:rPr>
          <w:rFonts w:cstheme="majorBidi"/>
        </w:rPr>
        <w:t>T</w:t>
      </w:r>
      <w:r w:rsidRPr="00757728">
        <w:rPr>
          <w:rFonts w:cstheme="majorBidi"/>
        </w:rPr>
        <w:t>he</w:t>
      </w:r>
      <w:r>
        <w:rPr>
          <w:rFonts w:cstheme="majorBidi"/>
        </w:rPr>
        <w:t xml:space="preserve"> fabricated prototype is used to study the</w:t>
      </w:r>
      <w:r w:rsidRPr="00757728">
        <w:rPr>
          <w:rFonts w:cstheme="majorBidi"/>
        </w:rPr>
        <w:t xml:space="preserve"> impacts of </w:t>
      </w:r>
      <w:r>
        <w:rPr>
          <w:rFonts w:cstheme="majorBidi"/>
        </w:rPr>
        <w:t xml:space="preserve">various operational parameters such as </w:t>
      </w:r>
      <w:r w:rsidRPr="00757728">
        <w:rPr>
          <w:rFonts w:cstheme="majorBidi"/>
        </w:rPr>
        <w:t xml:space="preserve">feed brine salinity, cooling temperatures, and centrifugation times on the recovery ratio and the purity of the treated water. </w:t>
      </w:r>
      <w:r>
        <w:rPr>
          <w:rFonts w:cstheme="majorBidi"/>
        </w:rPr>
        <w:t>It is found</w:t>
      </w:r>
      <w:r w:rsidRPr="00757728">
        <w:rPr>
          <w:rFonts w:cstheme="majorBidi"/>
        </w:rPr>
        <w:t xml:space="preserve"> that lower cooling temperatures and feed brine salinities enhance the recovery ratio, while increasing the salinity </w:t>
      </w:r>
      <w:r>
        <w:rPr>
          <w:rFonts w:cstheme="majorBidi"/>
        </w:rPr>
        <w:t>of</w:t>
      </w:r>
      <w:r w:rsidRPr="00757728">
        <w:rPr>
          <w:rFonts w:cstheme="majorBidi"/>
        </w:rPr>
        <w:t xml:space="preserve"> the treated water. Specifically, a feed brine with a TDS of 70,000 ppm and a cooling temperature of -17°C resulted in a recovery ratio of approximately 50% and a treated water TDS of about 2,600 ppm</w:t>
      </w:r>
      <w:r w:rsidRPr="00F55A06">
        <w:rPr>
          <w:rFonts w:cstheme="majorBidi"/>
        </w:rPr>
        <w:t>.</w:t>
      </w:r>
      <w:r w:rsidR="0066026F" w:rsidRPr="00F55A06">
        <w:rPr>
          <w:rFonts w:cstheme="majorBidi"/>
        </w:rPr>
        <w:t xml:space="preserve"> This study demonstrates a novel method for desalinating high-salinity brines, which potentially offers greater energy efficiency compared to conventional evaporative methods. This method could have significant applications in industrial brine management and brine mining.</w:t>
      </w:r>
    </w:p>
    <w:p w14:paraId="65887CCE" w14:textId="3A7287AA" w:rsidR="00873843" w:rsidRDefault="00873843" w:rsidP="00C73BCC">
      <w:pPr>
        <w:spacing w:before="240" w:line="360" w:lineRule="auto"/>
        <w:jc w:val="both"/>
        <w:sectPr w:rsidR="00873843" w:rsidSect="0038053B">
          <w:footerReference w:type="default" r:id="rId8"/>
          <w:pgSz w:w="12240" w:h="15840"/>
          <w:pgMar w:top="1440" w:right="1440" w:bottom="1440" w:left="1440" w:header="720" w:footer="720" w:gutter="0"/>
          <w:pgNumType w:fmt="lowerRoman" w:start="4"/>
          <w:cols w:space="720"/>
          <w:docGrid w:linePitch="360"/>
        </w:sectPr>
      </w:pPr>
    </w:p>
    <w:p w14:paraId="3E667F8B" w14:textId="77777777" w:rsidR="006253DE" w:rsidRPr="00F365B7" w:rsidRDefault="00C80F28" w:rsidP="00700DBA">
      <w:pPr>
        <w:pStyle w:val="Heading1"/>
        <w:numPr>
          <w:ilvl w:val="0"/>
          <w:numId w:val="4"/>
        </w:numPr>
        <w:spacing w:before="0" w:after="0" w:line="480" w:lineRule="auto"/>
        <w:ind w:left="288" w:hanging="288"/>
        <w:rPr>
          <w:sz w:val="28"/>
          <w:szCs w:val="28"/>
        </w:rPr>
      </w:pPr>
      <w:bookmarkStart w:id="5" w:name="_Toc172367662"/>
      <w:r w:rsidRPr="00F365B7">
        <w:rPr>
          <w:sz w:val="28"/>
          <w:szCs w:val="28"/>
        </w:rPr>
        <w:lastRenderedPageBreak/>
        <w:t>Introduction</w:t>
      </w:r>
      <w:bookmarkEnd w:id="5"/>
    </w:p>
    <w:p w14:paraId="0ED22BC6" w14:textId="12BC6AD8" w:rsidR="003B0418" w:rsidRPr="0044175C" w:rsidRDefault="002F637A" w:rsidP="00F365B7">
      <w:pPr>
        <w:spacing w:before="120" w:after="120" w:line="480" w:lineRule="auto"/>
        <w:jc w:val="both"/>
      </w:pPr>
      <w:r w:rsidRPr="003B0418">
        <w:t>This chapter aims to provide a comprehensive understanding of the</w:t>
      </w:r>
      <w:r>
        <w:t xml:space="preserve"> necessity,</w:t>
      </w:r>
      <w:r w:rsidRPr="003B0418">
        <w:t xml:space="preserve"> </w:t>
      </w:r>
      <w:r>
        <w:t xml:space="preserve">and </w:t>
      </w:r>
      <w:r w:rsidRPr="003B0418">
        <w:t xml:space="preserve">current challenges and </w:t>
      </w:r>
      <w:r>
        <w:t>opportunities</w:t>
      </w:r>
      <w:r w:rsidRPr="003B0418">
        <w:t xml:space="preserve"> in water treatment, </w:t>
      </w:r>
      <w:r>
        <w:t>establishing the foundation</w:t>
      </w:r>
      <w:r w:rsidRPr="003B0418">
        <w:t xml:space="preserve"> for a detailed exploration of freeze desalination as an effective approach to address</w:t>
      </w:r>
      <w:r>
        <w:t xml:space="preserve"> a specific subset of</w:t>
      </w:r>
      <w:r w:rsidRPr="003B0418">
        <w:t xml:space="preserve"> these issues.</w:t>
      </w:r>
      <w:r>
        <w:t xml:space="preserve"> The chapter begins with</w:t>
      </w:r>
      <w:r w:rsidRPr="003B0418">
        <w:t xml:space="preserve"> </w:t>
      </w:r>
      <w:r>
        <w:t>an overview</w:t>
      </w:r>
      <w:r w:rsidRPr="003B0418">
        <w:t xml:space="preserve"> of the water scarcity</w:t>
      </w:r>
      <w:r>
        <w:t xml:space="preserve"> problem</w:t>
      </w:r>
      <w:r w:rsidRPr="003B0418">
        <w:t xml:space="preserve"> and the growing </w:t>
      </w:r>
      <w:r>
        <w:t>demand</w:t>
      </w:r>
      <w:r w:rsidRPr="003B0418">
        <w:t xml:space="preserve"> for innovative water treatment solutions. </w:t>
      </w:r>
      <w:r>
        <w:t xml:space="preserve">Next, desalination is introduced as a potential solution for addressing the increasing freshwater demand and a brief review of the most widely used </w:t>
      </w:r>
      <w:r w:rsidRPr="003B0418">
        <w:t xml:space="preserve">desalination </w:t>
      </w:r>
      <w:r>
        <w:t>technologies is presented</w:t>
      </w:r>
      <w:r w:rsidRPr="003B0418">
        <w:t xml:space="preserve">. Afterwards, </w:t>
      </w:r>
      <w:r>
        <w:t>brine</w:t>
      </w:r>
      <w:r w:rsidRPr="003B0418">
        <w:t xml:space="preserve"> management strategies, which are crucial for the treatment of high salinity </w:t>
      </w:r>
      <w:r>
        <w:t>water resources,</w:t>
      </w:r>
      <w:r w:rsidRPr="00A41B55">
        <w:t xml:space="preserve"> </w:t>
      </w:r>
      <w:r>
        <w:t>are discussed</w:t>
      </w:r>
      <w:r w:rsidRPr="003B0418">
        <w:t xml:space="preserve">. Lastly, </w:t>
      </w:r>
      <w:r>
        <w:t xml:space="preserve">a </w:t>
      </w:r>
      <w:r w:rsidRPr="003B0418">
        <w:t xml:space="preserve">description of freeze desalination, the focus of this study, </w:t>
      </w:r>
      <w:r>
        <w:t>is provided,</w:t>
      </w:r>
      <w:r w:rsidRPr="003B0418">
        <w:t xml:space="preserve"> presenting it as a promising technique for managing high salinity brine. </w:t>
      </w:r>
    </w:p>
    <w:p w14:paraId="655AAB11" w14:textId="0A71C8E0" w:rsidR="0001755D" w:rsidRPr="00F365B7" w:rsidRDefault="003A53DC" w:rsidP="00700DBA">
      <w:pPr>
        <w:pStyle w:val="Heading2"/>
        <w:numPr>
          <w:ilvl w:val="1"/>
          <w:numId w:val="5"/>
        </w:numPr>
        <w:spacing w:before="360" w:after="120" w:line="480" w:lineRule="auto"/>
        <w:ind w:left="432"/>
        <w:rPr>
          <w:sz w:val="24"/>
          <w:szCs w:val="24"/>
        </w:rPr>
      </w:pPr>
      <w:bookmarkStart w:id="6" w:name="_Toc172367663"/>
      <w:r w:rsidRPr="00F365B7">
        <w:rPr>
          <w:sz w:val="24"/>
          <w:szCs w:val="24"/>
        </w:rPr>
        <w:t>Background</w:t>
      </w:r>
      <w:bookmarkEnd w:id="6"/>
    </w:p>
    <w:p w14:paraId="395B9FBA" w14:textId="55C1AAE0" w:rsidR="0046248B" w:rsidRPr="004834D3" w:rsidRDefault="0046248B" w:rsidP="00632DCA">
      <w:pPr>
        <w:spacing w:before="240" w:after="240" w:line="480" w:lineRule="auto"/>
        <w:jc w:val="both"/>
        <w:rPr>
          <w:rFonts w:cstheme="majorBidi"/>
        </w:rPr>
      </w:pPr>
      <w:r w:rsidRPr="00C73BCC">
        <w:rPr>
          <w:rFonts w:cstheme="majorBidi"/>
        </w:rPr>
        <w:t xml:space="preserve">Water is </w:t>
      </w:r>
      <w:r w:rsidR="009E2A41" w:rsidRPr="00C73BCC">
        <w:rPr>
          <w:rFonts w:cstheme="majorBidi"/>
        </w:rPr>
        <w:t>a</w:t>
      </w:r>
      <w:r w:rsidR="002F6F1D" w:rsidRPr="00C73BCC">
        <w:rPr>
          <w:rFonts w:cstheme="majorBidi"/>
        </w:rPr>
        <w:t>n</w:t>
      </w:r>
      <w:r w:rsidRPr="00C73BCC">
        <w:rPr>
          <w:rFonts w:cstheme="majorBidi"/>
        </w:rPr>
        <w:t xml:space="preserve"> </w:t>
      </w:r>
      <w:r w:rsidR="00FC0CA5" w:rsidRPr="00C73BCC">
        <w:rPr>
          <w:rFonts w:cstheme="majorBidi"/>
        </w:rPr>
        <w:t>essential</w:t>
      </w:r>
      <w:r w:rsidRPr="00C73BCC">
        <w:rPr>
          <w:rFonts w:cstheme="majorBidi"/>
        </w:rPr>
        <w:t xml:space="preserve"> natural resource, crucial</w:t>
      </w:r>
      <w:r w:rsidRPr="004834D3">
        <w:rPr>
          <w:rFonts w:cstheme="majorBidi"/>
        </w:rPr>
        <w:t xml:space="preserve"> for the survival of all living organisms</w:t>
      </w:r>
      <w:r w:rsidR="00C904E0" w:rsidRPr="004834D3">
        <w:rPr>
          <w:rFonts w:cstheme="majorBidi"/>
        </w:rPr>
        <w:t xml:space="preserve"> </w:t>
      </w:r>
      <w:r w:rsidR="00C904E0" w:rsidRPr="004834D3">
        <w:rPr>
          <w:rFonts w:cstheme="majorBidi"/>
        </w:rPr>
        <w:fldChar w:fldCharType="begin" w:fldLock="1"/>
      </w:r>
      <w:r w:rsidR="00CF3C0F">
        <w:rPr>
          <w:rFonts w:cstheme="majorBidi"/>
        </w:rPr>
        <w:instrText>ADDIN CSL_CITATION {"citationItems":[{"id":"ITEM-1","itemData":{"DOI":"10.1016/j.scitotenv.2020.141528","ISSN":"18791026","PMID":"32818886","abstract":"Due to the limited availability of freshwater supplies, desalination has become an increasingly reliable process for water supply worldwide, with proved technical and economic feasibility and advantages. Recently, desalination capacity significantly increased from approximately 35 million m3 daily (MCM/day) in 2005 to about 95 MCM/day in 2018. Seawater desalination accounts for about 61% of global desalination capacity, while brackish water desalination accounts for 30%. Membrane desalination, mainly using reverse osmosis (RO), accounts for ¾ of global desalination capacity, with the rest mostly used for thermal desalination using multi-stage flash distillation (MSF), and multi-effect distillation (MED). Despite the undeniable role of desalination for securing water supply in areas where natural freshwater supplies are scarce, desalination impacts the natural environment at different aspects. Environmental impacts (EIs) of the desalination process are different and vary significantly according to the nature of the utilized feedwater, the desalination technology in use, and the management of waste brine generated. In this work, the EIs of each desalination technology were thoroughly investigated, with careful consideration given to different feedwater qualities, and various brine management techniques. Although the different aspects of desalination EIs have been extensively studied in the literature, the literature lacks comprehensive reviews and summaries of all the associated EIs. This article compiles the different EIs associated with the whole desalination process in one-hub, applying an intake-to-outfall approach. The leading desalination technologies of RO, MSF, and MED were analyzed, along with different feedwaters. This article provides a mapping of the different technologies involving feedwater and brine management techniques and a detailed description of their impact on the environment. Finally, recommendations and conclusions were given to minimize the negative impacts of desalination on both the local and global environments.","author":[{"dropping-particle":"","family":"Elsaid","given":"Khaled","non-dropping-particle":"","parse-names":false,"suffix":""},{"dropping-particle":"","family":"Kamil","given":"Mohammed","non-dropping-particle":"","parse-names":false,"suffix":""},{"dropping-particle":"","family":"Sayed","given":"Enas Taha","non-dropping-particle":"","parse-names":false,"suffix":""},{"dropping-particle":"","family":"Abdelkareem","given":"Mohammad Ali","non-dropping-particle":"","parse-names":false,"suffix":""},{"dropping-particle":"","family":"Wilberforce","given":"Tabbi","non-dropping-particle":"","parse-names":false,"suffix":""},{"dropping-particle":"","family":"Olabi","given":"A.","non-dropping-particle":"","parse-names":false,"suffix":""}],"container-title":"Science of the Total Environment","id":"ITEM-1","issued":{"date-parts":[["2020"]]},"page":"141528","publisher":"Elsevier","title":"Environmental impact of desalination technologies: A review","type":"article-journal","volume":"748"},"uris":["http://www.mendeley.com/documents/?uuid=04d8188f-fce8-4fca-b431-26728fb1b8c2"]}],"mendeley":{"formattedCitation":"[1]","plainTextFormattedCitation":"[1]","previouslyFormattedCitation":"[1]"},"properties":{"noteIndex":0},"schema":"https://github.com/citation-style-language/schema/raw/master/csl-citation.json"}</w:instrText>
      </w:r>
      <w:r w:rsidR="00C904E0" w:rsidRPr="004834D3">
        <w:rPr>
          <w:rFonts w:cstheme="majorBidi"/>
        </w:rPr>
        <w:fldChar w:fldCharType="separate"/>
      </w:r>
      <w:r w:rsidR="00C904E0" w:rsidRPr="004834D3">
        <w:rPr>
          <w:rFonts w:cstheme="majorBidi"/>
          <w:noProof/>
        </w:rPr>
        <w:t>[1]</w:t>
      </w:r>
      <w:r w:rsidR="00C904E0" w:rsidRPr="004834D3">
        <w:rPr>
          <w:rFonts w:cstheme="majorBidi"/>
        </w:rPr>
        <w:fldChar w:fldCharType="end"/>
      </w:r>
      <w:r w:rsidRPr="004834D3">
        <w:rPr>
          <w:rFonts w:cstheme="majorBidi"/>
        </w:rPr>
        <w:t xml:space="preserve">. Often perceived as a basic and freely accessible right, water is abundant, </w:t>
      </w:r>
      <w:r w:rsidR="002F637A">
        <w:rPr>
          <w:rFonts w:cstheme="majorBidi"/>
        </w:rPr>
        <w:t>covering</w:t>
      </w:r>
      <w:r w:rsidRPr="004834D3">
        <w:rPr>
          <w:rFonts w:cstheme="majorBidi"/>
        </w:rPr>
        <w:t xml:space="preserve"> about 71% of the Earth's surface. Despite its prevalence, 97% of the Earth's water is saline, leaving only 3% as fresh water, which is suitable for human, plant, and animal consumption</w:t>
      </w:r>
      <w:r w:rsidR="00C904E0" w:rsidRPr="004834D3">
        <w:rPr>
          <w:rFonts w:cstheme="majorBidi"/>
        </w:rPr>
        <w:t xml:space="preserve"> </w:t>
      </w:r>
      <w:r w:rsidR="00C904E0" w:rsidRPr="004834D3">
        <w:rPr>
          <w:rFonts w:cstheme="majorBidi"/>
        </w:rPr>
        <w:fldChar w:fldCharType="begin" w:fldLock="1"/>
      </w:r>
      <w:r w:rsidR="00CF3C0F">
        <w:rPr>
          <w:rFonts w:cstheme="majorBidi"/>
        </w:rPr>
        <w:instrText>ADDIN CSL_CITATION {"citationItems":[{"id":"ITEM-1","itemData":{"DOI":"10.1016/j.desal.2008.06.005","ISSN":"00119164","abstract":"A low-temperature phase-change desalination process configuration is presented in this study. This configuration enables saline water to be evaporated at near-ambient temperatures under near-vacuum level pressures created by the barometric head without any mechanical energy input. Thermodynamic advantages and benefits of lowtemperature phase-change desalination are discussed and results from a prototype test system are presented to demonstrate the feasibility of the proposed configuration. Results of this study show that a freshwater production rate of 0.25 kg/h (6 L/d) can be sustained at evaporation temperatures as low as 40oC. These results suggest that this process has the potential to be driven by low-grade heat sources such as waste process heat or solar collectors at temperatures as low as 50oC. © 2009 Elsevier B.V. All rights reserved.","author":[{"dropping-particle":"","family":"Gude","given":"Veera Gnaneswar","non-dropping-particle":"","parse-names":false,"suffix":""},{"dropping-particle":"","family":"Nirmalakhandan","given":"Nagamany","non-dropping-particle":"","parse-names":false,"suffix":""}],"container-title":"Desalination","id":"ITEM-1","issue":"1-3","issued":{"date-parts":[["2009"]]},"page":"239-247","publisher":"Elsevier","title":"Desalination at low temperatures and low pressures","type":"article-journal","volume":"244"},"uris":["http://www.mendeley.com/documents/?uuid=76b79ffc-86db-4860-a1e8-02534f866f88"]}],"mendeley":{"formattedCitation":"[2]","plainTextFormattedCitation":"[2]","previouslyFormattedCitation":"[2]"},"properties":{"noteIndex":0},"schema":"https://github.com/citation-style-language/schema/raw/master/csl-citation.json"}</w:instrText>
      </w:r>
      <w:r w:rsidR="00C904E0" w:rsidRPr="004834D3">
        <w:rPr>
          <w:rFonts w:cstheme="majorBidi"/>
        </w:rPr>
        <w:fldChar w:fldCharType="separate"/>
      </w:r>
      <w:r w:rsidR="00C904E0" w:rsidRPr="004834D3">
        <w:rPr>
          <w:rFonts w:cstheme="majorBidi"/>
          <w:noProof/>
        </w:rPr>
        <w:t>[2]</w:t>
      </w:r>
      <w:r w:rsidR="00C904E0" w:rsidRPr="004834D3">
        <w:rPr>
          <w:rFonts w:cstheme="majorBidi"/>
        </w:rPr>
        <w:fldChar w:fldCharType="end"/>
      </w:r>
      <w:r w:rsidRPr="004834D3">
        <w:rPr>
          <w:rFonts w:cstheme="majorBidi"/>
        </w:rPr>
        <w:t>. Out of this small portion, nearly 2.5% is trapped in polar ice caps, glaciers, and the atmosphere</w:t>
      </w:r>
      <w:r w:rsidR="00FC0CA5" w:rsidRPr="004834D3">
        <w:rPr>
          <w:rFonts w:cstheme="majorBidi"/>
        </w:rPr>
        <w:t xml:space="preserve">, </w:t>
      </w:r>
      <w:r w:rsidR="00C22A6B">
        <w:rPr>
          <w:rFonts w:cstheme="majorBidi"/>
        </w:rPr>
        <w:t>making</w:t>
      </w:r>
      <w:r w:rsidR="00FC0CA5" w:rsidRPr="004834D3">
        <w:rPr>
          <w:rFonts w:cstheme="majorBidi"/>
        </w:rPr>
        <w:t xml:space="preserve"> it largely inaccessible</w:t>
      </w:r>
      <w:r w:rsidRPr="004834D3">
        <w:rPr>
          <w:rFonts w:cstheme="majorBidi"/>
        </w:rPr>
        <w:t>, making just about 0.5% available for human use in rivers and groundwater.</w:t>
      </w:r>
      <w:r w:rsidR="00FC0CA5" w:rsidRPr="004834D3">
        <w:rPr>
          <w:rFonts w:cstheme="majorBidi"/>
        </w:rPr>
        <w:t xml:space="preserve"> </w:t>
      </w:r>
      <w:r w:rsidRPr="004834D3">
        <w:rPr>
          <w:rFonts w:cstheme="majorBidi"/>
        </w:rPr>
        <w:t>Freshwater, found both on the Earth’s surface and underground, has low salinity and is considered renewable due to the natural water cycle. Surface freshwater, which is found in rivers and lakes, is low in salinity and thus potable</w:t>
      </w:r>
      <w:r w:rsidR="00B25F44" w:rsidRPr="004834D3">
        <w:rPr>
          <w:rFonts w:cstheme="majorBidi"/>
        </w:rPr>
        <w:t xml:space="preserve"> </w:t>
      </w:r>
      <w:r w:rsidR="00B25F44" w:rsidRPr="004834D3">
        <w:rPr>
          <w:rFonts w:cstheme="majorBidi"/>
        </w:rPr>
        <w:fldChar w:fldCharType="begin" w:fldLock="1"/>
      </w:r>
      <w:r w:rsidR="00CF3C0F">
        <w:rPr>
          <w:rFonts w:cstheme="majorBidi"/>
        </w:rPr>
        <w:instrText>ADDIN CSL_CITATION {"citationItems":[{"id":"ITEM-1","itemData":{"DOI":"10.5070/g311810517","ISSN":"10767975","author":[{"dropping-particle":"","family":"Gleick","given":"Peter","non-dropping-particle":"","parse-names":false,"suffix":""},{"dropping-particle":"","family":"Miller","given":"Ryder W.","non-dropping-particle":"","parse-names":false,"suffix":""}],"container-title":"Electronic Green Journal","id":"ITEM-1","issue":"18","issued":{"date-parts":[["2003"]]},"publisher":"Island Press","title":"The World's Water: The biennial report on freshwater resources 2002-2003","type":"book"},"uris":["http://www.mendeley.com/documents/?uuid=8de51f56-ec3b-436a-aa60-3f1be4531553"]}],"mendeley":{"formattedCitation":"[3]","plainTextFormattedCitation":"[3]","previouslyFormattedCitation":"[3]"},"properties":{"noteIndex":0},"schema":"https://github.com/citation-style-language/schema/raw/master/csl-citation.json"}</w:instrText>
      </w:r>
      <w:r w:rsidR="00B25F44" w:rsidRPr="004834D3">
        <w:rPr>
          <w:rFonts w:cstheme="majorBidi"/>
        </w:rPr>
        <w:fldChar w:fldCharType="separate"/>
      </w:r>
      <w:r w:rsidR="00B25F44" w:rsidRPr="004834D3">
        <w:rPr>
          <w:rFonts w:cstheme="majorBidi"/>
          <w:noProof/>
        </w:rPr>
        <w:t>[3]</w:t>
      </w:r>
      <w:r w:rsidR="00B25F44" w:rsidRPr="004834D3">
        <w:rPr>
          <w:rFonts w:cstheme="majorBidi"/>
        </w:rPr>
        <w:fldChar w:fldCharType="end"/>
      </w:r>
      <w:r w:rsidRPr="004834D3">
        <w:rPr>
          <w:rFonts w:cstheme="majorBidi"/>
        </w:rPr>
        <w:t>. In contrast, fresh groundwater, which exists beneath the Earth's surface, has a higher salinity than surface freshwater</w:t>
      </w:r>
      <w:r w:rsidR="00F310B2" w:rsidRPr="004834D3">
        <w:rPr>
          <w:rFonts w:cstheme="majorBidi"/>
        </w:rPr>
        <w:t xml:space="preserve"> </w:t>
      </w:r>
      <w:r w:rsidR="00F310B2" w:rsidRPr="004834D3">
        <w:rPr>
          <w:rFonts w:cstheme="majorBidi"/>
        </w:rPr>
        <w:fldChar w:fldCharType="begin" w:fldLock="1"/>
      </w:r>
      <w:r w:rsidR="00814CBB">
        <w:rPr>
          <w:rFonts w:cstheme="majorBidi"/>
        </w:rPr>
        <w:instrText>ADDIN CSL_CITATION {"citationItems":[{"id":"ITEM-1","itemData":{"ISBN":"1856173895","abstract":"The project objective was to provide the membrane utility industry with a valuable and useful reference source focusing on characterizing the municipal membrane industry and documenting membrane residuals disposal practices and regulations. The project objective was accomplished though the following tasks: Survey Task: All (422) U.S. municipal membrane facilities built through 2002 of size 25,000 gpd and greater were identified and tallied. A detailed survey of 149 membrane plants in the 1st edition was extended to 300 plants in the 2nd edition. It provided a characterization of the membrane utility industry, in general, and the concentrate and backwash disposal practices, in particular. This included treatment of concentrate and backwash prior to disposal and disposal of cleaning wastes. Regulatory task: Federal regulations were documented to provide the framework for a subsequent state-by-state review of disposal regulations. Cost model task: Design and cost issues associated with the various concentrate disposal options were discussed and for four disposal options (deep well injection, spray irrigation, evaporation pond, and zero liquid discharge), preliminary level cost models were developed. Database development task: A stand-alone executable database was developed to permit viewing, manipulation, and printing of the survey information. CD deliverable task: The stand-alone database, the project final report, and the preliminary cost models were made available in an easy to use, menu-driven CD format.","author":[{"dropping-particle":"","family":"Mickley","given":"M. C.","non-dropping-particle":"","parse-names":false,"suffix":""}],"container-title":"Desalination and Water Purification Research and Development Program","id":"ITEM-1","issue":"69","issued":{"date-parts":[["2006"]]},"number-of-pages":"298","publisher":"US Department of the Interior, Bureau of Reclamation","title":"Membrane Concentrate Disposal: Practices and Regulation","type":"book","volume":"123"},"uris":["http://www.mendeley.com/documents/?uuid=8599f1da-ff27-449b-be56-29fa3a663f30"]}],"mendeley":{"formattedCitation":"[4]","plainTextFormattedCitation":"[4]","previouslyFormattedCitation":"[4]"},"properties":{"noteIndex":0},"schema":"https://github.com/citation-style-language/schema/raw/master/csl-citation.json"}</w:instrText>
      </w:r>
      <w:r w:rsidR="00F310B2" w:rsidRPr="004834D3">
        <w:rPr>
          <w:rFonts w:cstheme="majorBidi"/>
        </w:rPr>
        <w:fldChar w:fldCharType="separate"/>
      </w:r>
      <w:r w:rsidR="00F310B2" w:rsidRPr="004834D3">
        <w:rPr>
          <w:rFonts w:cstheme="majorBidi"/>
          <w:noProof/>
        </w:rPr>
        <w:t>[4]</w:t>
      </w:r>
      <w:r w:rsidR="00F310B2" w:rsidRPr="004834D3">
        <w:rPr>
          <w:rFonts w:cstheme="majorBidi"/>
        </w:rPr>
        <w:fldChar w:fldCharType="end"/>
      </w:r>
      <w:r w:rsidR="00FC0CA5" w:rsidRPr="004834D3">
        <w:rPr>
          <w:rFonts w:cstheme="majorBidi"/>
        </w:rPr>
        <w:t>.</w:t>
      </w:r>
      <w:r w:rsidRPr="004834D3">
        <w:rPr>
          <w:rFonts w:cstheme="majorBidi"/>
        </w:rPr>
        <w:t xml:space="preserve"> Saline water, found in oceans, seas, and </w:t>
      </w:r>
      <w:r w:rsidRPr="004834D3">
        <w:rPr>
          <w:rFonts w:cstheme="majorBidi"/>
        </w:rPr>
        <w:lastRenderedPageBreak/>
        <w:t xml:space="preserve">saltwater lakes, dominates the Earth’s water resources, making up </w:t>
      </w:r>
      <w:r w:rsidR="00FC0CA5" w:rsidRPr="004834D3">
        <w:rPr>
          <w:rFonts w:cstheme="majorBidi"/>
        </w:rPr>
        <w:t>most</w:t>
      </w:r>
      <w:r w:rsidRPr="004834D3">
        <w:rPr>
          <w:rFonts w:cstheme="majorBidi"/>
        </w:rPr>
        <w:t xml:space="preserve"> of the total water volume. This vast majority highlights the scarcity and critical importance of managing our limited freshwater resources effectively.</w:t>
      </w:r>
    </w:p>
    <w:p w14:paraId="683B598E" w14:textId="56C402C2" w:rsidR="00D94DC7" w:rsidRPr="004834D3" w:rsidRDefault="00F16169" w:rsidP="00632DCA">
      <w:pPr>
        <w:spacing w:before="240" w:after="240" w:line="480" w:lineRule="auto"/>
        <w:ind w:firstLine="720"/>
        <w:jc w:val="both"/>
        <w:rPr>
          <w:rFonts w:cstheme="majorBidi"/>
        </w:rPr>
      </w:pPr>
      <w:r w:rsidRPr="004834D3">
        <w:rPr>
          <w:rFonts w:cstheme="majorBidi"/>
        </w:rPr>
        <w:t xml:space="preserve">Escalating water demands driven by population growth, rising living standards, increased per capita water usage, and economic expansion are intensifying global water scarcity. These demands are further </w:t>
      </w:r>
      <w:r w:rsidR="00C22A6B">
        <w:rPr>
          <w:rFonts w:cstheme="majorBidi"/>
        </w:rPr>
        <w:t>intensified</w:t>
      </w:r>
      <w:r w:rsidRPr="004834D3">
        <w:rPr>
          <w:rFonts w:cstheme="majorBidi"/>
        </w:rPr>
        <w:t xml:space="preserve"> by diminishing water supplies due to climate change and contamination</w:t>
      </w:r>
      <w:r w:rsidR="00E73B5C" w:rsidRPr="004834D3">
        <w:rPr>
          <w:rFonts w:cstheme="majorBidi"/>
        </w:rPr>
        <w:t xml:space="preserve"> </w:t>
      </w:r>
      <w:r w:rsidR="00E73B5C" w:rsidRPr="004834D3">
        <w:rPr>
          <w:rFonts w:cstheme="majorBidi"/>
        </w:rPr>
        <w:fldChar w:fldCharType="begin" w:fldLock="1"/>
      </w:r>
      <w:r w:rsidR="00814CBB">
        <w:rPr>
          <w:rFonts w:cstheme="majorBidi"/>
        </w:rPr>
        <w:instrText>ADDIN CSL_CITATION {"citationItems":[{"id":"ITEM-1","itemData":{"DOI":"10.1080/19443994.2014.984930","ISSN":"19443986","abstract":"Rapid population growth, climate impediments, poor implementation of regulatory frameworks, and challenging political relations have led to over-exploitation of conventional water resources in the Middle East. This situation may have impelled out-of-the-box thinking and advances in research on non-conventional water resources including desalination, wastewater reuse, rainwater harvesting, and long-distance water transfer. This paper aims to assess the extent of research on non-conventional water resources in the Middle East, and identify original and innovative research findings. Cyprus, Egypt, Israel, Lebanon, the Palestinian Territories, Sudan, Syria, and Turkey were selected for this purpose. A systematic online library search of the scientific literature was conducted, and relations between national indicators and the number of articles and citations were assessed. There was an increasing trend in the number of articles addressing non-conventional water resources. Desalination was the most popular research topic (44%; 5.4 citations, on average), followed by wastewater reuse (37%; 11.5 citations, on average). Publication of desalination articles has increased significantly since 2001, with a substantial number authored by private companies. Non-conventional approaches include commercial salt production at a desalination plant, the strengthening of wastewater reuse standards based on the adverse effects of long-term reuse, the application of a water-harvesting plough for large-scale rangeland rehabilitation, and the development of a 78-km long under-sea pipeline for water transfer. Research on off-site effects and environmental impacts was lacking. Investment in research capacity, as an element of social capital, can contribute to water resources diversification and sustainable solutions both for water-stressed and more humid countries.","author":[{"dropping-particle":"","family":"Djuma","given":"H.","non-dropping-particle":"","parse-names":false,"suffix":""},{"dropping-particle":"","family":"Bruggeman","given":"A.","non-dropping-particle":"","parse-names":false,"suffix":""},{"dropping-particle":"","family":"Eliades","given":"M.","non-dropping-particle":"","parse-names":false,"suffix":""},{"dropping-particle":"","family":"Lange","given":"M. A.","non-dropping-particle":"","parse-names":false,"suffix":""}],"container-title":"Desalination and Water Treatment","id":"ITEM-1","issue":"5","issued":{"date-parts":[["2016"]]},"page":"2290-2303","publisher":"Taylor \\&amp; Francis","title":"Non-conventional water resources research in semi-arid countries of the Middle East","type":"article-journal","volume":"57"},"uris":["http://www.mendeley.com/documents/?uuid=62b4b70d-d848-4cdd-885c-2fb74613e505"]},{"id":"ITEM-2","itemData":{"DOI":"10.2166/wp.2013.105","ISSN":"13667017","abstract":"Cities around the world are struggling to access additional water supplies to support their continued growth because their freshwater sources are becoming exhausted. Half of all cities with populations greater than 100,000 are located in water-scarce basins, and in these basins agricultural water consumption accounts for more than 90% of all freshwater depletions. In this paper we review the water development histories of four major cities: Adelaide, Phoenix, San Antonio and San Diego. We identify a similar pattern of water development in these cities, which begins with the exhaustion of local surface and groundwater supplies, continues with importation of water from other basins, and then turns to recycling of wastewater or stormwater, or desalination of either seawater or brackish groundwater. Demand management through water conservation has mitigated, to varying degrees, the timing of water-system expansions and the extent to which cities rely on new sources of supply. This typical water development pattern in cities is undesirable from a sustainability perspective, as it is usually associated with serious ecological and social impacts as well as sub-optimal cost effectiveness. We highlight case examples and opportunities to invest in water conservation measures, particularly through urban-rural partnerships under which cities work with farmers to implement irrigation conservation measures, thereby freeing up water for ecological restoration and use by cities. © IWA Publishing 2013.","author":[{"dropping-particle":"","family":"Richter","given":"Brian D.","non-dropping-particle":"","parse-names":false,"suffix":""},{"dropping-particle":"","family":"Abell","given":"David","non-dropping-particle":"","parse-names":false,"suffix":""},{"dropping-particle":"","family":"Bacha","given":"Emily","non-dropping-particle":"","parse-names":false,"suffix":""},{"dropping-particle":"","family":"Brauman","given":"Kate","non-dropping-particle":"","parse-names":false,"suffix":""},{"dropping-particle":"","family":"Calos","given":"Stavros","non-dropping-particle":"","parse-names":false,"suffix":""},{"dropping-particle":"","family":"Cohn","given":"Alex","non-dropping-particle":"","parse-names":false,"suffix":""},{"dropping-particle":"","family":"Disla","given":"Carlos","non-dropping-particle":"","parse-names":false,"suffix":""},{"dropping-particle":"","family":"O'Brien","given":"Sarah Friedlander","non-dropping-particle":"","parse-names":false,"suffix":""},{"dropping-particle":"","family":"Hodges","given":"David","non-dropping-particle":"","parse-names":false,"suffix":""},{"dropping-particle":"","family":"Kaiser","given":"Scott","non-dropping-particle":"","parse-names":false,"suffix":""},{"dropping-particle":"","family":"Loughran","given":"Maria","non-dropping-particle":"","parse-names":false,"suffix":""},{"dropping-particle":"","family":"Mestre","given":"Cristina","non-dropping-particle":"","parse-names":false,"suffix":""},{"dropping-particle":"","family":"Reardon","given":"Melissa","non-dropping-particle":"","parse-names":false,"suffix":""},{"dropping-particle":"","family":"Siegfried","given":"Emma","non-dropping-particle":"","parse-names":false,"suffix":""}],"container-title":"Water Policy","id":"ITEM-2","issue":"3","issued":{"date-parts":[["2013"]]},"page":"335-363","publisher":"IWA Publishing","title":"Tapped out: How can cities secure their water future?","type":"article-journal","volume":"15"},"uris":["http://www.mendeley.com/documents/?uuid=59775fb8-b724-45bc-a9ea-34afcd0e02c6"]}],"mendeley":{"formattedCitation":"[5,6]","plainTextFormattedCitation":"[5,6]","previouslyFormattedCitation":"[5,6]"},"properties":{"noteIndex":0},"schema":"https://github.com/citation-style-language/schema/raw/master/csl-citation.json"}</w:instrText>
      </w:r>
      <w:r w:rsidR="00E73B5C" w:rsidRPr="004834D3">
        <w:rPr>
          <w:rFonts w:cstheme="majorBidi"/>
        </w:rPr>
        <w:fldChar w:fldCharType="separate"/>
      </w:r>
      <w:r w:rsidR="00E73B5C" w:rsidRPr="004834D3">
        <w:rPr>
          <w:rFonts w:cstheme="majorBidi"/>
          <w:noProof/>
        </w:rPr>
        <w:t>[5,6]</w:t>
      </w:r>
      <w:r w:rsidR="00E73B5C" w:rsidRPr="004834D3">
        <w:rPr>
          <w:rFonts w:cstheme="majorBidi"/>
        </w:rPr>
        <w:fldChar w:fldCharType="end"/>
      </w:r>
      <w:r w:rsidRPr="004834D3">
        <w:rPr>
          <w:rFonts w:cstheme="majorBidi"/>
        </w:rPr>
        <w:t xml:space="preserve">. Consequently, water sources are depleting more rapidly than their natural replenishment rate. </w:t>
      </w:r>
      <w:r w:rsidR="00C22A6B">
        <w:rPr>
          <w:rFonts w:cstheme="majorBidi"/>
        </w:rPr>
        <w:t>N</w:t>
      </w:r>
      <w:r w:rsidRPr="004834D3">
        <w:rPr>
          <w:rFonts w:cstheme="majorBidi"/>
        </w:rPr>
        <w:t>umerous communities worldwide are struggling with challenges such as increased demand, persistent droughts, resource depletion, and the degradation of both surface and groundwater sources. These communities are frequently reliant on a solitary water supply source, underscoring the vulnerability of their water systems</w:t>
      </w:r>
      <w:r w:rsidR="004060DD" w:rsidRPr="004834D3">
        <w:rPr>
          <w:rFonts w:cstheme="majorBidi"/>
        </w:rPr>
        <w:t xml:space="preserve"> </w:t>
      </w:r>
      <w:r w:rsidR="004060DD" w:rsidRPr="004834D3">
        <w:rPr>
          <w:rFonts w:cstheme="majorBidi"/>
        </w:rPr>
        <w:fldChar w:fldCharType="begin" w:fldLock="1"/>
      </w:r>
      <w:r w:rsidR="005A355F">
        <w:rPr>
          <w:rFonts w:cstheme="majorBidi"/>
        </w:rPr>
        <w:instrText>ADDIN CSL_CITATION {"citationItems":[{"id":"ITEM-1","itemData":{"DOI":"10.1007/s11157-017-9449-7","ISSN":"15729826","abstract":"The act of ensuring freshwater is considered the most essential and basic need for humanity. Although the planet is water-rich in some terms, the freshwater sources available for human consumption and beneficial uses are very limited. Excess population growth, industrial development coupled with improving living standards have caused an unprecedented need for freshwater all over the world. Regions once rich in water resources are struggling to meet the ever increasing demands in recent years. In addition, climate change and unsustainable management practices have led to a situation called “drought” in many regions. Water supplies in drought conditions can be addressed by taking two major approaches related to management and technology development. The management approaches include demand mitigation and supply enhancement. Demand mitigation can be done by implementing water conservation practices, and by enforcing a mechanism to influence user-responsible behavior through higher water fares and other billing routes. Supply enhancement can be achieved by utilizing the methods available for water reclamation, reuse and recycle including rain harvesting. This paper provides a critical insight of the causes for drought and the issues caused by persistent drought conditions followed by discussion of management and technological approaches required to maintain adequate water resources around the world. Challenges and opportunities involved in implementation of desalination and water reuse technologies in addressing global water scarcity are discussed in detail with case studies.","author":[{"dropping-particle":"","family":"Gude","given":"Veera Gnaneswar","non-dropping-particle":"","parse-names":false,"suffix":""}],"container-title":"Reviews in Environmental Science and Biotechnology","id":"ITEM-1","issue":"4","issued":{"date-parts":[["2017"]]},"page":"591-609","publisher":"Springer","title":"Desalination and water reuse to address global water scarcity","type":"article-journal","volume":"16"},"uris":["http://www.mendeley.com/documents/?uuid=f5442fde-bbf2-412f-96ff-66575d699316"]}],"mendeley":{"formattedCitation":"[7]","plainTextFormattedCitation":"[7]","previouslyFormattedCitation":"[7]"},"properties":{"noteIndex":0},"schema":"https://github.com/citation-style-language/schema/raw/master/csl-citation.json"}</w:instrText>
      </w:r>
      <w:r w:rsidR="004060DD" w:rsidRPr="004834D3">
        <w:rPr>
          <w:rFonts w:cstheme="majorBidi"/>
        </w:rPr>
        <w:fldChar w:fldCharType="separate"/>
      </w:r>
      <w:r w:rsidR="004060DD" w:rsidRPr="004834D3">
        <w:rPr>
          <w:rFonts w:cstheme="majorBidi"/>
          <w:noProof/>
        </w:rPr>
        <w:t>[7]</w:t>
      </w:r>
      <w:r w:rsidR="004060DD" w:rsidRPr="004834D3">
        <w:rPr>
          <w:rFonts w:cstheme="majorBidi"/>
        </w:rPr>
        <w:fldChar w:fldCharType="end"/>
      </w:r>
      <w:r w:rsidRPr="004834D3">
        <w:rPr>
          <w:rFonts w:cstheme="majorBidi"/>
        </w:rPr>
        <w:t>. Recent estimates indicate that 40% of the global population currently experiences severe water scarcity, a figure projected to increase to 60% by 2025</w:t>
      </w:r>
      <w:r w:rsidR="00951BD0" w:rsidRPr="004834D3">
        <w:rPr>
          <w:rFonts w:cstheme="majorBidi"/>
        </w:rPr>
        <w:t xml:space="preserve"> </w:t>
      </w:r>
      <w:r w:rsidR="00951BD0" w:rsidRPr="004834D3">
        <w:rPr>
          <w:rFonts w:cstheme="majorBidi"/>
        </w:rPr>
        <w:fldChar w:fldCharType="begin" w:fldLock="1"/>
      </w:r>
      <w:r w:rsidR="005A355F">
        <w:rPr>
          <w:rFonts w:cstheme="majorBidi"/>
        </w:rPr>
        <w:instrText>ADDIN CSL_CITATION {"citationItems":[{"id":"ITEM-1","itemData":{"DOI":"10.1073/pnas.1222460110","ISSN":"00278424","PMID":"24344289","abstract":"Water scarcity severely impairs food security and economic prosperity in many countries today. Expected future population changes will, in many countries as well as globally, increase the pressure on available water resources. On the supply side, renewable water resources will be affected by projected changes in precipitation patterns, temperature, and other climate variables. Here we use a large ensemble of global hydrological models (GHMs) forced by five global climate models and the latest greenhouse-gas concentration scenarios (Representative Concentration Pathways) to synthesize the current knowledge about climate change impacts on water resources. We show that climate change is likely to exacerbate regional and global water scarcity considerably. In particular, the ensemble average projects that a global warming of 2 °C above present (approximately 2.7 °C above preindustrial) will confront an additional approximate 15%of the global population with a severe decrease in water resources and will increase the number of people living under absolute water scarcity (&lt;500m3 per capita per year) by another 40% (according to some models, more than 100%) compared with the effect of population growth alone. For some indicators of moderate impacts, the steepest increase is seen between the present day and 2 °C, whereas indicators of very severe impacts increase unabated beyond 2 °C. At the same time, the study highlights large uncertainties associated with these estimates, with both global climate models and GHMs contributing to the spread. GHM uncertainty is particularly dominant in many regions affected by declining water resources, suggesting a high potential for improved water resource projections through hydrological model development.","author":[{"dropping-particle":"","family":"Schewe","given":"Jacob","non-dropping-particle":"","parse-names":false,"suffix":""},{"dropping-particle":"","family":"Heinke","given":"Jens","non-dropping-particle":"","parse-names":false,"suffix":""},{"dropping-particle":"","family":"Gerten","given":"Dieter","non-dropping-particle":"","parse-names":false,"suffix":""},{"dropping-particle":"","family":"Haddeland","given":"Ingjerd","non-dropping-particle":"","parse-names":false,"suffix":""},{"dropping-particle":"","family":"Arnell","given":"Nigel W.","non-dropping-particle":"","parse-names":false,"suffix":""},{"dropping-particle":"","family":"Clark","given":"Douglas B.","non-dropping-particle":"","parse-names":false,"suffix":""},{"dropping-particle":"","family":"Dankers","given":"Rutger","non-dropping-particle":"","parse-names":false,"suffix":""},{"dropping-particle":"","family":"Eisner","given":"Stephanie","non-dropping-particle":"","parse-names":false,"suffix":""},{"dropping-particle":"","family":"Fekete","given":"Balázs M.","non-dropping-particle":"","parse-names":false,"suffix":""},{"dropping-particle":"","family":"Colón-González","given":"Felipe J.","non-dropping-particle":"","parse-names":false,"suffix":""},{"dropping-particle":"","family":"Gosling","given":"Simon N.","non-dropping-particle":"","parse-names":false,"suffix":""},{"dropping-particle":"","family":"Kim","given":"Hyungjun","non-dropping-particle":"","parse-names":false,"suffix":""},{"dropping-particle":"","family":"Liu","given":"Xingcai","non-dropping-particle":"","parse-names":false,"suffix":""},{"dropping-particle":"","family":"Masaki","given":"Yoshimitsu","non-dropping-particle":"","parse-names":false,"suffix":""},{"dropping-particle":"","family":"Portmann","given":"Felix T.","non-dropping-particle":"","parse-names":false,"suffix":""},{"dropping-particle":"","family":"Satoh","given":"Yusuke","non-dropping-particle":"","parse-names":false,"suffix":""},{"dropping-particle":"","family":"Stacke","given":"Tobias","non-dropping-particle":"","parse-names":false,"suffix":""},{"dropping-particle":"","family":"Tang","given":"Qiuhong","non-dropping-particle":"","parse-names":false,"suffix":""},{"dropping-particle":"","family":"Wada","given":"Yoshihide","non-dropping-particle":"","parse-names":false,"suffix":""},{"dropping-particle":"","family":"Wisser","given":"Dominik","non-dropping-particle":"","parse-names":false,"suffix":""},{"dropping-particle":"","family":"Albrecht","given":"Torsten","non-dropping-particle":"","parse-names":false,"suffix":""},{"dropping-particle":"","family":"Frieler","given":"Katja","non-dropping-particle":"","parse-names":false,"suffix":""},{"dropping-particle":"","family":"Piontek","given":"Franziska","non-dropping-particle":"","parse-names":false,"suffix":""},{"dropping-particle":"","family":"Warszawski","given":"Lila","non-dropping-particle":"","parse-names":false,"suffix":""},{"dropping-particle":"","family":"Kabat","given":"Pavel","non-dropping-particle":"","parse-names":false,"suffix":""}],"container-title":"Proceedings of the National Academy of Sciences of the United States of America","id":"ITEM-1","issue":"9","issued":{"date-parts":[["2014"]]},"page":"3245-3250","publisher":"National Acad Sciences","title":"Multimodel assessment of water scarcity under climate change","type":"article-journal","volume":"111"},"uris":["http://www.mendeley.com/documents/?uuid=b6846d5c-81d8-45cc-a17f-d484bc5ad17c"]}],"mendeley":{"formattedCitation":"[8]","plainTextFormattedCitation":"[8]","previouslyFormattedCitation":"[8]"},"properties":{"noteIndex":0},"schema":"https://github.com/citation-style-language/schema/raw/master/csl-citation.json"}</w:instrText>
      </w:r>
      <w:r w:rsidR="00951BD0" w:rsidRPr="004834D3">
        <w:rPr>
          <w:rFonts w:cstheme="majorBidi"/>
        </w:rPr>
        <w:fldChar w:fldCharType="separate"/>
      </w:r>
      <w:r w:rsidR="00951BD0" w:rsidRPr="004834D3">
        <w:rPr>
          <w:rFonts w:cstheme="majorBidi"/>
          <w:noProof/>
        </w:rPr>
        <w:t>[8]</w:t>
      </w:r>
      <w:r w:rsidR="00951BD0" w:rsidRPr="004834D3">
        <w:rPr>
          <w:rFonts w:cstheme="majorBidi"/>
        </w:rPr>
        <w:fldChar w:fldCharType="end"/>
      </w:r>
      <w:r w:rsidRPr="004834D3">
        <w:rPr>
          <w:rFonts w:cstheme="majorBidi"/>
        </w:rPr>
        <w:t>.</w:t>
      </w:r>
      <w:r w:rsidR="002F794F" w:rsidRPr="004834D3">
        <w:rPr>
          <w:rFonts w:cstheme="majorBidi"/>
        </w:rPr>
        <w:t xml:space="preserve"> Approximately 30% of the global population lacks access to clean water sources necessary for basic sanitation needs</w:t>
      </w:r>
      <w:r w:rsidR="00BF0C4F" w:rsidRPr="004834D3">
        <w:rPr>
          <w:rFonts w:cstheme="majorBidi"/>
        </w:rPr>
        <w:t xml:space="preserve"> </w:t>
      </w:r>
      <w:r w:rsidR="00BF0C4F" w:rsidRPr="004834D3">
        <w:rPr>
          <w:rFonts w:cstheme="majorBidi"/>
        </w:rPr>
        <w:fldChar w:fldCharType="begin" w:fldLock="1"/>
      </w:r>
      <w:r w:rsidR="005A355F">
        <w:rPr>
          <w:rFonts w:cstheme="majorBidi"/>
        </w:rPr>
        <w:instrText>ADDIN CSL_CITATION {"citationItems":[{"id":"ITEM-1","itemData":{"DOI":"10.1016/j.cep.2011.09.011","ISSN":"02552701","abstract":"An overview of the problems associated with worldwide water shortage problem and of the increasing public participation and awareness to this problem is presented in this work. The existing water treatment processes and their importance in terms of amount, quality and cost of water produced as well as their environmental impact are illustrated. That includes a survey of the current desalination techniques in use and an overview of possible future technologies, aiming at solving different water issues.The technological developments and challenges together with new possible production modes for the future urban water planning are also presented. Finally, routes towards a modern and advanced city planning in a cheaper and more sustainable way based on a more rational use of water, by supplying water of different quality to the final users according to their requirements, as well as the employment of process intensification principles are discussed. © 2011 Elsevier B.V.","author":[{"dropping-particle":"","family":"Macedonio","given":"F.","non-dropping-particle":"","parse-names":false,"suffix":""},{"dropping-particle":"","family":"Drioli","given":"E.","non-dropping-particle":"","parse-names":false,"suffix":""},{"dropping-particle":"","family":"Gusev","given":"A. A.","non-dropping-particle":"","parse-names":false,"suffix":""},{"dropping-particle":"","family":"Bardow","given":"A.","non-dropping-particle":"","parse-names":false,"suffix":""},{"dropping-particle":"","family":"Semiat","given":"R.","non-dropping-particle":"","parse-names":false,"suffix":""},{"dropping-particle":"","family":"Kurihara","given":"M.","non-dropping-particle":"","parse-names":false,"suffix":""}],"container-title":"Chemical Engineering and Processing: Process Intensification","id":"ITEM-1","issued":{"date-parts":[["2012"]]},"page":"2-17","publisher":"Elsevier","title":"Efficient technologies for worldwide clean water supply","type":"article-journal","volume":"51"},"uris":["http://www.mendeley.com/documents/?uuid=f7749865-d789-41ac-8ad7-ceb15e35f27f"]}],"mendeley":{"formattedCitation":"[9]","plainTextFormattedCitation":"[9]","previouslyFormattedCitation":"[9]"},"properties":{"noteIndex":0},"schema":"https://github.com/citation-style-language/schema/raw/master/csl-citation.json"}</w:instrText>
      </w:r>
      <w:r w:rsidR="00BF0C4F" w:rsidRPr="004834D3">
        <w:rPr>
          <w:rFonts w:cstheme="majorBidi"/>
        </w:rPr>
        <w:fldChar w:fldCharType="separate"/>
      </w:r>
      <w:r w:rsidR="00BF0C4F" w:rsidRPr="004834D3">
        <w:rPr>
          <w:rFonts w:cstheme="majorBidi"/>
          <w:noProof/>
        </w:rPr>
        <w:t>[9]</w:t>
      </w:r>
      <w:r w:rsidR="00BF0C4F" w:rsidRPr="004834D3">
        <w:rPr>
          <w:rFonts w:cstheme="majorBidi"/>
        </w:rPr>
        <w:fldChar w:fldCharType="end"/>
      </w:r>
      <w:r w:rsidR="002F794F" w:rsidRPr="004834D3">
        <w:rPr>
          <w:rFonts w:cstheme="majorBidi"/>
        </w:rPr>
        <w:t>, and</w:t>
      </w:r>
      <w:r w:rsidR="00813CAB" w:rsidRPr="004834D3">
        <w:rPr>
          <w:rFonts w:cstheme="majorBidi"/>
        </w:rPr>
        <w:t xml:space="preserve"> 66% of the global population currently experiences severe water scarcity for at least one month each year</w:t>
      </w:r>
      <w:r w:rsidR="00951BD0" w:rsidRPr="004834D3">
        <w:rPr>
          <w:rFonts w:cstheme="majorBidi"/>
        </w:rPr>
        <w:t xml:space="preserve"> </w:t>
      </w:r>
      <w:r w:rsidR="00951BD0" w:rsidRPr="004834D3">
        <w:rPr>
          <w:rFonts w:cstheme="majorBidi"/>
        </w:rPr>
        <w:fldChar w:fldCharType="begin" w:fldLock="1"/>
      </w:r>
      <w:r w:rsidR="005A355F">
        <w:rPr>
          <w:rFonts w:cstheme="majorBidi"/>
        </w:rPr>
        <w:instrText>ADDIN CSL_CITATION {"citationItems":[{"id":"ITEM-1","itemData":{"DOI":"10.1126/sciadv.1500323","ISSN":"23752548","PMID":"26933676","abstract":"Freshwater scarcity is increasingly perceived as a global systemic risk. Previous global water scarcity assessments, measuring water scarcity annually, have underestimated experienced water scarcity by failing to capture the seasonal fluctuations in water consumption and availability. We assess blue water scarcity globally at a high spatial resolution on a monthly basis. We find that two-thirds of the global population (4.0 billion people) live under conditions of severe water scarcity at least 1 month of the year. Nearly half of those people live in India and China. Half a billion people in the world face severe water scarcity all year round. Putting caps to water consumption by river basin, increasing water-use efficiencies, and better sharing of the limited freshwater resources will be key in reducing the threat posed by water scarcity on biodiversity and human welfare.","author":[{"dropping-particle":"","family":"Mekonnen","given":"Mesfin M.","non-dropping-particle":"","parse-names":false,"suffix":""},{"dropping-particle":"","family":"Hoekstra","given":"Arjen Y.","non-dropping-particle":"","parse-names":false,"suffix":""}],"container-title":"Science Advances","id":"ITEM-1","issue":"2","issued":{"date-parts":[["2016"]]},"page":"e1500323","publisher":"American Association for the Advancement of Science","title":"Four billion people facing severe water scarcity","type":"article-journal","volume":"2"},"uris":["http://www.mendeley.com/documents/?uuid=97868776-cd34-4b25-a9e9-704640ba962a"]}],"mendeley":{"formattedCitation":"[10]","plainTextFormattedCitation":"[10]","previouslyFormattedCitation":"[10]"},"properties":{"noteIndex":0},"schema":"https://github.com/citation-style-language/schema/raw/master/csl-citation.json"}</w:instrText>
      </w:r>
      <w:r w:rsidR="00951BD0" w:rsidRPr="004834D3">
        <w:rPr>
          <w:rFonts w:cstheme="majorBidi"/>
        </w:rPr>
        <w:fldChar w:fldCharType="separate"/>
      </w:r>
      <w:r w:rsidR="00BF0C4F" w:rsidRPr="004834D3">
        <w:rPr>
          <w:rFonts w:cstheme="majorBidi"/>
          <w:noProof/>
        </w:rPr>
        <w:t>[10]</w:t>
      </w:r>
      <w:r w:rsidR="00951BD0" w:rsidRPr="004834D3">
        <w:rPr>
          <w:rFonts w:cstheme="majorBidi"/>
        </w:rPr>
        <w:fldChar w:fldCharType="end"/>
      </w:r>
      <w:r w:rsidR="00813CAB" w:rsidRPr="004834D3">
        <w:rPr>
          <w:rFonts w:cstheme="majorBidi"/>
        </w:rPr>
        <w:t xml:space="preserve">. </w:t>
      </w:r>
      <w:r w:rsidRPr="004834D3">
        <w:rPr>
          <w:rFonts w:cstheme="majorBidi"/>
        </w:rPr>
        <w:t xml:space="preserve">These alarming trends highlight the insufficiency of "conventional" water sources—rainfall, snowmelt, and river runoff stored in lakes, rivers, and aquifers—to meet the demands in water-scarce regions. </w:t>
      </w:r>
    </w:p>
    <w:p w14:paraId="1995A96D" w14:textId="46ED2E5E" w:rsidR="00092311" w:rsidRPr="004834D3" w:rsidRDefault="0096032B" w:rsidP="00632DCA">
      <w:pPr>
        <w:spacing w:before="240" w:after="240" w:line="480" w:lineRule="auto"/>
        <w:ind w:firstLine="720"/>
        <w:jc w:val="both"/>
        <w:rPr>
          <w:rFonts w:cstheme="majorBidi"/>
        </w:rPr>
      </w:pPr>
      <w:r w:rsidRPr="004834D3">
        <w:rPr>
          <w:rFonts w:cstheme="majorBidi"/>
        </w:rPr>
        <w:t>Addressing water scarcity requires a fundamental reassessment of water resource planning and management. This includes harnessing a diverse array of viable, while unconventional, water resources for various uses such as supporting livelihoods, ecosystems, climate change adaptation, and sustainable development</w:t>
      </w:r>
      <w:r w:rsidR="009130B8" w:rsidRPr="004834D3">
        <w:rPr>
          <w:rFonts w:cstheme="majorBidi"/>
        </w:rPr>
        <w:t xml:space="preserve"> </w:t>
      </w:r>
      <w:r w:rsidR="009130B8" w:rsidRPr="004834D3">
        <w:rPr>
          <w:rFonts w:cstheme="majorBidi"/>
        </w:rPr>
        <w:fldChar w:fldCharType="begin" w:fldLock="1"/>
      </w:r>
      <w:r w:rsidR="005A355F">
        <w:rPr>
          <w:rFonts w:cstheme="majorBidi"/>
        </w:rPr>
        <w:instrText>ADDIN CSL_CITATION {"citationItems":[{"id":"ITEM-1","itemData":{"DOI":"10.1142/S2382624X18710029","ISSN":"23826258","author":[{"dropping-particle":"","family":"Qadir","given":"Manzoor","non-dropping-particle":"","parse-names":false,"suffix":""}],"container-title":"Water Economics and Policy","id":"ITEM-1","issue":"2","issued":{"date-parts":[["2018"]]},"page":"1871002","publisher":"World Scientific","title":"Policy Note: Addressing Trade-offs to Promote Safely Managed Wastewater in Developing Countries","type":"article-journal","volume":"4"},"uris":["http://www.mendeley.com/documents/?uuid=c1e74f19-f0bb-481a-833d-22fff276acc3"]}],"mendeley":{"formattedCitation":"[11]","plainTextFormattedCitation":"[11]","previouslyFormattedCitation":"[11]"},"properties":{"noteIndex":0},"schema":"https://github.com/citation-style-language/schema/raw/master/csl-citation.json"}</w:instrText>
      </w:r>
      <w:r w:rsidR="009130B8" w:rsidRPr="004834D3">
        <w:rPr>
          <w:rFonts w:cstheme="majorBidi"/>
        </w:rPr>
        <w:fldChar w:fldCharType="separate"/>
      </w:r>
      <w:r w:rsidR="00C22A6B" w:rsidRPr="00C22A6B">
        <w:rPr>
          <w:rFonts w:cstheme="majorBidi"/>
          <w:noProof/>
        </w:rPr>
        <w:t>[11]</w:t>
      </w:r>
      <w:r w:rsidR="009130B8" w:rsidRPr="004834D3">
        <w:rPr>
          <w:rFonts w:cstheme="majorBidi"/>
        </w:rPr>
        <w:fldChar w:fldCharType="end"/>
      </w:r>
      <w:r w:rsidRPr="004834D3">
        <w:rPr>
          <w:rFonts w:cstheme="majorBidi"/>
        </w:rPr>
        <w:t xml:space="preserve">. Although water demand mitigation strategies like water conservation and efficiency improvements can help narrow the gap between water demand and supply, they need to be integrated with supply enhancement strategies to effectively tackle water </w:t>
      </w:r>
      <w:r w:rsidRPr="004834D3">
        <w:rPr>
          <w:rFonts w:cstheme="majorBidi"/>
        </w:rPr>
        <w:lastRenderedPageBreak/>
        <w:t>scarcity</w:t>
      </w:r>
      <w:r w:rsidR="00C80CC9" w:rsidRPr="004834D3">
        <w:rPr>
          <w:rFonts w:cstheme="majorBidi"/>
        </w:rPr>
        <w:t xml:space="preserve"> </w:t>
      </w:r>
      <w:r w:rsidR="00C80CC9" w:rsidRPr="004834D3">
        <w:rPr>
          <w:rFonts w:cstheme="majorBidi"/>
        </w:rPr>
        <w:fldChar w:fldCharType="begin" w:fldLock="1"/>
      </w:r>
      <w:r w:rsidR="005A355F">
        <w:rPr>
          <w:rFonts w:cstheme="majorBidi"/>
        </w:rPr>
        <w:instrText>ADDIN CSL_CITATION {"citationItems":[{"id":"ITEM-1","itemData":{"DOI":"10.1007/s11157-017-9449-7","ISSN":"15729826","abstract":"The act of ensuring freshwater is considered the most essential and basic need for humanity. Although the planet is water-rich in some terms, the freshwater sources available for human consumption and beneficial uses are very limited. Excess population growth, industrial development coupled with improving living standards have caused an unprecedented need for freshwater all over the world. Regions once rich in water resources are struggling to meet the ever increasing demands in recent years. In addition, climate change and unsustainable management practices have led to a situation called “drought” in many regions. Water supplies in drought conditions can be addressed by taking two major approaches related to management and technology development. The management approaches include demand mitigation and supply enhancement. Demand mitigation can be done by implementing water conservation practices, and by enforcing a mechanism to influence user-responsible behavior through higher water fares and other billing routes. Supply enhancement can be achieved by utilizing the methods available for water reclamation, reuse and recycle including rain harvesting. This paper provides a critical insight of the causes for drought and the issues caused by persistent drought conditions followed by discussion of management and technological approaches required to maintain adequate water resources around the world. Challenges and opportunities involved in implementation of desalination and water reuse technologies in addressing global water scarcity are discussed in detail with case studies.","author":[{"dropping-particle":"","family":"Gude","given":"Veera Gnaneswar","non-dropping-particle":"","parse-names":false,"suffix":""}],"container-title":"Reviews in Environmental Science and Biotechnology","id":"ITEM-1","issue":"4","issued":{"date-parts":[["2017"]]},"page":"591-609","publisher":"Springer","title":"Desalination and water reuse to address global water scarcity","type":"article-journal","volume":"16"},"uris":["http://www.mendeley.com/documents/?uuid=f5442fde-bbf2-412f-96ff-66575d699316"]}],"mendeley":{"formattedCitation":"[7]","plainTextFormattedCitation":"[7]","previouslyFormattedCitation":"[7]"},"properties":{"noteIndex":0},"schema":"https://github.com/citation-style-language/schema/raw/master/csl-citation.json"}</w:instrText>
      </w:r>
      <w:r w:rsidR="00C80CC9" w:rsidRPr="004834D3">
        <w:rPr>
          <w:rFonts w:cstheme="majorBidi"/>
        </w:rPr>
        <w:fldChar w:fldCharType="separate"/>
      </w:r>
      <w:r w:rsidR="00C80CC9" w:rsidRPr="004834D3">
        <w:rPr>
          <w:rFonts w:cstheme="majorBidi"/>
          <w:noProof/>
        </w:rPr>
        <w:t>[7]</w:t>
      </w:r>
      <w:r w:rsidR="00C80CC9" w:rsidRPr="004834D3">
        <w:rPr>
          <w:rFonts w:cstheme="majorBidi"/>
        </w:rPr>
        <w:fldChar w:fldCharType="end"/>
      </w:r>
      <w:r w:rsidRPr="004834D3">
        <w:rPr>
          <w:rFonts w:cstheme="majorBidi"/>
        </w:rPr>
        <w:t>. Practices for conserving water resources and enhancing supply are already in place in some water-scarce areas, but there is a pressing need for wider implementation, especially in regions where water scarcity and quality deterioration are escalating</w:t>
      </w:r>
      <w:r w:rsidR="00C80CC9" w:rsidRPr="004834D3">
        <w:rPr>
          <w:rFonts w:cstheme="majorBidi"/>
        </w:rPr>
        <w:t xml:space="preserve"> </w:t>
      </w:r>
      <w:r w:rsidR="00C80CC9" w:rsidRPr="004834D3">
        <w:rPr>
          <w:rFonts w:cstheme="majorBidi"/>
        </w:rPr>
        <w:fldChar w:fldCharType="begin" w:fldLock="1"/>
      </w:r>
      <w:r w:rsidR="005A355F">
        <w:rPr>
          <w:rFonts w:cstheme="majorBidi"/>
        </w:rPr>
        <w:instrText>ADDIN CSL_CITATION {"citationItems":[{"id":"ITEM-1","itemData":{"DOI":"10.1038/NGEO3047","ISSN":"17520908","author":[{"dropping-particle":"","family":"Vliet","given":"Michelle T.H.","non-dropping-particle":"Van","parse-names":false,"suffix":""},{"dropping-particle":"","family":"Florke","given":"Martina","non-dropping-particle":"","parse-names":false,"suffix":""},{"dropping-particle":"","family":"Wada","given":"Yoshihide","non-dropping-particle":"","parse-names":false,"suffix":""}],"container-title":"Nature Geoscience","id":"ITEM-1","issue":"11","issued":{"date-parts":[["2017"]]},"page":"800-802","publisher":"Nature Publishing Group UK London","title":"Quality matters for water scarcity","type":"article-journal","volume":"10"},"uris":["http://www.mendeley.com/documents/?uuid=03a83bb7-5152-46e3-90eb-73834575fd80"]},{"id":"ITEM-2","itemData":{"DOI":"10.1016/j.scitotenv.2018.06.373","ISSN":"18791026","PMID":"30743882","abstract":"Hydrological droughts have a diverse range of effects on water resources. Whilst the impacts of drought on water quantity are well studied, the impacts on water quality have received far less attention. Similarly, quantifications of water scarcity have typically lacked water quality dimensions, whilst sectoral water uses are associated with both water quantity and quality requirements. Here we aim to combine these two elements, focussing on impacts of droughts on river salinity levels and including a salinity dimension in quantifications of water scarcity during drought and extreme drought conditions. The impact of historical droughts on river salinity (electrical conductivity (EC) was studied at 66 monitoring stations located across the Southern USA for 2000–2017. Salinity was found to increase strongly (median increase of 21%) and statistically significantly (p ≤ 0.05) during drought conditions for 59/66 stations compared to non-drought conditions. In a next step, a salinity dimension was added to water scarcity quantifications for 15 river basins in Texas. Water scarcity was quantified using data of sector water uses, water availability, river salinity levels and salinity thresholds for sector water uses. Results showed that the dominant factor driving water scarcity highly differed per basin. Increases in water scarcity were further compounded by drought-induced decreases in water availability, increases in sectoral water demands and increases in river water salinity. This study demonstrates that droughts are associated with important increases in river salinity, in addition to reduced water availability, and that both of these aspects should be considered when quantifying water scarcity. Alleviating water scarcity should therefore not only focus on increasing water availability and reducing water demands (quantity aspects), but also on improving water quality.","author":[{"dropping-particle":"","family":"Jones","given":"Edward","non-dropping-particle":"","parse-names":false,"suffix":""},{"dropping-particle":"","family":"Vliet","given":"Michelle T.H.","non-dropping-particle":"van","parse-names":false,"suffix":""}],"container-title":"Science of the Total Environment","id":"ITEM-2","issued":{"date-parts":[["2018"]]},"page":"844-853","publisher":"Elsevier","title":"Drought impacts on river salinity in the southern US: Implications for water scarcity","type":"article-journal","volume":"644"},"uris":["http://www.mendeley.com/documents/?uuid=8431c272-197f-4dbd-899c-121c7c94c2fe"]}],"mendeley":{"formattedCitation":"[12,13]","plainTextFormattedCitation":"[12,13]","previouslyFormattedCitation":"[12,13]"},"properties":{"noteIndex":0},"schema":"https://github.com/citation-style-language/schema/raw/master/csl-citation.json"}</w:instrText>
      </w:r>
      <w:r w:rsidR="00C80CC9" w:rsidRPr="004834D3">
        <w:rPr>
          <w:rFonts w:cstheme="majorBidi"/>
        </w:rPr>
        <w:fldChar w:fldCharType="separate"/>
      </w:r>
      <w:r w:rsidR="00C22A6B" w:rsidRPr="00C22A6B">
        <w:rPr>
          <w:rFonts w:cstheme="majorBidi"/>
          <w:noProof/>
        </w:rPr>
        <w:t>[12,13]</w:t>
      </w:r>
      <w:r w:rsidR="00C80CC9" w:rsidRPr="004834D3">
        <w:rPr>
          <w:rFonts w:cstheme="majorBidi"/>
        </w:rPr>
        <w:fldChar w:fldCharType="end"/>
      </w:r>
      <w:r w:rsidRPr="004834D3">
        <w:rPr>
          <w:rFonts w:cstheme="majorBidi"/>
        </w:rPr>
        <w:t>.</w:t>
      </w:r>
      <w:r w:rsidR="00C22A6B">
        <w:rPr>
          <w:rFonts w:cstheme="majorBidi"/>
        </w:rPr>
        <w:t xml:space="preserve"> </w:t>
      </w:r>
      <w:r w:rsidR="00092311" w:rsidRPr="004834D3">
        <w:rPr>
          <w:rFonts w:cstheme="majorBidi"/>
        </w:rPr>
        <w:t>Due to the scarcity of freshwater resources and the pressing need for enhanced water supply, desalination— the process of treating saline water to obtain freshwater—has emerged as a viable solution for many countries with limited or no access to natural freshwater supplies. This technology taps into the abundant supplies of saline water, including seawater and brackish water, offering a crucial alternative for regions struggling with water scarcity.</w:t>
      </w:r>
    </w:p>
    <w:p w14:paraId="70E4ED4D" w14:textId="40DC42E0" w:rsidR="00092311" w:rsidRPr="00632DCA" w:rsidRDefault="00D84F6A" w:rsidP="00700DBA">
      <w:pPr>
        <w:pStyle w:val="Heading2"/>
        <w:numPr>
          <w:ilvl w:val="1"/>
          <w:numId w:val="5"/>
        </w:numPr>
        <w:spacing w:before="360" w:after="0" w:line="480" w:lineRule="auto"/>
        <w:ind w:left="432"/>
        <w:rPr>
          <w:sz w:val="24"/>
          <w:szCs w:val="24"/>
        </w:rPr>
      </w:pPr>
      <w:bookmarkStart w:id="7" w:name="_Toc172367664"/>
      <w:r w:rsidRPr="00632DCA">
        <w:rPr>
          <w:sz w:val="24"/>
          <w:szCs w:val="24"/>
        </w:rPr>
        <w:t>Desalination</w:t>
      </w:r>
      <w:bookmarkEnd w:id="7"/>
    </w:p>
    <w:p w14:paraId="75A4DB26" w14:textId="28EA6AF2" w:rsidR="00FE2D19" w:rsidRDefault="00D84F6A" w:rsidP="00632DCA">
      <w:pPr>
        <w:spacing w:before="240" w:after="240" w:line="480" w:lineRule="auto"/>
        <w:jc w:val="both"/>
        <w:rPr>
          <w:rFonts w:cstheme="majorBidi"/>
        </w:rPr>
      </w:pPr>
      <w:r w:rsidRPr="004834D3">
        <w:rPr>
          <w:rFonts w:cstheme="majorBidi"/>
        </w:rPr>
        <w:t xml:space="preserve">Desalination is a process </w:t>
      </w:r>
      <w:r w:rsidR="00801871">
        <w:rPr>
          <w:rFonts w:cstheme="majorBidi"/>
        </w:rPr>
        <w:t>of extracting</w:t>
      </w:r>
      <w:r w:rsidRPr="004834D3">
        <w:rPr>
          <w:rFonts w:cstheme="majorBidi"/>
        </w:rPr>
        <w:t xml:space="preserve"> freshwater from saline sources such as seawater or brackish water, producing water that meets the quality standards required for various human activities</w:t>
      </w:r>
      <w:r w:rsidR="000D602F" w:rsidRPr="004834D3">
        <w:rPr>
          <w:rFonts w:cstheme="majorBidi"/>
        </w:rPr>
        <w:t xml:space="preserve"> </w:t>
      </w:r>
      <w:r w:rsidR="000D602F" w:rsidRPr="004834D3">
        <w:rPr>
          <w:rFonts w:cstheme="majorBidi"/>
        </w:rPr>
        <w:fldChar w:fldCharType="begin" w:fldLock="1"/>
      </w:r>
      <w:r w:rsidR="00CF3C0F">
        <w:rPr>
          <w:rFonts w:cstheme="majorBidi"/>
        </w:rPr>
        <w:instrText>ADDIN CSL_CITATION {"citationItems":[{"id":"ITEM-1","itemData":{"DOI":"10.1007/s40726-018-0085-9","ISSN":"21986592","abstract":"Purpose of Review: In the face of rising water demands and dwindling freshwater supplies, alternative water sources are needed. Desalination of water has become a key to helping meet increasing water needs, especially in water-stressed countries where water obtained by desalination far exceeds supplies from the freshwater sources. Recent Findings: Recent technological advancements have enabled desalination to become more efficient and cost-competitive on a global scale. This has become possible due to the improvement in the materials used in membrane-based desalination, incorporation of energy-recovery devices to reduce electricity demands, and combining different desalination methods into hybrid designs. Further, there has been a gradual phasing-in of renewable energy sources to power desalination plants, which will help ensure the long-term sustainability of desalination. However, there are still challenges of reducing energy demands and managing waste products from the desalination to prevent adverse environmental effects. Summary: This article reviews the history, location, components, costs, and other facets of desalination and summarizes the new technologies that are set to improve the overall efficiency of the desalination process.","author":[{"dropping-particle":"","family":"Darre","given":"Natasha C.","non-dropping-particle":"","parse-names":false,"suffix":""},{"dropping-particle":"","family":"Toor","given":"Gurpal S.","non-dropping-particle":"","parse-names":false,"suffix":""}],"container-title":"Current Pollution Reports","id":"ITEM-1","issue":"2","issued":{"date-parts":[["2018"]]},"page":"104-111","publisher":"Springer","title":"Desalination of Water: a Review","type":"article-journal","volume":"4"},"uris":["http://www.mendeley.com/documents/?uuid=ed87749b-be4e-49fc-a908-056186307c6b"]}],"mendeley":{"formattedCitation":"[14]","plainTextFormattedCitation":"[14]","previouslyFormattedCitation":"[14]"},"properties":{"noteIndex":0},"schema":"https://github.com/citation-style-language/schema/raw/master/csl-citation.json"}</w:instrText>
      </w:r>
      <w:r w:rsidR="000D602F" w:rsidRPr="004834D3">
        <w:rPr>
          <w:rFonts w:cstheme="majorBidi"/>
        </w:rPr>
        <w:fldChar w:fldCharType="separate"/>
      </w:r>
      <w:r w:rsidR="00C22A6B" w:rsidRPr="00C22A6B">
        <w:rPr>
          <w:rFonts w:cstheme="majorBidi"/>
          <w:noProof/>
        </w:rPr>
        <w:t>[14]</w:t>
      </w:r>
      <w:r w:rsidR="000D602F" w:rsidRPr="004834D3">
        <w:rPr>
          <w:rFonts w:cstheme="majorBidi"/>
        </w:rPr>
        <w:fldChar w:fldCharType="end"/>
      </w:r>
      <w:r w:rsidRPr="004834D3">
        <w:rPr>
          <w:rFonts w:cstheme="majorBidi"/>
        </w:rPr>
        <w:t>. Developed as an alternative to conventional water sources, desalination leverages the vast availability of saline water to address the critical issue of freshwater scarcity</w:t>
      </w:r>
      <w:r w:rsidR="0056717A" w:rsidRPr="004834D3">
        <w:rPr>
          <w:rFonts w:cstheme="majorBidi"/>
        </w:rPr>
        <w:t xml:space="preserve"> </w:t>
      </w:r>
      <w:r w:rsidR="0056717A" w:rsidRPr="004834D3">
        <w:rPr>
          <w:rFonts w:cstheme="majorBidi"/>
        </w:rPr>
        <w:fldChar w:fldCharType="begin" w:fldLock="1"/>
      </w:r>
      <w:r w:rsidR="005A355F">
        <w:rPr>
          <w:rFonts w:cstheme="majorBidi"/>
        </w:rPr>
        <w:instrText>ADDIN CSL_CITATION {"citationItems":[{"id":"ITEM-1","itemData":{"DOI":"10.1016/j.desal.2012.10.015","ISSN":"00119164","abstract":"Desalination capacity has rapidly increased in the last decade because of the increase in water demand and a significant reduction in desalination cost as a result of significant technological advances, especially in the reverse osmosis process. The cost of desalinated seawater has fallen below US$0.50/m3 for a large scale seawater reverse osmosis plant at a specific location and conditions while in other locations the cost is 50% higher (US$1.00/m3) for a similar facility. In addition to capital and operating costs, other parameters such as local incentives or subsidies may also contribute to the large difference in desalted water cost between regions and facilities. Plant suppliers and consultants have their own cost calculation methodologies, but they are confidential and provide water costs with different accuracies. The few existing costing methodologies and software packages such as WTCost© and DEEP provide an estimated cost with different accuracies and their applications are limited to specific conditions. Most of the available cost estimation tools are of the black box type, which provide few details concerning the parameters and methodologies applied for local conditions. Many desalination plants built recently have greater desalinated water delivery costs caused by special circumstances, such as plant remediation or upgrades, local variation in energy costs, and site-specific issues in raw materials costs (e.g., tariffs and transportation). Therefore, the availability of a more transparent and unique methodology for estimating the cost will help in selecting an appropriate desalination technology suitable for specific locations with consideration of all the parameters influencing the cost. A techno-economic evaluation and review of the costing aspects and the main parameters influencing the total water cost produced by different desalination technologies are herein presented in detail. Some recent developments, such as the increase of unit capacity, improvements in process design and materials, and the use of hybrid systems have contributed to cost reduction as well as reduction in energy consumption. The development of new and emerging low-energy desalination technologies, such as adsorption desalination, will have an impact on cost variation estimation in the future. © 2012 Elsevier B.V.","author":[{"dropping-particle":"","family":"Ghaffour","given":"Noreddine","non-dropping-particle":"","parse-names":false,"suffix":""},{"dropping-particle":"","family":"Missimer","given":"Thomas M.","non-dropping-particle":"","parse-names":false,"suffix":""},{"dropping-particle":"","family":"Amy","given":"Gary L.","non-dropping-particle":"","parse-names":false,"suffix":""}],"container-title":"Desalination","id":"ITEM-1","issued":{"date-parts":[["2013"]]},"page":"197-207","publisher":"Elsevier","title":"Technical review and evaluation of the economics of water desalination: Current and future challenges for better water supply sustainability","type":"article-journal","volume":"309"},"uris":["http://www.mendeley.com/documents/?uuid=b3ae5f03-3dad-4ac6-91ae-c61c55c0816d"]}],"mendeley":{"formattedCitation":"[15]","plainTextFormattedCitation":"[15]","previouslyFormattedCitation":"[15]"},"properties":{"noteIndex":0},"schema":"https://github.com/citation-style-language/schema/raw/master/csl-citation.json"}</w:instrText>
      </w:r>
      <w:r w:rsidR="0056717A" w:rsidRPr="004834D3">
        <w:rPr>
          <w:rFonts w:cstheme="majorBidi"/>
        </w:rPr>
        <w:fldChar w:fldCharType="separate"/>
      </w:r>
      <w:r w:rsidR="00FE0F07" w:rsidRPr="00FE0F07">
        <w:rPr>
          <w:rFonts w:cstheme="majorBidi"/>
          <w:noProof/>
        </w:rPr>
        <w:t>[15]</w:t>
      </w:r>
      <w:r w:rsidR="0056717A" w:rsidRPr="004834D3">
        <w:rPr>
          <w:rFonts w:cstheme="majorBidi"/>
        </w:rPr>
        <w:fldChar w:fldCharType="end"/>
      </w:r>
      <w:r w:rsidRPr="004834D3">
        <w:rPr>
          <w:rFonts w:cstheme="majorBidi"/>
        </w:rPr>
        <w:t>. Over time, desalination has proven to be a dependable method for securing water supplies, with significant advancements in both technical and economic viability</w:t>
      </w:r>
      <w:r w:rsidR="00B57C13" w:rsidRPr="004834D3">
        <w:rPr>
          <w:rFonts w:cstheme="majorBidi"/>
        </w:rPr>
        <w:t xml:space="preserve"> </w:t>
      </w:r>
      <w:r w:rsidR="00B57C13" w:rsidRPr="004834D3">
        <w:rPr>
          <w:rFonts w:cstheme="majorBidi"/>
        </w:rPr>
        <w:fldChar w:fldCharType="begin" w:fldLock="1"/>
      </w:r>
      <w:r w:rsidR="00CF3C0F">
        <w:rPr>
          <w:rFonts w:cstheme="majorBidi"/>
        </w:rPr>
        <w:instrText>ADDIN CSL_CITATION {"citationItems":[{"id":"ITEM-1","itemData":{"DOI":"10.1016/j.scitotenv.2020.141528","ISSN":"18791026","PMID":"32818886","abstract":"Due to the limited availability of freshwater supplies, desalination has become an increasingly reliable process for water supply worldwide, with proved technical and economic feasibility and advantages. Recently, desalination capacity significantly increased from approximately 35 million m3 daily (MCM/day) in 2005 to about 95 MCM/day in 2018. Seawater desalination accounts for about 61% of global desalination capacity, while brackish water desalination accounts for 30%. Membrane desalination, mainly using reverse osmosis (RO), accounts for ¾ of global desalination capacity, with the rest mostly used for thermal desalination using multi-stage flash distillation (MSF), and multi-effect distillation (MED). Despite the undeniable role of desalination for securing water supply in areas where natural freshwater supplies are scarce, desalination impacts the natural environment at different aspects. Environmental impacts (EIs) of the desalination process are different and vary significantly according to the nature of the utilized feedwater, the desalination technology in use, and the management of waste brine generated. In this work, the EIs of each desalination technology were thoroughly investigated, with careful consideration given to different feedwater qualities, and various brine management techniques. Although the different aspects of desalination EIs have been extensively studied in the literature, the literature lacks comprehensive reviews and summaries of all the associated EIs. This article compiles the different EIs associated with the whole desalination process in one-hub, applying an intake-to-outfall approach. The leading desalination technologies of RO, MSF, and MED were analyzed, along with different feedwaters. This article provides a mapping of the different technologies involving feedwater and brine management techniques and a detailed description of their impact on the environment. Finally, recommendations and conclusions were given to minimize the negative impacts of desalination on both the local and global environments.","author":[{"dropping-particle":"","family":"Elsaid","given":"Khaled","non-dropping-particle":"","parse-names":false,"suffix":""},{"dropping-particle":"","family":"Kamil","given":"Mohammed","non-dropping-particle":"","parse-names":false,"suffix":""},{"dropping-particle":"","family":"Sayed","given":"Enas Taha","non-dropping-particle":"","parse-names":false,"suffix":""},{"dropping-particle":"","family":"Abdelkareem","given":"Mohammad Ali","non-dropping-particle":"","parse-names":false,"suffix":""},{"dropping-particle":"","family":"Wilberforce","given":"Tabbi","non-dropping-particle":"","parse-names":false,"suffix":""},{"dropping-particle":"","family":"Olabi","given":"A.","non-dropping-particle":"","parse-names":false,"suffix":""}],"container-title":"Science of the Total Environment","id":"ITEM-1","issued":{"date-parts":[["2020"]]},"page":"141528","publisher":"Elsevier","title":"Environmental impact of desalination technologies: A review","type":"article-journal","volume":"748"},"uris":["http://www.mendeley.com/documents/?uuid=04d8188f-fce8-4fca-b431-26728fb1b8c2"]}],"mendeley":{"formattedCitation":"[1]","plainTextFormattedCitation":"[1]","previouslyFormattedCitation":"[1]"},"properties":{"noteIndex":0},"schema":"https://github.com/citation-style-language/schema/raw/master/csl-citation.json"}</w:instrText>
      </w:r>
      <w:r w:rsidR="00B57C13" w:rsidRPr="004834D3">
        <w:rPr>
          <w:rFonts w:cstheme="majorBidi"/>
        </w:rPr>
        <w:fldChar w:fldCharType="separate"/>
      </w:r>
      <w:r w:rsidR="00B57C13" w:rsidRPr="004834D3">
        <w:rPr>
          <w:rFonts w:cstheme="majorBidi"/>
          <w:noProof/>
        </w:rPr>
        <w:t>[1]</w:t>
      </w:r>
      <w:r w:rsidR="00B57C13" w:rsidRPr="004834D3">
        <w:rPr>
          <w:rFonts w:cstheme="majorBidi"/>
        </w:rPr>
        <w:fldChar w:fldCharType="end"/>
      </w:r>
      <w:r w:rsidRPr="004834D3">
        <w:rPr>
          <w:rFonts w:cstheme="majorBidi"/>
        </w:rPr>
        <w:t>.</w:t>
      </w:r>
      <w:r w:rsidR="00CE4BA5" w:rsidRPr="004834D3">
        <w:rPr>
          <w:rFonts w:cstheme="majorBidi"/>
        </w:rPr>
        <w:t xml:space="preserve"> As of 2018, the global annual desalination capacity reached 38 billion cubic meters per year (BCM/yr), or 95 million cubic meters per day (MCM/d), nearly doubling from 44.1 MCM/d in 2006</w:t>
      </w:r>
      <w:r w:rsidR="00306AC6" w:rsidRPr="004834D3">
        <w:rPr>
          <w:rFonts w:cstheme="majorBidi"/>
        </w:rPr>
        <w:t xml:space="preserve"> </w:t>
      </w:r>
      <w:r w:rsidR="00306AC6" w:rsidRPr="004834D3">
        <w:rPr>
          <w:rFonts w:cstheme="majorBidi"/>
        </w:rPr>
        <w:fldChar w:fldCharType="begin" w:fldLock="1"/>
      </w:r>
      <w:r w:rsidR="00540C0F">
        <w:rPr>
          <w:rFonts w:cstheme="majorBidi"/>
        </w:rPr>
        <w:instrText>ADDIN CSL_CITATION {"citationItems":[{"id":"ITEM-1","itemData":{"DOI":"10.1016/j.desal.2017.03.009","ISSN":"00119164","abstract":"Energy-water-environment nexus is very important to attain COP21 goal, maintaining environment temperature increase below 2 °C, but unfortunately two third share of CO2 emission has already been used and the remaining will be exhausted by 2050. A number of technological developments in power and desalination sectors improved their efficiencies to save energy and carbon emission but still they are operating at 35% and 10% of their thermodynamic limits. Research in desalination processes contributing to fuel World population for their improved living standard and to reduce specific energy consumption and to protect environment. Recently developed highly efficient nature-inspired membranes (aquaporin &amp; graphene) and trend in thermally driven cycle's hybridization could potentially lower then energy requirement for water purification. This paper presents a state of art review on energy, water and environment interconnection and future energy efficient desalination possibilities to save energy and protect environment.","author":[{"dropping-particle":"","family":"Shahzad","given":"Muhammad Wakil","non-dropping-particle":"","parse-names":false,"suffix":""},{"dropping-particle":"","family":"Burhan","given":"Muhammad","non-dropping-particle":"","parse-names":false,"suffix":""},{"dropping-particle":"","family":"Ang","given":"Li","non-dropping-particle":"","parse-names":false,"suffix":""},{"dropping-particle":"","family":"Ng","given":"Kim Choon","non-dropping-particle":"","parse-names":false,"suffix":""}],"container-title":"Desalination","id":"ITEM-1","issued":{"date-parts":[["2017"]]},"page":"52-64","publisher":"Elsevier","title":"Energy-water-environment nexus underpinning future desalination sustainability","type":"article-journal","volume":"413"},"uris":["http://www.mendeley.com/documents/?uuid=7b53f356-49e2-49b3-9ba2-87d7f35dbed0"]},{"id":"ITEM-2","itemData":{"DOI":"10.1016/j.scitotenv.2018.12.076","ISSN":"18791026","PMID":"30677901","abstract":"Rising water demands and diminishing water supplies are exacerbating water scarcity in most world regions. Conventional approaches relying on rainfall and river runoff in water scarce areas are no longer sufficient to meet human demands. Unconventional water resources, such as desalinated water, are expected to play a key role in narrowing the water demand-supply gap. Our synthesis of desalination data suggests that there are 15,906 operational desalination plants producing around 95 million m3/day of desalinated water for human use, of which 48% is produced in the Middle East and North Africa region. A major challenge associated with desalination technologies is the production of a typically hypersaline concentrate (termed ‘brine’) discharge that requires disposal, which is both costly and associated with negative environmental impacts. Our estimates reveal brine production to be around 142 million m3/day, approximately 50% greater than previous quantifications. Brine production in Saudi Arabia, UAE, Kuwait and Qatar accounts for 55% of the total global share. Improved brine management strategies are required to limit the negative environmental impacts and reduce the economic cost of disposal, thereby stimulating further developments in desalination facilities to safeguard water supplies for current and future generations.","author":[{"dropping-particle":"","family":"Jones","given":"Edward","non-dropping-particle":"","parse-names":false,"suffix":""},{"dropping-particle":"","family":"Qadir","given":"Manzoor","non-dropping-particle":"","parse-names":false,"suffix":""},{"dropping-particle":"","family":"Vliet","given":"Michelle T.H.","non-dropping-particle":"van","parse-names":false,"suffix":""},{"dropping-particle":"","family":"Smakhtin","given":"Vladimir","non-dropping-particle":"","parse-names":false,"suffix":""},{"dropping-particle":"","family":"Kang","given":"Seong mu","non-dropping-particle":"","parse-names":false,"suffix":""}],"container-title":"Science of the Total Environment","id":"ITEM-2","issued":{"date-parts":[["2019"]]},"page":"1343-1356","publisher":"Elsevier","title":"The state of desalination and brine production: A global outlook","type":"article-journal","volume":"657"},"uris":["http://www.mendeley.com/documents/?uuid=1e470fcb-0063-44fb-bdec-c40352f25a56"]}],"mendeley":{"formattedCitation":"[16,17]","plainTextFormattedCitation":"[16,17]","previouslyFormattedCitation":"[16,17]"},"properties":{"noteIndex":0},"schema":"https://github.com/citation-style-language/schema/raw/master/csl-citation.json"}</w:instrText>
      </w:r>
      <w:r w:rsidR="00306AC6" w:rsidRPr="004834D3">
        <w:rPr>
          <w:rFonts w:cstheme="majorBidi"/>
        </w:rPr>
        <w:fldChar w:fldCharType="separate"/>
      </w:r>
      <w:r w:rsidR="00FE0F07" w:rsidRPr="00FE0F07">
        <w:rPr>
          <w:rFonts w:cstheme="majorBidi"/>
          <w:noProof/>
        </w:rPr>
        <w:t>[16,17]</w:t>
      </w:r>
      <w:r w:rsidR="00306AC6" w:rsidRPr="004834D3">
        <w:rPr>
          <w:rFonts w:cstheme="majorBidi"/>
        </w:rPr>
        <w:fldChar w:fldCharType="end"/>
      </w:r>
      <w:r w:rsidR="00CE4BA5" w:rsidRPr="004834D3">
        <w:rPr>
          <w:rFonts w:cstheme="majorBidi"/>
        </w:rPr>
        <w:t>. Forecasts predict this capacity will increase by another 42%, reaching 54 BCM/yr by 2030</w:t>
      </w:r>
      <w:r w:rsidR="00AB1550" w:rsidRPr="004834D3">
        <w:rPr>
          <w:rFonts w:cstheme="majorBidi"/>
        </w:rPr>
        <w:t xml:space="preserve"> </w:t>
      </w:r>
      <w:r w:rsidR="00AB1550" w:rsidRPr="004834D3">
        <w:rPr>
          <w:rFonts w:cstheme="majorBidi"/>
        </w:rPr>
        <w:fldChar w:fldCharType="begin" w:fldLock="1"/>
      </w:r>
      <w:r w:rsidR="00344932">
        <w:rPr>
          <w:rFonts w:cstheme="majorBidi"/>
        </w:rPr>
        <w:instrText>ADDIN CSL_CITATION {"citationItems":[{"id":"ITEM-1","itemData":{"DOI":"10.1016/S1871-2711(09)00202-5","ISSN":"18712711","abstract":"This chapter gives an overview on the worldwide installed desalination capacity by different source water types, technologies, and end uses. It furthermore discusses the historical development of the main desalination technologies, regional and future trends. About 63% of the present desalination capacity of 44.1 million cubic meters per day is produced from seawater, 19% from brackish water, and 5% from waste water sources. Much of the expected growth of the desalination market will take place in the seawater sector, although brackish water and wastewater desalination will presumably become more important in the future. The figures show that desalination is developing into a coastal-based industry in some sea regions such as the Arabian Gulf, the Red Sea, or the Mediterranean Sea, with potential to harm the marine environmental resources it depends on. The key environmental concerns are briefly outlined, covering the intakes and discharges, and energy demand of the main processes, followed by an outlook on impact mitigation measures. © 2010 Elsevier B.V. All rights reserved.","author":[{"dropping-particle":"","family":"Lattemann","given":"Sabine","non-dropping-particle":"","parse-names":false,"suffix":""},{"dropping-particle":"","family":"Kennedy","given":"Maria D.","non-dropping-particle":"","parse-names":false,"suffix":""},{"dropping-particle":"","family":"Schippers","given":"Jan C.","non-dropping-particle":"","parse-names":false,"suffix":""},{"dropping-particle":"","family":"Amy","given":"Gary","non-dropping-particle":"","parse-names":false,"suffix":""}],"container-title":"Sustainability Science and Engineering","id":"ITEM-1","issue":"C","issued":{"date-parts":[["2010"]]},"page":"7-39","publisher":"Elsevier","title":"Chapter 2 Global Desalination Situation","type":"article-journal","volume":"2"},"uris":["http://www.mendeley.com/documents/?uuid=6f33b1cf-c697-47d5-9f88-9fc7c42dfc6a"]}],"mendeley":{"formattedCitation":"[18]","plainTextFormattedCitation":"[18]","previouslyFormattedCitation":"[18]"},"properties":{"noteIndex":0},"schema":"https://github.com/citation-style-language/schema/raw/master/csl-citation.json"}</w:instrText>
      </w:r>
      <w:r w:rsidR="00AB1550" w:rsidRPr="004834D3">
        <w:rPr>
          <w:rFonts w:cstheme="majorBidi"/>
        </w:rPr>
        <w:fldChar w:fldCharType="separate"/>
      </w:r>
      <w:r w:rsidR="00FE0F07" w:rsidRPr="00FE0F07">
        <w:rPr>
          <w:rFonts w:cstheme="majorBidi"/>
          <w:noProof/>
        </w:rPr>
        <w:t>[18]</w:t>
      </w:r>
      <w:r w:rsidR="00AB1550" w:rsidRPr="004834D3">
        <w:rPr>
          <w:rFonts w:cstheme="majorBidi"/>
        </w:rPr>
        <w:fldChar w:fldCharType="end"/>
      </w:r>
      <w:r w:rsidR="00CE4BA5" w:rsidRPr="004834D3">
        <w:rPr>
          <w:rFonts w:cstheme="majorBidi"/>
        </w:rPr>
        <w:t xml:space="preserve">. </w:t>
      </w:r>
    </w:p>
    <w:p w14:paraId="02369187" w14:textId="3D8460C6" w:rsidR="00BB197B" w:rsidRPr="004834D3" w:rsidRDefault="003B725E" w:rsidP="00632DCA">
      <w:pPr>
        <w:spacing w:before="240" w:after="240" w:line="480" w:lineRule="auto"/>
        <w:ind w:firstLine="720"/>
        <w:jc w:val="both"/>
        <w:rPr>
          <w:rFonts w:cstheme="majorBidi"/>
        </w:rPr>
      </w:pPr>
      <w:r w:rsidRPr="004834D3">
        <w:rPr>
          <w:rFonts w:cstheme="majorBidi"/>
        </w:rPr>
        <w:t>The process of converting brackish water or seawater into fresh drinking water through heating is the oldest desalination technique, primarily due to the historically low cost of fossil fuels</w:t>
      </w:r>
      <w:r w:rsidR="00CF1E89" w:rsidRPr="004834D3">
        <w:rPr>
          <w:rFonts w:cstheme="majorBidi"/>
        </w:rPr>
        <w:t xml:space="preserve"> </w:t>
      </w:r>
      <w:r w:rsidR="00CF1E89" w:rsidRPr="004834D3">
        <w:rPr>
          <w:rFonts w:cstheme="majorBidi"/>
        </w:rPr>
        <w:fldChar w:fldCharType="begin" w:fldLock="1"/>
      </w:r>
      <w:r w:rsidR="00C25C05">
        <w:rPr>
          <w:rFonts w:cstheme="majorBidi"/>
        </w:rPr>
        <w:instrText>ADDIN CSL_CITATION {"citationItems":[{"id":"ITEM-1","itemData":{"DOI":"10.1007/s11356-022-19147-5","ISSN":"16147499","PMID":"35178634","abstract":"The scarcity of clean and safe water is one of the most perilous glitches faced by the world. The pure drinking water resources across the world are depleting progressively due to rapid industrialization and growth in population. The conceivable solution for this problem is converting the available seawater into pure drinking water through several techniques of desalination. In the stream of desalination, many prodigious endeavours are in evolution to increase the reliability of the process by cutting down the principal and maintenance costs. Among several desalination approaches, low-temperature thermal desalination (LTTD) is an intriguing and advancing trend in the desalination process by using low temperatures and pressures in a range similar to ambient temperatures and vacuum pressures. The LTTD technique is operated by taking the energy input from waste heat, thermoclines and renewable energy sources. However, the operating temperatures of the LTTD system are less than 50 °C. The development of this particular LTTD process driven by renewable energy sources has gone through various stages, based on the water–energy demands, environmental concerns and technological progressions. In this article, the historical developments of the LTTD process using several renewable and non-renewable energy sources have been reviewed. Finally, some future recommendations for further developments in this approach are discussed. This article paves the path for the researchers working in desalination to choose an appropriate LTTD approach that is more viable and sustainable than the conventional desalination systems.","author":[{"dropping-particle":"","family":"Natarajan","given":"Sendhil Kumar","non-dropping-particle":"","parse-names":false,"suffix":""},{"dropping-particle":"","family":"Suraparaju","given":"Subbarama Kousik","non-dropping-particle":"","parse-names":false,"suffix":""},{"dropping-particle":"","family":"Elavarasan","given":"Rajvikram Madurai","non-dropping-particle":"","parse-names":false,"suffix":""}],"container-title":"Environmental Science and Pollution Research","id":"ITEM-1","issue":"22","issued":{"date-parts":[["2022"]]},"page":"32443-32466","publisher":"Springer","title":"A review on low-temperature thermal desalination approach","type":"article-journal","volume":"29"},"uris":["http://www.mendeley.com/documents/?uuid=42d92e96-c377-42b0-bd13-0dfb42213dc8"]}],"mendeley":{"formattedCitation":"[19]","plainTextFormattedCitation":"[19]","previouslyFormattedCitation":"[19]"},"properties":{"noteIndex":0},"schema":"https://github.com/citation-style-language/schema/raw/master/csl-citation.json"}</w:instrText>
      </w:r>
      <w:r w:rsidR="00CF1E89" w:rsidRPr="004834D3">
        <w:rPr>
          <w:rFonts w:cstheme="majorBidi"/>
        </w:rPr>
        <w:fldChar w:fldCharType="separate"/>
      </w:r>
      <w:r w:rsidR="00FE0F07" w:rsidRPr="00FE0F07">
        <w:rPr>
          <w:rFonts w:cstheme="majorBidi"/>
          <w:noProof/>
        </w:rPr>
        <w:t>[19]</w:t>
      </w:r>
      <w:r w:rsidR="00CF1E89" w:rsidRPr="004834D3">
        <w:rPr>
          <w:rFonts w:cstheme="majorBidi"/>
        </w:rPr>
        <w:fldChar w:fldCharType="end"/>
      </w:r>
      <w:r w:rsidRPr="004834D3">
        <w:rPr>
          <w:rFonts w:cstheme="majorBidi"/>
        </w:rPr>
        <w:t>.</w:t>
      </w:r>
      <w:r w:rsidR="00FE0F07">
        <w:rPr>
          <w:rFonts w:cstheme="majorBidi"/>
        </w:rPr>
        <w:t xml:space="preserve"> </w:t>
      </w:r>
      <w:r w:rsidRPr="004834D3">
        <w:rPr>
          <w:rFonts w:cstheme="majorBidi"/>
        </w:rPr>
        <w:t xml:space="preserve">This method mimics the natural hydrological cycle, which naturally purifies seawater and brackish water. </w:t>
      </w:r>
      <w:r w:rsidR="00801871">
        <w:rPr>
          <w:rFonts w:cstheme="majorBidi"/>
        </w:rPr>
        <w:t>The d</w:t>
      </w:r>
      <w:r w:rsidR="00A91232" w:rsidRPr="004834D3">
        <w:rPr>
          <w:rFonts w:cstheme="majorBidi"/>
        </w:rPr>
        <w:t xml:space="preserve">esalination process can be categorized based on feedwater type, separation </w:t>
      </w:r>
      <w:r w:rsidR="00A91232" w:rsidRPr="004834D3">
        <w:rPr>
          <w:rFonts w:cstheme="majorBidi"/>
        </w:rPr>
        <w:lastRenderedPageBreak/>
        <w:t>technique, or the energy source driving the process. Types of feedwaters include seawater, brackish water, river water, and wastewater. Separation techniques comprise thermal desalination, membrane desalination, crystallization, and other emerging methods. Energy sources utilized in these processes are primarily thermal, mechanical, or electrical. Thermal desalination involves converting seawater from liquid to vapor phase through boiling, then condensing the vapors back to liquid form to produce potable water. Membrane desalination employs chemical, electrical, or mechanical energy to filter salts from seawater through semi-permeable membranes, separating the potable water. Crystallization separates pure water from saline solutions through a freeze-melt process</w:t>
      </w:r>
      <w:r w:rsidR="000C382F" w:rsidRPr="004834D3">
        <w:rPr>
          <w:rFonts w:cstheme="majorBidi"/>
        </w:rPr>
        <w:t xml:space="preserve"> </w:t>
      </w:r>
      <w:r w:rsidR="000C382F" w:rsidRPr="004834D3">
        <w:rPr>
          <w:rFonts w:cstheme="majorBidi"/>
        </w:rPr>
        <w:fldChar w:fldCharType="begin" w:fldLock="1"/>
      </w:r>
      <w:r w:rsidR="00C25C05">
        <w:rPr>
          <w:rFonts w:cstheme="majorBidi"/>
        </w:rPr>
        <w:instrText>ADDIN CSL_CITATION {"citationItems":[{"id":"ITEM-1","itemData":{"DOI":"10.1007/s11356-022-19147-5","ISSN":"16147499","PMID":"35178634","abstract":"The scarcity of clean and safe water is one of the most perilous glitches faced by the world. The pure drinking water resources across the world are depleting progressively due to rapid industrialization and growth in population. The conceivable solution for this problem is converting the available seawater into pure drinking water through several techniques of desalination. In the stream of desalination, many prodigious endeavours are in evolution to increase the reliability of the process by cutting down the principal and maintenance costs. Among several desalination approaches, low-temperature thermal desalination (LTTD) is an intriguing and advancing trend in the desalination process by using low temperatures and pressures in a range similar to ambient temperatures and vacuum pressures. The LTTD technique is operated by taking the energy input from waste heat, thermoclines and renewable energy sources. However, the operating temperatures of the LTTD system are less than 50 °C. The development of this particular LTTD process driven by renewable energy sources has gone through various stages, based on the water–energy demands, environmental concerns and technological progressions. In this article, the historical developments of the LTTD process using several renewable and non-renewable energy sources have been reviewed. Finally, some future recommendations for further developments in this approach are discussed. This article paves the path for the researchers working in desalination to choose an appropriate LTTD approach that is more viable and sustainable than the conventional desalination systems.","author":[{"dropping-particle":"","family":"Natarajan","given":"Sendhil Kumar","non-dropping-particle":"","parse-names":false,"suffix":""},{"dropping-particle":"","family":"Suraparaju","given":"Subbarama Kousik","non-dropping-particle":"","parse-names":false,"suffix":""},{"dropping-particle":"","family":"Elavarasan","given":"Rajvikram Madurai","non-dropping-particle":"","parse-names":false,"suffix":""}],"container-title":"Environmental Science and Pollution Research","id":"ITEM-1","issue":"22","issued":{"date-parts":[["2022"]]},"page":"32443-32466","publisher":"Springer","title":"A review on low-temperature thermal desalination approach","type":"article-journal","volume":"29"},"uris":["http://www.mendeley.com/documents/?uuid=42d92e96-c377-42b0-bd13-0dfb42213dc8"]}],"mendeley":{"formattedCitation":"[19]","plainTextFormattedCitation":"[19]","previouslyFormattedCitation":"[19]"},"properties":{"noteIndex":0},"schema":"https://github.com/citation-style-language/schema/raw/master/csl-citation.json"}</w:instrText>
      </w:r>
      <w:r w:rsidR="000C382F" w:rsidRPr="004834D3">
        <w:rPr>
          <w:rFonts w:cstheme="majorBidi"/>
        </w:rPr>
        <w:fldChar w:fldCharType="separate"/>
      </w:r>
      <w:r w:rsidR="00FE0F07" w:rsidRPr="00FE0F07">
        <w:rPr>
          <w:rFonts w:cstheme="majorBidi"/>
          <w:noProof/>
        </w:rPr>
        <w:t>[19]</w:t>
      </w:r>
      <w:r w:rsidR="000C382F" w:rsidRPr="004834D3">
        <w:rPr>
          <w:rFonts w:cstheme="majorBidi"/>
        </w:rPr>
        <w:fldChar w:fldCharType="end"/>
      </w:r>
      <w:r w:rsidR="00A91232" w:rsidRPr="004834D3">
        <w:rPr>
          <w:rFonts w:cstheme="majorBidi"/>
        </w:rPr>
        <w:t xml:space="preserve">. </w:t>
      </w:r>
    </w:p>
    <w:p w14:paraId="4192867A" w14:textId="37E5B386" w:rsidR="00A91232" w:rsidRPr="004834D3" w:rsidRDefault="00A91232" w:rsidP="00632DCA">
      <w:pPr>
        <w:spacing w:before="240" w:after="240" w:line="480" w:lineRule="auto"/>
        <w:ind w:firstLine="720"/>
        <w:jc w:val="both"/>
        <w:rPr>
          <w:rFonts w:cstheme="majorBidi"/>
        </w:rPr>
      </w:pPr>
      <w:r w:rsidRPr="004834D3">
        <w:rPr>
          <w:rFonts w:cstheme="majorBidi"/>
        </w:rPr>
        <w:t>In terms of global capacity and distribution, seawater desalination dominates, comprising about 61% of desalination capacity and representing 37% of the total number of desalination plants. Brackish water desalination accounts for 21% of capacity and 41% of the total plant count, with the remainder attributed to river water and wastewater desalination</w:t>
      </w:r>
      <w:r w:rsidR="000C382F" w:rsidRPr="004834D3">
        <w:rPr>
          <w:rFonts w:cstheme="majorBidi"/>
        </w:rPr>
        <w:t xml:space="preserve"> </w:t>
      </w:r>
      <w:r w:rsidR="000C382F" w:rsidRPr="004834D3">
        <w:rPr>
          <w:rFonts w:cstheme="majorBidi"/>
        </w:rPr>
        <w:fldChar w:fldCharType="begin" w:fldLock="1"/>
      </w:r>
      <w:r w:rsidR="00540C0F">
        <w:rPr>
          <w:rFonts w:cstheme="majorBidi"/>
        </w:rPr>
        <w:instrText>ADDIN CSL_CITATION {"citationItems":[{"id":"ITEM-1","itemData":{"DOI":"10.1016/j.scitotenv.2018.12.076","ISSN":"18791026","PMID":"30677901","abstract":"Rising water demands and diminishing water supplies are exacerbating water scarcity in most world regions. Conventional approaches relying on rainfall and river runoff in water scarce areas are no longer sufficient to meet human demands. Unconventional water resources, such as desalinated water, are expected to play a key role in narrowing the water demand-supply gap. Our synthesis of desalination data suggests that there are 15,906 operational desalination plants producing around 95 million m3/day of desalinated water for human use, of which 48% is produced in the Middle East and North Africa region. A major challenge associated with desalination technologies is the production of a typically hypersaline concentrate (termed ‘brine’) discharge that requires disposal, which is both costly and associated with negative environmental impacts. Our estimates reveal brine production to be around 142 million m3/day, approximately 50% greater than previous quantifications. Brine production in Saudi Arabia, UAE, Kuwait and Qatar accounts for 55% of the total global share. Improved brine management strategies are required to limit the negative environmental impacts and reduce the economic cost of disposal, thereby stimulating further developments in desalination facilities to safeguard water supplies for current and future generations.","author":[{"dropping-particle":"","family":"Jones","given":"Edward","non-dropping-particle":"","parse-names":false,"suffix":""},{"dropping-particle":"","family":"Qadir","given":"Manzoor","non-dropping-particle":"","parse-names":false,"suffix":""},{"dropping-particle":"","family":"Vliet","given":"Michelle T.H.","non-dropping-particle":"van","parse-names":false,"suffix":""},{"dropping-particle":"","family":"Smakhtin","given":"Vladimir","non-dropping-particle":"","parse-names":false,"suffix":""},{"dropping-particle":"","family":"Kang","given":"Seong mu","non-dropping-particle":"","parse-names":false,"suffix":""}],"container-title":"Science of the Total Environment","id":"ITEM-1","issued":{"date-parts":[["2019"]]},"page":"1343-1356","publisher":"Elsevier","title":"The state of desalination and brine production: A global outlook","type":"article-journal","volume":"657"},"uris":["http://www.mendeley.com/documents/?uuid=1e470fcb-0063-44fb-bdec-c40352f25a56"]}],"mendeley":{"formattedCitation":"[17]","plainTextFormattedCitation":"[17]","previouslyFormattedCitation":"[17]"},"properties":{"noteIndex":0},"schema":"https://github.com/citation-style-language/schema/raw/master/csl-citation.json"}</w:instrText>
      </w:r>
      <w:r w:rsidR="000C382F" w:rsidRPr="004834D3">
        <w:rPr>
          <w:rFonts w:cstheme="majorBidi"/>
        </w:rPr>
        <w:fldChar w:fldCharType="separate"/>
      </w:r>
      <w:r w:rsidR="00FE0F07" w:rsidRPr="00FE0F07">
        <w:rPr>
          <w:rFonts w:cstheme="majorBidi"/>
          <w:noProof/>
        </w:rPr>
        <w:t>[17]</w:t>
      </w:r>
      <w:r w:rsidR="000C382F" w:rsidRPr="004834D3">
        <w:rPr>
          <w:rFonts w:cstheme="majorBidi"/>
        </w:rPr>
        <w:fldChar w:fldCharType="end"/>
      </w:r>
      <w:r w:rsidRPr="004834D3">
        <w:rPr>
          <w:rFonts w:cstheme="majorBidi"/>
        </w:rPr>
        <w:t xml:space="preserve">. Membrane desalination leads in technology usage, constituting approximately </w:t>
      </w:r>
      <w:r w:rsidR="00A666BE" w:rsidRPr="004834D3">
        <w:rPr>
          <w:rFonts w:cstheme="majorBidi"/>
        </w:rPr>
        <w:t>69</w:t>
      </w:r>
      <w:r w:rsidRPr="004834D3">
        <w:rPr>
          <w:rFonts w:cstheme="majorBidi"/>
        </w:rPr>
        <w:t>% of global desalination capacity and about 85% of all desalination plants. Thermal desalination, while less prevalent, contributes about 25% of the global capacity and 8% of the plant count</w:t>
      </w:r>
      <w:r w:rsidR="000C382F" w:rsidRPr="004834D3">
        <w:rPr>
          <w:rFonts w:cstheme="majorBidi"/>
        </w:rPr>
        <w:t xml:space="preserve"> </w:t>
      </w:r>
      <w:r w:rsidR="000C382F" w:rsidRPr="004834D3">
        <w:rPr>
          <w:rFonts w:cstheme="majorBidi"/>
        </w:rPr>
        <w:fldChar w:fldCharType="begin" w:fldLock="1"/>
      </w:r>
      <w:r w:rsidR="00540C0F">
        <w:rPr>
          <w:rFonts w:cstheme="majorBidi"/>
        </w:rPr>
        <w:instrText>ADDIN CSL_CITATION {"citationItems":[{"id":"ITEM-1","itemData":{"DOI":"10.1016/j.scitotenv.2018.12.076","ISSN":"18791026","PMID":"30677901","abstract":"Rising water demands and diminishing water supplies are exacerbating water scarcity in most world regions. Conventional approaches relying on rainfall and river runoff in water scarce areas are no longer sufficient to meet human demands. Unconventional water resources, such as desalinated water, are expected to play a key role in narrowing the water demand-supply gap. Our synthesis of desalination data suggests that there are 15,906 operational desalination plants producing around 95 million m3/day of desalinated water for human use, of which 48% is produced in the Middle East and North Africa region. A major challenge associated with desalination technologies is the production of a typically hypersaline concentrate (termed ‘brine’) discharge that requires disposal, which is both costly and associated with negative environmental impacts. Our estimates reveal brine production to be around 142 million m3/day, approximately 50% greater than previous quantifications. Brine production in Saudi Arabia, UAE, Kuwait and Qatar accounts for 55% of the total global share. Improved brine management strategies are required to limit the negative environmental impacts and reduce the economic cost of disposal, thereby stimulating further developments in desalination facilities to safeguard water supplies for current and future generations.","author":[{"dropping-particle":"","family":"Jones","given":"Edward","non-dropping-particle":"","parse-names":false,"suffix":""},{"dropping-particle":"","family":"Qadir","given":"Manzoor","non-dropping-particle":"","parse-names":false,"suffix":""},{"dropping-particle":"","family":"Vliet","given":"Michelle T.H.","non-dropping-particle":"van","parse-names":false,"suffix":""},{"dropping-particle":"","family":"Smakhtin","given":"Vladimir","non-dropping-particle":"","parse-names":false,"suffix":""},{"dropping-particle":"","family":"Kang","given":"Seong mu","non-dropping-particle":"","parse-names":false,"suffix":""}],"container-title":"Science of the Total Environment","id":"ITEM-1","issued":{"date-parts":[["2019"]]},"page":"1343-1356","publisher":"Elsevier","title":"The state of desalination and brine production: A global outlook","type":"article-journal","volume":"657"},"uris":["http://www.mendeley.com/documents/?uuid=1e470fcb-0063-44fb-bdec-c40352f25a56"]}],"mendeley":{"formattedCitation":"[17]","plainTextFormattedCitation":"[17]","previouslyFormattedCitation":"[17]"},"properties":{"noteIndex":0},"schema":"https://github.com/citation-style-language/schema/raw/master/csl-citation.json"}</w:instrText>
      </w:r>
      <w:r w:rsidR="000C382F" w:rsidRPr="004834D3">
        <w:rPr>
          <w:rFonts w:cstheme="majorBidi"/>
        </w:rPr>
        <w:fldChar w:fldCharType="separate"/>
      </w:r>
      <w:r w:rsidR="00FE0F07" w:rsidRPr="00FE0F07">
        <w:rPr>
          <w:rFonts w:cstheme="majorBidi"/>
          <w:noProof/>
        </w:rPr>
        <w:t>[17]</w:t>
      </w:r>
      <w:r w:rsidR="000C382F" w:rsidRPr="004834D3">
        <w:rPr>
          <w:rFonts w:cstheme="majorBidi"/>
        </w:rPr>
        <w:fldChar w:fldCharType="end"/>
      </w:r>
      <w:r w:rsidRPr="004834D3">
        <w:rPr>
          <w:rFonts w:cstheme="majorBidi"/>
        </w:rPr>
        <w:t>.</w:t>
      </w:r>
    </w:p>
    <w:p w14:paraId="1C4D4DF6" w14:textId="755436A9" w:rsidR="00F03E59" w:rsidRPr="00476B58" w:rsidRDefault="00EE45CE" w:rsidP="00632DCA">
      <w:pPr>
        <w:spacing w:before="240" w:after="240" w:line="480" w:lineRule="auto"/>
        <w:ind w:firstLine="720"/>
        <w:jc w:val="both"/>
        <w:rPr>
          <w:rFonts w:cstheme="majorBidi"/>
          <w:color w:val="0D0D0D"/>
          <w:shd w:val="clear" w:color="auto" w:fill="FFFFFF"/>
        </w:rPr>
      </w:pPr>
      <w:r w:rsidRPr="004834D3">
        <w:rPr>
          <w:rFonts w:cstheme="majorBidi"/>
        </w:rPr>
        <w:t xml:space="preserve">Before </w:t>
      </w:r>
      <w:r w:rsidR="00F03E59">
        <w:rPr>
          <w:rFonts w:cstheme="majorBidi"/>
        </w:rPr>
        <w:t>exploring</w:t>
      </w:r>
      <w:r w:rsidRPr="004834D3">
        <w:rPr>
          <w:rFonts w:cstheme="majorBidi"/>
        </w:rPr>
        <w:t xml:space="preserve"> the various desalination methods, it is essential to clearly define the different types of saline water. Water sources can be classified based on their total dissolved solids (TDS), as shown in </w:t>
      </w:r>
      <w:r w:rsidR="00476B58" w:rsidRPr="00476B58">
        <w:rPr>
          <w:rFonts w:cstheme="majorBidi"/>
        </w:rPr>
        <w:t xml:space="preserve">Table </w:t>
      </w:r>
      <w:r w:rsidR="00261AC0">
        <w:rPr>
          <w:rFonts w:cstheme="majorBidi"/>
        </w:rPr>
        <w:t>1-</w:t>
      </w:r>
      <w:r w:rsidR="000A7C47">
        <w:rPr>
          <w:rFonts w:cstheme="majorBidi"/>
        </w:rPr>
        <w:t>1</w:t>
      </w:r>
      <w:r w:rsidR="00C66DB0" w:rsidRPr="004834D3">
        <w:rPr>
          <w:rFonts w:cstheme="majorBidi"/>
        </w:rPr>
        <w:t xml:space="preserve"> </w:t>
      </w:r>
      <w:r w:rsidR="00C66DB0" w:rsidRPr="004834D3">
        <w:rPr>
          <w:rFonts w:cstheme="majorBidi"/>
        </w:rPr>
        <w:fldChar w:fldCharType="begin" w:fldLock="1"/>
      </w:r>
      <w:r w:rsidR="00D83446">
        <w:rPr>
          <w:rFonts w:cstheme="majorBidi"/>
        </w:rPr>
        <w:instrText>ADDIN CSL_CITATION {"citationItems":[{"id":"ITEM-1","itemData":{"ISBN":"978 92 4 154761 1","ISSN":"0042-9694","PMID":"6485306","abstract":"WHO Library Cataloguing-in-Publication Data Guidelines for drinking-water quality [electronic resource]: incorporating 1st and 2nd addenda, Vol.1, Recommendations. – 3rd ed. 1. Potable water – standards. 2. Water – standards. 3. Water quality – standards. 4. Guidelines. I. World Health Organization. ISBN 978 92 4 154761 1 (WEB version) (NLM classification: WA 675)","author":[{"dropping-particle":"","family":"WHO","given":"","non-dropping-particle":"","parse-names":false,"suffix":""}],"container-title":"World Health Organization","id":"ITEM-1","issued":{"date-parts":[["2008"]]},"page":"1-668","title":"Guidelines for Drinking-water Quality","type":"article-journal","volume":"1"},"uris":["http://www.mendeley.com/documents/?uuid=e0ae6335-19b9-4284-b99a-dbca404144f2"]}],"mendeley":{"formattedCitation":"[20]","plainTextFormattedCitation":"[20]","previouslyFormattedCitation":"[21]"},"properties":{"noteIndex":0},"schema":"https://github.com/citation-style-language/schema/raw/master/csl-citation.json"}</w:instrText>
      </w:r>
      <w:r w:rsidR="00C66DB0" w:rsidRPr="004834D3">
        <w:rPr>
          <w:rFonts w:cstheme="majorBidi"/>
        </w:rPr>
        <w:fldChar w:fldCharType="separate"/>
      </w:r>
      <w:r w:rsidR="00D83446" w:rsidRPr="00D83446">
        <w:rPr>
          <w:rFonts w:cstheme="majorBidi"/>
          <w:noProof/>
        </w:rPr>
        <w:t>[20]</w:t>
      </w:r>
      <w:r w:rsidR="00C66DB0" w:rsidRPr="004834D3">
        <w:rPr>
          <w:rFonts w:cstheme="majorBidi"/>
        </w:rPr>
        <w:fldChar w:fldCharType="end"/>
      </w:r>
      <w:r w:rsidRPr="004834D3">
        <w:rPr>
          <w:rFonts w:cstheme="majorBidi"/>
        </w:rPr>
        <w:t xml:space="preserve">. Salinity refers to the total salt concentration, quantified as the amount of dry solids per kilogram or liter of seawater, and can also be expressed as parts per million (ppm). The chemical makeup of ocean and sea water varies by location, affecting both the composition and temperature of different seawater samples. Sodium and chloride are the most prevalent ions, but seawater also contains other dissolved salts beyond sodium chloride. In the </w:t>
      </w:r>
      <w:r w:rsidRPr="004834D3">
        <w:rPr>
          <w:rFonts w:cstheme="majorBidi"/>
        </w:rPr>
        <w:lastRenderedPageBreak/>
        <w:t xml:space="preserve">desalination process, saline water, whether seawater or brackish water, is divided into two separate streams. The desalinated stream yields the desired product, freshwater, which meets specific salinity requirements. The other stream, known as the "brine" stream, is highly concentrated and must be properly disposed of as waste or </w:t>
      </w:r>
      <w:r w:rsidRPr="004834D3">
        <w:rPr>
          <w:rFonts w:cstheme="majorBidi"/>
          <w:color w:val="0D0D0D"/>
          <w:shd w:val="clear" w:color="auto" w:fill="FFFFFF"/>
        </w:rPr>
        <w:t>treated using appropriate methods to mitigate environmental impact.</w:t>
      </w:r>
      <w:r w:rsidR="00C66DB0" w:rsidRPr="004834D3">
        <w:rPr>
          <w:rFonts w:cstheme="majorBidi"/>
          <w:color w:val="0D0D0D"/>
          <w:shd w:val="clear" w:color="auto" w:fill="FFFFFF"/>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31CA8" w:rsidRPr="00476B58" w14:paraId="5822B6B7" w14:textId="77777777" w:rsidTr="00F03E59">
        <w:trPr>
          <w:jc w:val="center"/>
        </w:trPr>
        <w:tc>
          <w:tcPr>
            <w:tcW w:w="9350" w:type="dxa"/>
            <w:gridSpan w:val="2"/>
            <w:tcBorders>
              <w:bottom w:val="single" w:sz="4" w:space="0" w:color="auto"/>
            </w:tcBorders>
          </w:tcPr>
          <w:p w14:paraId="67D45737" w14:textId="0E452FB9" w:rsidR="00531CA8" w:rsidRPr="00476B58" w:rsidRDefault="00476B58" w:rsidP="004D6B25">
            <w:pPr>
              <w:pStyle w:val="Caption"/>
              <w:spacing w:before="0" w:after="0" w:line="480" w:lineRule="auto"/>
              <w:jc w:val="center"/>
              <w:rPr>
                <w:rFonts w:cstheme="majorBidi"/>
                <w:szCs w:val="24"/>
              </w:rPr>
            </w:pPr>
            <w:bookmarkStart w:id="8" w:name="_Toc172708773"/>
            <w:r w:rsidRPr="00F03E59">
              <w:rPr>
                <w:rFonts w:cstheme="majorBidi"/>
                <w:b/>
                <w:bCs/>
                <w:szCs w:val="24"/>
              </w:rPr>
              <w:t xml:space="preserve">Table </w:t>
            </w:r>
            <w:r w:rsidR="00015A16">
              <w:rPr>
                <w:rFonts w:cstheme="majorBidi"/>
                <w:b/>
                <w:bCs/>
                <w:szCs w:val="24"/>
              </w:rPr>
              <w:fldChar w:fldCharType="begin"/>
            </w:r>
            <w:r w:rsidR="00015A16">
              <w:rPr>
                <w:rFonts w:cstheme="majorBidi"/>
                <w:b/>
                <w:bCs/>
                <w:szCs w:val="24"/>
              </w:rPr>
              <w:instrText xml:space="preserve"> STYLEREF 1 \s </w:instrText>
            </w:r>
            <w:r w:rsidR="00015A16">
              <w:rPr>
                <w:rFonts w:cstheme="majorBidi"/>
                <w:b/>
                <w:bCs/>
                <w:szCs w:val="24"/>
              </w:rPr>
              <w:fldChar w:fldCharType="separate"/>
            </w:r>
            <w:r w:rsidR="00732AAC">
              <w:rPr>
                <w:rFonts w:cstheme="majorBidi"/>
                <w:b/>
                <w:bCs/>
                <w:noProof/>
                <w:szCs w:val="24"/>
                <w:cs/>
              </w:rPr>
              <w:t>‎</w:t>
            </w:r>
            <w:r w:rsidR="00732AAC">
              <w:rPr>
                <w:rFonts w:cstheme="majorBidi"/>
                <w:b/>
                <w:bCs/>
                <w:noProof/>
                <w:szCs w:val="24"/>
              </w:rPr>
              <w:t>1</w:t>
            </w:r>
            <w:r w:rsidR="00015A16">
              <w:rPr>
                <w:rFonts w:cstheme="majorBidi"/>
                <w:b/>
                <w:bCs/>
                <w:szCs w:val="24"/>
              </w:rPr>
              <w:fldChar w:fldCharType="end"/>
            </w:r>
            <w:r w:rsidR="00015A16">
              <w:rPr>
                <w:rFonts w:cstheme="majorBidi"/>
                <w:b/>
                <w:bCs/>
                <w:szCs w:val="24"/>
              </w:rPr>
              <w:noBreakHyphen/>
            </w:r>
            <w:r w:rsidR="00015A16">
              <w:rPr>
                <w:rFonts w:cstheme="majorBidi"/>
                <w:b/>
                <w:bCs/>
                <w:szCs w:val="24"/>
              </w:rPr>
              <w:fldChar w:fldCharType="begin"/>
            </w:r>
            <w:r w:rsidR="00015A16">
              <w:rPr>
                <w:rFonts w:cstheme="majorBidi"/>
                <w:b/>
                <w:bCs/>
                <w:szCs w:val="24"/>
              </w:rPr>
              <w:instrText xml:space="preserve"> SEQ Table \* ARABIC \s 1 </w:instrText>
            </w:r>
            <w:r w:rsidR="00015A16">
              <w:rPr>
                <w:rFonts w:cstheme="majorBidi"/>
                <w:b/>
                <w:bCs/>
                <w:szCs w:val="24"/>
              </w:rPr>
              <w:fldChar w:fldCharType="separate"/>
            </w:r>
            <w:r w:rsidR="00732AAC">
              <w:rPr>
                <w:rFonts w:cstheme="majorBidi"/>
                <w:b/>
                <w:bCs/>
                <w:noProof/>
                <w:szCs w:val="24"/>
              </w:rPr>
              <w:t>1</w:t>
            </w:r>
            <w:r w:rsidR="00015A16">
              <w:rPr>
                <w:rFonts w:cstheme="majorBidi"/>
                <w:b/>
                <w:bCs/>
                <w:szCs w:val="24"/>
              </w:rPr>
              <w:fldChar w:fldCharType="end"/>
            </w:r>
            <w:r w:rsidRPr="00476B58">
              <w:rPr>
                <w:rFonts w:cstheme="majorBidi"/>
                <w:szCs w:val="24"/>
              </w:rPr>
              <w:t xml:space="preserve"> </w:t>
            </w:r>
            <w:r w:rsidR="00531CA8" w:rsidRPr="00476B58">
              <w:rPr>
                <w:rFonts w:cstheme="majorBidi"/>
                <w:szCs w:val="24"/>
              </w:rPr>
              <w:t>Categorization of water sources based on dissolved solids content</w:t>
            </w:r>
            <w:bookmarkEnd w:id="8"/>
          </w:p>
        </w:tc>
      </w:tr>
      <w:tr w:rsidR="00531CA8" w:rsidRPr="00476B58" w14:paraId="1D3A5171" w14:textId="77777777" w:rsidTr="00C47D27">
        <w:trPr>
          <w:trHeight w:val="576"/>
          <w:jc w:val="center"/>
        </w:trPr>
        <w:tc>
          <w:tcPr>
            <w:tcW w:w="4675" w:type="dxa"/>
            <w:tcBorders>
              <w:top w:val="single" w:sz="4" w:space="0" w:color="auto"/>
              <w:bottom w:val="single" w:sz="4" w:space="0" w:color="auto"/>
            </w:tcBorders>
            <w:vAlign w:val="center"/>
          </w:tcPr>
          <w:p w14:paraId="2AB4A392" w14:textId="174BF1E3" w:rsidR="00531CA8" w:rsidRPr="00801871" w:rsidRDefault="00531CA8" w:rsidP="004D6B25">
            <w:pPr>
              <w:spacing w:before="240" w:line="480" w:lineRule="auto"/>
              <w:jc w:val="center"/>
              <w:rPr>
                <w:rFonts w:cstheme="majorBidi"/>
                <w:b/>
                <w:bCs/>
                <w:color w:val="0D0D0D"/>
                <w:shd w:val="clear" w:color="auto" w:fill="FFFFFF"/>
              </w:rPr>
            </w:pPr>
            <w:r w:rsidRPr="00801871">
              <w:rPr>
                <w:rFonts w:cstheme="majorBidi"/>
                <w:b/>
                <w:bCs/>
              </w:rPr>
              <w:t>Water classification</w:t>
            </w:r>
          </w:p>
        </w:tc>
        <w:tc>
          <w:tcPr>
            <w:tcW w:w="4675" w:type="dxa"/>
            <w:tcBorders>
              <w:top w:val="single" w:sz="4" w:space="0" w:color="auto"/>
              <w:bottom w:val="single" w:sz="4" w:space="0" w:color="auto"/>
            </w:tcBorders>
            <w:vAlign w:val="center"/>
          </w:tcPr>
          <w:p w14:paraId="6EF3E237" w14:textId="3D5C9CA0" w:rsidR="00531CA8" w:rsidRPr="00801871" w:rsidRDefault="00531CA8" w:rsidP="004D6B25">
            <w:pPr>
              <w:spacing w:before="240" w:line="480" w:lineRule="auto"/>
              <w:jc w:val="center"/>
              <w:rPr>
                <w:rFonts w:cstheme="majorBidi"/>
                <w:b/>
                <w:bCs/>
                <w:color w:val="0D0D0D"/>
                <w:shd w:val="clear" w:color="auto" w:fill="FFFFFF"/>
              </w:rPr>
            </w:pPr>
            <w:r w:rsidRPr="00801871">
              <w:rPr>
                <w:rFonts w:cstheme="majorBidi"/>
                <w:b/>
                <w:bCs/>
              </w:rPr>
              <w:t>Total dissolved solids</w:t>
            </w:r>
            <w:r w:rsidR="00F03E59" w:rsidRPr="00801871">
              <w:rPr>
                <w:rFonts w:cstheme="majorBidi"/>
                <w:b/>
                <w:bCs/>
              </w:rPr>
              <w:t xml:space="preserve"> (TDS)</w:t>
            </w:r>
          </w:p>
        </w:tc>
      </w:tr>
      <w:tr w:rsidR="00531CA8" w:rsidRPr="00476B58" w14:paraId="2564E429" w14:textId="77777777" w:rsidTr="00F03E59">
        <w:trPr>
          <w:jc w:val="center"/>
        </w:trPr>
        <w:tc>
          <w:tcPr>
            <w:tcW w:w="4675" w:type="dxa"/>
            <w:tcBorders>
              <w:top w:val="single" w:sz="4" w:space="0" w:color="auto"/>
            </w:tcBorders>
            <w:vAlign w:val="center"/>
          </w:tcPr>
          <w:p w14:paraId="61532075" w14:textId="01371243" w:rsidR="00531CA8" w:rsidRPr="00476B58" w:rsidRDefault="00531CA8" w:rsidP="004D6B25">
            <w:pPr>
              <w:spacing w:before="240" w:line="480" w:lineRule="auto"/>
              <w:jc w:val="center"/>
              <w:rPr>
                <w:rFonts w:cstheme="majorBidi"/>
                <w:color w:val="0D0D0D"/>
                <w:shd w:val="clear" w:color="auto" w:fill="FFFFFF"/>
              </w:rPr>
            </w:pPr>
            <w:r w:rsidRPr="00476B58">
              <w:rPr>
                <w:rFonts w:cstheme="majorBidi"/>
              </w:rPr>
              <w:t>High-quality drinkable water</w:t>
            </w:r>
          </w:p>
        </w:tc>
        <w:tc>
          <w:tcPr>
            <w:tcW w:w="4675" w:type="dxa"/>
            <w:tcBorders>
              <w:top w:val="single" w:sz="4" w:space="0" w:color="auto"/>
            </w:tcBorders>
            <w:vAlign w:val="center"/>
          </w:tcPr>
          <w:p w14:paraId="4D11227D" w14:textId="43AF8913" w:rsidR="00531CA8" w:rsidRPr="00476B58" w:rsidRDefault="00531CA8" w:rsidP="004D6B25">
            <w:pPr>
              <w:spacing w:before="240" w:line="480" w:lineRule="auto"/>
              <w:jc w:val="center"/>
              <w:rPr>
                <w:rFonts w:cstheme="majorBidi"/>
                <w:color w:val="0D0D0D"/>
                <w:shd w:val="clear" w:color="auto" w:fill="FFFFFF"/>
              </w:rPr>
            </w:pPr>
            <w:r w:rsidRPr="00476B58">
              <w:rPr>
                <w:rFonts w:cstheme="majorBidi"/>
              </w:rPr>
              <w:t>&lt;200 ppm</w:t>
            </w:r>
          </w:p>
        </w:tc>
      </w:tr>
      <w:tr w:rsidR="00531CA8" w:rsidRPr="00476B58" w14:paraId="35B189D7" w14:textId="77777777" w:rsidTr="00F03E59">
        <w:trPr>
          <w:jc w:val="center"/>
        </w:trPr>
        <w:tc>
          <w:tcPr>
            <w:tcW w:w="4675" w:type="dxa"/>
            <w:vAlign w:val="center"/>
          </w:tcPr>
          <w:p w14:paraId="2A91CF10" w14:textId="1602793D"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Drinkable water</w:t>
            </w:r>
          </w:p>
        </w:tc>
        <w:tc>
          <w:tcPr>
            <w:tcW w:w="4675" w:type="dxa"/>
            <w:vAlign w:val="center"/>
          </w:tcPr>
          <w:p w14:paraId="36C16E4E" w14:textId="3D259571" w:rsidR="00531CA8" w:rsidRPr="00476B58" w:rsidRDefault="00531CA8" w:rsidP="004D6B25">
            <w:pPr>
              <w:spacing w:line="480" w:lineRule="auto"/>
              <w:jc w:val="center"/>
              <w:rPr>
                <w:rFonts w:cstheme="majorBidi"/>
                <w:color w:val="0D0D0D"/>
                <w:shd w:val="clear" w:color="auto" w:fill="FFFFFF"/>
              </w:rPr>
            </w:pPr>
            <w:r w:rsidRPr="00476B58">
              <w:rPr>
                <w:rFonts w:cstheme="majorBidi"/>
              </w:rPr>
              <w:t>200</w:t>
            </w:r>
            <w:r w:rsidR="00F03E59">
              <w:rPr>
                <w:rFonts w:cstheme="majorBidi"/>
              </w:rPr>
              <w:t xml:space="preserve"> - </w:t>
            </w:r>
            <w:r w:rsidRPr="00476B58">
              <w:rPr>
                <w:rFonts w:cstheme="majorBidi"/>
              </w:rPr>
              <w:t>500 ppm</w:t>
            </w:r>
          </w:p>
        </w:tc>
      </w:tr>
      <w:tr w:rsidR="00531CA8" w:rsidRPr="00476B58" w14:paraId="79534EC8" w14:textId="77777777" w:rsidTr="00F03E59">
        <w:trPr>
          <w:jc w:val="center"/>
        </w:trPr>
        <w:tc>
          <w:tcPr>
            <w:tcW w:w="4675" w:type="dxa"/>
            <w:vAlign w:val="center"/>
          </w:tcPr>
          <w:p w14:paraId="7701DF55" w14:textId="77F1CDFC"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Freshwater</w:t>
            </w:r>
          </w:p>
        </w:tc>
        <w:tc>
          <w:tcPr>
            <w:tcW w:w="4675" w:type="dxa"/>
            <w:vAlign w:val="center"/>
          </w:tcPr>
          <w:p w14:paraId="1DE1C51B" w14:textId="2053D597" w:rsidR="00531CA8" w:rsidRPr="00476B58" w:rsidRDefault="00531CA8" w:rsidP="004D6B25">
            <w:pPr>
              <w:spacing w:line="480" w:lineRule="auto"/>
              <w:jc w:val="center"/>
              <w:rPr>
                <w:rFonts w:cstheme="majorBidi"/>
                <w:color w:val="0D0D0D"/>
                <w:shd w:val="clear" w:color="auto" w:fill="FFFFFF"/>
              </w:rPr>
            </w:pPr>
            <w:r w:rsidRPr="00476B58">
              <w:rPr>
                <w:rFonts w:cstheme="majorBidi"/>
              </w:rPr>
              <w:t>500</w:t>
            </w:r>
            <w:r w:rsidR="00F03E59">
              <w:rPr>
                <w:rFonts w:cstheme="majorBidi"/>
              </w:rPr>
              <w:t xml:space="preserve"> - </w:t>
            </w:r>
            <w:r w:rsidRPr="00476B58">
              <w:rPr>
                <w:rFonts w:cstheme="majorBidi"/>
              </w:rPr>
              <w:t>1,000 ppm</w:t>
            </w:r>
          </w:p>
        </w:tc>
      </w:tr>
      <w:tr w:rsidR="00531CA8" w:rsidRPr="00476B58" w14:paraId="21C150B7" w14:textId="77777777" w:rsidTr="00F03E59">
        <w:trPr>
          <w:jc w:val="center"/>
        </w:trPr>
        <w:tc>
          <w:tcPr>
            <w:tcW w:w="4675" w:type="dxa"/>
            <w:vAlign w:val="center"/>
          </w:tcPr>
          <w:p w14:paraId="0C0254C8" w14:textId="127826EE"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Mildly brackish water</w:t>
            </w:r>
          </w:p>
        </w:tc>
        <w:tc>
          <w:tcPr>
            <w:tcW w:w="4675" w:type="dxa"/>
            <w:vAlign w:val="center"/>
          </w:tcPr>
          <w:p w14:paraId="507B3587" w14:textId="2F6FC502" w:rsidR="00531CA8" w:rsidRPr="00476B58" w:rsidRDefault="00531CA8" w:rsidP="004D6B25">
            <w:pPr>
              <w:spacing w:line="480" w:lineRule="auto"/>
              <w:jc w:val="center"/>
              <w:rPr>
                <w:rFonts w:cstheme="majorBidi"/>
                <w:color w:val="0D0D0D"/>
                <w:shd w:val="clear" w:color="auto" w:fill="FFFFFF"/>
              </w:rPr>
            </w:pPr>
            <w:r w:rsidRPr="00476B58">
              <w:rPr>
                <w:rFonts w:cstheme="majorBidi"/>
              </w:rPr>
              <w:t>1,000</w:t>
            </w:r>
            <w:r w:rsidR="00F03E59">
              <w:rPr>
                <w:rFonts w:cstheme="majorBidi"/>
              </w:rPr>
              <w:t xml:space="preserve"> - </w:t>
            </w:r>
            <w:r w:rsidRPr="00476B58">
              <w:rPr>
                <w:rFonts w:cstheme="majorBidi"/>
              </w:rPr>
              <w:t>5,000 ppm</w:t>
            </w:r>
          </w:p>
        </w:tc>
      </w:tr>
      <w:tr w:rsidR="00531CA8" w:rsidRPr="00476B58" w14:paraId="07C0DB07" w14:textId="77777777" w:rsidTr="00F03E59">
        <w:trPr>
          <w:jc w:val="center"/>
        </w:trPr>
        <w:tc>
          <w:tcPr>
            <w:tcW w:w="4675" w:type="dxa"/>
            <w:vAlign w:val="center"/>
          </w:tcPr>
          <w:p w14:paraId="104239B3" w14:textId="267A312F"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Moderately brackish water</w:t>
            </w:r>
          </w:p>
        </w:tc>
        <w:tc>
          <w:tcPr>
            <w:tcW w:w="4675" w:type="dxa"/>
            <w:vAlign w:val="center"/>
          </w:tcPr>
          <w:p w14:paraId="57AC4ADD" w14:textId="0A55A99F" w:rsidR="00531CA8" w:rsidRPr="00476B58" w:rsidRDefault="00531CA8" w:rsidP="004D6B25">
            <w:pPr>
              <w:spacing w:line="480" w:lineRule="auto"/>
              <w:jc w:val="center"/>
              <w:rPr>
                <w:rFonts w:cstheme="majorBidi"/>
                <w:color w:val="0D0D0D"/>
                <w:shd w:val="clear" w:color="auto" w:fill="FFFFFF"/>
              </w:rPr>
            </w:pPr>
            <w:r w:rsidRPr="00476B58">
              <w:rPr>
                <w:rFonts w:cstheme="majorBidi"/>
              </w:rPr>
              <w:t>5,000</w:t>
            </w:r>
            <w:r w:rsidR="00F03E59">
              <w:rPr>
                <w:rFonts w:cstheme="majorBidi"/>
              </w:rPr>
              <w:t xml:space="preserve"> - </w:t>
            </w:r>
            <w:r w:rsidRPr="00476B58">
              <w:rPr>
                <w:rFonts w:cstheme="majorBidi"/>
              </w:rPr>
              <w:t>15,000 ppm</w:t>
            </w:r>
          </w:p>
        </w:tc>
      </w:tr>
      <w:tr w:rsidR="00531CA8" w:rsidRPr="00476B58" w14:paraId="174E40A9" w14:textId="77777777" w:rsidTr="00F03E59">
        <w:trPr>
          <w:jc w:val="center"/>
        </w:trPr>
        <w:tc>
          <w:tcPr>
            <w:tcW w:w="4675" w:type="dxa"/>
            <w:vAlign w:val="center"/>
          </w:tcPr>
          <w:p w14:paraId="0C9F4DC0" w14:textId="38BD9ECF"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Heavily brackish water</w:t>
            </w:r>
          </w:p>
        </w:tc>
        <w:tc>
          <w:tcPr>
            <w:tcW w:w="4675" w:type="dxa"/>
            <w:vAlign w:val="center"/>
          </w:tcPr>
          <w:p w14:paraId="567666B0" w14:textId="64274B4C" w:rsidR="00531CA8" w:rsidRPr="00476B58" w:rsidRDefault="00531CA8" w:rsidP="004D6B25">
            <w:pPr>
              <w:spacing w:line="480" w:lineRule="auto"/>
              <w:jc w:val="center"/>
              <w:rPr>
                <w:rFonts w:cstheme="majorBidi"/>
                <w:color w:val="0D0D0D"/>
                <w:shd w:val="clear" w:color="auto" w:fill="FFFFFF"/>
              </w:rPr>
            </w:pPr>
            <w:r w:rsidRPr="00476B58">
              <w:rPr>
                <w:rFonts w:cstheme="majorBidi"/>
              </w:rPr>
              <w:t>15,000</w:t>
            </w:r>
            <w:r w:rsidR="00F03E59">
              <w:rPr>
                <w:rFonts w:cstheme="majorBidi"/>
              </w:rPr>
              <w:t xml:space="preserve"> - </w:t>
            </w:r>
            <w:r w:rsidRPr="00476B58">
              <w:rPr>
                <w:rFonts w:cstheme="majorBidi"/>
              </w:rPr>
              <w:t>32,000 ppm</w:t>
            </w:r>
          </w:p>
        </w:tc>
      </w:tr>
      <w:tr w:rsidR="00531CA8" w:rsidRPr="00476B58" w14:paraId="367B573A" w14:textId="77777777" w:rsidTr="00F03E59">
        <w:trPr>
          <w:jc w:val="center"/>
        </w:trPr>
        <w:tc>
          <w:tcPr>
            <w:tcW w:w="4675" w:type="dxa"/>
            <w:vAlign w:val="center"/>
          </w:tcPr>
          <w:p w14:paraId="30135B41" w14:textId="5D8230A8" w:rsidR="00531CA8" w:rsidRPr="00476B58" w:rsidRDefault="00531CA8" w:rsidP="004D6B25">
            <w:pPr>
              <w:spacing w:line="480" w:lineRule="auto"/>
              <w:jc w:val="center"/>
              <w:rPr>
                <w:rFonts w:eastAsia="Times New Roman" w:cstheme="majorBidi"/>
                <w:kern w:val="0"/>
                <w14:ligatures w14:val="none"/>
              </w:rPr>
            </w:pPr>
            <w:r w:rsidRPr="00531CA8">
              <w:rPr>
                <w:rFonts w:eastAsia="Times New Roman" w:cstheme="majorBidi"/>
                <w:kern w:val="0"/>
                <w14:ligatures w14:val="none"/>
              </w:rPr>
              <w:t>Low salinity seawater</w:t>
            </w:r>
          </w:p>
        </w:tc>
        <w:tc>
          <w:tcPr>
            <w:tcW w:w="4675" w:type="dxa"/>
            <w:vAlign w:val="center"/>
          </w:tcPr>
          <w:p w14:paraId="71A08781" w14:textId="36BD67F8" w:rsidR="00531CA8" w:rsidRPr="00476B58" w:rsidRDefault="00531CA8" w:rsidP="004D6B25">
            <w:pPr>
              <w:spacing w:line="480" w:lineRule="auto"/>
              <w:jc w:val="center"/>
              <w:rPr>
                <w:rFonts w:cstheme="majorBidi"/>
                <w:color w:val="0D0D0D"/>
                <w:shd w:val="clear" w:color="auto" w:fill="FFFFFF"/>
              </w:rPr>
            </w:pPr>
            <w:r w:rsidRPr="00476B58">
              <w:rPr>
                <w:rFonts w:cstheme="majorBidi"/>
              </w:rPr>
              <w:t>32,000</w:t>
            </w:r>
            <w:r w:rsidR="00F03E59">
              <w:rPr>
                <w:rFonts w:cstheme="majorBidi"/>
              </w:rPr>
              <w:t xml:space="preserve"> - </w:t>
            </w:r>
            <w:r w:rsidRPr="00476B58">
              <w:rPr>
                <w:rFonts w:cstheme="majorBidi"/>
              </w:rPr>
              <w:t>37,000 ppm</w:t>
            </w:r>
          </w:p>
        </w:tc>
      </w:tr>
      <w:tr w:rsidR="00531CA8" w:rsidRPr="00476B58" w14:paraId="1A30EE0A" w14:textId="77777777" w:rsidTr="00F03E59">
        <w:trPr>
          <w:jc w:val="center"/>
        </w:trPr>
        <w:tc>
          <w:tcPr>
            <w:tcW w:w="4675" w:type="dxa"/>
            <w:tcBorders>
              <w:bottom w:val="single" w:sz="4" w:space="0" w:color="auto"/>
            </w:tcBorders>
            <w:vAlign w:val="center"/>
          </w:tcPr>
          <w:p w14:paraId="253AA281" w14:textId="003F4338" w:rsidR="00531CA8" w:rsidRPr="00476B58" w:rsidRDefault="00531CA8" w:rsidP="004D6B25">
            <w:pPr>
              <w:spacing w:line="480" w:lineRule="auto"/>
              <w:jc w:val="center"/>
              <w:rPr>
                <w:rFonts w:eastAsia="Times New Roman" w:cstheme="majorBidi"/>
                <w:kern w:val="0"/>
                <w14:ligatures w14:val="none"/>
              </w:rPr>
            </w:pPr>
            <w:r w:rsidRPr="00476B58">
              <w:rPr>
                <w:rFonts w:eastAsia="Times New Roman" w:cstheme="majorBidi"/>
                <w:kern w:val="0"/>
                <w14:ligatures w14:val="none"/>
              </w:rPr>
              <w:t>High salinity seawater</w:t>
            </w:r>
          </w:p>
        </w:tc>
        <w:tc>
          <w:tcPr>
            <w:tcW w:w="4675" w:type="dxa"/>
            <w:tcBorders>
              <w:bottom w:val="single" w:sz="4" w:space="0" w:color="auto"/>
            </w:tcBorders>
            <w:vAlign w:val="center"/>
          </w:tcPr>
          <w:p w14:paraId="5578E689" w14:textId="3F21C371" w:rsidR="00531CA8" w:rsidRPr="00476B58" w:rsidRDefault="00531CA8" w:rsidP="004D6B25">
            <w:pPr>
              <w:spacing w:line="480" w:lineRule="auto"/>
              <w:jc w:val="center"/>
              <w:rPr>
                <w:rFonts w:cstheme="majorBidi"/>
                <w:color w:val="0D0D0D"/>
                <w:shd w:val="clear" w:color="auto" w:fill="FFFFFF"/>
              </w:rPr>
            </w:pPr>
            <w:r w:rsidRPr="00476B58">
              <w:rPr>
                <w:rFonts w:cstheme="majorBidi"/>
              </w:rPr>
              <w:t>&gt;37,000 ppm</w:t>
            </w:r>
          </w:p>
        </w:tc>
      </w:tr>
    </w:tbl>
    <w:p w14:paraId="5C81569A" w14:textId="40337440" w:rsidR="00EA3B78" w:rsidRPr="00E23DF3" w:rsidRDefault="00E0336F" w:rsidP="00E0336F">
      <w:pPr>
        <w:spacing w:before="360" w:line="480" w:lineRule="auto"/>
        <w:jc w:val="both"/>
      </w:pPr>
      <w:r w:rsidRPr="00E23DF3">
        <w:t>The applicability of various desalination methods for different ranges of input feed brine TDS and their specific energy consumption are illustrated in Fig. 1-1. The membrane-based methods shown include reverse osmosis (RO), forward osmosis (FO), and electrodialysis (ED). The thermal-based desalination technologies presented are multi-effect desalination (MED), freeze desalination (FD), and brine concentrator (BC). The following sections will discuss the most widely used desalination technologies for both membrane-based and thermal-based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A3B78" w:rsidRPr="00E23DF3" w14:paraId="4FE5D104" w14:textId="77777777" w:rsidTr="00996526">
        <w:tc>
          <w:tcPr>
            <w:tcW w:w="9350" w:type="dxa"/>
          </w:tcPr>
          <w:p w14:paraId="1CE67366" w14:textId="20938C9E" w:rsidR="00EA3B78" w:rsidRPr="00E23DF3" w:rsidRDefault="009B7274" w:rsidP="005557CB">
            <w:pPr>
              <w:spacing w:before="240" w:after="240" w:line="480" w:lineRule="auto"/>
              <w:jc w:val="center"/>
              <w:rPr>
                <w:rFonts w:cstheme="majorBidi"/>
                <w:kern w:val="0"/>
              </w:rPr>
            </w:pPr>
            <w:r w:rsidRPr="00E23DF3">
              <w:rPr>
                <w:rFonts w:cstheme="majorBidi"/>
                <w:noProof/>
                <w:kern w:val="0"/>
              </w:rPr>
              <w:lastRenderedPageBreak/>
              <w:drawing>
                <wp:inline distT="0" distB="0" distL="0" distR="0" wp14:anchorId="4A916EFB" wp14:editId="734FC42F">
                  <wp:extent cx="4963504" cy="3657600"/>
                  <wp:effectExtent l="0" t="0" r="8890" b="0"/>
                  <wp:docPr id="3795058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3504" cy="3657600"/>
                          </a:xfrm>
                          <a:prstGeom prst="rect">
                            <a:avLst/>
                          </a:prstGeom>
                          <a:noFill/>
                          <a:ln>
                            <a:noFill/>
                          </a:ln>
                        </pic:spPr>
                      </pic:pic>
                    </a:graphicData>
                  </a:graphic>
                </wp:inline>
              </w:drawing>
            </w:r>
          </w:p>
        </w:tc>
      </w:tr>
      <w:tr w:rsidR="00EA3B78" w14:paraId="4690EEF9" w14:textId="77777777" w:rsidTr="00996526">
        <w:tc>
          <w:tcPr>
            <w:tcW w:w="9350" w:type="dxa"/>
          </w:tcPr>
          <w:p w14:paraId="3E9072CD" w14:textId="75F2730A" w:rsidR="00EA3B78" w:rsidRPr="00996526" w:rsidRDefault="00996526" w:rsidP="008020F1">
            <w:pPr>
              <w:pStyle w:val="Caption"/>
              <w:spacing w:before="0"/>
              <w:jc w:val="center"/>
            </w:pPr>
            <w:bookmarkStart w:id="9" w:name="_Toc172708803"/>
            <w:r w:rsidRPr="00E23DF3">
              <w:rPr>
                <w:b/>
                <w:bCs/>
              </w:rPr>
              <w:t xml:space="preserve">Fig. </w:t>
            </w:r>
            <w:r w:rsidRPr="00E23DF3">
              <w:rPr>
                <w:b/>
                <w:bCs/>
              </w:rPr>
              <w:fldChar w:fldCharType="begin"/>
            </w:r>
            <w:r w:rsidRPr="00E23DF3">
              <w:rPr>
                <w:b/>
                <w:bCs/>
              </w:rPr>
              <w:instrText xml:space="preserve"> STYLEREF 1 \s </w:instrText>
            </w:r>
            <w:r w:rsidRPr="00E23DF3">
              <w:rPr>
                <w:b/>
                <w:bCs/>
              </w:rPr>
              <w:fldChar w:fldCharType="separate"/>
            </w:r>
            <w:r w:rsidR="00732AAC">
              <w:rPr>
                <w:b/>
                <w:bCs/>
                <w:noProof/>
                <w:cs/>
              </w:rPr>
              <w:t>‎</w:t>
            </w:r>
            <w:r w:rsidR="00732AAC">
              <w:rPr>
                <w:b/>
                <w:bCs/>
                <w:noProof/>
              </w:rPr>
              <w:t>1</w:t>
            </w:r>
            <w:r w:rsidRPr="00E23DF3">
              <w:rPr>
                <w:b/>
                <w:bCs/>
              </w:rPr>
              <w:fldChar w:fldCharType="end"/>
            </w:r>
            <w:r w:rsidRPr="00E23DF3">
              <w:rPr>
                <w:b/>
                <w:bCs/>
              </w:rPr>
              <w:noBreakHyphen/>
            </w:r>
            <w:r w:rsidRPr="00E23DF3">
              <w:rPr>
                <w:b/>
                <w:bCs/>
              </w:rPr>
              <w:fldChar w:fldCharType="begin"/>
            </w:r>
            <w:r w:rsidRPr="00E23DF3">
              <w:rPr>
                <w:b/>
                <w:bCs/>
              </w:rPr>
              <w:instrText xml:space="preserve"> SEQ Fig. \* ARABIC \s 1 </w:instrText>
            </w:r>
            <w:r w:rsidRPr="00E23DF3">
              <w:rPr>
                <w:b/>
                <w:bCs/>
              </w:rPr>
              <w:fldChar w:fldCharType="separate"/>
            </w:r>
            <w:r w:rsidR="00732AAC">
              <w:rPr>
                <w:b/>
                <w:bCs/>
                <w:noProof/>
              </w:rPr>
              <w:t>1</w:t>
            </w:r>
            <w:r w:rsidRPr="00E23DF3">
              <w:rPr>
                <w:b/>
                <w:bCs/>
              </w:rPr>
              <w:fldChar w:fldCharType="end"/>
            </w:r>
            <w:r w:rsidR="00E0336F" w:rsidRPr="00E23DF3">
              <w:rPr>
                <w:rFonts w:cstheme="majorBidi"/>
              </w:rPr>
              <w:t xml:space="preserve"> Comparison of the specific energy consumption across various desalination technologies within their respective feed brine TDS ranges</w:t>
            </w:r>
            <w:bookmarkEnd w:id="9"/>
          </w:p>
        </w:tc>
      </w:tr>
    </w:tbl>
    <w:p w14:paraId="32E853A4" w14:textId="3B175A3C" w:rsidR="00EA3B78" w:rsidRPr="00EA3B78" w:rsidRDefault="009C6E29" w:rsidP="00EA3B78">
      <w:pPr>
        <w:pStyle w:val="Heading3"/>
        <w:numPr>
          <w:ilvl w:val="2"/>
          <w:numId w:val="5"/>
        </w:numPr>
        <w:spacing w:before="360" w:after="0" w:line="480" w:lineRule="auto"/>
        <w:ind w:left="432" w:hanging="432"/>
        <w:rPr>
          <w:sz w:val="24"/>
          <w:szCs w:val="24"/>
        </w:rPr>
      </w:pPr>
      <w:bookmarkStart w:id="10" w:name="_Toc172367665"/>
      <w:r w:rsidRPr="00046910">
        <w:rPr>
          <w:sz w:val="24"/>
          <w:szCs w:val="24"/>
        </w:rPr>
        <w:t>Membrane Desalination</w:t>
      </w:r>
      <w:bookmarkEnd w:id="10"/>
    </w:p>
    <w:p w14:paraId="666C5DDC" w14:textId="0E64E905" w:rsidR="00251ADB" w:rsidRDefault="009C6E29" w:rsidP="004D6B25">
      <w:pPr>
        <w:spacing w:before="240" w:after="240" w:line="480" w:lineRule="auto"/>
        <w:jc w:val="both"/>
        <w:rPr>
          <w:rFonts w:cstheme="majorBidi"/>
          <w:kern w:val="0"/>
        </w:rPr>
      </w:pPr>
      <w:r w:rsidRPr="004834D3">
        <w:rPr>
          <w:rFonts w:cstheme="majorBidi"/>
          <w:kern w:val="0"/>
        </w:rPr>
        <w:t xml:space="preserve">Membrane processes for desalination evolved during the 1960s and 1970s, driven by rising energy costs and stricter environmental regulations </w:t>
      </w:r>
      <w:r w:rsidRPr="004834D3">
        <w:rPr>
          <w:rFonts w:cstheme="majorBidi"/>
          <w:kern w:val="0"/>
        </w:rPr>
        <w:fldChar w:fldCharType="begin" w:fldLock="1"/>
      </w:r>
      <w:r w:rsidR="00D83446">
        <w:rPr>
          <w:rFonts w:cstheme="majorBidi"/>
          <w:kern w:val="0"/>
        </w:rPr>
        <w:instrText>ADDIN CSL_CITATION {"citationItems":[{"id":"ITEM-1","itemData":{"DOI":"10.1016/j.watres.2009.03.010","ISSN":"00431354","PMID":"19371922","abstract":"Reverse osmosis membrane technology has developed over the past 40 years to a 44% share in world desalting production capacity, and an 80% share in the total number of desalination plants installed worldwide. The use of membrane desalination has increased as materials have improved and costs have decreased. Today, reverse osmosis membranes are the leading technology for new desalination installations, and they are applied to a variety of salt water resources using tailored pretreatment and membrane system design. Two distinct branches of reverse osmosis desalination have emerged: seawater reverse osmosis and brackish water reverse osmosis. Differences between the two water sources, including foulants, salinity, waste brine (concentrate) disposal options, and plant location, have created significant differences in process development, implementation, and key technical problems. Pretreatment options are similar for both types of reverse osmosis and depend on the specific components of the water source. Both brackish water and seawater reverse osmosis (RO) will continue to be used worldwide; new technology in energy recovery and renewable energy, as well as innovative plant design, will allow greater use of desalination for inland and rural communities, while providing more affordable water for large coastal cities. A wide variety of research and general information on RO desalination is available; however, a direct comparison of seawater and brackish water RO systems is necessary to highlight similarities and differences in process development. This article brings to light key parameters of an RO process and process modifications due to feed water characteristics. © 2009 Elsevier Ltd. All rights reserved.","author":[{"dropping-particle":"","family":"Greenlee","given":"Lauren F.","non-dropping-particle":"","parse-names":false,"suffix":""},{"dropping-particle":"","family":"Lawler","given":"Desmond F.","non-dropping-particle":"","parse-names":false,"suffix":""},{"dropping-particle":"","family":"Freeman","given":"Benny D.","non-dropping-particle":"","parse-names":false,"suffix":""},{"dropping-particle":"","family":"Marrot","given":"Benoit","non-dropping-particle":"","parse-names":false,"suffix":""},{"dropping-particle":"","family":"Moulin","given":"Philippe","non-dropping-particle":"","parse-names":false,"suffix":""}],"container-title":"Water Research","id":"ITEM-1","issue":"9","issued":{"date-parts":[["2009"]]},"page":"2317-2348","publisher":"Elsevier Ltd","title":"Reverse osmosis desalination: Water sources, technology, and today's challenges","type":"article-journal","volume":"43"},"uris":["http://www.mendeley.com/documents/?uuid=4f60af18-2b74-4e84-a7fb-610511a36e58"]}],"mendeley":{"formattedCitation":"[21]","plainTextFormattedCitation":"[21]","previouslyFormattedCitation":"[22]"},"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[21]</w:t>
      </w:r>
      <w:r w:rsidRPr="004834D3">
        <w:rPr>
          <w:rFonts w:cstheme="majorBidi"/>
          <w:kern w:val="0"/>
        </w:rPr>
        <w:fldChar w:fldCharType="end"/>
      </w:r>
      <w:r w:rsidRPr="004834D3">
        <w:rPr>
          <w:rFonts w:cstheme="majorBidi"/>
          <w:kern w:val="0"/>
        </w:rPr>
        <w:t xml:space="preserve">. These technologies have become more popular than thermal methods because they are more energy-efficient and compact. Membrane-based desalination processes typically use mechanical pressure, electrical potential, or a concentration gradient as the driving force across a semi-permeable membrane to achieve physical separation. </w:t>
      </w:r>
      <w:r w:rsidR="00251ADB">
        <w:rPr>
          <w:rFonts w:cstheme="majorBidi"/>
          <w:kern w:val="0"/>
        </w:rPr>
        <w:t xml:space="preserve">Some of the pressure-driven </w:t>
      </w:r>
      <w:r w:rsidRPr="004834D3">
        <w:rPr>
          <w:rFonts w:cstheme="majorBidi"/>
          <w:kern w:val="0"/>
        </w:rPr>
        <w:t xml:space="preserve">membrane desalination processes are Microfiltration (MF), Ultrafiltration (UF), Nanofiltration (NF), and Reverse Osmosis (RO) </w:t>
      </w:r>
      <w:r w:rsidRPr="004834D3">
        <w:rPr>
          <w:rFonts w:cstheme="majorBidi"/>
          <w:kern w:val="0"/>
        </w:rPr>
        <w:fldChar w:fldCharType="begin" w:fldLock="1"/>
      </w:r>
      <w:r w:rsidR="00D83446">
        <w:rPr>
          <w:rFonts w:cstheme="majorBidi"/>
          <w:kern w:val="0"/>
        </w:rPr>
        <w:instrText>ADDIN CSL_CITATION {"citationItems":[{"id":"ITEM-1","itemData":{"DOI":"10.1201/9781482278743","abstract":"Soon after its publication in 1987, the first edition of Ultrafiltration Handbook became recognized as the leading handbook on ultrafiltration technology. Reviews in professional journals praised it as an authoritative and substantive information resource on this technology. Now a completely, updated and expanded edition is available under the title, Ultrafiltration and Microfiltration Handbook. This practical handbook systematically covers the basics of this technology from its scientific fundamentals to a wide range of industrial applications. The presentation is clear and concise with the emphasis on practical use. Many schematics and micrographs illustrate membranes, equipment and processes. Numerous tables and graphs provide useful data on specifications and performance. The updated information is useful to all those involved in the use of separation and filtration in industrial processes.","author":[{"dropping-particle":"","family":"Cheryan","given":"Munir","non-dropping-particle":"","parse-names":false,"suffix":""}],"container-title":"Ultrafiltration and Microfiltration Handbook","id":"ITEM-1","issued":{"date-parts":[["1998"]]},"publisher":"CRC press","title":"Ultrafiltration and Microfiltration Handbook","type":"book"},"uris":["http://www.mendeley.com/documents/?uuid=0ca00f02-88f1-4173-a614-cb7b3367c26c"]}],"mendeley":{"formattedCitation":"[22]","plainTextFormattedCitation":"[22]","previouslyFormattedCitation":"[23]"},"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[22]</w:t>
      </w:r>
      <w:r w:rsidRPr="004834D3">
        <w:rPr>
          <w:rFonts w:cstheme="majorBidi"/>
          <w:kern w:val="0"/>
        </w:rPr>
        <w:fldChar w:fldCharType="end"/>
      </w:r>
      <w:r w:rsidRPr="004834D3">
        <w:rPr>
          <w:rFonts w:cstheme="majorBidi"/>
          <w:kern w:val="0"/>
        </w:rPr>
        <w:t xml:space="preserve">. Microfiltration and ultrafiltration processes require low-pressure membranes to accomplish the filtration, whereas </w:t>
      </w:r>
      <w:r w:rsidRPr="004834D3">
        <w:rPr>
          <w:rFonts w:cstheme="majorBidi"/>
          <w:kern w:val="0"/>
        </w:rPr>
        <w:lastRenderedPageBreak/>
        <w:t>nanofiltration and reverse osmosis processes necessitate high-pressure membranes. R</w:t>
      </w:r>
      <w:r w:rsidR="004A03F1">
        <w:rPr>
          <w:rFonts w:cstheme="majorBidi"/>
          <w:kern w:val="0"/>
        </w:rPr>
        <w:t>everse osmosis</w:t>
      </w:r>
      <w:r w:rsidRPr="004834D3">
        <w:rPr>
          <w:rFonts w:cstheme="majorBidi"/>
          <w:kern w:val="0"/>
        </w:rPr>
        <w:t xml:space="preserve"> is the most prominent membrane process, followed by nanofiltration. </w:t>
      </w:r>
      <w:r w:rsidR="000E2200">
        <w:rPr>
          <w:rFonts w:cstheme="majorBidi"/>
          <w:kern w:val="0"/>
        </w:rPr>
        <w:t>Figure 1-</w:t>
      </w:r>
      <w:r w:rsidR="009F7F17">
        <w:rPr>
          <w:rFonts w:cstheme="majorBidi"/>
          <w:kern w:val="0"/>
        </w:rPr>
        <w:t>2</w:t>
      </w:r>
      <w:r w:rsidR="00260E10">
        <w:rPr>
          <w:rFonts w:cstheme="majorBidi"/>
          <w:kern w:val="0"/>
        </w:rPr>
        <w:t xml:space="preserve"> depicts</w:t>
      </w:r>
      <w:r w:rsidR="000E2200">
        <w:rPr>
          <w:rFonts w:cstheme="majorBidi"/>
          <w:kern w:val="0"/>
        </w:rPr>
        <w:t xml:space="preserve"> the </w:t>
      </w:r>
      <w:r w:rsidR="00260E10">
        <w:rPr>
          <w:rFonts w:cstheme="majorBidi"/>
          <w:kern w:val="0"/>
        </w:rPr>
        <w:t>comparison between different</w:t>
      </w:r>
      <w:r w:rsidR="00251ADB">
        <w:rPr>
          <w:rFonts w:cstheme="majorBidi"/>
          <w:kern w:val="0"/>
        </w:rPr>
        <w:t xml:space="preserve"> pressure-driven</w:t>
      </w:r>
      <w:r w:rsidR="00260E10">
        <w:rPr>
          <w:rFonts w:cstheme="majorBidi"/>
          <w:kern w:val="0"/>
        </w:rPr>
        <w:t xml:space="preserve"> membrane-based desalination processes.</w:t>
      </w:r>
      <w:r w:rsidR="00251ADB">
        <w:rPr>
          <w:rFonts w:cstheme="majorBidi"/>
          <w:kern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C6E29" w:rsidRPr="004834D3" w14:paraId="378DC347" w14:textId="77777777" w:rsidTr="00251ADB">
        <w:tc>
          <w:tcPr>
            <w:tcW w:w="9350" w:type="dxa"/>
          </w:tcPr>
          <w:p w14:paraId="14BD26FF" w14:textId="77777777" w:rsidR="009C6E29" w:rsidRPr="004834D3" w:rsidRDefault="009C6E29" w:rsidP="004D6B25">
            <w:pPr>
              <w:spacing w:line="480" w:lineRule="auto"/>
              <w:jc w:val="center"/>
              <w:rPr>
                <w:rFonts w:cstheme="majorBidi"/>
                <w:kern w:val="0"/>
              </w:rPr>
            </w:pPr>
            <w:r w:rsidRPr="004834D3">
              <w:rPr>
                <w:rFonts w:cstheme="majorBidi"/>
                <w:noProof/>
              </w:rPr>
              <w:drawing>
                <wp:inline distT="0" distB="0" distL="0" distR="0" wp14:anchorId="47132014" wp14:editId="4F73DEDF">
                  <wp:extent cx="5112774" cy="2286000"/>
                  <wp:effectExtent l="0" t="0" r="0" b="0"/>
                  <wp:docPr id="235887441" name="Picture 1" descr="A diagram of a vir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87441" name="Picture 1" descr="A diagram of a virus&#10;&#10;Description automatically generated"/>
                          <pic:cNvPicPr/>
                        </pic:nvPicPr>
                        <pic:blipFill>
                          <a:blip r:embed="rId10"/>
                          <a:stretch>
                            <a:fillRect/>
                          </a:stretch>
                        </pic:blipFill>
                        <pic:spPr>
                          <a:xfrm>
                            <a:off x="0" y="0"/>
                            <a:ext cx="5112774" cy="2286000"/>
                          </a:xfrm>
                          <a:prstGeom prst="rect">
                            <a:avLst/>
                          </a:prstGeom>
                        </pic:spPr>
                      </pic:pic>
                    </a:graphicData>
                  </a:graphic>
                </wp:inline>
              </w:drawing>
            </w:r>
          </w:p>
        </w:tc>
      </w:tr>
      <w:tr w:rsidR="009C6E29" w:rsidRPr="004834D3" w14:paraId="32A6265A" w14:textId="77777777" w:rsidTr="00251ADB">
        <w:tc>
          <w:tcPr>
            <w:tcW w:w="9350" w:type="dxa"/>
          </w:tcPr>
          <w:p w14:paraId="54894EF0" w14:textId="7BC716BC" w:rsidR="00251ADB" w:rsidRPr="00251ADB" w:rsidRDefault="00F03E59" w:rsidP="004D6B25">
            <w:pPr>
              <w:pStyle w:val="Caption"/>
              <w:spacing w:before="0" w:after="240" w:line="480" w:lineRule="auto"/>
              <w:jc w:val="center"/>
              <w:rPr>
                <w:rFonts w:cstheme="majorBidi"/>
              </w:rPr>
            </w:pPr>
            <w:bookmarkStart w:id="11" w:name="_Toc172708804"/>
            <w:r w:rsidRPr="00F03E59">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1</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2</w:t>
            </w:r>
            <w:r w:rsidR="00996526">
              <w:rPr>
                <w:b/>
                <w:bCs/>
              </w:rPr>
              <w:fldChar w:fldCharType="end"/>
            </w:r>
            <w:r w:rsidR="0057092C">
              <w:rPr>
                <w:b/>
                <w:bCs/>
              </w:rPr>
              <w:t xml:space="preserve"> </w:t>
            </w:r>
            <w:r w:rsidR="0057092C" w:rsidRPr="0057092C">
              <w:t xml:space="preserve">Different </w:t>
            </w:r>
            <w:r w:rsidR="00251ADB">
              <w:t xml:space="preserve">pressure-driven </w:t>
            </w:r>
            <w:r w:rsidR="0057092C" w:rsidRPr="0057092C">
              <w:t>m</w:t>
            </w:r>
            <w:r w:rsidR="0057092C">
              <w:t>embrane processes</w:t>
            </w:r>
            <w:r>
              <w:t xml:space="preserve"> </w:t>
            </w:r>
            <w:r w:rsidR="009C6E29" w:rsidRPr="004834D3">
              <w:rPr>
                <w:rFonts w:cstheme="majorBidi"/>
              </w:rPr>
              <w:fldChar w:fldCharType="begin" w:fldLock="1"/>
            </w:r>
            <w:r w:rsidR="00D83446">
              <w:rPr>
                <w:rFonts w:cstheme="majorBidi"/>
              </w:rPr>
              <w:instrText>ADDIN CSL_CITATION {"citationItems":[{"id":"ITEM-1","itemData":{"DOI":"10.1201/9781482278743","abstract":"Soon after its publication in 1987, the first edition of Ultrafiltration Handbook became recognized as the leading handbook on ultrafiltration technology. Reviews in professional journals praised it as an authoritative and substantive information resource on this technology. Now a completely, updated and expanded edition is available under the title, Ultrafiltration and Microfiltration Handbook. This practical handbook systematically covers the basics of this technology from its scientific fundamentals to a wide range of industrial applications. The presentation is clear and concise with the emphasis on practical use. Many schematics and micrographs illustrate membranes, equipment and processes. Numerous tables and graphs provide useful data on specifications and performance. The updated information is useful to all those involved in the use of separation and filtration in industrial processes.","author":[{"dropping-particle":"","family":"Cheryan","given":"Munir","non-dropping-particle":"","parse-names":false,"suffix":""}],"container-title":"Ultrafiltration and Microfiltration Handbook","id":"ITEM-1","issued":{"date-parts":[["1998"]]},"publisher":"CRC press","title":"Ultrafiltration and Microfiltration Handbook","type":"book"},"uris":["http://www.mendeley.com/documents/?uuid=0ca00f02-88f1-4173-a614-cb7b3367c26c"]}],"mendeley":{"formattedCitation":"[22]","plainTextFormattedCitation":"[22]","previouslyFormattedCitation":"[23]"},"properties":{"noteIndex":0},"schema":"https://github.com/citation-style-language/schema/raw/master/csl-citation.json"}</w:instrText>
            </w:r>
            <w:r w:rsidR="009C6E29" w:rsidRPr="004834D3">
              <w:rPr>
                <w:rFonts w:cstheme="majorBidi"/>
              </w:rPr>
              <w:fldChar w:fldCharType="separate"/>
            </w:r>
            <w:r w:rsidR="00D83446" w:rsidRPr="00D83446">
              <w:rPr>
                <w:rFonts w:cstheme="majorBidi"/>
                <w:noProof/>
              </w:rPr>
              <w:t>[22]</w:t>
            </w:r>
            <w:bookmarkEnd w:id="11"/>
            <w:r w:rsidR="009C6E29" w:rsidRPr="004834D3">
              <w:rPr>
                <w:rFonts w:cstheme="majorBidi"/>
              </w:rPr>
              <w:fldChar w:fldCharType="end"/>
            </w:r>
          </w:p>
        </w:tc>
      </w:tr>
    </w:tbl>
    <w:p w14:paraId="07A2C6DB" w14:textId="33C1DAA5" w:rsidR="00251ADB" w:rsidRDefault="00251ADB" w:rsidP="004D6B25">
      <w:pPr>
        <w:spacing w:before="240" w:after="240" w:line="480" w:lineRule="auto"/>
        <w:ind w:firstLine="720"/>
        <w:jc w:val="both"/>
      </w:pPr>
      <w:r w:rsidRPr="00251ADB">
        <w:rPr>
          <w:rFonts w:cstheme="majorBidi"/>
          <w:kern w:val="0"/>
        </w:rPr>
        <w:t xml:space="preserve">Electrodialysis (ED) process </w:t>
      </w:r>
      <w:r>
        <w:rPr>
          <w:rFonts w:cstheme="majorBidi"/>
          <w:kern w:val="0"/>
        </w:rPr>
        <w:t xml:space="preserve">is a membrane-based desalination method in which </w:t>
      </w:r>
      <w:r w:rsidRPr="00251ADB">
        <w:rPr>
          <w:rFonts w:cstheme="majorBidi"/>
          <w:kern w:val="0"/>
        </w:rPr>
        <w:t>ions migrate under the influence of an applied electric field, allowing for the removal of salt ions through ion-permeable membranes. Positive ions (cations) travel in one direction, while negative ions (anions) travel in the opposite direction. The cation-permeable membrane selectively permits the passage of cations, whereas the anion-permeable membrane facilitates the movement of anions out of the solution</w:t>
      </w:r>
      <w:r w:rsidR="00645F9D">
        <w:rPr>
          <w:rFonts w:cstheme="majorBidi"/>
          <w:kern w:val="0"/>
        </w:rPr>
        <w:t xml:space="preserve"> </w:t>
      </w:r>
      <w:r w:rsidR="00645F9D">
        <w:rPr>
          <w:rFonts w:cstheme="majorBidi"/>
          <w:kern w:val="0"/>
        </w:rPr>
        <w:fldChar w:fldCharType="begin" w:fldLock="1"/>
      </w:r>
      <w:r w:rsidR="00D83446">
        <w:rPr>
          <w:rFonts w:cstheme="majorBidi"/>
          <w:kern w:val="0"/>
        </w:rPr>
        <w:instrText>ADDIN CSL_CITATION {"citationItems":[{"id":"ITEM-1","itemData":{"DOI":"10.1016/j.desal.2017.12.044","ISSN":"00119164","abstract":"The need for unconventional sources of fresh water is pushing a fast development of desalination technologies, which proved to be able to face and solve the problem of water scarcity in many dry areas of the planet. Membrane desalination technologies are nowadays leading the market and, among these, electrodialysis (ED) plays an important role, especially for brackish water desalination, thanks to its robustness, extreme flexibility and broad range of applications. In fact, many ED-related processes have been presented, based on the use of Ion Exchange Membranes (IEMs), which are significantly boosting the development of ED-related technologies. This paper presents the fundamentals of the ED process and its main developments. An important outlook is given to operational aspects, hydrodynamics and mass transport phenomena, with an extensive review of literature studies focusing on theoretical or experimental characterization of the complex phenomena occurring in electromembrane processes and of proposed strategies for process performance enhancement. An overview of process modelling tools is provided, pointing out capabilities and limitations of the different approaches and their possible application to optimisation analysis and perspective developments of ED technology. Finally, the most recent applications of ED-related processes are presented, highlighting limitations and potentialities in the water and energy industry.","author":[{"dropping-particle":"","family":"Campione","given":"A.","non-dropping-particle":"","parse-names":false,"suffix":""},{"dropping-particle":"","family":"Gurreri","given":"L.","non-dropping-particle":"","parse-names":false,"suffix":""},{"dropping-particle":"","family":"Ciofalo","given":"M.","non-dropping-particle":"","parse-names":false,"suffix":""},{"dropping-particle":"","family":"Micale","given":"G.","non-dropping-particle":"","parse-names":false,"suffix":""},{"dropping-particle":"","family":"Tamburini","given":"A.","non-dropping-particle":"","parse-names":false,"suffix":""},{"dropping-particle":"","family":"Cipollina","given":"A.","non-dropping-particle":"","parse-names":false,"suffix":""}],"container-title":"Desalination","id":"ITEM-1","issued":{"date-parts":[["2018"]]},"page":"121-160","publisher":"Elsevier","title":"Electrodialysis for water desalination: A critical assessment of recent developments on process fundamentals, models and applications","type":"article-journal","volume":"434"},"uris":["http://www.mendeley.com/documents/?uuid=c40f30a8-0595-4f5b-9866-ae36e5b6cfe9"]}],"mendeley":{"formattedCitation":"[23]","plainTextFormattedCitation":"[23]","previouslyFormattedCitation":"[24]"},"properties":{"noteIndex":0},"schema":"https://github.com/citation-style-language/schema/raw/master/csl-citation.json"}</w:instrText>
      </w:r>
      <w:r w:rsidR="00645F9D">
        <w:rPr>
          <w:rFonts w:cstheme="majorBidi"/>
          <w:kern w:val="0"/>
        </w:rPr>
        <w:fldChar w:fldCharType="separate"/>
      </w:r>
      <w:r w:rsidR="00D83446" w:rsidRPr="00D83446">
        <w:rPr>
          <w:rFonts w:cstheme="majorBidi"/>
          <w:noProof/>
          <w:kern w:val="0"/>
        </w:rPr>
        <w:t>[23]</w:t>
      </w:r>
      <w:r w:rsidR="00645F9D">
        <w:rPr>
          <w:rFonts w:cstheme="majorBidi"/>
          <w:kern w:val="0"/>
        </w:rPr>
        <w:fldChar w:fldCharType="end"/>
      </w:r>
      <w:r w:rsidRPr="00251ADB">
        <w:rPr>
          <w:rFonts w:cstheme="majorBidi"/>
          <w:kern w:val="0"/>
        </w:rPr>
        <w:t>.</w:t>
      </w:r>
      <w:r w:rsidR="00645F9D">
        <w:rPr>
          <w:rFonts w:cstheme="majorBidi"/>
          <w:kern w:val="0"/>
        </w:rPr>
        <w:t xml:space="preserve"> </w:t>
      </w:r>
      <w:r w:rsidR="00645F9D" w:rsidRPr="00645F9D">
        <w:t xml:space="preserve">The Forward </w:t>
      </w:r>
      <w:r w:rsidR="002812A0">
        <w:t>o</w:t>
      </w:r>
      <w:r w:rsidR="00645F9D" w:rsidRPr="00645F9D">
        <w:t xml:space="preserve">smosis (FO) desalination process leverages the natural osmotic pressure gradient across a membrane to facilitate the movement of water molecules, unlike Reverse </w:t>
      </w:r>
      <w:r w:rsidR="002812A0">
        <w:t>o</w:t>
      </w:r>
      <w:r w:rsidR="00645F9D" w:rsidRPr="00645F9D">
        <w:t xml:space="preserve">smosis (RO) which requires </w:t>
      </w:r>
      <w:r w:rsidR="00645F9D">
        <w:t>external</w:t>
      </w:r>
      <w:r w:rsidR="00645F9D" w:rsidRPr="00645F9D">
        <w:t xml:space="preserve"> pressure to counteract the feed's osmotic pressure. In the FO process, a highly concentrated salt solution</w:t>
      </w:r>
      <w:r w:rsidR="00645F9D">
        <w:t xml:space="preserve"> </w:t>
      </w:r>
      <w:r w:rsidR="00645F9D" w:rsidRPr="00645F9D">
        <w:t xml:space="preserve">is used. This solution has a low water chemical potential (high osmotic pressure) and serves to attract water molecules from a feed solution (such as brackish water or seawater) that has a higher water chemical potential (lower </w:t>
      </w:r>
      <w:r w:rsidR="00645F9D" w:rsidRPr="00645F9D">
        <w:lastRenderedPageBreak/>
        <w:t xml:space="preserve">osmotic pressure) relative to the draw solution. </w:t>
      </w:r>
      <w:r w:rsidR="002812A0" w:rsidRPr="002812A0">
        <w:t>In the subsequent sections, two of the most widely used membrane-based desalination methods</w:t>
      </w:r>
      <w:r w:rsidR="002812A0">
        <w:t xml:space="preserve">, namely RO and </w:t>
      </w:r>
      <w:r w:rsidR="00801871">
        <w:t>FO,</w:t>
      </w:r>
      <w:r w:rsidR="002812A0">
        <w:t xml:space="preserve"> are described in further detail</w:t>
      </w:r>
      <w:r w:rsidR="002812A0" w:rsidRPr="002812A0">
        <w:t>.</w:t>
      </w:r>
    </w:p>
    <w:p w14:paraId="2B1A2A61" w14:textId="62C09A49" w:rsidR="009C6E29" w:rsidRPr="004D6B25" w:rsidRDefault="009C6E29" w:rsidP="004D6B25">
      <w:pPr>
        <w:spacing w:before="360" w:after="0" w:line="480" w:lineRule="auto"/>
        <w:rPr>
          <w:b/>
          <w:bCs/>
          <w:u w:val="single"/>
        </w:rPr>
      </w:pPr>
      <w:r w:rsidRPr="004D6B25">
        <w:rPr>
          <w:b/>
          <w:bCs/>
          <w:u w:val="single"/>
        </w:rPr>
        <w:t>Reverse Osmosis (RO)</w:t>
      </w:r>
    </w:p>
    <w:p w14:paraId="03F6F8C9" w14:textId="13D97513" w:rsidR="00C94DF0" w:rsidRDefault="009C6E29" w:rsidP="004D6B25">
      <w:pPr>
        <w:spacing w:before="240" w:after="240" w:line="480" w:lineRule="auto"/>
        <w:jc w:val="both"/>
        <w:rPr>
          <w:rFonts w:cstheme="majorBidi"/>
          <w:kern w:val="0"/>
        </w:rPr>
      </w:pPr>
      <w:r w:rsidRPr="004834D3">
        <w:rPr>
          <w:rFonts w:cstheme="majorBidi"/>
          <w:kern w:val="0"/>
        </w:rPr>
        <w:t xml:space="preserve">Reverse osmosis (RO) desalination was first applied to brackish groundwater in the late 1960s and later to seawater desalination by the 1980s </w:t>
      </w:r>
      <w:r w:rsidRPr="004834D3">
        <w:rPr>
          <w:rFonts w:cstheme="majorBidi"/>
          <w:kern w:val="0"/>
        </w:rPr>
        <w:fldChar w:fldCharType="begin" w:fldLock="1"/>
      </w:r>
      <w:r w:rsidR="00D83446">
        <w:rPr>
          <w:rFonts w:cstheme="majorBidi"/>
          <w:kern w:val="0"/>
        </w:rPr>
        <w:instrText>ADDIN CSL_CITATION {"citationItems":[{"id":"ITEM-1","itemData":{"DOI":"10.1016/S0011-9164(02)00259-X","ISSN":"00119164","abstract":"The worldwide need for fresh water requires more and more plants for the treatment of non-conventional water sources. During the last decades, seawater has become an important source of fresh water in many arid regions. The traditional desalination processes [reverse osmosis (RO), multi stage flash (MSF), multi effect distillation (MED), electrodialysis (ED)] have evoluated to reliable and established processes; current research focuses on process improvements in view of a lower cost and a more environmentally friendly operation. This paper provides an overview of recent process improvements in seawater desalination using RO, MSF, MED and ED. Important topics that are discussed include the use of alternative energy sources (wind energy, solar energy, nuclear energy) for RO or distillation processes, and the impact of the different desalination process on the environment; the implementation of hybrid processes in seawater desalination; pretreatment of desalination plants by pressure driven membrane processes (microfiltration, ultrafiltration and nanofiltration) compared to chemical pretreatment; new materials to prevent corrosion in distillation processes; and the prevention of fouling in reverse osmosis units. These improvements contribute to the cost effectiveness of the desalination process, and ensure a sustainable production of drinking water on long terms in regions with limited reserves of fresh water.","author":[{"dropping-particle":"","family":"Bruggen","given":"Bart","non-dropping-particle":"Van der","parse-names":false,"suffix":""},{"dropping-particle":"","family":"Vandecasteele","given":"Carlo","non-dropping-particle":"","parse-names":false,"suffix":""}],"container-title":"Desalination","id":"ITEM-1","issue":"3","issued":{"date-parts":[["2002"]]},"page":"207-218","publisher":"Elsevier","title":"Distillation vs. membrane filtration: Overview of process evolutions in seawater desalination","type":"article-journal","volume":"143"},"uris":["http://www.mendeley.com/documents/?uuid=dca70ca5-a921-4240-9da1-858b1feff024"]}],"mendeley":{"formattedCitation":"[24]","plainTextFormattedCitation":"[24]","previouslyFormattedCitation":"[25]"},"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[24]</w:t>
      </w:r>
      <w:r w:rsidRPr="004834D3">
        <w:rPr>
          <w:rFonts w:cstheme="majorBidi"/>
          <w:kern w:val="0"/>
        </w:rPr>
        <w:fldChar w:fldCharType="end"/>
      </w:r>
      <w:r w:rsidRPr="004834D3">
        <w:rPr>
          <w:rFonts w:cstheme="majorBidi"/>
          <w:kern w:val="0"/>
        </w:rPr>
        <w:t xml:space="preserve">. Osmosis is the natural flow of a solvent (e.g., water) through a semipermeable membrane from a solution with a low concentration of solutes (e.g., salts) to a more concentrated solution. The driving force for this solvent transport is known as osmotic pressure, which depends on the difference in solute concentrations between the two solutions. This transport process continues until osmotic equilibrium is reached between the solutions </w:t>
      </w:r>
      <w:r w:rsidRPr="004834D3">
        <w:rPr>
          <w:rFonts w:cstheme="majorBidi"/>
          <w:kern w:val="0"/>
        </w:rPr>
        <w:fldChar w:fldCharType="begin" w:fldLock="1"/>
      </w:r>
      <w:r w:rsidR="00D83446">
        <w:rPr>
          <w:rFonts w:cstheme="majorBidi"/>
          <w:kern w:val="0"/>
        </w:rPr>
        <w:instrText>ADDIN CSL_CITATION {"citationItems":[{"id":"ITEM-1","itemData":{"ISSN":"15360539","PMID":"22126183","abstract":"This Handbook was first published by the Office of Water Research and Technology and the Bureau of Reclamation in 1972. A second edition was published by the Bureau of Reclamation in 1977. In the intervening years, desalting technology and cost have changed radically, raising the need for this Handbook (the third edition). The Handbook contains descriptions of both thermal and membrane technologies in common use today, together with chapters on the history of desalination in the U.S. Chapters on pretreatment and post-treatment, environmental issues, and a chapter on case histories precede the final chapter on costs and cost estimating. This Handbook is designed for use by appointed and elected officials, planners, and consultants with a limited knowledge of the technologies involved, but who have enough familiarity with the general principles to recognize that desalting may have value as a viable alternate source of drinking water for their communities.","author":[{"dropping-particle":"","family":"Watson","given":"Ian C","non-dropping-particle":"","parse-names":false,"suffix":""},{"dropping-particle":"","family":"Morin","given":"O J","non-dropping-particle":"","parse-names":false,"suffix":""},{"dropping-particle":"","family":"Henthorne","given":"Lisa","non-dropping-particle":"","parse-names":false,"suffix":""}],"container-title":"Desalination and Water Purification Research and Development Program Report No. 72","id":"ITEM-1","issue":"72","issued":{"date-parts":[["2003"]]},"page":"1-310","title":"Desalting Handbook for Planners","type":"article-journal"},"uris":["http://www.mendeley.com/documents/?uuid=55ef272d-6211-4762-ac58-4a731af0c08d"]}],"mendeley":{"formattedCitation":"[25]","plainTextFormattedCitation":"[25]","previouslyFormattedCitation":"[26]"},"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[25]</w:t>
      </w:r>
      <w:r w:rsidRPr="004834D3">
        <w:rPr>
          <w:rFonts w:cstheme="majorBidi"/>
          <w:kern w:val="0"/>
        </w:rPr>
        <w:fldChar w:fldCharType="end"/>
      </w:r>
      <w:r w:rsidRPr="004834D3">
        <w:rPr>
          <w:rFonts w:cstheme="majorBidi"/>
          <w:kern w:val="0"/>
        </w:rPr>
        <w:t xml:space="preserve">. Conversely, RO is a pressure-driven membrane separation process in which a membrane allows the diffusion of the solvent and solutes. When pressure higher than the osmotic pressure is applied to the concentrated solution, the flow of the solvent through the membrane is reversed. The solvent then flows from the concentrated solution side through the membrane to the diluted solution side, while the solutes are rejected by the membrane </w:t>
      </w:r>
      <w:r w:rsidRPr="004834D3">
        <w:rPr>
          <w:rFonts w:cstheme="majorBidi"/>
          <w:kern w:val="0"/>
        </w:rPr>
        <w:fldChar w:fldCharType="begin" w:fldLock="1"/>
      </w:r>
      <w:r w:rsidR="00D83446">
        <w:rPr>
          <w:rFonts w:cstheme="majorBidi"/>
          <w:kern w:val="0"/>
        </w:rPr>
        <w:instrText>ADDIN CSL_CITATION {"citationItems":[{"id":"ITEM-1","itemData":{"DOI":"10.1016/j.watres.2009.03.010","ISSN":"00431354","PMID":"19371922","abstract":"Reverse osmosis membrane technology has developed over the past 40 years to a 44% share in world desalting production capacity, and an 80% share in the total number of desalination plants installed worldwide. The use of membrane desalination has increased as materials have improved and costs have decreased. Today, reverse osmosis membranes are the leading technology for new desalination installations, and they are applied to a variety of salt water resources using tailored pretreatment and membrane system design. Two distinct branches of reverse osmosis desalination have emerged: seawater reverse osmosis and brackish water reverse osmosis. Differences between the two water sources, including foulants, salinity, waste brine (concentrate) disposal options, and plant location, have created significant differences in process development, implementation, and key technical problems. Pretreatment options are similar for both types of reverse osmosis and depend on the specific components of the water source. Both brackish water and seawater reverse osmosis (RO) will continue to be used worldwide; new technology in energy recovery and renewable energy, as well as innovative plant design, will allow greater use of desalination for inland and rural communities, while providing more affordable water for large coastal cities. A wide variety of research and general information on RO desalination is available; however, a direct comparison of seawater and brackish water RO systems is necessary to highlight similarities and differences in process development. This article brings to light key parameters of an RO process and process modifications due to feed water characteristics. © 2009 Elsevier Ltd. All rights reserved.","author":[{"dropping-particle":"","family":"Greenlee","given":"Lauren F.","non-dropping-particle":"","parse-names":false,"suffix":""},{"dropping-particle":"","family":"Lawler","given":"Desmond F.","non-dropping-particle":"","parse-names":false,"suffix":""},{"dropping-particle":"","family":"Freeman","given":"Benny D.","non-dropping-particle":"","parse-names":false,"suffix":""},{"dropping-particle":"","family":"Marrot","given":"Benoit","non-dropping-particle":"","parse-names":false,"suffix":""},{"dropping-particle":"","family":"Moulin","given":"Philippe","non-dropping-particle":"","parse-names":false,"suffix":""}],"container-title":"Water Research","id":"ITEM-1","issue":"9","issued":{"date-parts":[["2009"]]},"page":"2317-2348","publisher":"Elsevier Ltd","title":"Reverse osmosis desalination: Water sources, technology, and today's challenges","type":"article-journal","volume":"43"},"uris":["http://www.mendeley.com/documents/?uuid=4f60af18-2b74-4e84-a7fb-610511a36e58"]}],"mendeley":{"formattedCitation":"[21]","plainTextFormattedCitation":"[21]","previouslyFormattedCitation":"[22]"},"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[21]</w:t>
      </w:r>
      <w:r w:rsidRPr="004834D3">
        <w:rPr>
          <w:rFonts w:cstheme="majorBidi"/>
          <w:kern w:val="0"/>
        </w:rPr>
        <w:fldChar w:fldCharType="end"/>
      </w:r>
      <w:r w:rsidRPr="004834D3">
        <w:rPr>
          <w:rFonts w:cstheme="majorBidi"/>
          <w:kern w:val="0"/>
        </w:rPr>
        <w:t>.</w:t>
      </w:r>
      <w:r w:rsidR="00C94DF0">
        <w:rPr>
          <w:rFonts w:cstheme="majorBidi"/>
          <w:kern w:val="0"/>
        </w:rPr>
        <w:t xml:space="preserve"> The osmosis process is presented in Fig. 1-</w:t>
      </w:r>
      <w:r w:rsidR="009F7F17">
        <w:rPr>
          <w:rFonts w:cstheme="majorBidi"/>
          <w:kern w:val="0"/>
        </w:rPr>
        <w:t>3</w:t>
      </w:r>
      <w:r w:rsidR="00C94DF0">
        <w:rPr>
          <w:rFonts w:cstheme="majorBidi"/>
          <w:kern w:val="0"/>
        </w:rPr>
        <w:t xml:space="preserve">. </w:t>
      </w:r>
    </w:p>
    <w:p w14:paraId="25D8A35B" w14:textId="48AA5156" w:rsidR="009C6E29" w:rsidRPr="004834D3" w:rsidRDefault="009C6E29" w:rsidP="004D6B25">
      <w:pPr>
        <w:spacing w:before="240" w:after="240" w:line="480" w:lineRule="auto"/>
        <w:ind w:firstLine="720"/>
        <w:jc w:val="both"/>
        <w:rPr>
          <w:rFonts w:cstheme="majorBidi"/>
          <w:kern w:val="0"/>
        </w:rPr>
      </w:pPr>
      <w:r w:rsidRPr="004834D3">
        <w:rPr>
          <w:rFonts w:cstheme="majorBidi"/>
          <w:kern w:val="0"/>
        </w:rPr>
        <w:t xml:space="preserve">RO membranes are typically composed of two distinct layers. The active </w:t>
      </w:r>
      <w:r w:rsidR="00C94DF0">
        <w:rPr>
          <w:rFonts w:cstheme="majorBidi"/>
          <w:kern w:val="0"/>
        </w:rPr>
        <w:t>or</w:t>
      </w:r>
      <w:r w:rsidRPr="004834D3">
        <w:rPr>
          <w:rFonts w:cstheme="majorBidi"/>
          <w:kern w:val="0"/>
        </w:rPr>
        <w:t xml:space="preserve"> selective layer is made of polymeric materials thin-film composite of polyamide, which are responsible for the semi</w:t>
      </w:r>
      <w:r w:rsidR="00801871">
        <w:rPr>
          <w:rFonts w:cstheme="majorBidi"/>
          <w:kern w:val="0"/>
        </w:rPr>
        <w:t>-</w:t>
      </w:r>
      <w:r w:rsidRPr="004834D3">
        <w:rPr>
          <w:rFonts w:cstheme="majorBidi"/>
          <w:kern w:val="0"/>
        </w:rPr>
        <w:t xml:space="preserve">permeability characteristics </w:t>
      </w:r>
      <w:r w:rsidRPr="004834D3">
        <w:rPr>
          <w:rFonts w:cstheme="majorBidi"/>
          <w:kern w:val="0"/>
        </w:rPr>
        <w:fldChar w:fldCharType="begin" w:fldLock="1"/>
      </w:r>
      <w:r w:rsidR="00D83446">
        <w:rPr>
          <w:rFonts w:cstheme="majorBidi"/>
          <w:kern w:val="0"/>
        </w:rPr>
        <w:instrText>ADDIN CSL_CITATION {"citationItems":[{"id":"ITEM-1","itemData":{"DOI":"10.1016/j.desal.2019.02.008","author":[{"dropping-particle":"","family":"Qasim","given":"Muhammad","non-dropping-particle":"","parse-names":false,"suffix":""},{"dropping-particle":"","family":"Badrelzaman","given":"Mohamed","non-dropping-particle":"","parse-names":false,"suffix":""},{"dropping-particle":"","family":"Darwish","given":"Noora N","non-dropping-particle":"","parse-names":false,"suffix":""},{"dropping-particle":"","family":"Darwish","given":"Naif A","non-dropping-particle":"","parse-names":false,"suffix":""},{"dropping-particle":"","family":"Hilal","given":"Nidal","non-dropping-particle":"","parse-names":false,"suffix":""}],"container-title":"Desalination","id":"ITEM-1","issued":{"date-parts":[["2019"]]},"page":"59-104","publisher":"Elsevier","title":"Reverse osmosis desalination: A state-of-the-art review","type":"article-journal","volume":"459"},"uris":["http://www.mendeley.com/documents/?uuid=6c888635-34b9-4a7e-8bcf-658911195216"]}],"mendeley":{"formattedCitation":"[26]","plainTextFormattedCitation":"[26]","previouslyFormattedCitation":"[27]"},"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[26]</w:t>
      </w:r>
      <w:r w:rsidRPr="004834D3">
        <w:rPr>
          <w:rFonts w:cstheme="majorBidi"/>
          <w:kern w:val="0"/>
        </w:rPr>
        <w:fldChar w:fldCharType="end"/>
      </w:r>
      <w:r w:rsidRPr="004834D3">
        <w:rPr>
          <w:rFonts w:cstheme="majorBidi"/>
          <w:kern w:val="0"/>
        </w:rPr>
        <w:t xml:space="preserve">. The second layer is a thick support layer that provides mechanical strength to withstand high hydraulic pressures, which can reach up to 70 bars </w:t>
      </w:r>
      <w:r w:rsidRPr="004834D3">
        <w:rPr>
          <w:rFonts w:cstheme="majorBidi"/>
          <w:kern w:val="0"/>
        </w:rPr>
        <w:fldChar w:fldCharType="begin" w:fldLock="1"/>
      </w:r>
      <w:r w:rsidR="00D83446">
        <w:rPr>
          <w:rFonts w:cstheme="majorBidi"/>
          <w:kern w:val="0"/>
        </w:rPr>
        <w:instrText>ADDIN CSL_CITATION {"citationItems":[{"id":"ITEM-1","itemData":{"DOI":"10.1016/j.watres.2009.03.010","ISSN":"00431354","PMID":"19371922","abstract":"Reverse osmosis membrane technology has developed over the past 40 years to a 44% share in world desalting production capacity, and an 80% share in the total number of desalination plants installed worldwide. The use of membrane desalination has increased as materials have improved and costs have decreased. Today, reverse osmosis membranes are the leading technology for new desalination installations, and they are applied to a variety of salt water resources using tailored pretreatment and membrane system design. Two distinct branches of reverse osmosis desalination have emerged: seawater reverse osmosis and brackish water reverse osmosis. Differences between the two water sources, including foulants, salinity, waste brine (concentrate) disposal options, and plant location, have created significant differences in process development, implementation, and key technical problems. Pretreatment options are similar for both types of reverse osmosis and depend on the specific components of the water source. Both brackish water and seawater reverse osmosis (RO) will continue to be used worldwide; new technology in energy recovery and renewable energy, as well as innovative plant design, will allow greater use of desalination for inland and rural communities, while providing more affordable water for large coastal cities. A wide variety of research and general information on RO desalination is available; however, a direct comparison of seawater and brackish water RO systems is necessary to highlight similarities and differences in process development. This article brings to light key parameters of an RO process and process modifications due to feed water characteristics. © 2009 Elsevier Ltd. All rights reserved.","author":[{"dropping-particle":"","family":"Greenlee","given":"Lauren F.","non-dropping-particle":"","parse-names":false,"suffix":""},{"dropping-particle":"","family":"Lawler","given":"Desmond F.","non-dropping-particle":"","parse-names":false,"suffix":""},{"dropping-particle":"","family":"Freeman","given":"Benny D.","non-dropping-particle":"","parse-names":false,"suffix":""},{"dropping-particle":"","family":"Marrot","given":"Benoit","non-dropping-particle":"","parse-names":false,"suffix":""},{"dropping-particle":"","family":"Moulin","given":"Philippe","non-dropping-particle":"","parse-names":false,"suffix":""}],"container-title":"Water Research","id":"ITEM-1","issue":"9","issued":{"date-parts":[["2009"]]},"page":"2317-2348","publisher":"Elsevier Ltd","title":"Reverse osmosis desalination: Water sources, technology, and today's challenges","type":"article-journal","volume":"43"},"uris":["http://www.mendeley.com/documents/?uuid=4f60af18-2b74-4e84-a7fb-610511a36e58"]},{"id":"ITEM-2","itemData":{"DOI":"10.1016/j.memsci.2010.12.036","ISSN":"03767388","abstract":"Reverse osmosis (RO) is currently the most important desalination technology and it is experiencing significant growth. The objective of this paper is to review the historical and current development of RO membrane materials which are the key determinants of separation performance and water productivity, and hence to define performance targets for those who are developing new RO membrane materials. The chemistry, synthesis mechanism(s) and desalination performance of various RO membranes are discussed from the point of view of membrane materials science. The review starts with the first generation of asymmetric polymeric membranes and finishes with current proposals for nano-structured membrane materials. The paper provides an overview of RO performance in relation to membrane materials and methods of synthesis.To date polymeric membranes have dominated the RO desalination industry. From the late 1950s to the 1980s the research effort focussed on the search for optimum polymeric membrane materials. In subsequent decades the performance of RO membranes has been optimised via control of membrane formation reactions, and the use of poly-condensation catalysts and additives. The performance of state-of-the-art RO membranes has been highlighted. Nevertheless, the advances in membrane permselectivity in the past decade has been relatively slow, and membrane fouling remains a severe problem.The emergence of nano-technology in membrane materials science could offer an attractive alternative to polymeric materials. Hence nano-structured membranes are discussed in this review including zeolite membranes, thin film nano-composite membranes, carbon nano-tube membranes, and biomimetic membranes. It is proposed that these novel materials represent the most likely opportunities for enhanced RO desalination performance in the future, but that a number of challenges remain with regard to their practical implementation. © 2010 Elsevier B.V.","author":[{"dropping-particle":"","family":"Lee","given":"Kah Peng","non-dropping-particle":"","parse-names":false,"suffix":""},{"dropping-particle":"","family":"Arnot","given":"Tom C.","non-dropping-particle":"","parse-names":false,"suffix":""},{"dropping-particle":"","family":"Mattia","given":"Davide","non-dropping-particle":"","parse-names":false,"suffix":""}],"container-title":"Journal of Membrane Science","id":"ITEM-2","issue":"1-2","issued":{"date-parts":[["2011"]]},"page":"1-22","publisher":"Elsevier","title":"A review of reverse osmosis membrane materials for desalination-Development to date and future potential","type":"article-journal","volume":"370"},"uris":["http://www.mendeley.com/documents/?uuid=2d2dac11-9b15-4820-865e-b39238d727c8"]}],"mendeley":{"formattedCitation":"[21,27]","plainTextFormattedCitation":"[21,27]","previouslyFormattedCitation":"[22,28]"},"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[21,27]</w:t>
      </w:r>
      <w:r w:rsidRPr="004834D3">
        <w:rPr>
          <w:rFonts w:cstheme="majorBidi"/>
          <w:kern w:val="0"/>
        </w:rPr>
        <w:fldChar w:fldCharType="end"/>
      </w:r>
      <w:r w:rsidRPr="004834D3">
        <w:rPr>
          <w:rFonts w:cstheme="majorBidi"/>
          <w:kern w:val="0"/>
        </w:rPr>
        <w:t xml:space="preserve">. The driving force for the RO process is the hydraulic pressure applied to overcome osmotic pressure. This pressure varies considerably according to the feedwater salinity, ranging from 15–25 bar for brackish water desalination to 60–70 bar for seawater desalination </w:t>
      </w:r>
      <w:r w:rsidRPr="004834D3">
        <w:rPr>
          <w:rFonts w:cstheme="majorBidi"/>
          <w:kern w:val="0"/>
        </w:rPr>
        <w:fldChar w:fldCharType="begin" w:fldLock="1"/>
      </w:r>
      <w:r w:rsidR="00D83446">
        <w:rPr>
          <w:rFonts w:cstheme="majorBidi"/>
          <w:kern w:val="0"/>
        </w:rPr>
        <w:instrText>ADDIN CSL_CITATION {"citationItems":[{"id":"ITEM-1","itemData":{"DOI":"10.1016/j.desal.2006.12.009","ISSN":"00119164","abstract":"Throughout the world, water scarcity is being recognised as a present or future threat to human activity and as a consequence, a definite trend to develop alternative water resources such as desalination can be observed. The most commonly used desalination technologies are reverse osmosis (RO) and thermal processes such as multi-stage flash (MSF) and multi-effect distillation (MED). In Europe, reverse osmosis, due to its lower energy consumption has gained much wider acceptance than its thermal alternatives. This review summarises the current state-of-the art of reverse osmosis desalination, dealing not only with the reverse osmosis stage, but with the entire process from raw water intake to post treatment of product water. The discussion of process fundamentals, membranes and membrane modules and of current and future developments in membrane technology is accompanied by an analysis of operational issues as fouling and scaling and of measures for their prevention such as adequate cleaning procedures and antiscalant use. Special focus is placed on pre-treatment of raw water and post-treatment of brine as well as of product water to meet drinking and irrigation water standards, including evaluation of current boron removal options. Energy requirements of reverse osmosis plants as well as currently applied energy recovery systems for reduction of energy consumption are described and cost and cost structure of reverse osmosis desalination are outlined. Finally, current practices of waste management and disposal as well as new trends such as the use of hybrid plants, i.e. combining reverse osmosis with thermal processes and/or power generation are addressed. © 2007.","author":[{"dropping-particle":"","family":"Fritzmann","given":"C.","non-dropping-particle":"","parse-names":false,"suffix":""},{"dropping-particle":"","family":"Löwenberg","given":"J.","non-dropping-particle":"","parse-names":false,"suffix":""},{"dropping-particle":"","family":"Wintgens","given":"T.","non-dropping-particle":"","parse-names":false,"suffix":""},{"dropping-particle":"","family":"Melin","given":"T.","non-dropping-particle":"","parse-names":false,"suffix":""}],"container-title":"Desalination","id":"ITEM-1","issue":"1-3","issued":{"date-parts":[["2007"]]},"page":"1-76","title":"State-of-the-art of reverse osmosis desalination","type":"article-journal","volume":"216"},"uris":["http://www.mendeley.com/documents/?uuid=1b7f586d-954e-42fd-ae8a-480709641ae3"]}],"mendeley":{"formattedCitation":"[28]","plainTextFormattedCitation":"[28]","previouslyFormattedCitation":"[29]"},"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[28]</w:t>
      </w:r>
      <w:r w:rsidRPr="004834D3">
        <w:rPr>
          <w:rFonts w:cstheme="majorBidi"/>
          <w:kern w:val="0"/>
        </w:rPr>
        <w:fldChar w:fldCharType="end"/>
      </w:r>
      <w:r w:rsidRPr="004834D3">
        <w:rPr>
          <w:rFonts w:cstheme="majorBidi"/>
          <w:kern w:val="0"/>
        </w:rPr>
        <w:t xml:space="preserve">. Energy </w:t>
      </w:r>
      <w:r w:rsidRPr="004834D3">
        <w:rPr>
          <w:rFonts w:cstheme="majorBidi"/>
          <w:kern w:val="0"/>
        </w:rPr>
        <w:lastRenderedPageBreak/>
        <w:t xml:space="preserve">requirements differ depending on the feedwater source, with higher energy requirements for seawater RO and lower for brackish water RO, due to the lower pressures involved. Pretreatment, including filtration and chemical addition, is a necessary step in RO systems to prevent biofouling of the membranes </w:t>
      </w:r>
      <w:r w:rsidRPr="004834D3">
        <w:rPr>
          <w:rFonts w:cstheme="majorBidi"/>
          <w:kern w:val="0"/>
        </w:rPr>
        <w:fldChar w:fldCharType="begin" w:fldLock="1"/>
      </w:r>
      <w:r w:rsidR="00D83446">
        <w:rPr>
          <w:rFonts w:cstheme="majorBidi"/>
          <w:kern w:val="0"/>
        </w:rPr>
        <w:instrText>ADDIN CSL_CITATION {"citationItems":[{"id":"ITEM-1","itemData":{"DOI":"10.1016/j.desal.2006.12.009","ISSN":"00119164","abstract":"Throughout the world, water scarcity is being recognised as a present or future threat to human activity and as a consequence, a definite trend to develop alternative water resources such as desalination can be observed. The most commonly used desalination technologies are reverse osmosis (RO) and thermal processes such as multi-stage flash (MSF) and multi-effect distillation (MED). In Europe, reverse osmosis, due to its lower energy consumption has gained much wider acceptance than its thermal alternatives. This review summarises the current state-of-the art of reverse osmosis desalination, dealing not only with the reverse osmosis stage, but with the entire process from raw water intake to post treatment of product water. The discussion of process fundamentals, membranes and membrane modules and of current and future developments in membrane technology is accompanied by an analysis of operational issues as fouling and scaling and of measures for their prevention such as adequate cleaning procedures and antiscalant use. Special focus is placed on pre-treatment of raw water and post-treatment of brine as well as of product water to meet drinking and irrigation water standards, including evaluation of current boron removal options. Energy requirements of reverse osmosis plants as well as currently applied energy recovery systems for reduction of energy consumption are described and cost and cost structure of reverse osmosis desalination are outlined. Finally, current practices of waste management and disposal as well as new trends such as the use of hybrid plants, i.e. combining reverse osmosis with thermal processes and/or power generation are addressed. © 2007.","author":[{"dropping-particle":"","family":"Fritzmann","given":"C.","non-dropping-particle":"","parse-names":false,"suffix":""},{"dropping-particle":"","family":"Löwenberg","given":"J.","non-dropping-particle":"","parse-names":false,"suffix":""},{"dropping-particle":"","family":"Wintgens","given":"T.","non-dropping-particle":"","parse-names":false,"suffix":""},{"dropping-particle":"","family":"Melin","given":"T.","non-dropping-particle":"","parse-names":false,"suffix":""}],"container-title":"Desalination","id":"ITEM-1","issue":"1-3","issued":{"date-parts":[["2007"]]},"page":"1-76","title":"State-of-the-art of reverse osmosis desalination","type":"article-journal","volume":"216"},"uris":["http://www.mendeley.com/documents/?uuid=1b7f586d-954e-42fd-ae8a-480709641ae3"]},{"id":"ITEM-2","itemData":{"DOI":"10.1016/j.desal.2010.09.001","ISSN":"00119164","abstract":"This paper presents a review of recent advances in reverse osmosis technology as related to the major issues of concern in this rapidly growing desalination method. These issues include membrane fouling studies and control techniques, membrane characterization methods as well as applications to different water types and constituents present in the feed water. A summary of the major advances in RO performance and mechanism modeling is also presented and available transport models are introduced. Moreover, the two important issues of RO brine discharge and energy costs and recovery methods are discussed. Finally, future research trends and needs relevant to RO are highlighted. © 2010 Elsevier B.V.","author":[{"dropping-particle":"","family":"Malaeb","given":"Lilian","non-dropping-particle":"","parse-names":false,"suffix":""},{"dropping-particle":"","family":"Ayoub","given":"George M.","non-dropping-particle":"","parse-names":false,"suffix":""}],"container-title":"Desalination","id":"ITEM-2","issue":"1","issued":{"date-parts":[["2011"]]},"page":"1-8","publisher":"Elsevier","title":"Reverse osmosis technology for water treatment: State of the art review","type":"article-journal","volume":"267"},"uris":["http://www.mendeley.com/documents/?uuid=b6789670-2da3-4008-a41d-e4e031ccfe8f"]}],"mendeley":{"formattedCitation":"[28,29]","plainTextFormattedCitation":"[28,29]","previouslyFormattedCitation":"[29,30]"},"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[28,29]</w:t>
      </w:r>
      <w:r w:rsidRPr="004834D3">
        <w:rPr>
          <w:rFonts w:cstheme="majorBidi"/>
          <w:kern w:val="0"/>
        </w:rPr>
        <w:fldChar w:fldCharType="end"/>
      </w:r>
      <w:r w:rsidRPr="004834D3">
        <w:rPr>
          <w:rFonts w:cstheme="majorBidi"/>
          <w:kern w:val="0"/>
        </w:rPr>
        <w:t xml:space="preserve">. </w:t>
      </w:r>
    </w:p>
    <w:p w14:paraId="5DC3185A" w14:textId="09918FA6" w:rsidR="00A0643F" w:rsidRPr="004834D3" w:rsidRDefault="009C6E29" w:rsidP="004D6B25">
      <w:pPr>
        <w:spacing w:before="240" w:after="240" w:line="480" w:lineRule="auto"/>
        <w:ind w:firstLine="720"/>
        <w:jc w:val="both"/>
        <w:rPr>
          <w:rFonts w:cstheme="majorBidi"/>
          <w:kern w:val="0"/>
        </w:rPr>
      </w:pPr>
      <w:r w:rsidRPr="004834D3">
        <w:rPr>
          <w:rFonts w:cstheme="majorBidi"/>
          <w:kern w:val="0"/>
        </w:rPr>
        <w:t xml:space="preserve">Large-scale RO desalination units currently operate with a water flux of up to 400,000 m³/day </w:t>
      </w:r>
      <w:r w:rsidRPr="004834D3">
        <w:rPr>
          <w:rFonts w:cstheme="majorBidi"/>
          <w:kern w:val="0"/>
        </w:rPr>
        <w:fldChar w:fldCharType="begin" w:fldLock="1"/>
      </w:r>
      <w:r w:rsidR="00D83446">
        <w:rPr>
          <w:rFonts w:cstheme="majorBidi"/>
          <w:kern w:val="0"/>
        </w:rPr>
        <w:instrText>ADDIN CSL_CITATION {"citationItems":[{"id":"ITEM-1","itemData":{"DOI":"10.1016/B978-0-12-813306-4.00013-6","ISBN":"9780128133064","abstract":"Increased water scarcity across increasing world populations has led to a greater demand for desalination. However, the energy intensity and subsequent high costs of desalination remain the main barrier for widespread deployment of desalination systems. Add to this, the sustainability concerns of fossil fuel energy sources. This challenge has led to focused international research on the energy-water nexus. In recent years, several types of renewable energy have been integrated with a variety of desalination processes. Various large-capacity, renewable-desalination (RE-desalination) plants have been built across the world, especially in Middle Eastern countries, where water is relatively scarce and renewable resources are abundant and accessible. In addition, the reduction in the cost of photovoltaic (PV) panels by almost 80% over the last decade has contributed to their greater economy and wide deployment worldwide. For remote areas, it is now reasonable to consider offgrid, small-capacity RE-desalination systems, since in these regions transportation of fuel or water and connection to the grid are prohibitively expensive or impractical. Various renewable energies-such as solar, wind, and geothermal-can be coupled with many desalination methods, based on the availability of these resources in different locations, and also on other factors such as reliability required or the capital cost of establishment. This chapter reviews these various methods of desalination and configurations of RE-desalination systems currently in use, or under development. In addition, the issues relating to grid connectivity of RE-desalination systems and the economy of grid connection versus complete or partial energy independence are explained.","author":[{"dropping-particle":"","family":"Rabiee","given":"Hesamoddin","non-dropping-particle":"","parse-names":false,"suffix":""},{"dropping-particle":"","family":"Khalilpour","given":"Kaveh Rajab","non-dropping-particle":"","parse-names":false,"suffix":""},{"dropping-particle":"","family":"Betts","given":"John M.","non-dropping-particle":"","parse-names":false,"suffix":""},{"dropping-particle":"","family":"Tapper","given":"Nigel","non-dropping-particle":"","parse-names":false,"suffix":""}],"container-title":"Polygeneration with Polystorage: For Chemical and Energy Hubs","id":"ITEM-1","issued":{"date-parts":[["2018"]]},"page":"409-458","publisher":"Elsevier","title":"Energy-water nexus: Renewable-integrated hybridized desalination systems","type":"article-journal"},"uris":["http://www.mendeley.com/documents/?uuid=e63c2fd8-9cb4-4b36-bf22-053276adf84f"]}],"mendeley":{"formattedCitation":"[30]","plainTextFormattedCitation":"[30]","previouslyFormattedCitation":"[31]"},"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[30]</w:t>
      </w:r>
      <w:r w:rsidRPr="004834D3">
        <w:rPr>
          <w:rFonts w:cstheme="majorBidi"/>
          <w:kern w:val="0"/>
        </w:rPr>
        <w:fldChar w:fldCharType="end"/>
      </w:r>
      <w:r w:rsidRPr="004834D3">
        <w:rPr>
          <w:rFonts w:cstheme="majorBidi"/>
          <w:kern w:val="0"/>
        </w:rPr>
        <w:t xml:space="preserve">. As with other membrane-based filtration methods, the most critical challenge for RO is membrane fouling </w:t>
      </w:r>
      <w:r w:rsidRPr="004834D3">
        <w:rPr>
          <w:rFonts w:cstheme="majorBidi"/>
          <w:kern w:val="0"/>
        </w:rPr>
        <w:fldChar w:fldCharType="begin" w:fldLock="1"/>
      </w:r>
      <w:r w:rsidR="00D83446">
        <w:rPr>
          <w:rFonts w:cstheme="majorBidi"/>
          <w:kern w:val="0"/>
        </w:rPr>
        <w:instrText>ADDIN CSL_CITATION {"citationItems":[{"id":"ITEM-1","itemData":{"DOI":"10.1016/j.memsci.2010.12.036","ISSN":"03767388","abstract":"Reverse osmosis (RO) is currently the most important desalination technology and it is experiencing significant growth. The objective of this paper is to review the historical and current development of RO membrane materials which are the key determinants of separation performance and water productivity, and hence to define performance targets for those who are developing new RO membrane materials. The chemistry, synthesis mechanism(s) and desalination performance of various RO membranes are discussed from the point of view of membrane materials science. The review starts with the first generation of asymmetric polymeric membranes and finishes with current proposals for nano-structured membrane materials. The paper provides an overview of RO performance in relation to membrane materials and methods of synthesis.To date polymeric membranes have dominated the RO desalination industry. From the late 1950s to the 1980s the research effort focussed on the search for optimum polymeric membrane materials. In subsequent decades the performance of RO membranes has been optimised via control of membrane formation reactions, and the use of poly-condensation catalysts and additives. The performance of state-of-the-art RO membranes has been highlighted. Nevertheless, the advances in membrane permselectivity in the past decade has been relatively slow, and membrane fouling remains a severe problem.The emergence of nano-technology in membrane materials science could offer an attractive alternative to polymeric materials. Hence nano-structured membranes are discussed in this review including zeolite membranes, thin film nano-composite membranes, carbon nano-tube membranes, and biomimetic membranes. It is proposed that these novel materials represent the most likely opportunities for enhanced RO desalination performance in the future, but that a number of challenges remain with regard to their practical implementation. © 2010 Elsevier B.V.","author":[{"dropping-particle":"","family":"Lee","given":"Kah Peng","non-dropping-particle":"","parse-names":false,"suffix":""},{"dropping-particle":"","family":"Arnot","given":"Tom C.","non-dropping-particle":"","parse-names":false,"suffix":""},{"dropping-particle":"","family":"Mattia","given":"Davide","non-dropping-particle":"","parse-names":false,"suffix":""}],"container-title":"Journal of Membrane Science","id":"ITEM-1","issue":"1-2","issued":{"date-parts":[["2011"]]},"page":"1-22","publisher":"Elsevier","title":"A review of reverse osmosis membrane materials for desalination-Development to date and future potential","type":"article-journal","volume":"370"},"uris":["http://www.mendeley.com/documents/?uuid=2d2dac11-9b15-4820-865e-b39238d727c8"]}],"mendeley":{"formattedCitation":"[27]","plainTextFormattedCitation":"[27]","previouslyFormattedCitation":"[28]"},"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[27]</w:t>
      </w:r>
      <w:r w:rsidRPr="004834D3">
        <w:rPr>
          <w:rFonts w:cstheme="majorBidi"/>
          <w:kern w:val="0"/>
        </w:rPr>
        <w:fldChar w:fldCharType="end"/>
      </w:r>
      <w:r w:rsidRPr="004834D3">
        <w:rPr>
          <w:rFonts w:cstheme="majorBidi"/>
          <w:kern w:val="0"/>
        </w:rPr>
        <w:t xml:space="preserve">. Fouling occurs when insoluble rejected matter accumulates on the membrane surface, leading to a decline in permeation production </w:t>
      </w:r>
      <w:r w:rsidRPr="004834D3">
        <w:rPr>
          <w:rFonts w:cstheme="majorBidi"/>
          <w:kern w:val="0"/>
        </w:rPr>
        <w:fldChar w:fldCharType="begin" w:fldLock="1"/>
      </w:r>
      <w:r w:rsidR="00D83446">
        <w:rPr>
          <w:rFonts w:cstheme="majorBidi"/>
          <w:kern w:val="0"/>
        </w:rPr>
        <w:instrText>ADDIN CSL_CITATION {"citationItems":[{"id":"ITEM-1","itemData":{"DOI":"10.1016/S0011-9164(97)00132-X","ISSN":"00119164","abstract":"Microorganisms in membrane systems tend to adhere to surfaces and to form a gel layer called biofilm, which participates in the separation process as a secondary membrane. On the raw water side, it causes an increase of fluid friction resistance which increases Δpfeed/brine. Also, overall hydraulic resistance of the membrane Δpmembrane can increase due to the biofilm. If these effects exceed a certain threshold of interference, they are addressed as biofouling. Countermeasures require a three step protocol: (1) detection, (2) sanitation, and (3) prevention. Detection has to be performed on the surface as planctonic cell numbers released randomly from the biofilm do reflect neither site nor extent of biofilm growth. The analysis includes microbiological and biochemical parameters; the differentiation between other kinds of fouling such as scaling or organic fouling can be performed by FTIR-ATR spectroscopical analysis. Sanitation should be focused on removal of the biomass rather than on killing the microorganisms attached to the surface. First, the slime matrix, consisting mainly of polysaccharides and proteins, must be weakened. This requires interference with the binding forces, which are weak physico-chemical interactions such as hydrogen bonds, van der Waals and electrostatical interactions. Then, increased shear forces can remove the biomass. A preventive concept should acknowledge the fact that biodegradable substances in the water represent the biofouling potential. Biofouling can be regarded as a \"biofilm reactor in the wrong place\". Reduction of the nutrient content of the raw water can be achieved by a \"biofilm reactor in the right place\", i.e., a biofilter on which microorganisms form biofilms and sequester the nutrients from the water phase. Mandatory for any optimized antifouling strategy is monitoring of biofilm development; a fiber optical device which provides real-time, on-line, in situ information non-destructively is proposed which can be adjusted to membrane modules.","author":[{"dropping-particle":"","family":"Flemming","given":"H. C.","non-dropping-particle":"","parse-names":false,"suffix":""},{"dropping-particle":"","family":"Schaule","given":"G.","non-dropping-particle":"","parse-names":false,"suffix":""},{"dropping-particle":"","family":"Griebe","given":"T.","non-dropping-particle":"","parse-names":false,"suffix":""},{"dropping-particle":"","family":"Schmitt","given":"J.","non-dropping-particle":"","parse-names":false,"suffix":""},{"dropping-particle":"","family":"Tamachkiarowa","given":"A.","non-dropping-particle":"","parse-names":false,"suffix":""}],"container-title":"Desalination","id":"ITEM-1","issue":"2-3","issued":{"date-parts":[["1997"]]},"page":"215-225","publisher":"Elsevier","title":"Biofouling - The Achilles heel of membrane processes","type":"article-journal","volume":"113"},"uris":["http://www.mendeley.com/documents/?uuid=c0c895aa-5bd0-409c-85e4-e0c04afe744c"]}],"mendeley":{"formattedCitation":"[31]","plainTextFormattedCitation":"[31]","previouslyFormattedCitation":"[32]"},"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[31]</w:t>
      </w:r>
      <w:r w:rsidRPr="004834D3">
        <w:rPr>
          <w:rFonts w:cstheme="majorBidi"/>
          <w:kern w:val="0"/>
        </w:rPr>
        <w:fldChar w:fldCharType="end"/>
      </w:r>
      <w:r w:rsidRPr="004834D3">
        <w:rPr>
          <w:rFonts w:cstheme="majorBidi"/>
          <w:kern w:val="0"/>
        </w:rPr>
        <w:t xml:space="preserve">. This issue </w:t>
      </w:r>
      <w:r w:rsidR="00C94DF0">
        <w:rPr>
          <w:rFonts w:cstheme="majorBidi"/>
          <w:kern w:val="0"/>
        </w:rPr>
        <w:t>obstructs</w:t>
      </w:r>
      <w:r w:rsidRPr="004834D3">
        <w:rPr>
          <w:rFonts w:cstheme="majorBidi"/>
          <w:kern w:val="0"/>
        </w:rPr>
        <w:t xml:space="preserve"> long-term performance and escalates operational and maintenance costs.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C6E29" w:rsidRPr="004834D3" w14:paraId="0800E055" w14:textId="77777777" w:rsidTr="00950F64">
        <w:tc>
          <w:tcPr>
            <w:tcW w:w="9350" w:type="dxa"/>
          </w:tcPr>
          <w:p w14:paraId="24666A18" w14:textId="77777777" w:rsidR="009C6E29" w:rsidRPr="004834D3" w:rsidRDefault="009C6E29" w:rsidP="004D6B25">
            <w:pPr>
              <w:spacing w:line="480" w:lineRule="auto"/>
              <w:jc w:val="center"/>
              <w:rPr>
                <w:rFonts w:cstheme="majorBidi"/>
                <w:kern w:val="0"/>
              </w:rPr>
            </w:pPr>
            <w:r w:rsidRPr="004834D3">
              <w:rPr>
                <w:rFonts w:cstheme="majorBidi"/>
                <w:noProof/>
              </w:rPr>
              <w:drawing>
                <wp:inline distT="0" distB="0" distL="0" distR="0" wp14:anchorId="191116F0" wp14:editId="0EEC0006">
                  <wp:extent cx="4889338" cy="1828800"/>
                  <wp:effectExtent l="0" t="0" r="6985" b="0"/>
                  <wp:docPr id="203533566" name="Picture 1" descr="A diagram of a membr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3566" name="Picture 1" descr="A diagram of a membrane&#10;&#10;Description automatically generated"/>
                          <pic:cNvPicPr/>
                        </pic:nvPicPr>
                        <pic:blipFill>
                          <a:blip r:embed="rId11"/>
                          <a:stretch>
                            <a:fillRect/>
                          </a:stretch>
                        </pic:blipFill>
                        <pic:spPr>
                          <a:xfrm>
                            <a:off x="0" y="0"/>
                            <a:ext cx="4889338" cy="1828800"/>
                          </a:xfrm>
                          <a:prstGeom prst="rect">
                            <a:avLst/>
                          </a:prstGeom>
                        </pic:spPr>
                      </pic:pic>
                    </a:graphicData>
                  </a:graphic>
                </wp:inline>
              </w:drawing>
            </w:r>
          </w:p>
        </w:tc>
      </w:tr>
      <w:tr w:rsidR="009C6E29" w:rsidRPr="004834D3" w14:paraId="4A01EDF8" w14:textId="77777777" w:rsidTr="00950F64">
        <w:tc>
          <w:tcPr>
            <w:tcW w:w="9350" w:type="dxa"/>
          </w:tcPr>
          <w:p w14:paraId="24AADD8B" w14:textId="1CB8BC3F" w:rsidR="009C6E29" w:rsidRPr="00C94DF0" w:rsidRDefault="00C94DF0" w:rsidP="004D6B25">
            <w:pPr>
              <w:pStyle w:val="Caption"/>
              <w:spacing w:before="0" w:after="0" w:line="480" w:lineRule="auto"/>
              <w:jc w:val="center"/>
            </w:pPr>
            <w:bookmarkStart w:id="12" w:name="_Toc172708805"/>
            <w:r w:rsidRPr="00C94DF0">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1</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3</w:t>
            </w:r>
            <w:r w:rsidR="00996526">
              <w:rPr>
                <w:b/>
                <w:bCs/>
              </w:rPr>
              <w:fldChar w:fldCharType="end"/>
            </w:r>
            <w:r>
              <w:t xml:space="preserve"> Osmosis process representation </w:t>
            </w:r>
            <w:r w:rsidR="009C6E29" w:rsidRPr="004834D3">
              <w:rPr>
                <w:rFonts w:cstheme="majorBidi"/>
              </w:rPr>
              <w:fldChar w:fldCharType="begin" w:fldLock="1"/>
            </w:r>
            <w:r w:rsidR="00D83446">
              <w:rPr>
                <w:rFonts w:cstheme="majorBidi"/>
              </w:rPr>
              <w:instrText>ADDIN CSL_CITATION {"citationItems":[{"id":"ITEM-1","itemData":{"author":[{"dropping-particle":"","family":"Kamal","given":"M","non-dropping-particle":"","parse-names":false,"suffix":""}],"id":"ITEM-1","issued":{"date-parts":[["2021"]]},"publisher":"University of Bradford","title":"Optimal scheduling, design, operation and control of reverse osmosis desalination. Prediction of RO membrane performance under different design and operating conditions, synthesis of RO networks using MINLP optimization framework involving fouling, boron","type":"thesis"},"uris":["http://www.mendeley.com/documents/?uuid=f492e5ba-6ed6-4f96-9e43-14496fbb3777"]}],"mendeley":{"formattedCitation":"[32]","plainTextFormattedCitation":"[32]","previouslyFormattedCitation":"[33]"},"properties":{"noteIndex":0},"schema":"https://github.com/citation-style-language/schema/raw/master/csl-citation.json"}</w:instrText>
            </w:r>
            <w:r w:rsidR="009C6E29" w:rsidRPr="004834D3">
              <w:rPr>
                <w:rFonts w:cstheme="majorBidi"/>
              </w:rPr>
              <w:fldChar w:fldCharType="separate"/>
            </w:r>
            <w:r w:rsidR="00D83446" w:rsidRPr="00D83446">
              <w:rPr>
                <w:rFonts w:cstheme="majorBidi"/>
                <w:noProof/>
              </w:rPr>
              <w:t>[32]</w:t>
            </w:r>
            <w:r w:rsidR="009C6E29" w:rsidRPr="004834D3">
              <w:rPr>
                <w:rFonts w:cstheme="majorBidi"/>
              </w:rPr>
              <w:fldChar w:fldCharType="end"/>
            </w:r>
            <w:r>
              <w:rPr>
                <w:rFonts w:cstheme="majorBidi"/>
              </w:rPr>
              <w:t>.</w:t>
            </w:r>
            <w:bookmarkEnd w:id="12"/>
          </w:p>
        </w:tc>
      </w:tr>
    </w:tbl>
    <w:p w14:paraId="5C393FED" w14:textId="3325051F" w:rsidR="009C6E29" w:rsidRPr="004D6B25" w:rsidRDefault="009C6E29" w:rsidP="004D6B25">
      <w:pPr>
        <w:spacing w:before="360" w:after="0" w:line="480" w:lineRule="auto"/>
        <w:rPr>
          <w:b/>
          <w:bCs/>
          <w:u w:val="single"/>
        </w:rPr>
      </w:pPr>
      <w:r w:rsidRPr="004D6B25">
        <w:rPr>
          <w:b/>
          <w:bCs/>
          <w:u w:val="single"/>
        </w:rPr>
        <w:t>Forward Osmosis (FO)</w:t>
      </w:r>
    </w:p>
    <w:p w14:paraId="1B56540C" w14:textId="2B98890C" w:rsidR="009C6E29" w:rsidRPr="004834D3" w:rsidRDefault="009C6E29" w:rsidP="004D6B25">
      <w:pPr>
        <w:spacing w:before="240" w:after="240" w:line="480" w:lineRule="auto"/>
        <w:jc w:val="both"/>
        <w:rPr>
          <w:rFonts w:cstheme="majorBidi"/>
          <w:kern w:val="0"/>
        </w:rPr>
      </w:pPr>
      <w:r w:rsidRPr="004834D3">
        <w:rPr>
          <w:rFonts w:cstheme="majorBidi"/>
          <w:kern w:val="0"/>
        </w:rPr>
        <w:t xml:space="preserve">Forward osmosis (FO) stands out as a membrane-based technology that </w:t>
      </w:r>
      <w:r w:rsidR="00950F64">
        <w:rPr>
          <w:rFonts w:cstheme="majorBidi"/>
          <w:kern w:val="0"/>
        </w:rPr>
        <w:t>employs</w:t>
      </w:r>
      <w:r w:rsidRPr="004834D3">
        <w:rPr>
          <w:rFonts w:cstheme="majorBidi"/>
          <w:kern w:val="0"/>
        </w:rPr>
        <w:t xml:space="preserve"> osmotic pressure differentials rather than hydraulic pressure </w:t>
      </w:r>
      <w:r w:rsidRPr="004834D3">
        <w:rPr>
          <w:rFonts w:cstheme="majorBidi"/>
          <w:kern w:val="0"/>
        </w:rPr>
        <w:fldChar w:fldCharType="begin" w:fldLock="1"/>
      </w:r>
      <w:r w:rsidR="00D83446">
        <w:rPr>
          <w:rFonts w:cstheme="majorBidi"/>
          <w:kern w:val="0"/>
        </w:rPr>
        <w:instrText>ADDIN CSL_CITATION {"citationItems":[{"id":"ITEM-1","itemData":{"DOI":"10.1016/j.desal.2018.11.013","author":[{"dropping-particle":"","family":"Ahmed","given":"Mansour","non-dropping-particle":"","parse-names":false,"suffix":""},{"dropping-particle":"","family":"Kumar","given":"Rajesha","non-dropping-particle":"","parse-names":false,"suffix":""},{"dropping-particle":"","family":"Garudachari","given":"B","non-dropping-particle":"","parse-names":false,"suffix":""},{"dropping-particle":"","family":"Thomas","given":"Jibu P","non-dropping-particle":"","parse-names":false,"suffix":""}],"container-title":"Desalination","id":"ITEM-1","issued":{"date-parts":[["2019"]]},"page":"132-140","publisher":"Elsevier","title":"Performance evaluation of a thermoresponsive polyelectrolyte draw solution in a pilot scale forward osmosis seawater desalination system","type":"article-journal","volume":"452"},"uris":["http://www.mendeley.com/documents/?uuid=f875953a-8a87-4b74-9ad8-b315ae66b225"]}],"mendeley":{"formattedCitation":"[33]","plainTextFormattedCitation":"[33]","previouslyFormattedCitation":"[34]"},"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[33]</w:t>
      </w:r>
      <w:r w:rsidRPr="004834D3">
        <w:rPr>
          <w:rFonts w:cstheme="majorBidi"/>
          <w:kern w:val="0"/>
        </w:rPr>
        <w:fldChar w:fldCharType="end"/>
      </w:r>
      <w:r w:rsidRPr="004834D3">
        <w:rPr>
          <w:rFonts w:cstheme="majorBidi"/>
          <w:kern w:val="0"/>
        </w:rPr>
        <w:t xml:space="preserve">. In this process, a highly concentrated solution, known as the 'draw solution' is employed to create an osmotic pressure gradient across a semi-permeable membrane. This gradient prompts the movement of water molecules from a less concentrated feed brine solution towards the more concentrated draw solution, thereby effecting </w:t>
      </w:r>
      <w:r w:rsidRPr="004834D3">
        <w:rPr>
          <w:rFonts w:cstheme="majorBidi"/>
          <w:kern w:val="0"/>
        </w:rPr>
        <w:lastRenderedPageBreak/>
        <w:t>the separation of freshwater from the draw solution</w:t>
      </w:r>
      <w:r w:rsidR="00950F64">
        <w:rPr>
          <w:rFonts w:cstheme="majorBidi"/>
          <w:kern w:val="0"/>
        </w:rPr>
        <w:t xml:space="preserve"> </w:t>
      </w:r>
      <w:r w:rsidRPr="004834D3">
        <w:rPr>
          <w:rFonts w:cstheme="majorBidi"/>
          <w:kern w:val="0"/>
        </w:rPr>
        <w:fldChar w:fldCharType="begin" w:fldLock="1"/>
      </w:r>
      <w:r w:rsidR="00D83446">
        <w:rPr>
          <w:rFonts w:cstheme="majorBidi"/>
          <w:kern w:val="0"/>
        </w:rPr>
        <w:instrText>ADDIN CSL_CITATION {"citationItems":[{"id":"ITEM-1","itemData":{"DOI":"10.1016/j.apenergy.2018.08.021","ISSN":"03062619","abstract":"Forward osmosis (FO) is an emerging technology for water desalination which requires no external force for its operation. The performance of FO for water desalination is dependent on draw solution (DS) that must provide high osmosis pressure, minimum reverse flux and efficient separation of water. This work proposes an innovative concept of energy efficient material as DS having two functions, i.e. high osmotic pressure and efficient absorption of solar energy for the regeneration phase. The potassium functionalised carbon nanofibers (K/CNF) which are highly solar absorptive, are engineered and suspended in triethylene glycol (TEG) aqueous solution with different concentrations to act as a novel DS. The TEG-K/CNF is fully characterised for morphological appearance and thermophysical characteristics before using in FO experiments. It is found that the osmotic pressure and water flux of the novel DS are directly dependent on the concentration of K/CNF and TEG. The draw solution is re-concentrated by evaporating the water aided by the highly solar absorptive K/CNF under simulated solar flux. The vapours are condensed and the quality of product water is found to be comparable with potable water standard. The novel concept proposed in this study has the potential to be used in arid areas where solar energy is abundant to fulfil the potable water needs.","author":[{"dropping-particle":"","family":"Amjad","given":"Muhammad","non-dropping-particle":"","parse-names":false,"suffix":""},{"dropping-particle":"","family":"Gardy","given":"Jabbar","non-dropping-particle":"","parse-names":false,"suffix":""},{"dropping-particle":"","family":"Hassanpour","given":"Ali","non-dropping-particle":"","parse-names":false,"suffix":""},{"dropping-particle":"","family":"Wen","given":"Dongsheng","non-dropping-particle":"","parse-names":false,"suffix":""}],"container-title":"Applied Energy","id":"ITEM-1","issued":{"date-parts":[["2018"]]},"page":"220-231","publisher":"Elsevier","title":"Novel draw solution for forward osmosis based solar desalination","type":"article-journal","volume":"230"},"uris":["http://www.mendeley.com/documents/?uuid=e017abc6-5c5f-4574-af32-c230fb865e71"]},{"id":"ITEM-2","itemData":{"DOI":"10.1016/B978-0-12-813902-8.00010-1","ISBN":"9780128139028","abstract":"This book chapter gives a comprehensive review on the state-of-the-art development of forward osmosis (FO) technology for removal of heavy metals. The concept and principles of FO technology were first introduced, followed by development of the draw solutes, development and characterization of the membranes for removal of heavy metals. Perspectives and challenges facing FO for removal of heavy metals were later summarized.","author":[{"dropping-particle":"","family":"Abdullah","given":"Norfadhilatuladha","non-dropping-particle":"","parse-names":false,"suffix":""},{"dropping-particle":"","family":"Tajuddin","given":"Muhammad Hanis","non-dropping-particle":"","parse-names":false,"suffix":""},{"dropping-particle":"","family":"Yusof","given":"Norhaniza","non-dropping-particle":"","parse-names":false,"suffix":""}],"container-title":"Nanotechnology in Water and Wastewater Treatment: Theory and Applications","id":"ITEM-2","issued":{"date-parts":[["2019"]]},"page":"177-204","publisher":"Elsevier","title":"Forward Osmosis (FO) for Removal of Heavy Metals","type":"article-journal"},"uris":["http://www.mendeley.com/documents/?uuid=116c3524-0fae-42ba-89cf-2f6011a9db77"]},{"id":"ITEM-3","itemData":{"DOI":"10.1016/j.desal.2007.04.085","ISSN":"00119164","abstract":"The forward osmosis (FO) process potentially can be used as an alternative to traditional brine treatment technologies due to its low energy requirement. In this study, the feasibility of concentration of brine by the FO process was investigated using a laboratory-scale unit. An FO membrane and the dense selective layers (i.e. with their support layers properly peeled off) of two types of RO membrane (i.e. cellulose acetate asymmetric and polyamide composite, denoted as CA and AD, respectively) were tested. It was found that the dense selective layer of the CA membrane could achieve the highest water flux because it had a relatively high hydrophilicity and was thinner that minimized the occurrence of internal concentration polarization. SEM images of the surfaces of the dense selective layers of both the CA and AD membranes displayed non-porous structures, which contributed to high salt rejections of above 99.7%. Comparing the performance between the FO membrane and the dense selective layer of the CA membrane for concentrating brine, the FO membrane could only achieve an initial water flux of 4.9 gal{dot operator}ft-2×d-1 (GFD; 2.3 μm/s or 8.2 l{dot operator}m-2×h-1) while an initial water flux of 8.9 GFD (4.2 μm/s or 15.0 l{dot operator}m-2×h-1) was achieved by the latter at similar experimental conditions. Moreover, water fluxes were kept at a relatively stable level without much declination when the draw concentration was maintained at a consistently high value. The highest recovery achieved by the dense selective layer of the CA membrane after 18 h was about 76%. In addition, white precipitates were found on the wall of the feed container and on the surface of the heater, which indicated the possibility of mineral recovery. This study suggests that the FO process can be potentially used to concentrate brine while further researches are required to optimize the FO process. © 2008 Elsevier B.V. All rights reserved.","author":[{"dropping-particle":"","family":"Tang","given":"Wanling","non-dropping-particle":"","parse-names":false,"suffix":""},{"dropping-particle":"","family":"Ng","given":"How Yong","non-dropping-particle":"","parse-names":false,"suffix":""}],"container-title":"Desalination","id":"ITEM-3","issue":"1-3","issued":{"date-parts":[["2008"]]},"page":"143-153","publisher":"Elsevier","title":"Concentration of brine by forward osmosis: Performance and influence of membrane structure","type":"article-journal","volume":"224"},"uris":["http://www.mendeley.com/documents/?uuid=c26110e5-9f7f-4086-a74a-1bf40578c015"]}],"mendeley":{"formattedCitation":"[34–36]","plainTextFormattedCitation":"[34–36]","previouslyFormattedCitation":"[35–37]"},"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[34–36]</w:t>
      </w:r>
      <w:r w:rsidRPr="004834D3">
        <w:rPr>
          <w:rFonts w:cstheme="majorBidi"/>
          <w:kern w:val="0"/>
        </w:rPr>
        <w:fldChar w:fldCharType="end"/>
      </w:r>
      <w:r w:rsidRPr="004834D3">
        <w:rPr>
          <w:rFonts w:cstheme="majorBidi"/>
          <w:kern w:val="0"/>
        </w:rPr>
        <w:t xml:space="preserve">. FO exhibits greater energy efficiency compared to RO, as it operates without the need for external pressure. However, recent studies conducted at commercially viable flow rates have identified fouling as a significant challenge in FO systems </w:t>
      </w:r>
      <w:r w:rsidRPr="004834D3">
        <w:rPr>
          <w:rFonts w:cstheme="majorBidi"/>
          <w:kern w:val="0"/>
        </w:rPr>
        <w:fldChar w:fldCharType="begin" w:fldLock="1"/>
      </w:r>
      <w:r w:rsidR="00D83446">
        <w:rPr>
          <w:rFonts w:cstheme="majorBidi"/>
          <w:kern w:val="0"/>
        </w:rPr>
        <w:instrText>ADDIN CSL_CITATION {"citationItems":[{"id":"ITEM-1","itemData":{"DOI":"10.1016/j.memsci.2016.10.032","ISSN":"18733123","abstract":"Forward osmosis (FO) membrane fouling and performance were systematically studied for an extended time during treatment of produced water using cellulose triacetate (CTA) and polyamide thin film composite (TFC) FO membranes. Performance was evaluated with integrity tests that measured water flux, reverse salt flux (RSF), and specific reverse salt flux (SRSF). The CTA membrane reached steady performance after one week and exhibited decreased water flux, RSF, and SRSF. The TFC membrane did not reach steady performance—water flux drastically decreased, and both RSF and SRSF increased. Streaming potential analysis was used to derive membrane zeta potential—the polyamide membrane zeta potential became increasingly negative over three weeks of continuous testing, while the CTA zeta potential was stable. The negative zeta potential reflected foulant deposition on the membrane surface and may have contributed to high RSF through the TFC membrane. The TFC membrane experienced a higher fouling propensity despite smoother, more hydrophilic, and more neutrally charged virgin membrane surfaces. Fouling layers on both membranes consisted of hydrocarbons, iron, and silica. Chemically enhanced osmotic backwashing was performed weekly, which removed calcium, sodium, and chloride from the membrane surface but only marginally improved water flux. Gas chromatography-mass spectrometry was used to measure semi-volatile hydrocarbon concentrations in the feed and draw solution. The results showed that while both membranes had over 90% rejection of neutral hydrophobic compounds, the TFC membrane exhibited a higher rejection of small organic molecules. Compounds with carbonyl functional groups were not well rejected compared to all other aliphatic and polycyclic aromatic hydrocarbons of the same molecular size, and the CTA membrane had lower rejection of these compounds than the TFC membrane.","author":[{"dropping-particle":"","family":"Bell","given":"Elizabeth A.","non-dropping-particle":"","parse-names":false,"suffix":""},{"dropping-particle":"","family":"Poynor","given":"Taylor E.","non-dropping-particle":"","parse-names":false,"suffix":""},{"dropping-particle":"","family":"Newhart","given":"Kathryn B.","non-dropping-particle":"","parse-names":false,"suffix":""},{"dropping-particle":"","family":"Regnery","given":"Julia","non-dropping-particle":"","parse-names":false,"suffix":""},{"dropping-particle":"","family":"Coday","given":"Bryan D.","non-dropping-particle":"","parse-names":false,"suffix":""},{"dropping-particle":"","family":"Cath","given":"Tzahi Y.","non-dropping-particle":"","parse-names":false,"suffix":""}],"container-title":"Journal of Membrane Science","id":"ITEM-1","issued":{"date-parts":[["2017"]]},"page":"77-88","publisher":"Elsevier","title":"Produced water treatment using forward osmosis membranes: Evaluation of extended-time performance and fouling","type":"article-journal","volume":"525"},"uris":["http://www.mendeley.com/documents/?uuid=07a9fcc5-ac1e-4275-b917-bfa6d510d310"]}],"mendeley":{"formattedCitation":"[37]","plainTextFormattedCitation":"[37]","previouslyFormattedCitation":"[38]"},"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[37]</w:t>
      </w:r>
      <w:r w:rsidRPr="004834D3">
        <w:rPr>
          <w:rFonts w:cstheme="majorBidi"/>
          <w:kern w:val="0"/>
        </w:rPr>
        <w:fldChar w:fldCharType="end"/>
      </w:r>
      <w:r w:rsidRPr="004834D3">
        <w:rPr>
          <w:rFonts w:cstheme="majorBidi"/>
          <w:kern w:val="0"/>
        </w:rPr>
        <w:t xml:space="preserve">. The draw solution plays a crucial role in establishing osmotic pressure gradients, thereby impacting the performance of FO technology </w:t>
      </w:r>
      <w:r w:rsidRPr="004834D3">
        <w:rPr>
          <w:rFonts w:cstheme="majorBidi"/>
          <w:kern w:val="0"/>
        </w:rPr>
        <w:fldChar w:fldCharType="begin" w:fldLock="1"/>
      </w:r>
      <w:r w:rsidR="00D83446">
        <w:rPr>
          <w:rFonts w:cstheme="majorBidi"/>
          <w:kern w:val="0"/>
        </w:rPr>
        <w:instrText>ADDIN CSL_CITATION {"citationItems":[{"id":"ITEM-1","itemData":{"DOI":"10.1016/j.desal.2017.09.017","ISSN":"00119164","abstract":"Forward osmosis (FO) is a membrane separation process using a highly concentrated draw solution with high osmotic potential to draw water across a semi-permeable membrane from a feed source. This feed source may be seawater, wastewater or other natural or contaminated water sources. Unlike other membrane driven purification processes, the product is not clean water, but a diluted draw solution. As a result a second step is often needed to produce a pure water product. A major advantage of FO is that the low hydrodynamic pressure involved leads to lowered fouling of membranes and greater flux recovery after cleaning, as well as often providing a low energy process which can recover clean water from difficult or highly fouling sources. Selection of an appropriate and effective draw solution is essential for the practical operation of an FO process. This review will give an overview of the theoretical underpinnings of draw solution performance and a comprehensive summary of the current literature regarding the different types of draw solutions which have been investigated and their respective benefits and detriments.","author":[{"dropping-particle":"","family":"Johnson","given":"Daniel James","non-dropping-particle":"","parse-names":false,"suffix":""},{"dropping-particle":"","family":"Suwaileh","given":"Wafa Ali","non-dropping-particle":"","parse-names":false,"suffix":""},{"dropping-particle":"","family":"Mohammed","given":"Abdul Wahab","non-dropping-particle":"","parse-names":false,"suffix":""},{"dropping-particle":"","family":"Hilal","given":"Nidal","non-dropping-particle":"","parse-names":false,"suffix":""}],"container-title":"Desalination","id":"ITEM-1","issued":{"date-parts":[["2018"]]},"page":"100-120","publisher":"Elsevier","title":"Osmotic's potential: An overview of draw solutes for forward osmosis","type":"article-journal","volume":"434"},"uris":["http://www.mendeley.com/documents/?uuid=6d39526f-2fa5-4410-96e8-220ebe390dc6"]}],"mendeley":{"formattedCitation":"[38]","plainTextFormattedCitation":"[38]","previouslyFormattedCitation":"[39]"},"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[38]</w:t>
      </w:r>
      <w:r w:rsidRPr="004834D3">
        <w:rPr>
          <w:rFonts w:cstheme="majorBidi"/>
          <w:kern w:val="0"/>
        </w:rPr>
        <w:fldChar w:fldCharType="end"/>
      </w:r>
      <w:r w:rsidRPr="004834D3">
        <w:rPr>
          <w:rFonts w:cstheme="majorBidi"/>
          <w:kern w:val="0"/>
        </w:rPr>
        <w:t xml:space="preserve">. An ideal draw solution should be cost-effective, readily available, promote high water flux, exhibit low fouling potential and reverse solute diffusion, possess minimal toxicity to microorganisms, and facilitate easy recovery </w:t>
      </w:r>
      <w:r w:rsidRPr="004834D3">
        <w:rPr>
          <w:rFonts w:cstheme="majorBidi"/>
          <w:kern w:val="0"/>
        </w:rPr>
        <w:fldChar w:fldCharType="begin" w:fldLock="1"/>
      </w:r>
      <w:r w:rsidR="00D83446">
        <w:rPr>
          <w:rFonts w:cstheme="majorBidi"/>
          <w:kern w:val="0"/>
        </w:rPr>
        <w:instrText>ADDIN CSL_CITATION {"citationItems":[{"id":"ITEM-1","itemData":{"DOI":"10.1016/j.cjche.2015.06.018","ISSN":"10049541","abstract":"Forward osmosis (FO), as one of the emerging desalination technologies, has the potential to produce fresh water from a variety of water sources by utilizing the osmotic pressure gradient across a semi-permeable membrane. Draw solution, as an essential component of any FO process, can extract water molecules from seawater or wastewater. An ideal draw solution should meet three essential requirements, namely high osmotic pressure, low reverse flux, and facile regeneration mechanism. The selection of proper draw solutes is especially critical for an energy-efficient FO process since the energy consumption mostly arises from the separation or regeneration of the draw solution. Recently, we developed a few multi-functional FO draw solutes, mainly aiming to enhance the FO water flux and to explore facile re-concentration methods. This review summarizes these draw solutes, including Na+-functionalized carbon quantum dots, thermoresponsive copolymers, hydrophilic magnetic nanoparticles, and thermoresponsive magnetic nanoparticles.","author":[{"dropping-particle":"","family":"Zhao","given":"Dieling","non-dropping-particle":"","parse-names":false,"suffix":""},{"dropping-particle":"","family":"Chen","given":"Shucheng","non-dropping-particle":"","parse-names":false,"suffix":""},{"dropping-particle":"","family":"Guo","given":"Chun Xian","non-dropping-particle":"","parse-names":false,"suffix":""},{"dropping-particle":"","family":"Zhao","given":"Qipeng","non-dropping-particle":"","parse-names":false,"suffix":""},{"dropping-particle":"","family":"Lu","given":"Xianmao","non-dropping-particle":"","parse-names":false,"suffix":""}],"container-title":"Chinese Journal of Chemical Engineering","id":"ITEM-1","issue":"1","issued":{"date-parts":[["2016"]]},"page":"23-30","publisher":"Elsevier","title":"Multi-functional forward osmosis draw solutes for seawater desalination","type":"article-journal","volume":"24"},"uris":["http://www.mendeley.com/documents/?uuid=debbae87-a58f-4392-9707-e4d79cd90d7a"]}],"mendeley":{"formattedCitation":"[39]","plainTextFormattedCitation":"[39]","previouslyFormattedCitation":"[40]"},"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[39]</w:t>
      </w:r>
      <w:r w:rsidRPr="004834D3">
        <w:rPr>
          <w:rFonts w:cstheme="majorBidi"/>
          <w:kern w:val="0"/>
        </w:rPr>
        <w:fldChar w:fldCharType="end"/>
      </w:r>
      <w:r w:rsidRPr="004834D3">
        <w:rPr>
          <w:rFonts w:cstheme="majorBidi"/>
          <w:kern w:val="0"/>
        </w:rPr>
        <w:t xml:space="preserve">. Presently, only a limited number of FO units suitable for high TDS brine are commercially accessible. </w:t>
      </w:r>
      <w:r w:rsidR="008126A8">
        <w:rPr>
          <w:rFonts w:cstheme="majorBidi"/>
          <w:kern w:val="0"/>
        </w:rPr>
        <w:t>A schematic representation of the FO system is shown in Fig. 1-</w:t>
      </w:r>
      <w:r w:rsidR="009F7F17">
        <w:rPr>
          <w:rFonts w:cstheme="majorBidi"/>
          <w:kern w:val="0"/>
        </w:rPr>
        <w:t>4</w:t>
      </w:r>
      <w:r w:rsidR="008126A8">
        <w:rPr>
          <w:rFonts w:cstheme="majorBidi"/>
          <w:kern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C6E29" w:rsidRPr="004834D3" w14:paraId="75B2336D" w14:textId="77777777" w:rsidTr="008126A8">
        <w:tc>
          <w:tcPr>
            <w:tcW w:w="9350" w:type="dxa"/>
          </w:tcPr>
          <w:p w14:paraId="59E307E1" w14:textId="338A2275" w:rsidR="009C6E29" w:rsidRPr="004834D3" w:rsidRDefault="008126A8" w:rsidP="004D6B25">
            <w:pPr>
              <w:spacing w:line="480" w:lineRule="auto"/>
              <w:jc w:val="center"/>
              <w:rPr>
                <w:rFonts w:cstheme="majorBidi"/>
                <w:kern w:val="0"/>
              </w:rPr>
            </w:pPr>
            <w:r w:rsidRPr="008126A8">
              <w:rPr>
                <w:rFonts w:cstheme="majorBidi"/>
                <w:noProof/>
                <w:kern w:val="0"/>
              </w:rPr>
              <w:drawing>
                <wp:inline distT="0" distB="0" distL="0" distR="0" wp14:anchorId="227DC8E1" wp14:editId="6730A623">
                  <wp:extent cx="3915146" cy="2286000"/>
                  <wp:effectExtent l="0" t="0" r="9525" b="0"/>
                  <wp:docPr id="15618464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915146" cy="2286000"/>
                          </a:xfrm>
                          <a:prstGeom prst="rect">
                            <a:avLst/>
                          </a:prstGeom>
                          <a:noFill/>
                          <a:ln>
                            <a:noFill/>
                          </a:ln>
                        </pic:spPr>
                      </pic:pic>
                    </a:graphicData>
                  </a:graphic>
                </wp:inline>
              </w:drawing>
            </w:r>
          </w:p>
        </w:tc>
      </w:tr>
      <w:tr w:rsidR="009C6E29" w:rsidRPr="004834D3" w14:paraId="561669CE" w14:textId="77777777" w:rsidTr="008126A8">
        <w:tc>
          <w:tcPr>
            <w:tcW w:w="9350" w:type="dxa"/>
          </w:tcPr>
          <w:p w14:paraId="506BE3FE" w14:textId="11093714" w:rsidR="009C6E29" w:rsidRPr="008126A8" w:rsidRDefault="008126A8" w:rsidP="004D6B25">
            <w:pPr>
              <w:pStyle w:val="Caption"/>
              <w:spacing w:before="0" w:after="0" w:line="480" w:lineRule="auto"/>
              <w:jc w:val="center"/>
              <w:rPr>
                <w:szCs w:val="24"/>
              </w:rPr>
            </w:pPr>
            <w:bookmarkStart w:id="13" w:name="_Toc172708806"/>
            <w:r w:rsidRPr="008126A8">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1</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4</w:t>
            </w:r>
            <w:r w:rsidR="00996526">
              <w:rPr>
                <w:b/>
                <w:bCs/>
                <w:szCs w:val="24"/>
              </w:rPr>
              <w:fldChar w:fldCharType="end"/>
            </w:r>
            <w:r>
              <w:rPr>
                <w:szCs w:val="24"/>
              </w:rPr>
              <w:t xml:space="preserve"> </w:t>
            </w:r>
            <w:r w:rsidRPr="008126A8">
              <w:rPr>
                <w:rFonts w:cstheme="majorBidi"/>
                <w:szCs w:val="24"/>
              </w:rPr>
              <w:t xml:space="preserve">A schematic diagram of FO </w:t>
            </w:r>
            <w:r w:rsidR="009C6E29" w:rsidRPr="008126A8">
              <w:rPr>
                <w:rFonts w:cstheme="majorBidi"/>
                <w:szCs w:val="24"/>
              </w:rPr>
              <w:fldChar w:fldCharType="begin" w:fldLock="1"/>
            </w:r>
            <w:r w:rsidR="00D83446">
              <w:rPr>
                <w:rFonts w:cstheme="majorBidi"/>
                <w:szCs w:val="24"/>
              </w:rPr>
              <w:instrText>ADDIN CSL_CITATION {"citationItems":[{"id":"ITEM-1","itemData":{"DOI":"10.1016/j.scitotenv.2019.07.351","ISSN":"18791026","PMID":"31374511","abstract":"Brine, also known as concentrate, is the by-product of the desalination process that has an adverse impact on the environment due to its high salinity. Hence, viable and cost-effective brine management systems are needed to reduce environmental pollution. Currently, various disposal methods have been practiced, including surface water discharge, sewer discharge, deep-well injection, evaporation ponds and land application. However, these brine disposal methods are unsustainable and restricted by high capital costs and non-universal application. Nowadays, brine treatment is considered one of the most promising alternatives to brine disposal, since treatment results in the reduction of environmental pollution, minimization of waste volume and production of freshwater with high recovery. This review article evaluates current practices in brine management, including disposal methods and treatment technologies. Based upon the side-by-side comparison of technologies, a brine treatment technology framework is introduced to outline the Zero Liquid Discharge (ZLD) approach through high freshwater recovery and wastewater volume minimization. Furthermore, an overview of brine characteristics and its sources, as well as its negative impact on the environment is discussed. Finally, the paper highlights future research areas for brine treatment technologies aiming to enhance the effectiveness and viability of desalination.","author":[{"dropping-particle":"","family":"Panagopoulos","given":"Argyris","non-dropping-particle":"","parse-names":false,"suffix":""},{"dropping-particle":"","family":"Haralambous","given":"Katherine Joanne","non-dropping-particle":"","parse-names":false,"suffix":""},{"dropping-particle":"","family":"Loizidou","given":"M.","non-dropping-particle":"","parse-names":false,"suffix":""}],"container-title":"Science of the Total Environment","id":"ITEM-1","issued":{"date-parts":[["2019"]]},"page":"133545","publisher":"Elsevier","title":"Desalination brine disposal methods and treatment technologies - A review","type":"article-journal","volume":"693"},"uris":["http://www.mendeley.com/documents/?uuid=68dacbef-190c-498f-8345-96265778bbd4"]}],"mendeley":{"formattedCitation":"[40]","plainTextFormattedCitation":"[40]","previouslyFormattedCitation":"[41]"},"properties":{"noteIndex":0},"schema":"https://github.com/citation-style-language/schema/raw/master/csl-citation.json"}</w:instrText>
            </w:r>
            <w:r w:rsidR="009C6E29" w:rsidRPr="008126A8">
              <w:rPr>
                <w:rFonts w:cstheme="majorBidi"/>
                <w:szCs w:val="24"/>
              </w:rPr>
              <w:fldChar w:fldCharType="separate"/>
            </w:r>
            <w:r w:rsidR="00D83446" w:rsidRPr="00D83446">
              <w:rPr>
                <w:rFonts w:cstheme="majorBidi"/>
                <w:noProof/>
                <w:szCs w:val="24"/>
              </w:rPr>
              <w:t>[40]</w:t>
            </w:r>
            <w:r w:rsidR="009C6E29" w:rsidRPr="008126A8">
              <w:rPr>
                <w:rFonts w:cstheme="majorBidi"/>
                <w:szCs w:val="24"/>
              </w:rPr>
              <w:fldChar w:fldCharType="end"/>
            </w:r>
            <w:r w:rsidRPr="008126A8">
              <w:rPr>
                <w:rFonts w:cstheme="majorBidi"/>
                <w:szCs w:val="24"/>
              </w:rPr>
              <w:t>.</w:t>
            </w:r>
            <w:bookmarkEnd w:id="13"/>
          </w:p>
        </w:tc>
      </w:tr>
    </w:tbl>
    <w:p w14:paraId="0397CBDB" w14:textId="7957FEDE" w:rsidR="00394F9D" w:rsidRPr="0054046F" w:rsidRDefault="00394F9D" w:rsidP="00700DBA">
      <w:pPr>
        <w:pStyle w:val="Heading3"/>
        <w:numPr>
          <w:ilvl w:val="2"/>
          <w:numId w:val="5"/>
        </w:numPr>
        <w:spacing w:before="480" w:after="0"/>
        <w:ind w:left="432" w:hanging="432"/>
        <w:rPr>
          <w:sz w:val="24"/>
          <w:szCs w:val="24"/>
        </w:rPr>
      </w:pPr>
      <w:bookmarkStart w:id="14" w:name="_Toc172367666"/>
      <w:r w:rsidRPr="0054046F">
        <w:rPr>
          <w:sz w:val="24"/>
          <w:szCs w:val="24"/>
        </w:rPr>
        <w:t xml:space="preserve">Thermal </w:t>
      </w:r>
      <w:r w:rsidR="000A1407" w:rsidRPr="0054046F">
        <w:rPr>
          <w:sz w:val="24"/>
          <w:szCs w:val="24"/>
        </w:rPr>
        <w:t>D</w:t>
      </w:r>
      <w:r w:rsidRPr="0054046F">
        <w:rPr>
          <w:sz w:val="24"/>
          <w:szCs w:val="24"/>
        </w:rPr>
        <w:t>esalination</w:t>
      </w:r>
      <w:bookmarkEnd w:id="14"/>
    </w:p>
    <w:p w14:paraId="338B909D" w14:textId="3A8954A6" w:rsidR="00394F9D" w:rsidRPr="004834D3" w:rsidRDefault="003B1CB8" w:rsidP="004D6B25">
      <w:pPr>
        <w:spacing w:before="240" w:after="240" w:line="480" w:lineRule="auto"/>
        <w:jc w:val="both"/>
        <w:rPr>
          <w:rFonts w:cstheme="majorBidi"/>
        </w:rPr>
      </w:pPr>
      <w:r w:rsidRPr="004834D3">
        <w:rPr>
          <w:rFonts w:cstheme="majorBidi"/>
        </w:rPr>
        <w:t xml:space="preserve">Thermal desalination, mirroring the natural hydrological cycle, is a prevalent method used to produce fresh water. In the natural hydrological cycle, sunlight heats water on Earth’s surface, causing it to evaporate into the atmosphere. The vapor then rises, condenses into clouds, and eventually precipitates as rain when it encounters cold air. Similarly, thermal desalination employs </w:t>
      </w:r>
      <w:r w:rsidRPr="004834D3">
        <w:rPr>
          <w:rFonts w:cstheme="majorBidi"/>
        </w:rPr>
        <w:lastRenderedPageBreak/>
        <w:t>the principles of evaporation and condensation. In this process, an energy source heats saline feed water in an evaporator. As the water evaporates, the resulting vapors, driven by density differences, rise towards a condenser where they cool and condense back into liquid form. The distilled water, now with significantly reduced salt concentrations collected as potable water. T</w:t>
      </w:r>
      <w:r w:rsidR="00801871">
        <w:rPr>
          <w:rFonts w:cstheme="majorBidi"/>
        </w:rPr>
        <w:t>he t</w:t>
      </w:r>
      <w:r w:rsidRPr="004834D3">
        <w:rPr>
          <w:rFonts w:cstheme="majorBidi"/>
        </w:rPr>
        <w:t>hermal desalination process is capable of producing water with extremely low salt concentrations, achieving TDS levels of 10 ppm or less from sources with very high salt concentrations, ranging from 60,000 to 70,000 ppm TDS</w:t>
      </w:r>
      <w:r w:rsidR="009C0B5D" w:rsidRPr="004834D3">
        <w:rPr>
          <w:rFonts w:cstheme="majorBidi"/>
        </w:rPr>
        <w:t xml:space="preserve"> </w:t>
      </w:r>
      <w:r w:rsidR="009C0B5D" w:rsidRPr="004834D3">
        <w:rPr>
          <w:rFonts w:cstheme="majorBidi"/>
        </w:rPr>
        <w:fldChar w:fldCharType="begin" w:fldLock="1"/>
      </w:r>
      <w:r w:rsidR="00D83446">
        <w:rPr>
          <w:rFonts w:cstheme="majorBidi"/>
        </w:rPr>
        <w:instrText>ADDIN CSL_CITATION {"citationItems":[{"id":"ITEM-1","itemData":{"DOI":"10.1016/j.egypro.2014.12.258","ISSN":"18766102","abstract":"As the world population is growing, the need for fresh water is increasing. Water desalination is a mean for producing fresh water from saline water abundant in seas and oceans. Various technologies have been used to desalinate saline water with different performance characteristics. This work outlines current desalination technologies and compares their performance in terms of input and output water quality, amount of energy required, environmental impact and cost. It was found that adsorption desalination technology is a promising method for desalinating seawater due to its low running cost and low environmental impact as it uses waste energy resources.","author":[{"dropping-particle":"","family":"Youssef","given":"P. G.","non-dropping-particle":"","parse-names":false,"suffix":""},{"dropping-particle":"","family":"Al-Dadah","given":"R. K.","non-dropping-particle":"","parse-names":false,"suffix":""},{"dropping-particle":"","family":"Mahmoud","given":"S. M.","non-dropping-particle":"","parse-names":false,"suffix":""}],"container-title":"Energy Procedia","id":"ITEM-1","issued":{"date-parts":[["2014"]]},"page":"2604-2607","publisher":"Elsevier B.V.","title":"Comparative analysis of desalination technologies","type":"article-journal","volume":"61"},"uris":["http://www.mendeley.com/documents/?uuid=05ba3faf-8f76-410e-9e72-1db65f26e24a"]}],"mendeley":{"formattedCitation":"[41]","plainTextFormattedCitation":"[41]","previouslyFormattedCitation":"[42]"},"properties":{"noteIndex":0},"schema":"https://github.com/citation-style-language/schema/raw/master/csl-citation.json"}</w:instrText>
      </w:r>
      <w:r w:rsidR="009C0B5D" w:rsidRPr="004834D3">
        <w:rPr>
          <w:rFonts w:cstheme="majorBidi"/>
        </w:rPr>
        <w:fldChar w:fldCharType="separate"/>
      </w:r>
      <w:r w:rsidR="00D83446" w:rsidRPr="00D83446">
        <w:rPr>
          <w:rFonts w:cstheme="majorBidi"/>
          <w:noProof/>
        </w:rPr>
        <w:t>[41]</w:t>
      </w:r>
      <w:r w:rsidR="009C0B5D" w:rsidRPr="004834D3">
        <w:rPr>
          <w:rFonts w:cstheme="majorBidi"/>
        </w:rPr>
        <w:fldChar w:fldCharType="end"/>
      </w:r>
      <w:r w:rsidRPr="004834D3">
        <w:rPr>
          <w:rFonts w:cstheme="majorBidi"/>
        </w:rPr>
        <w:t xml:space="preserve">. </w:t>
      </w:r>
      <w:r w:rsidR="004366BF" w:rsidRPr="004834D3">
        <w:rPr>
          <w:rFonts w:cstheme="majorBidi"/>
        </w:rPr>
        <w:t xml:space="preserve">Thermal desalination processes have long dominated the world's desalination capacity, until recent advancements in membrane desalination technologies began to shift the landscape </w:t>
      </w:r>
      <w:r w:rsidR="004366BF" w:rsidRPr="004834D3">
        <w:rPr>
          <w:rFonts w:cstheme="majorBidi"/>
        </w:rPr>
        <w:fldChar w:fldCharType="begin" w:fldLock="1"/>
      </w:r>
      <w:r w:rsidR="00D83446">
        <w:rPr>
          <w:rFonts w:cstheme="majorBidi"/>
        </w:rPr>
        <w:instrText>ADDIN CSL_CITATION {"citationItems":[{"id":"ITEM-1","itemData":{"DOI":"10.1016/j.watres.2009.03.010","ISSN":"00431354","PMID":"19371922","abstract":"Reverse osmosis membrane technology has developed over the past 40 years to a 44% share in world desalting production capacity, and an 80% share in the total number of desalination plants installed worldwide. The use of membrane desalination has increased as materials have improved and costs have decreased. Today, reverse osmosis membranes are the leading technology for new desalination installations, and they are applied to a variety of salt water resources using tailored pretreatment and membrane system design. Two distinct branches of reverse osmosis desalination have emerged: seawater reverse osmosis and brackish water reverse osmosis. Differences between the two water sources, including foulants, salinity, waste brine (concentrate) disposal options, and plant location, have created significant differences in process development, implementation, and key technical problems. Pretreatment options are similar for both types of reverse osmosis and depend on the specific components of the water source. Both brackish water and seawater reverse osmosis (RO) will continue to be used worldwide; new technology in energy recovery and renewable energy, as well as innovative plant design, will allow greater use of desalination for inland and rural communities, while providing more affordable water for large coastal cities. A wide variety of research and general information on RO desalination is available; however, a direct comparison of seawater and brackish water RO systems is necessary to highlight similarities and differences in process development. This article brings to light key parameters of an RO process and process modifications due to feed water characteristics. © 2009 Elsevier Ltd. All rights reserved.","author":[{"dropping-particle":"","family":"Greenlee","given":"Lauren F.","non-dropping-particle":"","parse-names":false,"suffix":""},{"dropping-particle":"","family":"Lawler","given":"Desmond F.","non-dropping-particle":"","parse-names":false,"suffix":""},{"dropping-particle":"","family":"Freeman","given":"Benny D.","non-dropping-particle":"","parse-names":false,"suffix":""},{"dropping-particle":"","family":"Marrot","given":"Benoit","non-dropping-particle":"","parse-names":false,"suffix":""},{"dropping-particle":"","family":"Moulin","given":"Philippe","non-dropping-particle":"","parse-names":false,"suffix":""}],"container-title":"Water Research","id":"ITEM-1","issue":"9","issued":{"date-parts":[["2009"]]},"page":"2317-2348","publisher":"Elsevier Ltd","title":"Reverse osmosis desalination: Water sources, technology, and today's challenges","type":"article-journal","volume":"43"},"uris":["http://www.mendeley.com/documents/?uuid=4f60af18-2b74-4e84-a7fb-610511a36e58"]}],"mendeley":{"formattedCitation":"[21]","plainTextFormattedCitation":"[21]","previouslyFormattedCitation":"[22]"},"properties":{"noteIndex":0},"schema":"https://github.com/citation-style-language/schema/raw/master/csl-citation.json"}</w:instrText>
      </w:r>
      <w:r w:rsidR="004366BF" w:rsidRPr="004834D3">
        <w:rPr>
          <w:rFonts w:cstheme="majorBidi"/>
        </w:rPr>
        <w:fldChar w:fldCharType="separate"/>
      </w:r>
      <w:r w:rsidR="00D83446" w:rsidRPr="00D83446">
        <w:rPr>
          <w:rFonts w:cstheme="majorBidi"/>
          <w:noProof/>
        </w:rPr>
        <w:t>[21]</w:t>
      </w:r>
      <w:r w:rsidR="004366BF" w:rsidRPr="004834D3">
        <w:rPr>
          <w:rFonts w:cstheme="majorBidi"/>
        </w:rPr>
        <w:fldChar w:fldCharType="end"/>
      </w:r>
      <w:r w:rsidR="004366BF" w:rsidRPr="004834D3">
        <w:rPr>
          <w:rFonts w:cstheme="majorBidi"/>
        </w:rPr>
        <w:t>.</w:t>
      </w:r>
      <w:r w:rsidR="0045475C" w:rsidRPr="004834D3">
        <w:rPr>
          <w:rFonts w:cstheme="majorBidi"/>
        </w:rPr>
        <w:t xml:space="preserve"> </w:t>
      </w:r>
      <w:r w:rsidRPr="004834D3">
        <w:rPr>
          <w:rFonts w:cstheme="majorBidi"/>
        </w:rPr>
        <w:t>However, despite its effectiveness in producing high-quality water, the considerable energy consumption associated with thermal desalination results in high operating costs. This factor makes it less economically attractive compared to membrane desalination methods, which are generally more energy-efficient.</w:t>
      </w:r>
    </w:p>
    <w:p w14:paraId="45C30910" w14:textId="199FE3AB" w:rsidR="002A5CD0" w:rsidRDefault="004366BF" w:rsidP="004D6B25">
      <w:pPr>
        <w:spacing w:before="240" w:after="240" w:line="480" w:lineRule="auto"/>
        <w:ind w:firstLine="720"/>
        <w:jc w:val="both"/>
        <w:rPr>
          <w:rFonts w:cstheme="majorBidi"/>
        </w:rPr>
      </w:pPr>
      <w:r w:rsidRPr="004834D3">
        <w:rPr>
          <w:rFonts w:cstheme="majorBidi"/>
        </w:rPr>
        <w:t xml:space="preserve">The primary </w:t>
      </w:r>
      <w:r w:rsidR="002E5CD5" w:rsidRPr="004834D3">
        <w:rPr>
          <w:rFonts w:cstheme="majorBidi"/>
        </w:rPr>
        <w:t>methods</w:t>
      </w:r>
      <w:r w:rsidRPr="004834D3">
        <w:rPr>
          <w:rFonts w:cstheme="majorBidi"/>
        </w:rPr>
        <w:t xml:space="preserve"> in thermal desalination include multistage flash desalination (MSF), multiple effect </w:t>
      </w:r>
      <w:r w:rsidR="0045475C" w:rsidRPr="004834D3">
        <w:rPr>
          <w:rFonts w:cstheme="majorBidi"/>
        </w:rPr>
        <w:t>distillation</w:t>
      </w:r>
      <w:r w:rsidRPr="004834D3">
        <w:rPr>
          <w:rFonts w:cstheme="majorBidi"/>
        </w:rPr>
        <w:t xml:space="preserve"> (MED), single effect </w:t>
      </w:r>
      <w:r w:rsidR="00EC20BE" w:rsidRPr="004834D3">
        <w:rPr>
          <w:rFonts w:cstheme="majorBidi"/>
        </w:rPr>
        <w:t>evaporation</w:t>
      </w:r>
      <w:r w:rsidRPr="004834D3">
        <w:rPr>
          <w:rFonts w:cstheme="majorBidi"/>
        </w:rPr>
        <w:t xml:space="preserve"> (SE</w:t>
      </w:r>
      <w:r w:rsidR="00EC20BE" w:rsidRPr="004834D3">
        <w:rPr>
          <w:rFonts w:cstheme="majorBidi"/>
        </w:rPr>
        <w:t>E</w:t>
      </w:r>
      <w:r w:rsidRPr="004834D3">
        <w:rPr>
          <w:rFonts w:cstheme="majorBidi"/>
        </w:rPr>
        <w:t>), humidification-dehumidification (HDH), and solar stills (SS)</w:t>
      </w:r>
      <w:r w:rsidR="007B178B" w:rsidRPr="004834D3">
        <w:rPr>
          <w:rFonts w:cstheme="majorBidi"/>
        </w:rPr>
        <w:t xml:space="preserve"> </w:t>
      </w:r>
      <w:r w:rsidR="007B178B" w:rsidRPr="004834D3">
        <w:rPr>
          <w:rFonts w:cstheme="majorBidi"/>
        </w:rPr>
        <w:fldChar w:fldCharType="begin" w:fldLock="1"/>
      </w:r>
      <w:r w:rsidR="00D83446">
        <w:rPr>
          <w:rFonts w:cstheme="majorBidi"/>
        </w:rPr>
        <w:instrText>ADDIN CSL_CITATION {"citationItems":[{"id":"ITEM-1","itemData":{"DOI":"10.1016/b978-0-444-50810-2.x5000-3","abstract":"Predicting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approach.","author":[{"dropping-particle":"","family":"El-Dessouky","given":"Hisham T","non-dropping-particle":"","parse-names":false,"suffix":""},{"dropping-particle":"","family":"Ettouney","given":"Hisham Mohamed","non-dropping-particle":"","parse-names":false,"suffix":""}],"container-title":"Fundamentals of Salt Water Desalination","id":"ITEM-1","issued":{"date-parts":[["2002"]]},"publisher":"Elsevier","title":"Fundamentals of Salt Water Desalination","type":"book"},"uris":["http://www.mendeley.com/documents/?uuid=9c6ba06a-788f-4144-99c5-a89853e48cde"]}],"mendeley":{"formattedCitation":"[42]","plainTextFormattedCitation":"[42]","previouslyFormattedCitation":"[43]"},"properties":{"noteIndex":0},"schema":"https://github.com/citation-style-language/schema/raw/master/csl-citation.json"}</w:instrText>
      </w:r>
      <w:r w:rsidR="007B178B" w:rsidRPr="004834D3">
        <w:rPr>
          <w:rFonts w:cstheme="majorBidi"/>
        </w:rPr>
        <w:fldChar w:fldCharType="separate"/>
      </w:r>
      <w:r w:rsidR="00D83446" w:rsidRPr="00D83446">
        <w:rPr>
          <w:rFonts w:cstheme="majorBidi"/>
          <w:noProof/>
        </w:rPr>
        <w:t>[42]</w:t>
      </w:r>
      <w:r w:rsidR="007B178B" w:rsidRPr="004834D3">
        <w:rPr>
          <w:rFonts w:cstheme="majorBidi"/>
        </w:rPr>
        <w:fldChar w:fldCharType="end"/>
      </w:r>
      <w:r w:rsidRPr="004834D3">
        <w:rPr>
          <w:rFonts w:cstheme="majorBidi"/>
        </w:rPr>
        <w:t>. Among these, MSF and MED are the mainstays in commercial applications, holding market shares of approximately 87% and 12% respectively in commercial desalination plants. Conversely, other thermal desalination methods like SS and HDH are not commercially utilized, remaining largely within the realms of experimental prototypes or conceptual designs</w:t>
      </w:r>
      <w:r w:rsidR="007B178B" w:rsidRPr="004834D3">
        <w:rPr>
          <w:rFonts w:cstheme="majorBidi"/>
        </w:rPr>
        <w:t xml:space="preserve"> </w:t>
      </w:r>
      <w:r w:rsidR="007B178B" w:rsidRPr="004834D3">
        <w:rPr>
          <w:rFonts w:cstheme="majorBidi"/>
        </w:rPr>
        <w:fldChar w:fldCharType="begin" w:fldLock="1"/>
      </w:r>
      <w:r w:rsidR="00D83446">
        <w:rPr>
          <w:rFonts w:cstheme="majorBidi"/>
        </w:rPr>
        <w:instrText>ADDIN CSL_CITATION {"citationItems":[{"id":"ITEM-1","itemData":{"DOI":"10.1007/978-3-642-01150-4","ISBN":"3642011500","ISSN":"1865-3529","abstract":"A growing proportion of the world’s population is dependent on Seawater Desalination as a source of fresh water for both potable and civil use. One of the main drawbacks of conventional desalination technologies is the substantial energy requirement, which is facing cost increases in the global energy market. \"Seawater Desalination\" presents an overview of conventional and non-conventional technologies, with a particular focus on the coupling of renewable energies with desalination processes. The first section of this book presents, in a technical but reader-friendly way, an overview of currently-used desalination processes, from thermal to membrane processes, highlighting the relevant technical features, advantages and disadvantages, and development potential. It also gives a rapid insight into the economic aspects of fresh water production from seawater. The second section of the book presents novel processes which use Renewable Energies for fresh water production. From the first solar still evaporators, which artificially reproduced the natural cycle of water, technology has progressed to develop complex systems to harness energy from the sun, wind, tides, waves, etc. and then to use this energy to power conventional or novel desalination processes. Most of these processes are still at a preliminary stage of development, but some are already being cited as examples in remote areas, where they are proving to be valuable in solving the problems of water scarcity. A rapid growth in these technologies is foreseen in the coming years. This book provides a unique foundation, within the context of present and future sustainability, for professionals, technicians, managers, and private and public institutions operating in the area of fresh water supply.","author":[{"dropping-particle":"","family":"Ettouney","given":"Hisham","non-dropping-particle":"","parse-names":false,"suffix":""}],"container-title":"Seawater Desalination: Conventional and Renewable Energy Processes","id":"ITEM-1","issued":{"date-parts":[["2009"]]},"page":"306","title":"Conventional Thermal Process","type":"article-journal"},"uris":["http://www.mendeley.com/documents/?uuid=4438d1a0-ab6f-4e05-8278-ceab5cf40a3b"]}],"mendeley":{"formattedCitation":"[43]","plainTextFormattedCitation":"[43]","previouslyFormattedCitation":"[44]"},"properties":{"noteIndex":0},"schema":"https://github.com/citation-style-language/schema/raw/master/csl-citation.json"}</w:instrText>
      </w:r>
      <w:r w:rsidR="007B178B" w:rsidRPr="004834D3">
        <w:rPr>
          <w:rFonts w:cstheme="majorBidi"/>
        </w:rPr>
        <w:fldChar w:fldCharType="separate"/>
      </w:r>
      <w:r w:rsidR="00D83446" w:rsidRPr="00D83446">
        <w:rPr>
          <w:rFonts w:cstheme="majorBidi"/>
          <w:noProof/>
        </w:rPr>
        <w:t>[43]</w:t>
      </w:r>
      <w:r w:rsidR="007B178B" w:rsidRPr="004834D3">
        <w:rPr>
          <w:rFonts w:cstheme="majorBidi"/>
        </w:rPr>
        <w:fldChar w:fldCharType="end"/>
      </w:r>
      <w:r w:rsidRPr="004834D3">
        <w:rPr>
          <w:rFonts w:cstheme="majorBidi"/>
        </w:rPr>
        <w:t>.</w:t>
      </w:r>
      <w:r w:rsidR="002E5CD5" w:rsidRPr="004834D3">
        <w:rPr>
          <w:rFonts w:cstheme="majorBidi"/>
        </w:rPr>
        <w:t xml:space="preserve"> </w:t>
      </w:r>
      <w:r w:rsidRPr="004834D3">
        <w:rPr>
          <w:rFonts w:cstheme="majorBidi"/>
        </w:rPr>
        <w:t>In the sections that follow,</w:t>
      </w:r>
      <w:r w:rsidR="00685D48" w:rsidRPr="004834D3">
        <w:rPr>
          <w:rFonts w:cstheme="majorBidi"/>
        </w:rPr>
        <w:t xml:space="preserve"> MSF and MED technologies are</w:t>
      </w:r>
      <w:r w:rsidR="002E5CD5" w:rsidRPr="004834D3">
        <w:rPr>
          <w:rFonts w:cstheme="majorBidi"/>
        </w:rPr>
        <w:t xml:space="preserve"> </w:t>
      </w:r>
      <w:r w:rsidR="00827700" w:rsidRPr="004834D3">
        <w:rPr>
          <w:rFonts w:cstheme="majorBidi"/>
        </w:rPr>
        <w:t>introduced</w:t>
      </w:r>
      <w:r w:rsidR="002A5CD0">
        <w:rPr>
          <w:rFonts w:cstheme="majorBidi"/>
        </w:rPr>
        <w:t xml:space="preserve"> </w:t>
      </w:r>
      <w:r w:rsidRPr="004834D3">
        <w:rPr>
          <w:rFonts w:cstheme="majorBidi"/>
        </w:rPr>
        <w:t xml:space="preserve">and their processes </w:t>
      </w:r>
      <w:r w:rsidR="002E5CD5" w:rsidRPr="004834D3">
        <w:rPr>
          <w:rFonts w:cstheme="majorBidi"/>
        </w:rPr>
        <w:t xml:space="preserve">are described </w:t>
      </w:r>
      <w:r w:rsidRPr="004834D3">
        <w:rPr>
          <w:rFonts w:cstheme="majorBidi"/>
        </w:rPr>
        <w:t>in detail</w:t>
      </w:r>
      <w:r w:rsidR="00685D48" w:rsidRPr="004834D3">
        <w:rPr>
          <w:rFonts w:cstheme="majorBidi"/>
        </w:rPr>
        <w:t xml:space="preserve"> due to their </w:t>
      </w:r>
      <w:r w:rsidRPr="004834D3">
        <w:rPr>
          <w:rFonts w:cstheme="majorBidi"/>
        </w:rPr>
        <w:t>predominant roles in commercial desalination.</w:t>
      </w:r>
    </w:p>
    <w:p w14:paraId="3A16CA85" w14:textId="77777777" w:rsidR="00CA239E" w:rsidRPr="004834D3" w:rsidRDefault="00CA239E" w:rsidP="004D6B25">
      <w:pPr>
        <w:spacing w:before="240" w:after="240" w:line="480" w:lineRule="auto"/>
        <w:ind w:firstLine="720"/>
        <w:jc w:val="both"/>
        <w:rPr>
          <w:rFonts w:cstheme="majorBidi"/>
        </w:rPr>
      </w:pPr>
    </w:p>
    <w:p w14:paraId="37111A32" w14:textId="7819D51B" w:rsidR="00685D48" w:rsidRPr="004D6B25" w:rsidRDefault="00356859" w:rsidP="004D6B25">
      <w:pPr>
        <w:spacing w:before="360" w:after="0" w:line="480" w:lineRule="auto"/>
        <w:rPr>
          <w:b/>
          <w:bCs/>
          <w:u w:val="single"/>
        </w:rPr>
      </w:pPr>
      <w:r w:rsidRPr="004D6B25">
        <w:rPr>
          <w:b/>
          <w:bCs/>
          <w:u w:val="single"/>
        </w:rPr>
        <w:lastRenderedPageBreak/>
        <w:t>Multi</w:t>
      </w:r>
      <w:r w:rsidR="004F570C" w:rsidRPr="004D6B25">
        <w:rPr>
          <w:b/>
          <w:bCs/>
          <w:u w:val="single"/>
        </w:rPr>
        <w:t>-</w:t>
      </w:r>
      <w:r w:rsidR="002244A4" w:rsidRPr="004D6B25">
        <w:rPr>
          <w:b/>
          <w:bCs/>
          <w:u w:val="single"/>
        </w:rPr>
        <w:t>E</w:t>
      </w:r>
      <w:r w:rsidR="006C4DF5" w:rsidRPr="004D6B25">
        <w:rPr>
          <w:b/>
          <w:bCs/>
          <w:u w:val="single"/>
        </w:rPr>
        <w:t>ffect</w:t>
      </w:r>
      <w:r w:rsidRPr="004D6B25">
        <w:rPr>
          <w:b/>
          <w:bCs/>
          <w:u w:val="single"/>
        </w:rPr>
        <w:t xml:space="preserve"> </w:t>
      </w:r>
      <w:r w:rsidR="004F570C" w:rsidRPr="004D6B25">
        <w:rPr>
          <w:b/>
          <w:bCs/>
          <w:u w:val="single"/>
        </w:rPr>
        <w:t>Desalination</w:t>
      </w:r>
      <w:r w:rsidRPr="004D6B25">
        <w:rPr>
          <w:b/>
          <w:bCs/>
          <w:u w:val="single"/>
        </w:rPr>
        <w:t xml:space="preserve"> (M</w:t>
      </w:r>
      <w:r w:rsidR="006C4DF5" w:rsidRPr="004D6B25">
        <w:rPr>
          <w:b/>
          <w:bCs/>
          <w:u w:val="single"/>
        </w:rPr>
        <w:t>E</w:t>
      </w:r>
      <w:r w:rsidR="0045475C" w:rsidRPr="004D6B25">
        <w:rPr>
          <w:b/>
          <w:bCs/>
          <w:u w:val="single"/>
        </w:rPr>
        <w:t>D</w:t>
      </w:r>
      <w:r w:rsidRPr="004D6B25">
        <w:rPr>
          <w:b/>
          <w:bCs/>
          <w:u w:val="single"/>
        </w:rPr>
        <w:t>)</w:t>
      </w:r>
    </w:p>
    <w:p w14:paraId="4051D2A9" w14:textId="2ABF9787" w:rsidR="005215FC" w:rsidRPr="004834D3" w:rsidRDefault="0030425E" w:rsidP="004D6B25">
      <w:pPr>
        <w:spacing w:before="240" w:after="240" w:line="480" w:lineRule="auto"/>
        <w:jc w:val="both"/>
        <w:rPr>
          <w:rFonts w:cstheme="majorBidi"/>
          <w:kern w:val="0"/>
        </w:rPr>
      </w:pPr>
      <w:r w:rsidRPr="004834D3">
        <w:rPr>
          <w:rFonts w:cstheme="majorBidi"/>
          <w:kern w:val="0"/>
        </w:rPr>
        <w:t xml:space="preserve">The </w:t>
      </w:r>
      <w:r w:rsidR="00A05000" w:rsidRPr="004834D3">
        <w:rPr>
          <w:rFonts w:cstheme="majorBidi"/>
          <w:kern w:val="0"/>
        </w:rPr>
        <w:t>MED</w:t>
      </w:r>
      <w:r w:rsidRPr="004834D3">
        <w:rPr>
          <w:rFonts w:cstheme="majorBidi"/>
          <w:kern w:val="0"/>
        </w:rPr>
        <w:t xml:space="preserve"> process was the first thermal method implemented for seawater desalination intended for consumption. </w:t>
      </w:r>
      <w:r w:rsidR="005215FC" w:rsidRPr="004834D3">
        <w:rPr>
          <w:rFonts w:cstheme="majorBidi"/>
          <w:kern w:val="0"/>
        </w:rPr>
        <w:t>The MED process produce</w:t>
      </w:r>
      <w:r w:rsidR="005215FC">
        <w:rPr>
          <w:rFonts w:cstheme="majorBidi"/>
          <w:kern w:val="0"/>
        </w:rPr>
        <w:t>s</w:t>
      </w:r>
      <w:r w:rsidR="005215FC" w:rsidRPr="004834D3">
        <w:rPr>
          <w:rFonts w:cstheme="majorBidi"/>
          <w:kern w:val="0"/>
        </w:rPr>
        <w:t xml:space="preserve"> freshwater by condensing vapor from boiling saline water through a series of stages, or effects, each maintained at progressively lower temperatures than the previous one </w:t>
      </w:r>
      <w:r w:rsidR="005215FC" w:rsidRPr="004834D3">
        <w:rPr>
          <w:rFonts w:cstheme="majorBidi"/>
          <w:kern w:val="0"/>
        </w:rPr>
        <w:fldChar w:fldCharType="begin" w:fldLock="1"/>
      </w:r>
      <w:r w:rsidR="00D83446">
        <w:rPr>
          <w:rFonts w:cstheme="majorBidi"/>
          <w:kern w:val="0"/>
        </w:rPr>
        <w:instrText>ADDIN CSL_CITATION {"citationItems":[{"id":"ITEM-1","itemData":{"DOI":"10.1016/C2016-0-05222-1","ISBN":"9780128137901","abstract":"Desalination Technologies: Design and Operation sets the scene for desalination technologies as a long-term solution to freshwater demand by analyzing the current demand for water, available water resources and future predicted demand. The book captures recent developments in thermal desalination (multistage flash desalination, multi-effect evaporation, vapor compression), membrane desalination (forward osmosis, reverse osmosis, pressure retarded, electrodialysis, membrane distillation, ultra-, nano-, and micro-filtration), and alternative processes such as freezing and ion exchange. Both dynamic and steady state models (from short cut, simple, to detail) of various desalination processes are discussed. The book is intended for (under)graduate students in chemical engineering and postgraduate researchers and industrial practitioners in desalination.","author":[{"dropping-particle":"","family":"Mujtaba","given":"Iqbal M.","non-dropping-particle":"","parse-names":false,"suffix":""},{"dropping-particle":"","family":"Sowgath","given":"Md Tanvir","non-dropping-particle":"","parse-names":false,"suffix":""}],"container-title":"Desalination Technologies: Design and Operation","id":"ITEM-1","issued":{"date-parts":[["2022"]]},"number-of-pages":"1-642","publisher":"Elsevier","title":"Desalination Technologies: Design and Operation","type":"book"},"uris":["http://www.mendeley.com/documents/?uuid=372c0cb7-ca8c-47b3-b936-3862abb1f583"]}],"mendeley":{"formattedCitation":"[44]","plainTextFormattedCitation":"[44]","previouslyFormattedCitation":"[45]"},"properties":{"noteIndex":0},"schema":"https://github.com/citation-style-language/schema/raw/master/csl-citation.json"}</w:instrText>
      </w:r>
      <w:r w:rsidR="005215FC" w:rsidRPr="004834D3">
        <w:rPr>
          <w:rFonts w:cstheme="majorBidi"/>
          <w:kern w:val="0"/>
        </w:rPr>
        <w:fldChar w:fldCharType="separate"/>
      </w:r>
      <w:r w:rsidR="00D83446" w:rsidRPr="00D83446">
        <w:rPr>
          <w:rFonts w:cstheme="majorBidi"/>
          <w:noProof/>
          <w:kern w:val="0"/>
        </w:rPr>
        <w:t>[44]</w:t>
      </w:r>
      <w:r w:rsidR="005215FC" w:rsidRPr="004834D3">
        <w:rPr>
          <w:rFonts w:cstheme="majorBidi"/>
          <w:kern w:val="0"/>
        </w:rPr>
        <w:fldChar w:fldCharType="end"/>
      </w:r>
      <w:r w:rsidR="005215FC" w:rsidRPr="004834D3">
        <w:rPr>
          <w:rFonts w:cstheme="majorBidi"/>
          <w:kern w:val="0"/>
        </w:rPr>
        <w:t xml:space="preserve">. A heat source, usually coming from a boiler, is used to increase the temperature of the input water up to 110°C for the first effect. In the first effect, steam is generated and transferred through a tube to subsequent effects, where it continues to boil the saline water </w:t>
      </w:r>
      <w:r w:rsidR="005215FC" w:rsidRPr="004834D3">
        <w:rPr>
          <w:rFonts w:cstheme="majorBidi"/>
          <w:kern w:val="0"/>
        </w:rPr>
        <w:fldChar w:fldCharType="begin" w:fldLock="1"/>
      </w:r>
      <w:r w:rsidR="00D83446">
        <w:rPr>
          <w:rFonts w:cstheme="majorBidi"/>
          <w:kern w:val="0"/>
        </w:rPr>
        <w:instrText>ADDIN CSL_CITATION {"citationItems":[{"id":"ITEM-1","itemData":{"DOI":"10.1016/B978-0-12-813306-4.00013-6","ISBN":"9780128133064","abstract":"Increased water scarcity across increasing world populations has led to a greater demand for desalination. However, the energy intensity and subsequent high costs of desalination remain the main barrier for widespread deployment of desalination systems. Add to this, the sustainability concerns of fossil fuel energy sources. This challenge has led to focused international research on the energy-water nexus. In recent years, several types of renewable energy have been integrated with a variety of desalination processes. Various large-capacity, renewable-desalination (RE-desalination) plants have been built across the world, especially in Middle Eastern countries, where water is relatively scarce and renewable resources are abundant and accessible. In addition, the reduction in the cost of photovoltaic (PV) panels by almost 80% over the last decade has contributed to their greater economy and wide deployment worldwide. For remote areas, it is now reasonable to consider offgrid, small-capacity RE-desalination systems, since in these regions transportation of fuel or water and connection to the grid are prohibitively expensive or impractical. Various renewable energies-such as solar, wind, and geothermal-can be coupled with many desalination methods, based on the availability of these resources in different locations, and also on other factors such as reliability required or the capital cost of establishment. This chapter reviews these various methods of desalination and configurations of RE-desalination systems currently in use, or under development. In addition, the issues relating to grid connectivity of RE-desalination systems and the economy of grid connection versus complete or partial energy independence are explained.","author":[{"dropping-particle":"","family":"Rabiee","given":"Hesamoddin","non-dropping-particle":"","parse-names":false,"suffix":""},{"dropping-particle":"","family":"Khalilpour","given":"Kaveh Rajab","non-dropping-particle":"","parse-names":false,"suffix":""},{"dropping-particle":"","family":"Betts","given":"John M.","non-dropping-particle":"","parse-names":false,"suffix":""},{"dropping-particle":"","family":"Tapper","given":"Nigel","non-dropping-particle":"","parse-names":false,"suffix":""}],"container-title":"Polygeneration with Polystorage: For Chemical and Energy Hubs","id":"ITEM-1","issued":{"date-parts":[["2018"]]},"page":"409-458","publisher":"Elsevier","title":"Energy-water nexus: Renewable-integrated hybridized desalination systems","type":"article-journal"},"uris":["http://www.mendeley.com/documents/?uuid=e63c2fd8-9cb4-4b36-bf22-053276adf84f"]}],"mendeley":{"formattedCitation":"[30]","plainTextFormattedCitation":"[30]","previouslyFormattedCitation":"[31]"},"properties":{"noteIndex":0},"schema":"https://github.com/citation-style-language/schema/raw/master/csl-citation.json"}</w:instrText>
      </w:r>
      <w:r w:rsidR="005215FC" w:rsidRPr="004834D3">
        <w:rPr>
          <w:rFonts w:cstheme="majorBidi"/>
          <w:kern w:val="0"/>
        </w:rPr>
        <w:fldChar w:fldCharType="separate"/>
      </w:r>
      <w:r w:rsidR="00D83446" w:rsidRPr="00D83446">
        <w:rPr>
          <w:rFonts w:cstheme="majorBidi"/>
          <w:noProof/>
          <w:kern w:val="0"/>
        </w:rPr>
        <w:t>[30]</w:t>
      </w:r>
      <w:r w:rsidR="005215FC" w:rsidRPr="004834D3">
        <w:rPr>
          <w:rFonts w:cstheme="majorBidi"/>
          <w:kern w:val="0"/>
        </w:rPr>
        <w:fldChar w:fldCharType="end"/>
      </w:r>
      <w:r w:rsidR="005215FC" w:rsidRPr="004834D3">
        <w:rPr>
          <w:rFonts w:cstheme="majorBidi"/>
          <w:kern w:val="0"/>
        </w:rPr>
        <w:t xml:space="preserve">. The amount of vapor produced in each effect is slightly lower than in the previous one due to the increase in latent heat of vaporization as the evaporation temperature decreases. The heat of condensation from each effect supplies the heat needed for the next effect to vaporize part of the brine. Consequently, the only external heat source required is to heat the feed saline water for the first effect. As the primary steam does not come into direct contact with the saline water, the condensate inside the evaporator is typically recycled to the boiler for reuse </w:t>
      </w:r>
      <w:r w:rsidR="005215FC" w:rsidRPr="004834D3">
        <w:rPr>
          <w:rFonts w:cstheme="majorBidi"/>
          <w:kern w:val="0"/>
        </w:rPr>
        <w:fldChar w:fldCharType="begin" w:fldLock="1"/>
      </w:r>
      <w:r w:rsidR="00D83446">
        <w:rPr>
          <w:rFonts w:cstheme="majorBidi"/>
          <w:kern w:val="0"/>
        </w:rPr>
        <w:instrText>ADDIN CSL_CITATION {"citationItems":[{"id":"ITEM-1","itemData":{"ISBN":"0849311446","ISSN":"00911666","abstract":"Desalting, as discussed in this booklet, refers to a water treatment process that removes salts from water. It is also called desalination or desalinization , but it means the same thing. Desalting can be done in a number of ways, but the result is always the same: fresh water is produced from brackish or seawater. Desalting technologies can be used for a number of applications, but the purpose of this booklet is to discuss the use of desalting to produce potable water from saline water for domestic or municipal purposes. Throughout history, people have continually tried to treat salty water so that it could be used for drinking and agriculture. Of all the globe’s water, 94 percent is salt water from the oceans and 6 percent is fresh. Of the latter, about 27 percent is in glaciers and 72 percent is underground. While this water is important for transportation and fisheries, it is too salty to sustain human life or farming. Desalting techniques have increased the range of water resources available for use by a community. Until recently, only water with a dissolved solids (salt) content generally below about 1,000 milligrams per liter (mg/L) was considered acceptable for a community water supply. This limitation sometimes restricted the size and location of communities around the world and often led to hardship to many that could not afford to live near a ready supply of fresh water. The application of desalting technologies over the past 50 years has changed this in many places. Villages, cities, and industries have now developed or grown in many of the arid and water-short areas of the world where sea or brackish waters are avail- able and have been treated with desalting techniques. This change has been very noticeable in parts of the arid Middle East, North Africa, and some of the islands of the Caribbean, where the lack of fresh water severely limited development. Now, modern cities and major industries have developed in some of those areas thanks to the avail- ability of fresh water produced by desalting brackish water and seawater.","author":[{"dropping-particle":"","family":"Buros","given":"O. K.","non-dropping-particle":"","parse-names":false,"suffix":""}],"container-title":"International Desalination Association,Topsfield, Mass","id":"ITEM-1","issue":"2","issued":{"date-parts":[["2000"]]},"number-of-pages":"1- 32","publisher":"International Desalination Association Topsfield, MA","title":"The ABCs of Desalting","type":"book","volume":"2"},"uris":["http://www.mendeley.com/documents/?uuid=59865fff-c255-4919-ad94-a9a20cc27d28"]}],"mendeley":{"formattedCitation":"[45]","plainTextFormattedCitation":"[45]","previouslyFormattedCitation":"[46]"},"properties":{"noteIndex":0},"schema":"https://github.com/citation-style-language/schema/raw/master/csl-citation.json"}</w:instrText>
      </w:r>
      <w:r w:rsidR="005215FC" w:rsidRPr="004834D3">
        <w:rPr>
          <w:rFonts w:cstheme="majorBidi"/>
          <w:kern w:val="0"/>
        </w:rPr>
        <w:fldChar w:fldCharType="separate"/>
      </w:r>
      <w:r w:rsidR="00D83446" w:rsidRPr="00D83446">
        <w:rPr>
          <w:rFonts w:cstheme="majorBidi"/>
          <w:noProof/>
          <w:kern w:val="0"/>
        </w:rPr>
        <w:t>[45]</w:t>
      </w:r>
      <w:r w:rsidR="005215FC" w:rsidRPr="004834D3">
        <w:rPr>
          <w:rFonts w:cstheme="majorBidi"/>
          <w:kern w:val="0"/>
        </w:rPr>
        <w:fldChar w:fldCharType="end"/>
      </w:r>
      <w:r w:rsidR="005215FC" w:rsidRPr="004834D3">
        <w:rPr>
          <w:rFonts w:cstheme="majorBidi"/>
          <w:kern w:val="0"/>
        </w:rPr>
        <w:t xml:space="preserve">. </w:t>
      </w:r>
      <w:r w:rsidR="005215FC">
        <w:rPr>
          <w:rFonts w:cstheme="majorBidi"/>
          <w:kern w:val="0"/>
        </w:rPr>
        <w:t>A schematic of the MED desalination process is shown in Fig. 1-</w:t>
      </w:r>
      <w:r w:rsidR="009F7F17">
        <w:rPr>
          <w:rFonts w:cstheme="majorBidi"/>
          <w:kern w:val="0"/>
        </w:rPr>
        <w:t>5</w:t>
      </w:r>
      <w:r w:rsidR="005215FC">
        <w:rPr>
          <w:rFonts w:cstheme="majorBidi"/>
          <w:kern w:val="0"/>
        </w:rPr>
        <w:t>.</w:t>
      </w:r>
    </w:p>
    <w:p w14:paraId="41E6CE0C" w14:textId="506268CD" w:rsidR="00AC533B" w:rsidRPr="004834D3" w:rsidRDefault="000A72DB" w:rsidP="004D6B25">
      <w:pPr>
        <w:spacing w:before="240" w:after="240" w:line="480" w:lineRule="auto"/>
        <w:ind w:firstLine="720"/>
        <w:jc w:val="both"/>
        <w:rPr>
          <w:rFonts w:cstheme="majorBidi"/>
          <w:kern w:val="0"/>
        </w:rPr>
      </w:pPr>
      <w:r w:rsidRPr="004834D3">
        <w:rPr>
          <w:rFonts w:cstheme="majorBidi"/>
          <w:kern w:val="0"/>
        </w:rPr>
        <w:t>Industrial MED systems can include up to 12 evaporation effects, resulting in water production capacities ranging from 600 to 30,000 m</w:t>
      </w:r>
      <w:r w:rsidRPr="004834D3">
        <w:rPr>
          <w:rFonts w:cstheme="majorBidi"/>
          <w:kern w:val="0"/>
          <w:vertAlign w:val="superscript"/>
        </w:rPr>
        <w:t>3</w:t>
      </w:r>
      <w:r w:rsidRPr="004834D3">
        <w:rPr>
          <w:rFonts w:cstheme="majorBidi"/>
          <w:kern w:val="0"/>
        </w:rPr>
        <w:t>/day. Among thermal desalination processes, the MED thermal process is particularly promising due to its low electrical energy consumption, low operating costs, and high thermal efficiency</w:t>
      </w:r>
      <w:r w:rsidR="00061556" w:rsidRPr="004834D3">
        <w:rPr>
          <w:rFonts w:cstheme="majorBidi"/>
          <w:kern w:val="0"/>
        </w:rPr>
        <w:t xml:space="preserve"> </w:t>
      </w:r>
      <w:r w:rsidR="00061556" w:rsidRPr="004834D3">
        <w:rPr>
          <w:rFonts w:cstheme="majorBidi"/>
          <w:kern w:val="0"/>
        </w:rPr>
        <w:fldChar w:fldCharType="begin" w:fldLock="1"/>
      </w:r>
      <w:r w:rsidR="00D83446">
        <w:rPr>
          <w:rFonts w:cstheme="majorBidi"/>
          <w:kern w:val="0"/>
        </w:rPr>
        <w:instrText>ADDIN CSL_CITATION {"citationItems":[{"id":"ITEM-1","itemData":{"DOI":"10.1016/j.rser.2012.12.064","ISSN":"13640321","abstract":"Desalination technologies improve water quality, greatly reduce water shortage problems, and improve quality of life and economic status. Two main technologies are currently used in water desalination: thermal (phase-change) processes and membrane processes. The primary thermal distillation processes include multistage flash distillation (MSF), multi-effect distillation (MED), and vapor compression (VC). The VC process encompasses two types: mechanical (MVC) and thermal (TVC). The common membrane desalination processes include reverse osmosis (RO) and electrodialysis (ED and EDR). Energy cost, operational and maintenance cost, and capital investment are the main contributors to the water production cost of any of these processes. The energy cost is responsible for about 50% of the produced water cost. For thermal distillation processes (MSF, MED, and TVC), two energy forms are required for the operation: (1) low-temperature heat, which represents the main portion of the energy input and is usually supplied to the system by a number of external sources (e.g., fossil fuel, waste energy, nuclear, solar) and (2) electricity, which is used to drive the system's pumps and other electrical components. For the MVC thermal distillation process, only electricity is needed. For membrane processes (RO and ED), only electricity is required as an energy input. Renewable energy systems such as solar thermal, solar photovoltaic, wind, and geothermal technologies are currently used as energy suppliers for desalination systems. These renewable resources are now a proven technology and remain economically promising for remote regions, where connection to the public electric grid is either not cost effective or feasible, and where water scarcity is severe. As the technologies continue to improve, and as fresh water becomes scarce and fossil fuel energy prices rise, renewable energy desalination becomes more viable economically. The technical features, energy consumption, environmental considerations, and potential of renewable energy use in driving the main desalination processes are reviewed and analyzed in this paper. The current and projected costs of water produced from conventional and renewable-energy-driven processes are discussed and compared. © 2013 Elsevier Ltd. All rights reserved.","author":[{"dropping-particle":"","family":"Al-Karaghouli","given":"Ali","non-dropping-particle":"","parse-names":false,"suffix":""},{"dropping-particle":"","family":"Kazmerski","given":"Lawrence L.","non-dropping-particle":"","parse-names":false,"suffix":""}],"container-title":"Renewable and Sustainable Energy Reviews","id":"ITEM-1","issued":{"date-parts":[["2013"]]},"page":"343-356","publisher":"Elsevier","title":"Energy consumption and water production cost of conventional and renewable-energy-powered desalination processes","type":"article-journal","volume":"24"},"uris":["http://www.mendeley.com/documents/?uuid=1a0fd0ef-680a-4136-aee8-0d9bbc12e946"]},{"id":"ITEM-2","itemData":{"DOI":"doi.org/10.1016/j.ijheatmasstransfer.2011.07.041","author":[{"dropping-particle":"","family":"Wang","given":"Xiaolin","non-dropping-particle":"","parse-names":false,"suffix":""},{"dropping-particle":"","family":"Christ","given":"Alexander","non-dropping-particle":"","parse-names":false,"suffix":""},{"dropping-particle":"","family":"Regenauer-Lieb","given":"Klaus","non-dropping-particle":"","parse-names":false,"suffix":""},{"dropping-particle":"","family":"Hooman","given":"Kamel","non-dropping-particle":"","parse-names":false,"suffix":""},{"dropping-particle":"","family":"Chua","given":"Hui Tong","non-dropping-particle":"","parse-names":false,"suffix":""}],"container-title":"International Journal of Heat and Mass Transfer","id":"ITEM-2","issue":"25-26","issued":{"date-parts":[["2011"]]},"page":"5497-5503","publisher":"Elsevier","title":"Low grade heat driven multi-effect distillation technology","type":"article-journal","volume":"54"},"uris":["http://www.mendeley.com/documents/?uuid=fefd9d08-168b-4bf1-8fba-4007cf47ea08"]}],"mendeley":{"formattedCitation":"[46,47]","plainTextFormattedCitation":"[46,47]","previouslyFormattedCitation":"[47,48]"},"properties":{"noteIndex":0},"schema":"https://github.com/citation-style-language/schema/raw/master/csl-citation.json"}</w:instrText>
      </w:r>
      <w:r w:rsidR="00061556" w:rsidRPr="004834D3">
        <w:rPr>
          <w:rFonts w:cstheme="majorBidi"/>
          <w:kern w:val="0"/>
        </w:rPr>
        <w:fldChar w:fldCharType="separate"/>
      </w:r>
      <w:r w:rsidR="00D83446" w:rsidRPr="00D83446">
        <w:rPr>
          <w:rFonts w:cstheme="majorBidi"/>
          <w:noProof/>
          <w:kern w:val="0"/>
        </w:rPr>
        <w:t>[46,47]</w:t>
      </w:r>
      <w:r w:rsidR="00061556" w:rsidRPr="004834D3">
        <w:rPr>
          <w:rFonts w:cstheme="majorBidi"/>
          <w:kern w:val="0"/>
        </w:rPr>
        <w:fldChar w:fldCharType="end"/>
      </w:r>
      <w:r w:rsidRPr="004834D3">
        <w:rPr>
          <w:rFonts w:cstheme="majorBidi"/>
          <w:kern w:val="0"/>
        </w:rPr>
        <w:t>. To further enhance energy efficiency, MED systems can be coupled with either thermal or mechanical vapor compression units</w:t>
      </w:r>
      <w:r w:rsidR="00061556" w:rsidRPr="004834D3">
        <w:rPr>
          <w:rFonts w:cstheme="majorBidi"/>
          <w:kern w:val="0"/>
        </w:rPr>
        <w:t xml:space="preserve"> </w:t>
      </w:r>
      <w:r w:rsidR="00061556" w:rsidRPr="004834D3">
        <w:rPr>
          <w:rFonts w:cstheme="majorBidi"/>
          <w:kern w:val="0"/>
        </w:rPr>
        <w:fldChar w:fldCharType="begin" w:fldLock="1"/>
      </w:r>
      <w:r w:rsidR="00D83446">
        <w:rPr>
          <w:rFonts w:cstheme="majorBidi"/>
          <w:kern w:val="0"/>
        </w:rPr>
        <w:instrText>ADDIN CSL_CITATION {"citationItems":[{"id":"ITEM-1","itemData":{"DOI":"10.1016/j.rser.2014.09.002","ISSN":"18790690","abstract":"Water plays an important role in all our day to day activities and its consumption is increasing day by day because of increased living standards of mankind. Some regions of the globe are under severe stress due to water scarcity and pollution. The fresh water needs of mankind can be only satisfied if saline water which is available in plenty is converted to potable water by desalination. Desalination industry has shown increased threats of CO2 emissions and severe environmental impacts. Desalination industry can be made sustainable if they are integrated with renewable energy and if proper brine disposal methods are followed. In this review different desalination units integrated with renewable energy with special emphasis given to solar energy is discussed. The problems associated with desalination units and their remedies have been presented. Apart from this some novel methods of desalination process has also been explained. This review will allow the researchers to choose appropriate desalination technology for further development.","author":[{"dropping-particle":"","family":"Sharon","given":"H.","non-dropping-particle":"","parse-names":false,"suffix":""},{"dropping-particle":"","family":"Reddy","given":"K. S.","non-dropping-particle":"","parse-names":false,"suffix":""}],"container-title":"Renewable and Sustainable Energy Reviews","id":"ITEM-1","issued":{"date-parts":[["2015"]]},"page":"1080-1118","publisher":"Elsevier","title":"A review of solar energy driven desalination technologies","type":"article-journal","volume":"41"},"uris":["http://www.mendeley.com/documents/?uuid=2a05625a-1b9b-4361-87d1-af3487fc72a5"]}],"mendeley":{"formattedCitation":"[48]","plainTextFormattedCitation":"[48]","previouslyFormattedCitation":"[49]"},"properties":{"noteIndex":0},"schema":"https://github.com/citation-style-language/schema/raw/master/csl-citation.json"}</w:instrText>
      </w:r>
      <w:r w:rsidR="00061556" w:rsidRPr="004834D3">
        <w:rPr>
          <w:rFonts w:cstheme="majorBidi"/>
          <w:kern w:val="0"/>
        </w:rPr>
        <w:fldChar w:fldCharType="separate"/>
      </w:r>
      <w:r w:rsidR="00D83446" w:rsidRPr="00D83446">
        <w:rPr>
          <w:rFonts w:cstheme="majorBidi"/>
          <w:noProof/>
          <w:kern w:val="0"/>
        </w:rPr>
        <w:t>[48]</w:t>
      </w:r>
      <w:r w:rsidR="00061556" w:rsidRPr="004834D3">
        <w:rPr>
          <w:rFonts w:cstheme="majorBidi"/>
          <w:kern w:val="0"/>
        </w:rPr>
        <w:fldChar w:fldCharType="end"/>
      </w:r>
      <w:r w:rsidRPr="004834D3">
        <w:rPr>
          <w:rFonts w:cstheme="majorBidi"/>
          <w:kern w:val="0"/>
        </w:rPr>
        <w:t>. Hybrid configurations, which integrate other thermal or membrane technologies, are increasingly seen as more efficient and effective than traditional thermal desalination methods.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B1AF5" w:rsidRPr="004834D3" w14:paraId="0BC588B4" w14:textId="77777777" w:rsidTr="005215FC">
        <w:tc>
          <w:tcPr>
            <w:tcW w:w="9350" w:type="dxa"/>
            <w:vAlign w:val="center"/>
          </w:tcPr>
          <w:p w14:paraId="736BDB35" w14:textId="77777777" w:rsidR="005B1AF5" w:rsidRPr="004834D3" w:rsidRDefault="005B1AF5" w:rsidP="004D6B25">
            <w:pPr>
              <w:spacing w:before="240" w:after="240" w:line="480" w:lineRule="auto"/>
              <w:jc w:val="center"/>
              <w:rPr>
                <w:rFonts w:cstheme="majorBidi"/>
                <w:kern w:val="0"/>
              </w:rPr>
            </w:pPr>
            <w:r w:rsidRPr="004834D3">
              <w:rPr>
                <w:rFonts w:cstheme="majorBidi"/>
                <w:noProof/>
              </w:rPr>
              <w:lastRenderedPageBreak/>
              <w:drawing>
                <wp:anchor distT="0" distB="0" distL="114300" distR="114300" simplePos="0" relativeHeight="251661312" behindDoc="0" locked="0" layoutInCell="1" allowOverlap="1" wp14:anchorId="30EC491D" wp14:editId="6C9F8127">
                  <wp:simplePos x="988398" y="4577286"/>
                  <wp:positionH relativeFrom="margin">
                    <wp:align>center</wp:align>
                  </wp:positionH>
                  <wp:positionV relativeFrom="margin">
                    <wp:align>center</wp:align>
                  </wp:positionV>
                  <wp:extent cx="4394754" cy="1828800"/>
                  <wp:effectExtent l="0" t="0" r="6350" b="0"/>
                  <wp:wrapSquare wrapText="bothSides"/>
                  <wp:docPr id="263732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32707" name=""/>
                          <pic:cNvPicPr/>
                        </pic:nvPicPr>
                        <pic:blipFill>
                          <a:blip r:embed="rId13" cstate="print">
                            <a:extLst>
                              <a:ext uri="{28A0092B-C50C-407E-A947-70E740481C1C}">
                                <a14:useLocalDpi xmlns:a14="http://schemas.microsoft.com/office/drawing/2010/main"/>
                              </a:ext>
                            </a:extLst>
                          </a:blip>
                          <a:stretch>
                            <a:fillRect/>
                          </a:stretch>
                        </pic:blipFill>
                        <pic:spPr>
                          <a:xfrm>
                            <a:off x="0" y="0"/>
                            <a:ext cx="4394754" cy="1828800"/>
                          </a:xfrm>
                          <a:prstGeom prst="rect">
                            <a:avLst/>
                          </a:prstGeom>
                        </pic:spPr>
                      </pic:pic>
                    </a:graphicData>
                  </a:graphic>
                </wp:anchor>
              </w:drawing>
            </w:r>
          </w:p>
        </w:tc>
      </w:tr>
      <w:tr w:rsidR="005B1AF5" w:rsidRPr="004834D3" w14:paraId="664C2994" w14:textId="77777777" w:rsidTr="005215FC">
        <w:tc>
          <w:tcPr>
            <w:tcW w:w="9350" w:type="dxa"/>
          </w:tcPr>
          <w:p w14:paraId="341A0C07" w14:textId="1985E166" w:rsidR="005B1AF5" w:rsidRPr="002A5CD0" w:rsidRDefault="002A5CD0" w:rsidP="004D6B25">
            <w:pPr>
              <w:pStyle w:val="Caption"/>
              <w:spacing w:after="240" w:line="480" w:lineRule="auto"/>
              <w:jc w:val="center"/>
            </w:pPr>
            <w:bookmarkStart w:id="15" w:name="_Toc172708807"/>
            <w:r w:rsidRPr="002A5CD0">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1</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5</w:t>
            </w:r>
            <w:r w:rsidR="00996526">
              <w:rPr>
                <w:b/>
                <w:bCs/>
              </w:rPr>
              <w:fldChar w:fldCharType="end"/>
            </w:r>
            <w:r>
              <w:t xml:space="preserve"> </w:t>
            </w:r>
            <w:r w:rsidR="005215FC">
              <w:t xml:space="preserve">Schematic of the MED desalination </w:t>
            </w:r>
            <w:r w:rsidR="00B6342B" w:rsidRPr="004834D3">
              <w:rPr>
                <w:rFonts w:cstheme="majorBidi"/>
              </w:rPr>
              <w:fldChar w:fldCharType="begin" w:fldLock="1"/>
            </w:r>
            <w:r w:rsidR="00D83446">
              <w:rPr>
                <w:rFonts w:cstheme="majorBidi"/>
              </w:rPr>
              <w:instrText>ADDIN CSL_CITATION {"citationItems":[{"id":"ITEM-1","itemData":{"DOI":"10.1016/B978-0-12-813306-4.00013-6","ISBN":"9780128133064","abstract":"Increased water scarcity across increasing world populations has led to a greater demand for desalination. However, the energy intensity and subsequent high costs of desalination remain the main barrier for widespread deployment of desalination systems. Add to this, the sustainability concerns of fossil fuel energy sources. This challenge has led to focused international research on the energy-water nexus. In recent years, several types of renewable energy have been integrated with a variety of desalination processes. Various large-capacity, renewable-desalination (RE-desalination) plants have been built across the world, especially in Middle Eastern countries, where water is relatively scarce and renewable resources are abundant and accessible. In addition, the reduction in the cost of photovoltaic (PV) panels by almost 80% over the last decade has contributed to their greater economy and wide deployment worldwide. For remote areas, it is now reasonable to consider offgrid, small-capacity RE-desalination systems, since in these regions transportation of fuel or water and connection to the grid are prohibitively expensive or impractical. Various renewable energies-such as solar, wind, and geothermal-can be coupled with many desalination methods, based on the availability of these resources in different locations, and also on other factors such as reliability required or the capital cost of establishment. This chapter reviews these various methods of desalination and configurations of RE-desalination systems currently in use, or under development. In addition, the issues relating to grid connectivity of RE-desalination systems and the economy of grid connection versus complete or partial energy independence are explained.","author":[{"dropping-particle":"","family":"Rabiee","given":"Hesamoddin","non-dropping-particle":"","parse-names":false,"suffix":""},{"dropping-particle":"","family":"Khalilpour","given":"Kaveh Rajab","non-dropping-particle":"","parse-names":false,"suffix":""},{"dropping-particle":"","family":"Betts","given":"John M.","non-dropping-particle":"","parse-names":false,"suffix":""},{"dropping-particle":"","family":"Tapper","given":"Nigel","non-dropping-particle":"","parse-names":false,"suffix":""}],"container-title":"Polygeneration with Polystorage: For Chemical and Energy Hubs","id":"ITEM-1","issued":{"date-parts":[["2018"]]},"page":"409-458","publisher":"Elsevier","title":"Energy-water nexus: Renewable-integrated hybridized desalination systems","type":"article-journal"},"uris":["http://www.mendeley.com/documents/?uuid=e63c2fd8-9cb4-4b36-bf22-053276adf84f"]}],"mendeley":{"formattedCitation":"[30]","plainTextFormattedCitation":"[30]","previouslyFormattedCitation":"[31]"},"properties":{"noteIndex":0},"schema":"https://github.com/citation-style-language/schema/raw/master/csl-citation.json"}</w:instrText>
            </w:r>
            <w:r w:rsidR="00B6342B" w:rsidRPr="004834D3">
              <w:rPr>
                <w:rFonts w:cstheme="majorBidi"/>
              </w:rPr>
              <w:fldChar w:fldCharType="separate"/>
            </w:r>
            <w:r w:rsidR="00D83446" w:rsidRPr="00D83446">
              <w:rPr>
                <w:rFonts w:cstheme="majorBidi"/>
                <w:noProof/>
              </w:rPr>
              <w:t>[30]</w:t>
            </w:r>
            <w:r w:rsidR="00B6342B" w:rsidRPr="004834D3">
              <w:rPr>
                <w:rFonts w:cstheme="majorBidi"/>
              </w:rPr>
              <w:fldChar w:fldCharType="end"/>
            </w:r>
            <w:r w:rsidR="005215FC">
              <w:rPr>
                <w:rFonts w:cstheme="majorBidi"/>
              </w:rPr>
              <w:t>.</w:t>
            </w:r>
            <w:bookmarkEnd w:id="15"/>
          </w:p>
        </w:tc>
      </w:tr>
    </w:tbl>
    <w:p w14:paraId="4042273B" w14:textId="1EC36554" w:rsidR="00B6342B" w:rsidRPr="004D6B25" w:rsidRDefault="00EA0216" w:rsidP="004D6B25">
      <w:pPr>
        <w:spacing w:before="360" w:after="0" w:line="480" w:lineRule="auto"/>
        <w:rPr>
          <w:b/>
          <w:bCs/>
          <w:u w:val="single"/>
        </w:rPr>
      </w:pPr>
      <w:r w:rsidRPr="004D6B25">
        <w:rPr>
          <w:b/>
          <w:bCs/>
          <w:u w:val="single"/>
        </w:rPr>
        <w:t>Multi-</w:t>
      </w:r>
      <w:r w:rsidR="004F570C" w:rsidRPr="004D6B25">
        <w:rPr>
          <w:b/>
          <w:bCs/>
          <w:u w:val="single"/>
        </w:rPr>
        <w:t>S</w:t>
      </w:r>
      <w:r w:rsidRPr="004D6B25">
        <w:rPr>
          <w:b/>
          <w:bCs/>
          <w:u w:val="single"/>
        </w:rPr>
        <w:t xml:space="preserve">tage </w:t>
      </w:r>
      <w:r w:rsidR="004F570C" w:rsidRPr="004D6B25">
        <w:rPr>
          <w:b/>
          <w:bCs/>
          <w:u w:val="single"/>
        </w:rPr>
        <w:t>F</w:t>
      </w:r>
      <w:r w:rsidRPr="004D6B25">
        <w:rPr>
          <w:b/>
          <w:bCs/>
          <w:u w:val="single"/>
        </w:rPr>
        <w:t xml:space="preserve">lash </w:t>
      </w:r>
      <w:r w:rsidR="004F570C" w:rsidRPr="004D6B25">
        <w:rPr>
          <w:b/>
          <w:bCs/>
          <w:u w:val="single"/>
        </w:rPr>
        <w:t>Desalination</w:t>
      </w:r>
      <w:r w:rsidRPr="004D6B25">
        <w:rPr>
          <w:b/>
          <w:bCs/>
          <w:u w:val="single"/>
        </w:rPr>
        <w:t xml:space="preserve"> (MSF)</w:t>
      </w:r>
    </w:p>
    <w:p w14:paraId="4642463E" w14:textId="25D7AB68" w:rsidR="00EA0216" w:rsidRPr="004834D3" w:rsidRDefault="00121047" w:rsidP="004D6B25">
      <w:pPr>
        <w:spacing w:before="240" w:after="240" w:line="480" w:lineRule="auto"/>
        <w:jc w:val="both"/>
        <w:rPr>
          <w:rFonts w:cstheme="majorBidi"/>
          <w:kern w:val="0"/>
        </w:rPr>
      </w:pPr>
      <w:r w:rsidRPr="004834D3">
        <w:rPr>
          <w:rFonts w:cstheme="majorBidi"/>
          <w:kern w:val="0"/>
        </w:rPr>
        <w:t xml:space="preserve">The MSF process shares some similarities with the previously described </w:t>
      </w:r>
      <w:r w:rsidR="00DE4334" w:rsidRPr="004834D3">
        <w:rPr>
          <w:rFonts w:cstheme="majorBidi"/>
          <w:kern w:val="0"/>
        </w:rPr>
        <w:t>MED</w:t>
      </w:r>
      <w:r w:rsidRPr="004834D3">
        <w:rPr>
          <w:rFonts w:cstheme="majorBidi"/>
          <w:kern w:val="0"/>
        </w:rPr>
        <w:t xml:space="preserve"> process. Both require an initial heat supply, often utilizing steam from a power plant, and rely on decreasing pressure to promote vapor production</w:t>
      </w:r>
      <w:r w:rsidR="00F01C91" w:rsidRPr="004834D3">
        <w:rPr>
          <w:rFonts w:cstheme="majorBidi"/>
          <w:kern w:val="0"/>
        </w:rPr>
        <w:t xml:space="preserve"> </w:t>
      </w:r>
      <w:r w:rsidR="00F01C91" w:rsidRPr="004834D3">
        <w:rPr>
          <w:rFonts w:cstheme="majorBidi"/>
          <w:kern w:val="0"/>
        </w:rPr>
        <w:fldChar w:fldCharType="begin" w:fldLock="1"/>
      </w:r>
      <w:r w:rsidR="00D83446">
        <w:rPr>
          <w:rFonts w:cstheme="majorBidi"/>
          <w:kern w:val="0"/>
        </w:rPr>
        <w:instrText>ADDIN CSL_CITATION {"citationItems":[{"id":"ITEM-1","itemData":{"DOI":"10.1016/j.desal.2005.03.004","ISSN":"00119164","abstract":"In this paper a brief history of desalination plants in Sicily is presented together with an in-depth description of processes and operating data, relevant to the plants actually operating on the island. 5 multi stage flash (MSF) units and one reverse osmosis (RO)plant are operating in Gela (total nominal production of about 80,000 m3/d), thus providing drinking water for more than 300,000 people living in the southern coast of the island. A thermal vapour compression multiple effect distillation (TVC-MED) plant (36,000 m3/d) is operating in Trapani and a small mechanical vapour compression (MVC) unit (5000 m3/d) is located in Porto Empedocle. In the oldest MSF units in Gela, several revamping actions have been done in order to maintain an outstanding efficient operation of the plant, regardless its long working history, whereas the other plants have shown some difficulties in operation. All these matters, together with an analysis of consumptions and operating costs, are critically and thoroughly discussed in the paper. Finally some proposals of new plants in severely droughty areas are given. © 2005 Elsevier B.V. All rights reserved.","author":[{"dropping-particle":"","family":"Cipollina","given":"Andrea","non-dropping-particle":"","parse-names":false,"suffix":""},{"dropping-particle":"","family":"Micale","given":"Giorgio","non-dropping-particle":"","parse-names":false,"suffix":""},{"dropping-particle":"","family":"Rizzuti","given":"Lucio","non-dropping-particle":"","parse-names":false,"suffix":""}],"container-title":"Desalination","id":"ITEM-1","issue":"1-3","issued":{"date-parts":[["2005"]]},"page":"1-12","publisher":"Elsevier","title":"A critical assessment of desalination operations in Sicily","type":"article-journal","volume":"182"},"uris":["http://www.mendeley.com/documents/?uuid=b63ccc7b-fcde-4023-a324-5e932a961970"]}],"mendeley":{"formattedCitation":"[49]","plainTextFormattedCitation":"[49]","previouslyFormattedCitation":"[50]"},"properties":{"noteIndex":0},"schema":"https://github.com/citation-style-language/schema/raw/master/csl-citation.json"}</w:instrText>
      </w:r>
      <w:r w:rsidR="00F01C91" w:rsidRPr="004834D3">
        <w:rPr>
          <w:rFonts w:cstheme="majorBidi"/>
          <w:kern w:val="0"/>
        </w:rPr>
        <w:fldChar w:fldCharType="separate"/>
      </w:r>
      <w:r w:rsidR="00D83446" w:rsidRPr="00D83446">
        <w:rPr>
          <w:rFonts w:cstheme="majorBidi"/>
          <w:noProof/>
          <w:kern w:val="0"/>
        </w:rPr>
        <w:t>[49]</w:t>
      </w:r>
      <w:r w:rsidR="00F01C91" w:rsidRPr="004834D3">
        <w:rPr>
          <w:rFonts w:cstheme="majorBidi"/>
          <w:kern w:val="0"/>
        </w:rPr>
        <w:fldChar w:fldCharType="end"/>
      </w:r>
      <w:r w:rsidRPr="004834D3">
        <w:rPr>
          <w:rFonts w:cstheme="majorBidi"/>
          <w:kern w:val="0"/>
        </w:rPr>
        <w:t>. The basic principle of MSF d</w:t>
      </w:r>
      <w:r w:rsidR="004F570C">
        <w:rPr>
          <w:rFonts w:cstheme="majorBidi"/>
          <w:kern w:val="0"/>
        </w:rPr>
        <w:t>esalination</w:t>
      </w:r>
      <w:r w:rsidRPr="004834D3">
        <w:rPr>
          <w:rFonts w:cstheme="majorBidi"/>
          <w:kern w:val="0"/>
        </w:rPr>
        <w:t xml:space="preserve"> is flash evaporation. In the MSF process, </w:t>
      </w:r>
      <w:r w:rsidR="004F570C">
        <w:rPr>
          <w:rFonts w:cstheme="majorBidi"/>
          <w:kern w:val="0"/>
        </w:rPr>
        <w:t>saline water</w:t>
      </w:r>
      <w:r w:rsidRPr="004834D3">
        <w:rPr>
          <w:rFonts w:cstheme="majorBidi"/>
          <w:kern w:val="0"/>
        </w:rPr>
        <w:t xml:space="preserve"> input is pressurized and heated to the maximum allowable temperature. When this heated liquid is discharged into a chamber held slightly below the saturation vapor pressure of water, a portion of its water content converts to steam. This flash vapor is then separated from suspended brine droplets as it passes through a mist eliminator and condenses on the outer surface of heat transfer pipes. The condensed liquid drips into trays, producing hot freshwater</w:t>
      </w:r>
      <w:r w:rsidR="00070F44" w:rsidRPr="004834D3">
        <w:rPr>
          <w:rFonts w:cstheme="majorBidi"/>
          <w:kern w:val="0"/>
        </w:rPr>
        <w:t xml:space="preserve"> </w:t>
      </w:r>
      <w:r w:rsidR="00070F44" w:rsidRPr="004834D3">
        <w:rPr>
          <w:rFonts w:cstheme="majorBidi"/>
          <w:kern w:val="0"/>
        </w:rPr>
        <w:fldChar w:fldCharType="begin" w:fldLock="1"/>
      </w:r>
      <w:r w:rsidR="00D83446">
        <w:rPr>
          <w:rFonts w:cstheme="majorBidi"/>
          <w:kern w:val="0"/>
        </w:rPr>
        <w:instrText>ADDIN CSL_CITATION {"citationItems":[{"id":"ITEM-1","itemData":{"DOI":"10.3390/en12010119","ISSN":"19961073","abstract":"Fresh water resources are depleting rapidly as the water demand around the world continues to increase. Fresh water resources are also not equally distributed geographically worldwide. The best way to tackle this situation is to use solar energy for desalination to not only cater for the water needs of humanity, but also to offset some detrimental environmental effects of desalination. A comprehensive review of the latest literature on various desalination technologies utilizing solar energy is presented here. This paper also highlights the environmental impacts of desalination technologies along with an economic analysis and cost comparison of conventional desalination methods with different solar energy based technologies. This review is part of an investigation into integration of solar thermal desalination into existing grid infrastructure in the Australian context.","author":[{"dropping-particle":"","family":"Ullah","given":"Ihsan","non-dropping-particle":"","parse-names":false,"suffix":""},{"dropping-particle":"","family":"Rasul","given":"Mohammad G.","non-dropping-particle":"","parse-names":false,"suffix":""}],"container-title":"Energies","id":"ITEM-1","issue":"1","issued":{"date-parts":[["2019"]]},"title":"Recent developments in solar thermal desalination technologies: A review","type":"article-journal","volume":"12"},"uris":["http://www.mendeley.com/documents/?uuid=bfc25097-526d-46f7-9770-c35544c31baa"]}],"mendeley":{"formattedCitation":"[50]","plainTextFormattedCitation":"[50]","previouslyFormattedCitation":"[51]"},"properties":{"noteIndex":0},"schema":"https://github.com/citation-style-language/schema/raw/master/csl-citation.json"}</w:instrText>
      </w:r>
      <w:r w:rsidR="00070F44" w:rsidRPr="004834D3">
        <w:rPr>
          <w:rFonts w:cstheme="majorBidi"/>
          <w:kern w:val="0"/>
        </w:rPr>
        <w:fldChar w:fldCharType="separate"/>
      </w:r>
      <w:r w:rsidR="00D83446" w:rsidRPr="00D83446">
        <w:rPr>
          <w:rFonts w:cstheme="majorBidi"/>
          <w:noProof/>
          <w:kern w:val="0"/>
        </w:rPr>
        <w:t>[50]</w:t>
      </w:r>
      <w:r w:rsidR="00070F44" w:rsidRPr="004834D3">
        <w:rPr>
          <w:rFonts w:cstheme="majorBidi"/>
          <w:kern w:val="0"/>
        </w:rPr>
        <w:fldChar w:fldCharType="end"/>
      </w:r>
      <w:r w:rsidRPr="004834D3">
        <w:rPr>
          <w:rFonts w:cstheme="majorBidi"/>
          <w:kern w:val="0"/>
        </w:rPr>
        <w:t xml:space="preserve">. To maximize output and maintain economic efficiency, regenerative heating is typically performed. </w:t>
      </w:r>
      <w:r w:rsidR="00DE4334" w:rsidRPr="004834D3">
        <w:rPr>
          <w:rFonts w:cstheme="majorBidi"/>
          <w:kern w:val="0"/>
        </w:rPr>
        <w:t>Therefore, t</w:t>
      </w:r>
      <w:r w:rsidRPr="004834D3">
        <w:rPr>
          <w:rFonts w:cstheme="majorBidi"/>
          <w:kern w:val="0"/>
        </w:rPr>
        <w:t xml:space="preserve">his process involves distinct stages, with the temperature of incoming saline water gradually </w:t>
      </w:r>
      <w:r w:rsidR="00DE4334" w:rsidRPr="004834D3">
        <w:rPr>
          <w:rFonts w:cstheme="majorBidi"/>
          <w:kern w:val="0"/>
        </w:rPr>
        <w:t>increasing</w:t>
      </w:r>
      <w:r w:rsidRPr="004834D3">
        <w:rPr>
          <w:rFonts w:cstheme="majorBidi"/>
          <w:kern w:val="0"/>
        </w:rPr>
        <w:t xml:space="preserve"> at each stage. Modern MSF plants use multi-stage evaporators with 19 to 28 stages</w:t>
      </w:r>
      <w:r w:rsidR="00070F44" w:rsidRPr="004834D3">
        <w:rPr>
          <w:rFonts w:cstheme="majorBidi"/>
          <w:kern w:val="0"/>
        </w:rPr>
        <w:t xml:space="preserve"> </w:t>
      </w:r>
      <w:r w:rsidR="00070F44" w:rsidRPr="004834D3">
        <w:rPr>
          <w:rFonts w:cstheme="majorBidi"/>
          <w:kern w:val="0"/>
        </w:rPr>
        <w:fldChar w:fldCharType="begin" w:fldLock="1"/>
      </w:r>
      <w:r w:rsidR="00D83446">
        <w:rPr>
          <w:rFonts w:cstheme="majorBidi"/>
          <w:kern w:val="0"/>
        </w:rPr>
        <w:instrText>ADDIN CSL_CITATION {"citationItems":[{"id":"ITEM-1","itemData":{"DOI":"10.1016/S0011-9164(01)00261-2","ISSN":"00119164","abstract":"Between the fourth quarter of 1999 and the middle of 2001, the desalinated water production in the UAE will be increased by 30%. Several desalination projects have been started on a \"fast track\" mode with record completion time. Various new techniques have been adopted, from the technical or financial aspects, for these fast track projects. The largest seawater MED plant (2×3.5 MIGD) was commissioned in Abu Dhabi in November 2000 and the largest MED project (50 MIGD) has recently been awarded for Al Taweelah A1. In Sharjah 2×5 MIGD MED plants are now under construction with a target completion in June 2001. While the unit size of MED plants has been steadily increasing (3.5 MIGD plants successfully commissioned in Abu Dhabi and 5 MIGD plants under construction at Sharjah), MSF plants are also increasing in unit size. Most of the major projects recently constructed or under construction in the UAE comprise large MSF plants, output ranging from 7.5-12.5 MIGD. This paper aims at describing these projects and reviews the technological innovations and project implementation methods employed in the projects.","author":[{"dropping-particle":"","family":"Sommariva","given":"C.","non-dropping-particle":"","parse-names":false,"suffix":""},{"dropping-particle":"","family":"Syambabu","given":"V. S.N.","non-dropping-particle":"","parse-names":false,"suffix":""}],"container-title":"Desalination","id":"ITEM-1","issue":"1-3","issued":{"date-parts":[["2001"]]},"page":"173-179","publisher":"Elsevier","title":"Increase in water production in UAE","type":"article-journal","volume":"138"},"uris":["http://www.mendeley.com/documents/?uuid=ebfc8825-8b9e-4a9c-98b3-03470d2de986"]}],"mendeley":{"formattedCitation":"[51]","plainTextFormattedCitation":"[51]","previouslyFormattedCitation":"[52]"},"properties":{"noteIndex":0},"schema":"https://github.com/citation-style-language/schema/raw/master/csl-citation.json"}</w:instrText>
      </w:r>
      <w:r w:rsidR="00070F44" w:rsidRPr="004834D3">
        <w:rPr>
          <w:rFonts w:cstheme="majorBidi"/>
          <w:kern w:val="0"/>
        </w:rPr>
        <w:fldChar w:fldCharType="separate"/>
      </w:r>
      <w:r w:rsidR="00D83446" w:rsidRPr="00D83446">
        <w:rPr>
          <w:rFonts w:cstheme="majorBidi"/>
          <w:noProof/>
          <w:kern w:val="0"/>
        </w:rPr>
        <w:t>[51]</w:t>
      </w:r>
      <w:r w:rsidR="00070F44" w:rsidRPr="004834D3">
        <w:rPr>
          <w:rFonts w:cstheme="majorBidi"/>
          <w:kern w:val="0"/>
        </w:rPr>
        <w:fldChar w:fldCharType="end"/>
      </w:r>
      <w:r w:rsidRPr="004834D3">
        <w:rPr>
          <w:rFonts w:cstheme="majorBidi"/>
          <w:kern w:val="0"/>
        </w:rPr>
        <w:t xml:space="preserve">, enabling production volumes of 10,000 to 40,000 </w:t>
      </w:r>
      <w:r w:rsidR="00DE4334" w:rsidRPr="004834D3">
        <w:rPr>
          <w:rFonts w:cstheme="majorBidi"/>
          <w:kern w:val="0"/>
        </w:rPr>
        <w:t>m</w:t>
      </w:r>
      <w:r w:rsidR="00DE4334" w:rsidRPr="004834D3">
        <w:rPr>
          <w:rFonts w:cstheme="majorBidi"/>
          <w:kern w:val="0"/>
          <w:vertAlign w:val="superscript"/>
        </w:rPr>
        <w:t>3</w:t>
      </w:r>
      <w:r w:rsidR="00DE4334" w:rsidRPr="004834D3">
        <w:rPr>
          <w:rFonts w:cstheme="majorBidi"/>
          <w:kern w:val="0"/>
        </w:rPr>
        <w:t>/day</w:t>
      </w:r>
      <w:r w:rsidR="00070F44" w:rsidRPr="004834D3">
        <w:rPr>
          <w:rFonts w:cstheme="majorBidi"/>
          <w:kern w:val="0"/>
        </w:rPr>
        <w:t xml:space="preserve"> </w:t>
      </w:r>
      <w:r w:rsidR="00070F44" w:rsidRPr="004834D3">
        <w:rPr>
          <w:rFonts w:cstheme="majorBidi"/>
          <w:kern w:val="0"/>
        </w:rPr>
        <w:fldChar w:fldCharType="begin" w:fldLock="1"/>
      </w:r>
      <w:r w:rsidR="00D83446">
        <w:rPr>
          <w:rFonts w:cstheme="majorBidi"/>
          <w:kern w:val="0"/>
        </w:rPr>
        <w:instrText>ADDIN CSL_CITATION {"citationItems":[{"id":"ITEM-1","itemData":{"DOI":"10.1016/j.rser.2014.09.002","ISSN":"18790690","abstract":"Water plays an important role in all our day to day activities and its consumption is increasing day by day because of increased living standards of mankind. Some regions of the globe are under severe stress due to water scarcity and pollution. The fresh water needs of mankind can be only satisfied if saline water which is available in plenty is converted to potable water by desalination. Desalination industry has shown increased threats of CO2 emissions and severe environmental impacts. Desalination industry can be made sustainable if they are integrated with renewable energy and if proper brine disposal methods are followed. In this review different desalination units integrated with renewable energy with special emphasis given to solar energy is discussed. The problems associated with desalination units and their remedies have been presented. Apart from this some novel methods of desalination process has also been explained. This review will allow the researchers to choose appropriate desalination technology for further development.","author":[{"dropping-particle":"","family":"Sharon","given":"H.","non-dropping-particle":"","parse-names":false,"suffix":""},{"dropping-particle":"","family":"Reddy","given":"K. S.","non-dropping-particle":"","parse-names":false,"suffix":""}],"container-title":"Renewable and Sustainable Energy Reviews","id":"ITEM-1","issued":{"date-parts":[["2015"]]},"page":"1080-1118","publisher":"Elsevier","title":"A review of solar energy driven desalination technologies","type":"article-journal","volume":"41"},"uris":["http://www.mendeley.com/documents/?uuid=2a05625a-1b9b-4361-87d1-af3487fc72a5"]}],"mendeley":{"formattedCitation":"[48]","plainTextFormattedCitation":"[48]","previouslyFormattedCitation":"[49]"},"properties":{"noteIndex":0},"schema":"https://github.com/citation-style-language/schema/raw/master/csl-citation.json"}</w:instrText>
      </w:r>
      <w:r w:rsidR="00070F44" w:rsidRPr="004834D3">
        <w:rPr>
          <w:rFonts w:cstheme="majorBidi"/>
          <w:kern w:val="0"/>
        </w:rPr>
        <w:fldChar w:fldCharType="separate"/>
      </w:r>
      <w:r w:rsidR="00D83446" w:rsidRPr="00D83446">
        <w:rPr>
          <w:rFonts w:cstheme="majorBidi"/>
          <w:noProof/>
          <w:kern w:val="0"/>
        </w:rPr>
        <w:t>[48]</w:t>
      </w:r>
      <w:r w:rsidR="00070F44" w:rsidRPr="004834D3">
        <w:rPr>
          <w:rFonts w:cstheme="majorBidi"/>
          <w:kern w:val="0"/>
        </w:rPr>
        <w:fldChar w:fldCharType="end"/>
      </w:r>
      <w:r w:rsidRPr="004834D3">
        <w:rPr>
          <w:rFonts w:cstheme="majorBidi"/>
          <w:kern w:val="0"/>
        </w:rPr>
        <w:t xml:space="preserve">. The advantages of the MSF system for desalination include its reliability for large-scale </w:t>
      </w:r>
      <w:r w:rsidR="004F570C">
        <w:rPr>
          <w:rFonts w:cstheme="majorBidi"/>
          <w:kern w:val="0"/>
        </w:rPr>
        <w:t>desalinated</w:t>
      </w:r>
      <w:r w:rsidRPr="004834D3">
        <w:rPr>
          <w:rFonts w:cstheme="majorBidi"/>
          <w:kern w:val="0"/>
        </w:rPr>
        <w:t xml:space="preserve"> water production, tolerance to varying </w:t>
      </w:r>
      <w:r w:rsidR="00DE4334" w:rsidRPr="004834D3">
        <w:rPr>
          <w:rFonts w:cstheme="majorBidi"/>
          <w:kern w:val="0"/>
        </w:rPr>
        <w:t>saline water</w:t>
      </w:r>
      <w:r w:rsidRPr="004834D3">
        <w:rPr>
          <w:rFonts w:cstheme="majorBidi"/>
          <w:kern w:val="0"/>
        </w:rPr>
        <w:t xml:space="preserve"> quality, and the high </w:t>
      </w:r>
      <w:r w:rsidRPr="004834D3">
        <w:rPr>
          <w:rFonts w:cstheme="majorBidi"/>
          <w:kern w:val="0"/>
        </w:rPr>
        <w:lastRenderedPageBreak/>
        <w:t xml:space="preserve">quality of the </w:t>
      </w:r>
      <w:r w:rsidR="004F570C">
        <w:rPr>
          <w:rFonts w:cstheme="majorBidi"/>
          <w:kern w:val="0"/>
        </w:rPr>
        <w:t>desalinated</w:t>
      </w:r>
      <w:r w:rsidRPr="004834D3">
        <w:rPr>
          <w:rFonts w:cstheme="majorBidi"/>
          <w:kern w:val="0"/>
        </w:rPr>
        <w:t xml:space="preserve"> water. However, this technology also has disadvantages, such as high energy consumption and the considerable expense of the plant</w:t>
      </w:r>
      <w:r w:rsidR="00EE1261" w:rsidRPr="004834D3">
        <w:rPr>
          <w:rFonts w:cstheme="majorBidi"/>
          <w:kern w:val="0"/>
        </w:rPr>
        <w:t xml:space="preserve"> </w:t>
      </w:r>
      <w:r w:rsidR="00EE1261" w:rsidRPr="004834D3">
        <w:rPr>
          <w:rFonts w:cstheme="majorBidi"/>
          <w:kern w:val="0"/>
        </w:rPr>
        <w:fldChar w:fldCharType="begin" w:fldLock="1"/>
      </w:r>
      <w:r w:rsidR="00D83446">
        <w:rPr>
          <w:rFonts w:cstheme="majorBidi"/>
          <w:kern w:val="0"/>
        </w:rPr>
        <w:instrText>ADDIN CSL_CITATION {"citationItems":[{"id":"ITEM-1","itemData":{"DOI":"10.1016/j.desal.2010.08.035","ISSN":"00119164","abstract":"This paper presents a comprehensive review and assessment of desalination technologies such as thermal which includes multi-stage flash (MSF) and multiple effect distillation (MED), membrane reverse osmosis (RO), and hybrid (MSF/MED-RO). The assessment includes energy requirements, water production cost, technology growth trends, environmental impact and potential for the technology improvements. Comparison and technology matrix of commercial technologies are highlighted. The global desalination policies for the major desalination user countries, Kingdom of Saudi Arabia (KSA), United States of America (USA), Spain, China and Kuwait are given. More detailed analysis of desalination, cogeneration, and water situation in the United Arab Emirates (UAE) with some related recommendations for future policy and plans are also presented. © 2010 Elsevier B.V.","author":[{"dropping-particle":"","family":"Mezher","given":"Toufic","non-dropping-particle":"","parse-names":false,"suffix":""},{"dropping-particle":"","family":"Fath","given":"Hassan","non-dropping-particle":"","parse-names":false,"suffix":""},{"dropping-particle":"","family":"Abbas","given":"Zeina","non-dropping-particle":"","parse-names":false,"suffix":""},{"dropping-particle":"","family":"Khaled","given":"Arslan","non-dropping-particle":"","parse-names":false,"suffix":""}],"container-title":"Desalination","id":"ITEM-1","issue":"1-3","issued":{"date-parts":[["2011"]]},"page":"263-273","publisher":"Elsevier","title":"Techno-economic assessment and environmental impacts of desalination technologies","type":"article-journal","volume":"266"},"uris":["http://www.mendeley.com/documents/?uuid=5ecc0d25-4e57-4182-bcbd-205b22bf2d4b"]}],"mendeley":{"formattedCitation":"[52]","plainTextFormattedCitation":"[52]","previouslyFormattedCitation":"[53]"},"properties":{"noteIndex":0},"schema":"https://github.com/citation-style-language/schema/raw/master/csl-citation.json"}</w:instrText>
      </w:r>
      <w:r w:rsidR="00EE1261" w:rsidRPr="004834D3">
        <w:rPr>
          <w:rFonts w:cstheme="majorBidi"/>
          <w:kern w:val="0"/>
        </w:rPr>
        <w:fldChar w:fldCharType="separate"/>
      </w:r>
      <w:r w:rsidR="00D83446" w:rsidRPr="00D83446">
        <w:rPr>
          <w:rFonts w:cstheme="majorBidi"/>
          <w:noProof/>
          <w:kern w:val="0"/>
        </w:rPr>
        <w:t>[52]</w:t>
      </w:r>
      <w:r w:rsidR="00EE1261" w:rsidRPr="004834D3">
        <w:rPr>
          <w:rFonts w:cstheme="majorBidi"/>
          <w:kern w:val="0"/>
        </w:rPr>
        <w:fldChar w:fldCharType="end"/>
      </w:r>
      <w:r w:rsidRPr="004834D3">
        <w:rPr>
          <w:rFonts w:cstheme="majorBidi"/>
          <w:kern w:val="0"/>
        </w:rPr>
        <w:t>.</w:t>
      </w:r>
      <w:r w:rsidR="009F7F17">
        <w:rPr>
          <w:rFonts w:cstheme="majorBidi"/>
          <w:kern w:val="0"/>
        </w:rPr>
        <w:t xml:space="preserve"> </w:t>
      </w:r>
      <w:r w:rsidR="009F7F17" w:rsidRPr="004834D3">
        <w:rPr>
          <w:rFonts w:cstheme="majorBidi"/>
          <w:kern w:val="0"/>
        </w:rPr>
        <w:fldChar w:fldCharType="begin" w:fldLock="1"/>
      </w:r>
      <w:r w:rsidR="009F7F17">
        <w:rPr>
          <w:rFonts w:cstheme="majorBidi"/>
          <w:kern w:val="0"/>
        </w:rPr>
        <w:instrText>ADDIN CSL_CITATION {"citationItems":[{"id":"ITEM-1","itemData":{"ISBN":"0849311446","ISSN":"00911666","abstract":"Desalting, as discussed in this booklet, refers to a water treatment process that removes salts from water. It is also called desalination or desalinization , but it means the same thing. Desalting can be done in a number of ways, but the result is always the same: fresh water is produced from brackish or seawater. Desalting technologies can be used for a number of applications, but the purpose of this booklet is to discuss the use of desalting to produce potable water from saline water for domestic or municipal purposes. Throughout history, people have continually tried to treat salty water so that it could be used for drinking and agriculture. Of all the globe’s water, 94 percent is salt water from the oceans and 6 percent is fresh. Of the latter, about 27 percent is in glaciers and 72 percent is underground. While this water is important for transportation and fisheries, it is too salty to sustain human life or farming. Desalting techniques have increased the range of water resources available for use by a community. Until recently, only water with a dissolved solids (salt) content generally below about 1,000 milligrams per liter (mg/L) was considered acceptable for a community water supply. This limitation sometimes restricted the size and location of communities around the world and often led to hardship to many that could not afford to live near a ready supply of fresh water. The application of desalting technologies over the past 50 years has changed this in many places. Villages, cities, and industries have now developed or grown in many of the arid and water-short areas of the world where sea or brackish waters are avail- able and have been treated with desalting techniques. This change has been very noticeable in parts of the arid Middle East, North Africa, and some of the islands of the Caribbean, where the lack of fresh water severely limited development. Now, modern cities and major industries have developed in some of those areas thanks to the avail- ability of fresh water produced by desalting brackish water and seawater.","author":[{"dropping-particle":"","family":"Buros","given":"O. K.","non-dropping-particle":"","parse-names":false,"suffix":""}],"container-title":"International Desalination Association,Topsfield, Mass","id":"ITEM-1","issue":"2","issued":{"date-parts":[["2000"]]},"number-of-pages":"1- 32","publisher":"International Desalination Association Topsfield, MA","title":"The ABCs of Desalting","type":"book","volume":"2"},"uris":["http://www.mendeley.com/documents/?uuid=59865fff-c255-4919-ad94-a9a20cc27d28"]}],"mendeley":{"formattedCitation":"[45]","plainTextFormattedCitation":"[45]","previouslyFormattedCitation":"[46]"},"properties":{"noteIndex":0},"schema":"https://github.com/citation-style-language/schema/raw/master/csl-citation.json"}</w:instrText>
      </w:r>
      <w:r w:rsidR="009F7F17" w:rsidRPr="004834D3">
        <w:rPr>
          <w:rFonts w:cstheme="majorBidi"/>
          <w:kern w:val="0"/>
        </w:rPr>
        <w:fldChar w:fldCharType="separate"/>
      </w:r>
      <w:r w:rsidR="009F7F17" w:rsidRPr="00D83446">
        <w:rPr>
          <w:rFonts w:cstheme="majorBidi"/>
          <w:noProof/>
          <w:kern w:val="0"/>
        </w:rPr>
        <w:t>[45]</w:t>
      </w:r>
      <w:r w:rsidR="009F7F17" w:rsidRPr="004834D3">
        <w:rPr>
          <w:rFonts w:cstheme="majorBidi"/>
          <w:kern w:val="0"/>
        </w:rPr>
        <w:fldChar w:fldCharType="end"/>
      </w:r>
      <w:r w:rsidR="009F7F17" w:rsidRPr="004834D3">
        <w:rPr>
          <w:rFonts w:cstheme="majorBidi"/>
          <w:kern w:val="0"/>
        </w:rPr>
        <w:t xml:space="preserve">. </w:t>
      </w:r>
      <w:r w:rsidR="009F7F17">
        <w:rPr>
          <w:rFonts w:cstheme="majorBidi"/>
          <w:kern w:val="0"/>
        </w:rPr>
        <w:t>A schematic of the MSF desalination process is shown in Fig.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C420B" w:rsidRPr="004834D3" w14:paraId="6DD28182" w14:textId="77777777" w:rsidTr="008C4473">
        <w:tc>
          <w:tcPr>
            <w:tcW w:w="9350" w:type="dxa"/>
          </w:tcPr>
          <w:p w14:paraId="5D85B736" w14:textId="4F85B1C1" w:rsidR="005C420B" w:rsidRPr="004834D3" w:rsidRDefault="00F40732" w:rsidP="004D6B25">
            <w:pPr>
              <w:spacing w:line="480" w:lineRule="auto"/>
              <w:jc w:val="both"/>
              <w:rPr>
                <w:rFonts w:cstheme="majorBidi"/>
                <w:kern w:val="0"/>
              </w:rPr>
            </w:pPr>
            <w:r w:rsidRPr="004834D3">
              <w:rPr>
                <w:rFonts w:cstheme="majorBidi"/>
                <w:noProof/>
              </w:rPr>
              <w:drawing>
                <wp:anchor distT="0" distB="0" distL="114300" distR="114300" simplePos="0" relativeHeight="251662336" behindDoc="0" locked="0" layoutInCell="1" allowOverlap="1" wp14:anchorId="570121F0" wp14:editId="75D7A345">
                  <wp:simplePos x="988398" y="4978987"/>
                  <wp:positionH relativeFrom="margin">
                    <wp:align>center</wp:align>
                  </wp:positionH>
                  <wp:positionV relativeFrom="margin">
                    <wp:align>center</wp:align>
                  </wp:positionV>
                  <wp:extent cx="4772113" cy="1828800"/>
                  <wp:effectExtent l="0" t="0" r="9525" b="0"/>
                  <wp:wrapSquare wrapText="bothSides"/>
                  <wp:docPr id="2090882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82542" name=""/>
                          <pic:cNvPicPr/>
                        </pic:nvPicPr>
                        <pic:blipFill>
                          <a:blip r:embed="rId14" cstate="print">
                            <a:extLst>
                              <a:ext uri="{28A0092B-C50C-407E-A947-70E740481C1C}">
                                <a14:useLocalDpi xmlns:a14="http://schemas.microsoft.com/office/drawing/2010/main"/>
                              </a:ext>
                            </a:extLst>
                          </a:blip>
                          <a:stretch>
                            <a:fillRect/>
                          </a:stretch>
                        </pic:blipFill>
                        <pic:spPr>
                          <a:xfrm>
                            <a:off x="0" y="0"/>
                            <a:ext cx="4772113" cy="1828800"/>
                          </a:xfrm>
                          <a:prstGeom prst="rect">
                            <a:avLst/>
                          </a:prstGeom>
                        </pic:spPr>
                      </pic:pic>
                    </a:graphicData>
                  </a:graphic>
                </wp:anchor>
              </w:drawing>
            </w:r>
          </w:p>
        </w:tc>
      </w:tr>
      <w:tr w:rsidR="005C420B" w:rsidRPr="004834D3" w14:paraId="29B35117" w14:textId="77777777" w:rsidTr="008C4473">
        <w:tc>
          <w:tcPr>
            <w:tcW w:w="9350" w:type="dxa"/>
          </w:tcPr>
          <w:p w14:paraId="3FBF51D6" w14:textId="6058F6B8" w:rsidR="005C420B" w:rsidRPr="008C4473" w:rsidRDefault="008C4473" w:rsidP="004D6B25">
            <w:pPr>
              <w:pStyle w:val="Caption"/>
              <w:spacing w:after="0" w:line="480" w:lineRule="auto"/>
              <w:jc w:val="center"/>
            </w:pPr>
            <w:bookmarkStart w:id="16" w:name="_Toc172708808"/>
            <w:r w:rsidRPr="008C4473">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1</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6</w:t>
            </w:r>
            <w:r w:rsidR="00996526">
              <w:rPr>
                <w:b/>
                <w:bCs/>
              </w:rPr>
              <w:fldChar w:fldCharType="end"/>
            </w:r>
            <w:r>
              <w:t xml:space="preserve"> Schematic of the MSF desalination </w:t>
            </w:r>
            <w:r w:rsidR="005C420B" w:rsidRPr="004834D3">
              <w:rPr>
                <w:rFonts w:cstheme="majorBidi"/>
              </w:rPr>
              <w:fldChar w:fldCharType="begin" w:fldLock="1"/>
            </w:r>
            <w:r w:rsidR="00D83446">
              <w:rPr>
                <w:rFonts w:cstheme="majorBidi"/>
              </w:rPr>
              <w:instrText>ADDIN CSL_CITATION {"citationItems":[{"id":"ITEM-1","itemData":{"DOI":"10.1016/B978-0-12-813306-4.00013-6","ISBN":"9780128133064","abstract":"Increased water scarcity across increasing world populations has led to a greater demand for desalination. However, the energy intensity and subsequent high costs of desalination remain the main barrier for widespread deployment of desalination systems. Add to this, the sustainability concerns of fossil fuel energy sources. This challenge has led to focused international research on the energy-water nexus. In recent years, several types of renewable energy have been integrated with a variety of desalination processes. Various large-capacity, renewable-desalination (RE-desalination) plants have been built across the world, especially in Middle Eastern countries, where water is relatively scarce and renewable resources are abundant and accessible. In addition, the reduction in the cost of photovoltaic (PV) panels by almost 80% over the last decade has contributed to their greater economy and wide deployment worldwide. For remote areas, it is now reasonable to consider offgrid, small-capacity RE-desalination systems, since in these regions transportation of fuel or water and connection to the grid are prohibitively expensive or impractical. Various renewable energies-such as solar, wind, and geothermal-can be coupled with many desalination methods, based on the availability of these resources in different locations, and also on other factors such as reliability required or the capital cost of establishment. This chapter reviews these various methods of desalination and configurations of RE-desalination systems currently in use, or under development. In addition, the issues relating to grid connectivity of RE-desalination systems and the economy of grid connection versus complete or partial energy independence are explained.","author":[{"dropping-particle":"","family":"Rabiee","given":"Hesamoddin","non-dropping-particle":"","parse-names":false,"suffix":""},{"dropping-particle":"","family":"Khalilpour","given":"Kaveh Rajab","non-dropping-particle":"","parse-names":false,"suffix":""},{"dropping-particle":"","family":"Betts","given":"John M.","non-dropping-particle":"","parse-names":false,"suffix":""},{"dropping-particle":"","family":"Tapper","given":"Nigel","non-dropping-particle":"","parse-names":false,"suffix":""}],"container-title":"Polygeneration with Polystorage: For Chemical and Energy Hubs","id":"ITEM-1","issued":{"date-parts":[["2018"]]},"page":"409-458","publisher":"Elsevier","title":"Energy-water nexus: Renewable-integrated hybridized desalination systems","type":"article-journal"},"uris":["http://www.mendeley.com/documents/?uuid=e63c2fd8-9cb4-4b36-bf22-053276adf84f"]}],"mendeley":{"formattedCitation":"[30]","plainTextFormattedCitation":"[30]","previouslyFormattedCitation":"[31]"},"properties":{"noteIndex":0},"schema":"https://github.com/citation-style-language/schema/raw/master/csl-citation.json"}</w:instrText>
            </w:r>
            <w:r w:rsidR="005C420B" w:rsidRPr="004834D3">
              <w:rPr>
                <w:rFonts w:cstheme="majorBidi"/>
              </w:rPr>
              <w:fldChar w:fldCharType="separate"/>
            </w:r>
            <w:r w:rsidR="00D83446" w:rsidRPr="00D83446">
              <w:rPr>
                <w:rFonts w:cstheme="majorBidi"/>
                <w:noProof/>
              </w:rPr>
              <w:t>[30]</w:t>
            </w:r>
            <w:bookmarkEnd w:id="16"/>
            <w:r w:rsidR="005C420B" w:rsidRPr="004834D3">
              <w:rPr>
                <w:rFonts w:cstheme="majorBidi"/>
              </w:rPr>
              <w:fldChar w:fldCharType="end"/>
            </w:r>
          </w:p>
        </w:tc>
      </w:tr>
    </w:tbl>
    <w:p w14:paraId="7BC0A179" w14:textId="1375C681" w:rsidR="00062CBD" w:rsidRPr="004D6B25" w:rsidRDefault="00062CBD" w:rsidP="00700DBA">
      <w:pPr>
        <w:pStyle w:val="Heading2"/>
        <w:numPr>
          <w:ilvl w:val="1"/>
          <w:numId w:val="5"/>
        </w:numPr>
        <w:spacing w:before="360" w:after="0" w:line="480" w:lineRule="auto"/>
        <w:ind w:left="432"/>
        <w:rPr>
          <w:sz w:val="24"/>
          <w:szCs w:val="24"/>
        </w:rPr>
      </w:pPr>
      <w:bookmarkStart w:id="17" w:name="_Toc172367667"/>
      <w:r w:rsidRPr="004D6B25">
        <w:rPr>
          <w:sz w:val="24"/>
          <w:szCs w:val="24"/>
        </w:rPr>
        <w:t>B</w:t>
      </w:r>
      <w:r w:rsidR="007063A2" w:rsidRPr="004D6B25">
        <w:rPr>
          <w:sz w:val="24"/>
          <w:szCs w:val="24"/>
        </w:rPr>
        <w:t>r</w:t>
      </w:r>
      <w:r w:rsidRPr="004D6B25">
        <w:rPr>
          <w:sz w:val="24"/>
          <w:szCs w:val="24"/>
        </w:rPr>
        <w:t xml:space="preserve">ine </w:t>
      </w:r>
      <w:r w:rsidR="00706585" w:rsidRPr="004D6B25">
        <w:rPr>
          <w:sz w:val="24"/>
          <w:szCs w:val="24"/>
        </w:rPr>
        <w:t>Management</w:t>
      </w:r>
      <w:bookmarkEnd w:id="17"/>
    </w:p>
    <w:p w14:paraId="09C33200" w14:textId="74D009E0" w:rsidR="00432EF2" w:rsidRPr="004834D3" w:rsidRDefault="0070736E" w:rsidP="004D6B25">
      <w:pPr>
        <w:spacing w:before="240" w:after="240" w:line="480" w:lineRule="auto"/>
        <w:jc w:val="both"/>
        <w:rPr>
          <w:rFonts w:cstheme="majorBidi"/>
          <w:kern w:val="0"/>
        </w:rPr>
      </w:pPr>
      <w:r w:rsidRPr="004834D3">
        <w:rPr>
          <w:rFonts w:cstheme="majorBidi"/>
          <w:kern w:val="0"/>
        </w:rPr>
        <w:t>In desalination, feedwater is separated into two streams: the product stream (freshwater) and the by-product stream (brine). Although desalination produces freshwater, a critical environmental issue is the coproduction of brine. Brine also originates from other industries, including oil and gas production, textiles, and dairy</w:t>
      </w:r>
      <w:r w:rsidR="00EA1B32" w:rsidRPr="004834D3">
        <w:rPr>
          <w:rFonts w:cstheme="majorBidi"/>
          <w:kern w:val="0"/>
        </w:rPr>
        <w:t xml:space="preserve"> </w:t>
      </w:r>
      <w:r w:rsidR="00EA1B32" w:rsidRPr="004834D3">
        <w:rPr>
          <w:rFonts w:cstheme="majorBidi"/>
          <w:kern w:val="0"/>
        </w:rPr>
        <w:fldChar w:fldCharType="begin" w:fldLock="1"/>
      </w:r>
      <w:r w:rsidR="00D83446">
        <w:rPr>
          <w:rFonts w:cstheme="majorBidi"/>
          <w:kern w:val="0"/>
        </w:rPr>
        <w:instrText>ADDIN CSL_CITATION {"citationItems":[{"id":"ITEM-1","itemData":{"DOI":"10.1016/j.jenvman.2021.113681","ISSN":"10958630","PMID":"34521009","abstract":"In the framework of minimum liquid discharge (MLD) or zero liquid discharge (ZLD), sustainable brine management can be achieved via appropriate hybrid treatment technologies that provide water reuse, resource recovery, energy recovery and even freshwater production. This paper reviews the state of the art brine treatment technologies targeting MLD/ZLD and resource recovery and highlights their advantages and limitations. The right combination of treatment processes can add a high value to the brine management and shift the focus from removal to recovery and reuse point and help to adopt a more circular economy approach. ZLD technologies targets 100% water recovery using both membrane- and thermal-based technologies, while they are often hindered by high cost and intensive energy requirement. Meanwhile, the recovery of salts and other resources can partially compensate the operation cost of ZLD processes. MLD is a promising option that achieves up to 95% water recovery by using mainly membrane-based technologies. At this point, feasibility assessment is important to assess the environmental and economic sound of technologies. In the second part, we provide a techno-economic assessment of the most common technologies to provide possible benefits on a desalination plant. In the latter sections, innovative brine treatment schemes are discussed aiming MLD/ZLD, while resource recovery from brine and possible valorization routes of the recovered materials are highlighted to help to reduce the overall costs of the plants and to reach the targets of circular economy.","author":[{"dropping-particle":"","family":"Cipolletta","given":"Giulia","non-dropping-particle":"","parse-names":false,"suffix":""},{"dropping-particle":"","family":"Lancioni","given":"Nicola","non-dropping-particle":"","parse-names":false,"suffix":""},{"dropping-particle":"","family":"Akyol","given":"Çağrı","non-dropping-particle":"","parse-names":false,"suffix":""},{"dropping-particle":"","family":"Eusebi","given":"Anna Laura","non-dropping-particle":"","parse-names":false,"suffix":""},{"dropping-particle":"","family":"Fatone","given":"Francesco","non-dropping-particle":"","parse-names":false,"suffix":""}],"container-title":"Journal of Environmental Management","id":"ITEM-1","issue":"May","issued":{"date-parts":[["2021"]]},"title":"Brine treatment technologies towards minimum/zero liquid discharge and resource recovery: State of the art and techno-economic assessment","type":"article-journal","volume":"300"},"uris":["http://www.mendeley.com/documents/?uuid=fd92b9f4-89db-4311-92b9-67ef4d2d3ff9"]}],"mendeley":{"formattedCitation":"[53]","plainTextFormattedCitation":"[53]","previouslyFormattedCitation":"[54]"},"properties":{"noteIndex":0},"schema":"https://github.com/citation-style-language/schema/raw/master/csl-citation.json"}</w:instrText>
      </w:r>
      <w:r w:rsidR="00EA1B32" w:rsidRPr="004834D3">
        <w:rPr>
          <w:rFonts w:cstheme="majorBidi"/>
          <w:kern w:val="0"/>
        </w:rPr>
        <w:fldChar w:fldCharType="separate"/>
      </w:r>
      <w:r w:rsidR="00D83446" w:rsidRPr="00D83446">
        <w:rPr>
          <w:rFonts w:cstheme="majorBidi"/>
          <w:noProof/>
          <w:kern w:val="0"/>
        </w:rPr>
        <w:t>[53]</w:t>
      </w:r>
      <w:r w:rsidR="00EA1B32" w:rsidRPr="004834D3">
        <w:rPr>
          <w:rFonts w:cstheme="majorBidi"/>
          <w:kern w:val="0"/>
        </w:rPr>
        <w:fldChar w:fldCharType="end"/>
      </w:r>
      <w:r w:rsidRPr="004834D3">
        <w:rPr>
          <w:rFonts w:cstheme="majorBidi"/>
          <w:kern w:val="0"/>
        </w:rPr>
        <w:t xml:space="preserve">. Currently, global brine production is approximately 141.5 million m³/day, or 51.7 billion m³/year </w:t>
      </w:r>
      <w:r w:rsidRPr="004834D3">
        <w:rPr>
          <w:rFonts w:cstheme="majorBidi"/>
          <w:kern w:val="0"/>
        </w:rPr>
        <w:fldChar w:fldCharType="begin" w:fldLock="1"/>
      </w:r>
      <w:r w:rsidR="00540C0F">
        <w:rPr>
          <w:rFonts w:cstheme="majorBidi"/>
          <w:kern w:val="0"/>
        </w:rPr>
        <w:instrText>ADDIN CSL_CITATION {"citationItems":[{"id":"ITEM-1","itemData":{"DOI":"10.1016/j.scitotenv.2018.12.076","ISSN":"18791026","PMID":"30677901","abstract":"Rising water demands and diminishing water supplies are exacerbating water scarcity in most world regions. Conventional approaches relying on rainfall and river runoff in water scarce areas are no longer sufficient to meet human demands. Unconventional water resources, such as desalinated water, are expected to play a key role in narrowing the water demand-supply gap. Our synthesis of desalination data suggests that there are 15,906 operational desalination plants producing around 95 million m3/day of desalinated water for human use, of which 48% is produced in the Middle East and North Africa region. A major challenge associated with desalination technologies is the production of a typically hypersaline concentrate (termed ‘brine’) discharge that requires disposal, which is both costly and associated with negative environmental impacts. Our estimates reveal brine production to be around 142 million m3/day, approximately 50% greater than previous quantifications. Brine production in Saudi Arabia, UAE, Kuwait and Qatar accounts for 55% of the total global share. Improved brine management strategies are required to limit the negative environmental impacts and reduce the economic cost of disposal, thereby stimulating further developments in desalination facilities to safeguard water supplies for current and future generations.","author":[{"dropping-particle":"","family":"Jones","given":"Edward","non-dropping-particle":"","parse-names":false,"suffix":""},{"dropping-particle":"","family":"Qadir","given":"Manzoor","non-dropping-particle":"","parse-names":false,"suffix":""},{"dropping-particle":"","family":"Vliet","given":"Michelle T.H.","non-dropping-particle":"van","parse-names":false,"suffix":""},{"dropping-particle":"","family":"Smakhtin","given":"Vladimir","non-dropping-particle":"","parse-names":false,"suffix":""},{"dropping-particle":"","family":"Kang","given":"Seong mu","non-dropping-particle":"","parse-names":false,"suffix":""}],"container-title":"Science of the Total Environment","id":"ITEM-1","issued":{"date-parts":[["2019"]]},"page":"1343-1356","publisher":"Elsevier","title":"The state of desalination and brine production: A global outlook","type":"article-journal","volume":"657"},"uris":["http://www.mendeley.com/documents/?uuid=1e470fcb-0063-44fb-bdec-c40352f25a56"]}],"mendeley":{"formattedCitation":"[17]","plainTextFormattedCitation":"[17]","previouslyFormattedCitation":"[17]"},"properties":{"noteIndex":0},"schema":"https://github.com/citation-style-language/schema/raw/master/csl-citation.json"}</w:instrText>
      </w:r>
      <w:r w:rsidRPr="004834D3">
        <w:rPr>
          <w:rFonts w:cstheme="majorBidi"/>
          <w:kern w:val="0"/>
        </w:rPr>
        <w:fldChar w:fldCharType="separate"/>
      </w:r>
      <w:r w:rsidR="00FE0F07" w:rsidRPr="00FE0F07">
        <w:rPr>
          <w:rFonts w:cstheme="majorBidi"/>
          <w:noProof/>
          <w:kern w:val="0"/>
        </w:rPr>
        <w:t>[17]</w:t>
      </w:r>
      <w:r w:rsidRPr="004834D3">
        <w:rPr>
          <w:rFonts w:cstheme="majorBidi"/>
          <w:kern w:val="0"/>
        </w:rPr>
        <w:fldChar w:fldCharType="end"/>
      </w:r>
      <w:r w:rsidRPr="004834D3">
        <w:rPr>
          <w:rFonts w:cstheme="majorBidi"/>
          <w:kern w:val="0"/>
        </w:rPr>
        <w:t xml:space="preserve">. This brine contains high concentrations of dissolved salts (up to 400,000 mg/L), along with minor amounts of organic matter, metals, nutrients, and pathogenic substances </w:t>
      </w:r>
      <w:r w:rsidRPr="004834D3">
        <w:rPr>
          <w:rFonts w:cstheme="majorBidi"/>
          <w:kern w:val="0"/>
        </w:rPr>
        <w:fldChar w:fldCharType="begin" w:fldLock="1"/>
      </w:r>
      <w:r w:rsidR="00D83446">
        <w:rPr>
          <w:rFonts w:cstheme="majorBidi"/>
          <w:kern w:val="0"/>
        </w:rPr>
        <w:instrText>ADDIN CSL_CITATION {"citationItems":[{"id":"ITEM-1","itemData":{"DOI":"10.1016/j.spc.2020.02.003","ISSN":"23525509","abstract":"Environmental pollution, resource scarcity, and freshwater shortage are critical world challenges facing humanity. Process industry produces large amounts of brine, a waste water with a high salinity level and often critical raw materials. This study applies the social life cycle assessment (S-LCA) to quantify societal benefits and risks in developing brine treatment systems. S-LCA is implemented for hotspot and site-specific levels on four case studies of the Zero Brine project. Hotspot analysis focused on the major commodities. Social Hotspot Database was used as source for data and endpoint indicators. In addition, site-specific analysis regarded the social performance of the case studies companies; interviews and questionnaires were performed with representatives of the four case studies. The collected data were converted to scores with subcategory assessment method and performance reference points. The results show that for all case studies “Labor rights and decent work” and “Health and safety” indicators result in the largest impacts due to imports of commodities from developing countries. Site-specific results show that the overall social sustainability performance of the case study companies is at a good level. The only potential areas for improvement are the “Occupational accidents” and “Contribution to the local community”. The former are minimally higher for silica plant and higher for coal mine in relation to these sectors average accidents rates. Furthermore, the coal mine company can contribute more to the local community and reduce conflicts concerning environmental impacts at the city level. Common identified hotspots among the case studies are: China, India and Congo. Reducing imports from these countries will significantly improve the societal performance of the brine systems.","author":[{"dropping-particle":"","family":"Tsalidis","given":"Georgios Archimidis","non-dropping-particle":"","parse-names":false,"suffix":""},{"dropping-particle":"","family":"Gallart","given":"Jose Jorge Espí","non-dropping-particle":"","parse-names":false,"suffix":""},{"dropping-particle":"","family":"Corberá","given":"Joan Berzosa","non-dropping-particle":"","parse-names":false,"suffix":""},{"dropping-particle":"","family":"Blanco","given":"Frederic Clarens","non-dropping-particle":"","parse-names":false,"suffix":""},{"dropping-particle":"","family":"Harris","given":"Steve","non-dropping-particle":"","parse-names":false,"suffix":""},{"dropping-particle":"","family":"Korevaar","given":"Gijsbert","non-dropping-particle":"","parse-names":false,"suffix":""}],"container-title":"Sustainable Production and Consumption","id":"ITEM-1","issued":{"date-parts":[["2020"]]},"page":"77-87","publisher":"Elsevier","title":"Social life cycle assessment of brine treatment and recovery technology: A social hotspot and site-specific evaluation","type":"article-journal","volume":"22"},"uris":["http://www.mendeley.com/documents/?uuid=50dc35ac-c9e5-47f0-8007-2b8ab8692085"]},{"id":"ITEM-2","itemData":{"DOI":"10.1016/j.jece.2020.104418","ISSN":"22133437","abstract":"Brine is a saline wastewater generated from several industries (e.g., desalination, energy and oil production) and its disposal can have adverse environmental impacts. To address this issue, brine treatment seems to be a promising option to eliminate the wastewater discharge, while also recovering extra freshwater and valuable materials such as salts. This can be achieved through minimal liquid discharge (MLD) and zero liquid discharge (ZLD) strategies. In this work, MLD and ZLD frameworks are analyzed and evaluated under 9 criteria (framework stages, technologies, freshwater recovery target, feed brine salinity, energy consumption of each technology, GHGs emissions, cost impact, resource recovery and social impact). Moreover, a case-study is presented under two different scenarios, Scenario 1 (MLD system) and Scenario 2 (ZLD system). Results showed that the energy consumption of the ZLD system is 10.43 kW h/m3 which is 1.93 times higher than the energy consumption of the MLD system (5.4 kW h/m3). The total freshwater recovery of the MLD system is 84.6 %, whereas the total freshwater recovery of the ZLD system is 98.15 %. Overall, the results suggest that the MLD and ZLD strategies can be valuable strategies for wastewater utilization, reuse, and resource recovery.","author":[{"dropping-particle":"","family":"Panagopoulos","given":"Argyris","non-dropping-particle":"","parse-names":false,"suffix":""},{"dropping-particle":"","family":"Haralambous","given":"Katherine Joanne","non-dropping-particle":"","parse-names":false,"suffix":""}],"container-title":"Journal of Environmental Chemical Engineering","id":"ITEM-2","issue":"5","issued":{"date-parts":[["2020"]]},"page":"104418","publisher":"Elsevier","title":"Minimal Liquid Discharge (MLD) and Zero Liquid Discharge (ZLD) strategies for wastewater management and resource recovery-Analysis, challenges and prospects","type":"article-journal","volume":"8"},"uris":["http://www.mendeley.com/documents/?uuid=b2392302-6c28-4bb9-b344-4f7d6185e44d"]}],"mendeley":{"formattedCitation":"[54,55]","plainTextFormattedCitation":"[54,55]","previouslyFormattedCitation":"[55,56]"},"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[54,55]</w:t>
      </w:r>
      <w:r w:rsidRPr="004834D3">
        <w:rPr>
          <w:rFonts w:cstheme="majorBidi"/>
          <w:kern w:val="0"/>
        </w:rPr>
        <w:fldChar w:fldCharType="end"/>
      </w:r>
      <w:r w:rsidRPr="004834D3">
        <w:rPr>
          <w:rFonts w:cstheme="majorBidi"/>
          <w:kern w:val="0"/>
        </w:rPr>
        <w:t>. The characteristics of brine depend on the quality of the feedwater, the industry, recovery rate, purity of the produced freshwater, pre-treatment units, and chemical additives used</w:t>
      </w:r>
      <w:r w:rsidR="00E34412" w:rsidRPr="004834D3">
        <w:rPr>
          <w:rFonts w:cstheme="majorBidi"/>
          <w:kern w:val="0"/>
        </w:rPr>
        <w:t xml:space="preserve"> </w:t>
      </w:r>
      <w:r w:rsidR="00E34412" w:rsidRPr="004834D3">
        <w:rPr>
          <w:rFonts w:cstheme="majorBidi"/>
          <w:kern w:val="0"/>
        </w:rPr>
        <w:fldChar w:fldCharType="begin" w:fldLock="1"/>
      </w:r>
      <w:r w:rsidR="00D83446">
        <w:rPr>
          <w:rFonts w:cstheme="majorBidi"/>
          <w:kern w:val="0"/>
        </w:rPr>
        <w:instrText>ADDIN CSL_CITATION {"citationItems":[{"id":"ITEM-1","itemData":{"DOI":"10.1016/j.scitotenv.2019.07.351","ISSN":"18791026","PMID":"31374511","abstract":"Brine, also known as concentrate, is the by-product of the desalination process that has an adverse impact on the environment due to its high salinity. Hence, viable and cost-effective brine management systems are needed to reduce environmental pollution. Currently, various disposal methods have been practiced, including surface water discharge, sewer discharge, deep-well injection, evaporation ponds and land application. However, these brine disposal methods are unsustainable and restricted by high capital costs and non-universal application. Nowadays, brine treatment is considered one of the most promising alternatives to brine disposal, since treatment results in the reduction of environmental pollution, minimization of waste volume and production of freshwater with high recovery. This review article evaluates current practices in brine management, including disposal methods and treatment technologies. Based upon the side-by-side comparison of technologies, a brine treatment technology framework is introduced to outline the Zero Liquid Discharge (ZLD) approach through high freshwater recovery and wastewater volume minimization. Furthermore, an overview of brine characteristics and its sources, as well as its negative impact on the environment is discussed. Finally, the paper highlights future research areas for brine treatment technologies aiming to enhance the effectiveness and viability of desalination.","author":[{"dropping-particle":"","family":"Panagopoulos","given":"Argyris","non-dropping-particle":"","parse-names":false,"suffix":""},{"dropping-particle":"","family":"Haralambous","given":"Katherine Joanne","non-dropping-particle":"","parse-names":false,"suffix":""},{"dropping-particle":"","family":"Loizidou","given":"M.","non-dropping-particle":"","parse-names":false,"suffix":""}],"container-title":"Science of the Total Environment","id":"ITEM-1","issued":{"date-parts":[["2019"]]},"page":"133545","publisher":"Elsevier","title":"Desalination brine disposal methods and treatment technologies - A review","type":"article-journal","volume":"693"},"uris":["http://www.mendeley.com/documents/?uuid=68dacbef-190c-498f-8345-96265778bbd4"]}],"mendeley":{"formattedCitation":"[40]","plainTextFormattedCitation":"[40]","previouslyFormattedCitation":"[41]"},"properties":{"noteIndex":0},"schema":"https://github.com/citation-style-language/schema/raw/master/csl-citation.json"}</w:instrText>
      </w:r>
      <w:r w:rsidR="00E34412" w:rsidRPr="004834D3">
        <w:rPr>
          <w:rFonts w:cstheme="majorBidi"/>
          <w:kern w:val="0"/>
        </w:rPr>
        <w:fldChar w:fldCharType="separate"/>
      </w:r>
      <w:r w:rsidR="00D83446" w:rsidRPr="00D83446">
        <w:rPr>
          <w:rFonts w:cstheme="majorBidi"/>
          <w:noProof/>
          <w:kern w:val="0"/>
        </w:rPr>
        <w:t>[40]</w:t>
      </w:r>
      <w:r w:rsidR="00E34412" w:rsidRPr="004834D3">
        <w:rPr>
          <w:rFonts w:cstheme="majorBidi"/>
          <w:kern w:val="0"/>
        </w:rPr>
        <w:fldChar w:fldCharType="end"/>
      </w:r>
      <w:r w:rsidRPr="004834D3">
        <w:rPr>
          <w:rFonts w:cstheme="majorBidi"/>
          <w:kern w:val="0"/>
        </w:rPr>
        <w:t>. Brine is commonly disposed of through various methods, such as surface water discharge, sewer discharge, deep-well injection, evaporation ponds, and land application</w:t>
      </w:r>
      <w:r w:rsidR="00E34412" w:rsidRPr="004834D3">
        <w:rPr>
          <w:rFonts w:cstheme="majorBidi"/>
          <w:kern w:val="0"/>
        </w:rPr>
        <w:t xml:space="preserve"> </w:t>
      </w:r>
      <w:r w:rsidR="00E34412" w:rsidRPr="004834D3">
        <w:rPr>
          <w:rFonts w:cstheme="majorBidi"/>
          <w:kern w:val="0"/>
        </w:rPr>
        <w:fldChar w:fldCharType="begin" w:fldLock="1"/>
      </w:r>
      <w:r w:rsidR="00D83446">
        <w:rPr>
          <w:rFonts w:cstheme="majorBidi"/>
          <w:kern w:val="0"/>
        </w:rPr>
        <w:instrText>ADDIN CSL_CITATION {"citationItems":[{"id":"ITEM-1","itemData":{"author":[{"dropping-particle":"","family":"Michael Mickley","given":"","non-dropping-particle":"","parse-names":false,"suffix":""}],"container-title":"Desalination and Water Purification Research and Development Program Report","id":"ITEM-1","issued":{"date-parts":[["2018"]]},"title":"Updated and extended survey of US municipal desalination plants, Desalination and Water Purification Research and Development Program Report No. 207","type":"article-journal","volume":"27"},"uris":["http://www.mendeley.com/documents/?uuid=d4cf4f07-d953-4faf-8fdf-f742ae960df9"]}],"mendeley":{"formattedCitation":"[56]","plainTextFormattedCitation":"[56]","previouslyFormattedCitation":"[57]"},"properties":{"noteIndex":0},"schema":"https://github.com/citation-style-language/schema/raw/master/csl-citation.json"}</w:instrText>
      </w:r>
      <w:r w:rsidR="00E34412" w:rsidRPr="004834D3">
        <w:rPr>
          <w:rFonts w:cstheme="majorBidi"/>
          <w:kern w:val="0"/>
        </w:rPr>
        <w:fldChar w:fldCharType="separate"/>
      </w:r>
      <w:r w:rsidR="00D83446" w:rsidRPr="00D83446">
        <w:rPr>
          <w:rFonts w:cstheme="majorBidi"/>
          <w:noProof/>
          <w:kern w:val="0"/>
        </w:rPr>
        <w:t>[56]</w:t>
      </w:r>
      <w:r w:rsidR="00E34412" w:rsidRPr="004834D3">
        <w:rPr>
          <w:rFonts w:cstheme="majorBidi"/>
          <w:kern w:val="0"/>
        </w:rPr>
        <w:fldChar w:fldCharType="end"/>
      </w:r>
      <w:r w:rsidRPr="004834D3">
        <w:rPr>
          <w:rFonts w:cstheme="majorBidi"/>
          <w:kern w:val="0"/>
        </w:rPr>
        <w:t>.</w:t>
      </w:r>
    </w:p>
    <w:p w14:paraId="6823A457" w14:textId="0C53FA43" w:rsidR="00432EF2" w:rsidRDefault="00432EF2" w:rsidP="004D6B25">
      <w:pPr>
        <w:spacing w:before="240" w:after="240" w:line="480" w:lineRule="auto"/>
        <w:ind w:firstLine="720"/>
        <w:jc w:val="both"/>
        <w:rPr>
          <w:rFonts w:cstheme="majorBidi"/>
          <w:kern w:val="0"/>
        </w:rPr>
      </w:pPr>
      <w:r w:rsidRPr="004834D3">
        <w:rPr>
          <w:rFonts w:cstheme="majorBidi"/>
          <w:kern w:val="0"/>
        </w:rPr>
        <w:lastRenderedPageBreak/>
        <w:t>Despite the widespread use o</w:t>
      </w:r>
      <w:r w:rsidR="00982B86">
        <w:rPr>
          <w:rFonts w:cstheme="majorBidi"/>
          <w:kern w:val="0"/>
        </w:rPr>
        <w:t>f</w:t>
      </w:r>
      <w:r w:rsidRPr="004834D3">
        <w:rPr>
          <w:rFonts w:cstheme="majorBidi"/>
          <w:kern w:val="0"/>
        </w:rPr>
        <w:t xml:space="preserve"> traditional disposal methods, concerns about the long-term impact on the environment and human health necessitate a different approach to brine management</w:t>
      </w:r>
      <w:r w:rsidR="00396438" w:rsidRPr="004834D3">
        <w:rPr>
          <w:rFonts w:cstheme="majorBidi"/>
          <w:kern w:val="0"/>
        </w:rPr>
        <w:t xml:space="preserve"> </w:t>
      </w:r>
      <w:r w:rsidR="00396438" w:rsidRPr="004834D3">
        <w:rPr>
          <w:rFonts w:cstheme="majorBidi"/>
          <w:kern w:val="0"/>
        </w:rPr>
        <w:fldChar w:fldCharType="begin" w:fldLock="1"/>
      </w:r>
      <w:r w:rsidR="00D83446">
        <w:rPr>
          <w:rFonts w:cstheme="majorBidi"/>
          <w:kern w:val="0"/>
        </w:rPr>
        <w:instrText>ADDIN CSL_CITATION {"citationItems":[{"id":"ITEM-1","itemData":{"DOI":"10.1016/j.scitotenv.2019.07.351","ISSN":"18791026","PMID":"31374511","abstract":"Brine, also known as concentrate, is the by-product of the desalination process that has an adverse impact on the environment due to its high salinity. Hence, viable and cost-effective brine management systems are needed to reduce environmental pollution. Currently, various disposal methods have been practiced, including surface water discharge, sewer discharge, deep-well injection, evaporation ponds and land application. However, these brine disposal methods are unsustainable and restricted by high capital costs and non-universal application. Nowadays, brine treatment is considered one of the most promising alternatives to brine disposal, since treatment results in the reduction of environmental pollution, minimization of waste volume and production of freshwater with high recovery. This review article evaluates current practices in brine management, including disposal methods and treatment technologies. Based upon the side-by-side comparison of technologies, a brine treatment technology framework is introduced to outline the Zero Liquid Discharge (ZLD) approach through high freshwater recovery and wastewater volume minimization. Furthermore, an overview of brine characteristics and its sources, as well as its negative impact on the environment is discussed. Finally, the paper highlights future research areas for brine treatment technologies aiming to enhance the effectiveness and viability of desalination.","author":[{"dropping-particle":"","family":"Panagopoulos","given":"Argyris","non-dropping-particle":"","parse-names":false,"suffix":""},{"dropping-particle":"","family":"Haralambous","given":"Katherine Joanne","non-dropping-particle":"","parse-names":false,"suffix":""},{"dropping-particle":"","family":"Loizidou","given":"M.","non-dropping-particle":"","parse-names":false,"suffix":""}],"container-title":"Science of the Total Environment","id":"ITEM-1","issued":{"date-parts":[["2019"]]},"page":"133545","publisher":"Elsevier","title":"Desalination brine disposal methods and treatment technologies - A review","type":"article-journal","volume":"693"},"uris":["http://www.mendeley.com/documents/?uuid=68dacbef-190c-498f-8345-96265778bbd4"]}],"mendeley":{"formattedCitation":"[40]","plainTextFormattedCitation":"[40]","previouslyFormattedCitation":"[41]"},"properties":{"noteIndex":0},"schema":"https://github.com/citation-style-language/schema/raw/master/csl-citation.json"}</w:instrText>
      </w:r>
      <w:r w:rsidR="00396438" w:rsidRPr="004834D3">
        <w:rPr>
          <w:rFonts w:cstheme="majorBidi"/>
          <w:kern w:val="0"/>
        </w:rPr>
        <w:fldChar w:fldCharType="separate"/>
      </w:r>
      <w:r w:rsidR="00D83446" w:rsidRPr="00D83446">
        <w:rPr>
          <w:rFonts w:cstheme="majorBidi"/>
          <w:noProof/>
          <w:kern w:val="0"/>
        </w:rPr>
        <w:t>[40]</w:t>
      </w:r>
      <w:r w:rsidR="00396438" w:rsidRPr="004834D3">
        <w:rPr>
          <w:rFonts w:cstheme="majorBidi"/>
          <w:kern w:val="0"/>
        </w:rPr>
        <w:fldChar w:fldCharType="end"/>
      </w:r>
      <w:r w:rsidRPr="004834D3">
        <w:rPr>
          <w:rFonts w:cstheme="majorBidi"/>
          <w:kern w:val="0"/>
        </w:rPr>
        <w:t>. Potential adverse effects of reject</w:t>
      </w:r>
      <w:r w:rsidR="00801871">
        <w:rPr>
          <w:rFonts w:cstheme="majorBidi"/>
          <w:kern w:val="0"/>
        </w:rPr>
        <w:t>ed</w:t>
      </w:r>
      <w:r w:rsidRPr="004834D3">
        <w:rPr>
          <w:rFonts w:cstheme="majorBidi"/>
          <w:kern w:val="0"/>
        </w:rPr>
        <w:t xml:space="preserve"> brine on the environment include </w:t>
      </w:r>
      <w:r w:rsidR="00004456">
        <w:rPr>
          <w:rFonts w:cstheme="majorBidi"/>
          <w:kern w:val="0"/>
        </w:rPr>
        <w:t>pollution</w:t>
      </w:r>
      <w:r w:rsidRPr="004834D3">
        <w:rPr>
          <w:rFonts w:cstheme="majorBidi"/>
          <w:kern w:val="0"/>
        </w:rPr>
        <w:t>, pH fluctuations, and the accumulation of heavy metals in receiving ecosystems</w:t>
      </w:r>
      <w:r w:rsidR="00396438" w:rsidRPr="004834D3">
        <w:rPr>
          <w:rFonts w:cstheme="majorBidi"/>
          <w:kern w:val="0"/>
        </w:rPr>
        <w:t xml:space="preserve"> </w:t>
      </w:r>
      <w:r w:rsidR="00396438" w:rsidRPr="004834D3">
        <w:rPr>
          <w:rFonts w:cstheme="majorBidi"/>
          <w:kern w:val="0"/>
        </w:rPr>
        <w:fldChar w:fldCharType="begin" w:fldLock="1"/>
      </w:r>
      <w:r w:rsidR="00D83446">
        <w:rPr>
          <w:rFonts w:cstheme="majorBidi"/>
          <w:kern w:val="0"/>
        </w:rPr>
        <w:instrText>ADDIN CSL_CITATION {"citationItems":[{"id":"ITEM-1","itemData":{"DOI":"10.1016/j.desal.2016.12.008","ISSN":"00119164","abstract":"Reject brine is the product from desalination processes containing high salinity, high temperature, and at many times, dissolved chemicals. With the growing demand of water, increasing amounts of brine are being produced from the desalination plants leading to significant adverse impacts on the environment. It is necessary therefore to effectively manage desalination reject brine in order to ensure more efficient disposal and reuse. This review gives a general idea on the recent and currently devised brine management processes, which have been employed to reduce the environmental issues related to concentrate dumping. Those management approaches consist of minimization techniques that can be divided into membrane-based, thermal-based and emerging technologies. Moreover, this critical review gives an overview of the various applications of brine and some sustainability aspects of the reject brine disposal and reuse. The most obvious sustainable improvements in reject brine management are based on minimization techniques or reuse that can be achieved through the recovery of valuable materials such as salts, metals, and chemicals. Many new research works in this field have been introduced and scientists have continued to devise reject brine reuse strategies and minimization technologies leading to very low quantities of residual brine.","author":[{"dropping-particle":"","family":"Giwa","given":"A.","non-dropping-particle":"","parse-names":false,"suffix":""},{"dropping-particle":"","family":"Dufour","given":"V.","non-dropping-particle":"","parse-names":false,"suffix":""},{"dropping-particle":"","family":"Marzooqi","given":"F.","non-dropping-particle":"Al","parse-names":false,"suffix":""},{"dropping-particle":"","family":"Kaabi","given":"M.","non-dropping-particle":"Al","parse-names":false,"suffix":""},{"dropping-particle":"","family":"Hasan","given":"S. W.","non-dropping-particle":"","parse-names":false,"suffix":""}],"container-title":"Desalination","id":"ITEM-1","issued":{"date-parts":[["2017"]]},"page":"1-23","publisher":"Elsevier","title":"Brine management methods: Recent innovations and current status","type":"article-journal","volume":"407"},"uris":["http://www.mendeley.com/documents/?uuid=b2f132e1-912b-4064-b7b8-b90115d4e546"]},{"id":"ITEM-2","itemData":{"DOI":"10.1016/j.seppur.2018.12.056","ISSN":"18733794","abstract":"Reverse osmosis (RO) brine typically contains high salinity and dissolved organics. Among the different approaches for RO brine management, electrodialysis reversal (EDR) offers high potential due to its moderate energy consumption, anti-scaling and anti-fouling properties, ability to produce highly concentrated brine and ease of operation. However, despite the potential benefits associated with EDR, its application for industrial RO brine management has yet to be adequately explored. This study aimed to evaluate the feasibility of a lab-scale EDR system for water recovery from industrial RO brine and minimizing the volume of the resulting concentrated brine. The relatively high concentration of organic and inorganic foulants such as hardness, sulfate and alkalinity in the industrial RO brine necessitate the assessment of anti-fouling and anti-scaling properties of the ion exchange membranes. In this study, it was noted that the limiting current to prevent polarization during electrodialysis process, in the lab-scale EDR system, was 0.89 A. Total organic carbon (TOC) removal efficiency was about 7.1% and no organic fouling was observed even after 6 d of continuous operation. This observation was probably attributed to the nature of organic foulants present in the industrial RO brine, the majority of which were low molecular weights (LWMs). However, the resistance of the EDR system increased during 8 h of operation due to high scaling potential of the EDR concentrate stream. Overall, the EDR process was able to achieve 85% water recovery and the volume of industrial RO brine was reduced by approximately 6.5 times.","author":[{"dropping-particle":"","family":"Zhao","given":"Dandan","non-dropping-particle":"","parse-names":false,"suffix":""},{"dropping-particle":"","family":"Lee","given":"Lai Yoke","non-dropping-particle":"","parse-names":false,"suffix":""},{"dropping-particle":"","family":"Ong","given":"Say Leong","non-dropping-particle":"","parse-names":false,"suffix":""},{"dropping-particle":"","family":"Chowdhury","given":"Prannoy","non-dropping-particle":"","parse-names":false,"suffix":""},{"dropping-particle":"","family":"Siah","given":"Keng Boon","non-dropping-particle":"","parse-names":false,"suffix":""},{"dropping-particle":"","family":"Ng","given":"How Yong","non-dropping-particle":"","parse-names":false,"suffix":""}],"container-title":"Separation and Purification Technology","id":"ITEM-2","issued":{"date-parts":[["2019"]]},"page":"339-347","publisher":"Elsevier","title":"Electrodialysis reversal for industrial reverse osmosis brine treatment","type":"article-journal","volume":"213"},"uris":["http://www.mendeley.com/documents/?uuid=87d4a0f2-fbfd-4c7a-9d49-efe629dc76e0"]}],"mendeley":{"formattedCitation":"[57,58]","plainTextFormattedCitation":"[57,58]","previouslyFormattedCitation":"[58,59]"},"properties":{"noteIndex":0},"schema":"https://github.com/citation-style-language/schema/raw/master/csl-citation.json"}</w:instrText>
      </w:r>
      <w:r w:rsidR="00396438" w:rsidRPr="004834D3">
        <w:rPr>
          <w:rFonts w:cstheme="majorBidi"/>
          <w:kern w:val="0"/>
        </w:rPr>
        <w:fldChar w:fldCharType="separate"/>
      </w:r>
      <w:r w:rsidR="00D83446" w:rsidRPr="00D83446">
        <w:rPr>
          <w:rFonts w:cstheme="majorBidi"/>
          <w:noProof/>
          <w:kern w:val="0"/>
        </w:rPr>
        <w:t>[57,58]</w:t>
      </w:r>
      <w:r w:rsidR="00396438" w:rsidRPr="004834D3">
        <w:rPr>
          <w:rFonts w:cstheme="majorBidi"/>
          <w:kern w:val="0"/>
        </w:rPr>
        <w:fldChar w:fldCharType="end"/>
      </w:r>
      <w:r w:rsidRPr="004834D3">
        <w:rPr>
          <w:rFonts w:cstheme="majorBidi"/>
          <w:kern w:val="0"/>
        </w:rPr>
        <w:t>. To select a suitable and sustainable brine management method, several factors must be considered. These include the volume of reject</w:t>
      </w:r>
      <w:r w:rsidR="00801871">
        <w:rPr>
          <w:rFonts w:cstheme="majorBidi"/>
          <w:kern w:val="0"/>
        </w:rPr>
        <w:t>ed</w:t>
      </w:r>
      <w:r w:rsidRPr="004834D3">
        <w:rPr>
          <w:rFonts w:cstheme="majorBidi"/>
          <w:kern w:val="0"/>
        </w:rPr>
        <w:t xml:space="preserve"> brine, the chemical characteristics of the concentrate, geographical location, availability of disposal sites, feasibility of treatment technology in terms of legal and public acceptance, capital and operational costs, and the facility's capacity for storage and transportation of brine to treatment locations</w:t>
      </w:r>
      <w:r w:rsidR="00396438" w:rsidRPr="004834D3">
        <w:rPr>
          <w:rFonts w:cstheme="majorBidi"/>
          <w:kern w:val="0"/>
        </w:rPr>
        <w:t xml:space="preserve"> </w:t>
      </w:r>
      <w:r w:rsidR="00396438" w:rsidRPr="004834D3">
        <w:rPr>
          <w:rFonts w:cstheme="majorBidi"/>
          <w:kern w:val="0"/>
        </w:rPr>
        <w:fldChar w:fldCharType="begin" w:fldLock="1"/>
      </w:r>
      <w:r w:rsidR="00D83446">
        <w:rPr>
          <w:rFonts w:cstheme="majorBidi"/>
          <w:kern w:val="0"/>
        </w:rPr>
        <w:instrText>ADDIN CSL_CITATION {"citationItems":[{"id":"ITEM-1","itemData":{"DOI":"10.1016/j.desal.2016.12.008","ISSN":"00119164","abstract":"Reject brine is the product from desalination processes containing high salinity, high temperature, and at many times, dissolved chemicals. With the growing demand of water, increasing amounts of brine are being produced from the desalination plants leading to significant adverse impacts on the environment. It is necessary therefore to effectively manage desalination reject brine in order to ensure more efficient disposal and reuse. This review gives a general idea on the recent and currently devised brine management processes, which have been employed to reduce the environmental issues related to concentrate dumping. Those management approaches consist of minimization techniques that can be divided into membrane-based, thermal-based and emerging technologies. Moreover, this critical review gives an overview of the various applications of brine and some sustainability aspects of the reject brine disposal and reuse. The most obvious sustainable improvements in reject brine management are based on minimization techniques or reuse that can be achieved through the recovery of valuable materials such as salts, metals, and chemicals. Many new research works in this field have been introduced and scientists have continued to devise reject brine reuse strategies and minimization technologies leading to very low quantities of residual brine.","author":[{"dropping-particle":"","family":"Giwa","given":"A.","non-dropping-particle":"","parse-names":false,"suffix":""},{"dropping-particle":"","family":"Dufour","given":"V.","non-dropping-particle":"","parse-names":false,"suffix":""},{"dropping-particle":"","family":"Marzooqi","given":"F.","non-dropping-particle":"Al","parse-names":false,"suffix":""},{"dropping-particle":"","family":"Kaabi","given":"M.","non-dropping-particle":"Al","parse-names":false,"suffix":""},{"dropping-particle":"","family":"Hasan","given":"S. W.","non-dropping-particle":"","parse-names":false,"suffix":""}],"container-title":"Desalination","id":"ITEM-1","issued":{"date-parts":[["2017"]]},"page":"1-23","publisher":"Elsevier","title":"Brine management methods: Recent innovations and current status","type":"article-journal","volume":"407"},"uris":["http://www.mendeley.com/documents/?uuid=b2f132e1-912b-4064-b7b8-b90115d4e546"]}],"mendeley":{"formattedCitation":"[57]","plainTextFormattedCitation":"[57]","previouslyFormattedCitation":"[58]"},"properties":{"noteIndex":0},"schema":"https://github.com/citation-style-language/schema/raw/master/csl-citation.json"}</w:instrText>
      </w:r>
      <w:r w:rsidR="00396438" w:rsidRPr="004834D3">
        <w:rPr>
          <w:rFonts w:cstheme="majorBidi"/>
          <w:kern w:val="0"/>
        </w:rPr>
        <w:fldChar w:fldCharType="separate"/>
      </w:r>
      <w:r w:rsidR="00D83446" w:rsidRPr="00D83446">
        <w:rPr>
          <w:rFonts w:cstheme="majorBidi"/>
          <w:noProof/>
          <w:kern w:val="0"/>
        </w:rPr>
        <w:t>[57]</w:t>
      </w:r>
      <w:r w:rsidR="00396438" w:rsidRPr="004834D3">
        <w:rPr>
          <w:rFonts w:cstheme="majorBidi"/>
          <w:kern w:val="0"/>
        </w:rPr>
        <w:fldChar w:fldCharType="end"/>
      </w:r>
      <w:r w:rsidRPr="004834D3">
        <w:rPr>
          <w:rFonts w:cstheme="majorBidi"/>
          <w:kern w:val="0"/>
        </w:rPr>
        <w:t xml:space="preserve">. </w:t>
      </w:r>
      <w:r w:rsidR="00004456">
        <w:rPr>
          <w:rFonts w:cstheme="majorBidi"/>
          <w:kern w:val="0"/>
        </w:rPr>
        <w:t>A</w:t>
      </w:r>
      <w:r w:rsidRPr="004834D3">
        <w:rPr>
          <w:rFonts w:cstheme="majorBidi"/>
          <w:kern w:val="0"/>
        </w:rPr>
        <w:t>pproach</w:t>
      </w:r>
      <w:r w:rsidR="00004456">
        <w:rPr>
          <w:rFonts w:cstheme="majorBidi"/>
          <w:kern w:val="0"/>
        </w:rPr>
        <w:t>es</w:t>
      </w:r>
      <w:r w:rsidRPr="004834D3">
        <w:rPr>
          <w:rFonts w:cstheme="majorBidi"/>
          <w:kern w:val="0"/>
        </w:rPr>
        <w:t xml:space="preserve"> to eliminate the demand for brine disposal and </w:t>
      </w:r>
      <w:r w:rsidR="00004456" w:rsidRPr="004834D3">
        <w:rPr>
          <w:rFonts w:cstheme="majorBidi"/>
          <w:kern w:val="0"/>
        </w:rPr>
        <w:t>allow</w:t>
      </w:r>
      <w:r w:rsidRPr="004834D3">
        <w:rPr>
          <w:rFonts w:cstheme="majorBidi"/>
          <w:kern w:val="0"/>
        </w:rPr>
        <w:t xml:space="preserve"> for the recovery of both freshwater and salt</w:t>
      </w:r>
      <w:r w:rsidR="00396438" w:rsidRPr="004834D3">
        <w:rPr>
          <w:rFonts w:cstheme="majorBidi"/>
          <w:kern w:val="0"/>
        </w:rPr>
        <w:t xml:space="preserve"> </w:t>
      </w:r>
      <w:r w:rsidR="00004456">
        <w:rPr>
          <w:rFonts w:cstheme="majorBidi"/>
          <w:kern w:val="0"/>
        </w:rPr>
        <w:t>are</w:t>
      </w:r>
      <w:r w:rsidRPr="004834D3">
        <w:rPr>
          <w:rFonts w:cstheme="majorBidi"/>
          <w:kern w:val="0"/>
        </w:rPr>
        <w:t xml:space="preserve"> membrane-based and thermal-based </w:t>
      </w:r>
      <w:r w:rsidR="00004456">
        <w:rPr>
          <w:rFonts w:cstheme="majorBidi"/>
          <w:kern w:val="0"/>
        </w:rPr>
        <w:t xml:space="preserve">brine treatment </w:t>
      </w:r>
      <w:r w:rsidRPr="004834D3">
        <w:rPr>
          <w:rFonts w:cstheme="majorBidi"/>
          <w:kern w:val="0"/>
        </w:rPr>
        <w:t>technologies</w:t>
      </w:r>
      <w:r w:rsidR="00004456">
        <w:rPr>
          <w:rFonts w:cstheme="majorBidi"/>
          <w:kern w:val="0"/>
        </w:rPr>
        <w:t>. H</w:t>
      </w:r>
      <w:r w:rsidRPr="004834D3">
        <w:rPr>
          <w:rFonts w:cstheme="majorBidi"/>
          <w:kern w:val="0"/>
        </w:rPr>
        <w:t>owever, these technologies currently have very high capital and operating costs, limiting their adoption</w:t>
      </w:r>
      <w:r w:rsidR="00396438" w:rsidRPr="004834D3">
        <w:rPr>
          <w:rFonts w:cstheme="majorBidi"/>
          <w:kern w:val="0"/>
        </w:rPr>
        <w:t xml:space="preserve"> </w:t>
      </w:r>
      <w:r w:rsidR="00396438" w:rsidRPr="004834D3">
        <w:rPr>
          <w:rFonts w:cstheme="majorBidi"/>
          <w:kern w:val="0"/>
        </w:rPr>
        <w:fldChar w:fldCharType="begin" w:fldLock="1"/>
      </w:r>
      <w:r w:rsidR="00D83446">
        <w:rPr>
          <w:rFonts w:cstheme="majorBidi"/>
          <w:kern w:val="0"/>
        </w:rPr>
        <w:instrText>ADDIN CSL_CITATION {"citationItems":[{"id":"ITEM-1","itemData":{"DOI":"10.1016/j.jclepro.2018.01.064","ISSN":"09596526","abstract":"Zero Liquid Discharge refers to the elimination of wastewater discharge from a process. Many Zero Liquid Discharge systems are designed to meet the increasingly stringent environmental regulations and enable water recovery. Generally speaking, a Zero Liquid Discharge process must be capable of minimizing produced wastewater volumes, by employing effective water treatment options. It is often crucial to ensure that effective combinations of treatment technologies are used to assemble a Zero Liquid Discharge system, in an economically feasible manner. Even though various recommendations for enhancing treatment systems involve minimizing wastewater generation, which would reduce the volume of wastewater treated all the way to Zero Liquid Discharge, it is often costly to retrofit existing wastewater generating systems, especially if large brine flowrates are involved. As a result, numerous brine-generating processes (such as desalination plants, textile plants etc.) employ end-of-pipe Zero Liquid Discharge systems, to meet strict environmental discharge standards. This paper aims to identify effective design strategies for End-of-Pipe Zero Liquid Discharge systems, by proposing an optimization approach that allows the screening through various treatment and Zero Liquid Discharge technologies, so as to assemble cost-effective Zero Liquid Discharge strategies and enable suitable water recovery options. The proposed model has been illustrated using a case study that demonstrates how the generated Zero Liquid Discharge scheme changes by varying the End-of-Pipe discharge requirements.","author":[{"dropping-particle":"","family":"Mansour","given":"Fatima","non-dropping-particle":"","parse-names":false,"suffix":""},{"dropping-particle":"","family":"Alnouri","given":"Sabla Y.","non-dropping-particle":"","parse-names":false,"suffix":""},{"dropping-particle":"","family":"Al-Hindi","given":"Mahmoud","non-dropping-particle":"","parse-names":false,"suffix":""},{"dropping-particle":"","family":"Azizi","given":"Fouad","non-dropping-particle":"","parse-names":false,"suffix":""},{"dropping-particle":"","family":"Linke","given":"Patrick","non-dropping-particle":"","parse-names":false,"suffix":""}],"container-title":"Journal of Cleaner Production","id":"ITEM-1","issued":{"date-parts":[["2018"]]},"page":"460-477","publisher":"Elsevier","title":"Screening and cost assessment strategies for end-of-Pipe Zero Liquid Discharge systems","type":"article-journal","volume":"179"},"uris":["http://www.mendeley.com/documents/?uuid=38fef03e-dfa0-4944-9af2-51e3a83b5ded"]}],"mendeley":{"formattedCitation":"[59]","plainTextFormattedCitation":"[59]","previouslyFormattedCitation":"[60]"},"properties":{"noteIndex":0},"schema":"https://github.com/citation-style-language/schema/raw/master/csl-citation.json"}</w:instrText>
      </w:r>
      <w:r w:rsidR="00396438" w:rsidRPr="004834D3">
        <w:rPr>
          <w:rFonts w:cstheme="majorBidi"/>
          <w:kern w:val="0"/>
        </w:rPr>
        <w:fldChar w:fldCharType="separate"/>
      </w:r>
      <w:r w:rsidR="00D83446" w:rsidRPr="00D83446">
        <w:rPr>
          <w:rFonts w:cstheme="majorBidi"/>
          <w:noProof/>
          <w:kern w:val="0"/>
        </w:rPr>
        <w:t>[59]</w:t>
      </w:r>
      <w:r w:rsidR="00396438" w:rsidRPr="004834D3">
        <w:rPr>
          <w:rFonts w:cstheme="majorBidi"/>
          <w:kern w:val="0"/>
        </w:rPr>
        <w:fldChar w:fldCharType="end"/>
      </w:r>
      <w:r w:rsidRPr="004834D3">
        <w:rPr>
          <w:rFonts w:cstheme="majorBidi"/>
          <w:kern w:val="0"/>
        </w:rPr>
        <w:t xml:space="preserve">. </w:t>
      </w:r>
      <w:r w:rsidR="00004456">
        <w:rPr>
          <w:rFonts w:cstheme="majorBidi"/>
          <w:kern w:val="0"/>
        </w:rPr>
        <w:t>Some of the t</w:t>
      </w:r>
      <w:r w:rsidR="00292B91" w:rsidRPr="004834D3">
        <w:rPr>
          <w:rFonts w:cstheme="majorBidi"/>
          <w:kern w:val="0"/>
        </w:rPr>
        <w:t xml:space="preserve">hermal processes </w:t>
      </w:r>
      <w:r w:rsidR="00004456">
        <w:rPr>
          <w:rFonts w:cstheme="majorBidi"/>
          <w:kern w:val="0"/>
        </w:rPr>
        <w:t xml:space="preserve">are MSF, MED, and brine </w:t>
      </w:r>
      <w:r w:rsidR="00292B91" w:rsidRPr="004834D3">
        <w:rPr>
          <w:rFonts w:cstheme="majorBidi"/>
          <w:kern w:val="0"/>
        </w:rPr>
        <w:t xml:space="preserve">concentrators, which have been utilized in full-scale plants for many years </w:t>
      </w:r>
      <w:r w:rsidR="00292B91" w:rsidRPr="004834D3">
        <w:rPr>
          <w:rFonts w:cstheme="majorBidi"/>
          <w:kern w:val="0"/>
        </w:rPr>
        <w:fldChar w:fldCharType="begin" w:fldLock="1"/>
      </w:r>
      <w:r w:rsidR="00D83446">
        <w:rPr>
          <w:rFonts w:cstheme="majorBidi"/>
          <w:kern w:val="0"/>
        </w:rPr>
        <w:instrText>ADDIN CSL_CITATION {"citationItems":[{"id":"ITEM-1","itemData":{"DOI":"10.1021/acs.est.6b01000","ISSN":"15205851","PMID":"27275867","abstract":"Zero liquid discharge (ZLD) - a wastewater management strategy that eliminates liquid waste and maximizes water usage efficiency - has attracted renewed interest worldwide in recent years. Although implementation of ZLD reduces water pollution and augments water supply, the technology is constrained by high cost and intensive energy consumption. In this critical review, we discuss the drivers, incentives, technologies, and environmental impacts of ZLD. Within this framework, the global applications of ZLD in the United States and emerging economies such as China and India are examined. We highlight the evolution of ZLD from thermal- to membrane-based processes, and analyze the advantages and limitations of existing and emerging ZLD technologies. The potential environmental impacts of ZLD, notably greenhouse gas emission and generation of solid waste, are discussed and the prospects of ZLD technologies and research needs are highlighted.","author":[{"dropping-particle":"","family":"Tong","given":"Tiezheng","non-dropping-particle":"","parse-names":false,"suffix":""},{"dropping-particle":"","family":"Elimelech","given":"Menachem","non-dropping-particle":"","parse-names":false,"suffix":""}],"container-title":"Environmental Science and Technology","id":"ITEM-1","issue":"13","issued":{"date-parts":[["2016"]]},"page":"6846-6855","publisher":"ACS Publications","title":"The Global Rise of Zero Liquid Discharge for Wastewater Management: Drivers, Technologies, and Future Directions","type":"article-journal","volume":"50"},"uris":["http://www.mendeley.com/documents/?uuid=482f916a-c8f1-44c9-b884-461cea472a94"]}],"mendeley":{"formattedCitation":"[60]","plainTextFormattedCitation":"[60]","previouslyFormattedCitation":"[61]"},"properties":{"noteIndex":0},"schema":"https://github.com/citation-style-language/schema/raw/master/csl-citation.json"}</w:instrText>
      </w:r>
      <w:r w:rsidR="00292B91" w:rsidRPr="004834D3">
        <w:rPr>
          <w:rFonts w:cstheme="majorBidi"/>
          <w:kern w:val="0"/>
        </w:rPr>
        <w:fldChar w:fldCharType="separate"/>
      </w:r>
      <w:r w:rsidR="00D83446" w:rsidRPr="00D83446">
        <w:rPr>
          <w:rFonts w:cstheme="majorBidi"/>
          <w:noProof/>
          <w:kern w:val="0"/>
        </w:rPr>
        <w:t>[60]</w:t>
      </w:r>
      <w:r w:rsidR="00292B91" w:rsidRPr="004834D3">
        <w:rPr>
          <w:rFonts w:cstheme="majorBidi"/>
          <w:kern w:val="0"/>
        </w:rPr>
        <w:fldChar w:fldCharType="end"/>
      </w:r>
      <w:r w:rsidR="00292B91" w:rsidRPr="004834D3">
        <w:rPr>
          <w:rFonts w:cstheme="majorBidi"/>
          <w:kern w:val="0"/>
        </w:rPr>
        <w:t>. However, these thermal processes are often not cost-efficient due to their high capital investment and significant energy requirements. To reduce the costs, membrane-based processes</w:t>
      </w:r>
      <w:r w:rsidR="00004456">
        <w:rPr>
          <w:rFonts w:cstheme="majorBidi"/>
          <w:kern w:val="0"/>
        </w:rPr>
        <w:t xml:space="preserve"> such as RO and FO</w:t>
      </w:r>
      <w:r w:rsidR="00292B91" w:rsidRPr="004834D3">
        <w:rPr>
          <w:rFonts w:cstheme="majorBidi"/>
          <w:kern w:val="0"/>
        </w:rPr>
        <w:t xml:space="preserve"> can be used to further concentrate the brine before thermal treatment. Additionally, various pre-treatment methods can be applied before the membrane processes to address the primary challenge of membrane fouling</w:t>
      </w:r>
      <w:r w:rsidR="007923CC">
        <w:rPr>
          <w:rFonts w:cstheme="majorBidi"/>
          <w:kern w:val="0"/>
        </w:rPr>
        <w:t xml:space="preserve"> </w:t>
      </w:r>
      <w:r w:rsidR="00292B91" w:rsidRPr="004834D3">
        <w:rPr>
          <w:rFonts w:cstheme="majorBidi"/>
          <w:kern w:val="0"/>
        </w:rPr>
        <w:fldChar w:fldCharType="begin" w:fldLock="1"/>
      </w:r>
      <w:r w:rsidR="00D83446">
        <w:rPr>
          <w:rFonts w:cstheme="majorBidi"/>
          <w:kern w:val="0"/>
        </w:rPr>
        <w:instrText>ADDIN CSL_CITATION {"citationItems":[{"id":"ITEM-1","itemData":{"DOI":"10.1016/j.desal.2018.04.006","ISSN":"00119164","abstract":"The management of brine produced by the reverse osmosis process is challenging due to its high salt and organic content. Limitations in brine disposal options sometimes necessitate the use of zero liquid discharge (ZLD) approach. ZLD systems may include a membrane process - which is used to recover water and to further concentrate brine - followed by thermal treatment. In such systems, a high-water recovery rate is difficult to achieve due to the early onset of membrane scaling and fouling. Brine pre-treatment is therefore necessary to protect the membrane and facilitate ZLD. Literature shows that the most common brine pre-treatment process, chemical precipitation, is generally costly because of high chemical consumption and hazardous sludge production. Moreover, its performance may be hindered by the temporal fluctuations in brine chemistry and the occurrence of residual antiscalants in the brine. A critical evaluation of alternative pre-treatment options was performed. It was found that electrocoagulation and nanofiltration processes have promising performance in terms of hardness and organic removals. Meanwhile, coagulation and adsorption processes show potential for organic removal. Further studies should be performed on process optimization and cost analysis to determine the feasibility of applying these technologies in ZLD systems.","author":[{"dropping-particle":"","family":"Semblante","given":"Galilee Uy","non-dropping-particle":"","parse-names":false,"suffix":""},{"dropping-particle":"","family":"Lee","given":"Jonathan Zhiqiang","non-dropping-particle":"","parse-names":false,"suffix":""},{"dropping-particle":"","family":"Lee","given":"Lai Yoke","non-dropping-particle":"","parse-names":false,"suffix":""},{"dropping-particle":"","family":"Ong","given":"Say Leong","non-dropping-particle":"","parse-names":false,"suffix":""},{"dropping-particle":"","family":"Ng","given":"How Yong","non-dropping-particle":"","parse-names":false,"suffix":""}],"container-title":"Desalination","id":"ITEM-1","issued":{"date-parts":[["2018"]]},"page":"96-111","publisher":"Elsevier","title":"Brine pre-treatment technologies for zero liquid discharge systems","type":"article-journal","volume":"441"},"uris":["http://www.mendeley.com/documents/?uuid=21ad9d77-8789-47a0-84b0-7bfb8bae0752"]}],"mendeley":{"formattedCitation":"[61]","plainTextFormattedCitation":"[61]","previouslyFormattedCitation":"[62]"},"properties":{"noteIndex":0},"schema":"https://github.com/citation-style-language/schema/raw/master/csl-citation.json"}</w:instrText>
      </w:r>
      <w:r w:rsidR="00292B91" w:rsidRPr="004834D3">
        <w:rPr>
          <w:rFonts w:cstheme="majorBidi"/>
          <w:kern w:val="0"/>
        </w:rPr>
        <w:fldChar w:fldCharType="separate"/>
      </w:r>
      <w:r w:rsidR="00D83446" w:rsidRPr="00D83446">
        <w:rPr>
          <w:rFonts w:cstheme="majorBidi"/>
          <w:noProof/>
          <w:kern w:val="0"/>
        </w:rPr>
        <w:t>[61]</w:t>
      </w:r>
      <w:r w:rsidR="00292B91" w:rsidRPr="004834D3">
        <w:rPr>
          <w:rFonts w:cstheme="majorBidi"/>
          <w:kern w:val="0"/>
        </w:rPr>
        <w:fldChar w:fldCharType="end"/>
      </w:r>
      <w:r w:rsidR="00292B91" w:rsidRPr="004834D3">
        <w:rPr>
          <w:rFonts w:cstheme="majorBidi"/>
          <w:kern w:val="0"/>
        </w:rPr>
        <w:t>.</w:t>
      </w:r>
      <w:r w:rsidR="000E2721" w:rsidRPr="004834D3">
        <w:rPr>
          <w:rFonts w:cstheme="majorBidi"/>
          <w:kern w:val="0"/>
        </w:rPr>
        <w:t xml:space="preserve"> </w:t>
      </w:r>
    </w:p>
    <w:p w14:paraId="0765FF20" w14:textId="57A4069B" w:rsidR="00004456" w:rsidRPr="004834D3" w:rsidRDefault="009D2AE5" w:rsidP="004D6B25">
      <w:pPr>
        <w:spacing w:before="240" w:after="240" w:line="480" w:lineRule="auto"/>
        <w:ind w:firstLine="720"/>
        <w:jc w:val="both"/>
        <w:rPr>
          <w:rFonts w:cstheme="majorBidi"/>
          <w:kern w:val="0"/>
        </w:rPr>
      </w:pPr>
      <w:r w:rsidRPr="009D2AE5">
        <w:rPr>
          <w:rFonts w:cstheme="majorBidi"/>
          <w:kern w:val="0"/>
        </w:rPr>
        <w:t>Many desalination technologies, including MSF</w:t>
      </w:r>
      <w:r>
        <w:rPr>
          <w:rFonts w:cstheme="majorBidi"/>
          <w:kern w:val="0"/>
        </w:rPr>
        <w:t xml:space="preserve">, </w:t>
      </w:r>
      <w:r w:rsidRPr="009D2AE5">
        <w:rPr>
          <w:rFonts w:cstheme="majorBidi"/>
          <w:kern w:val="0"/>
        </w:rPr>
        <w:t>MED</w:t>
      </w:r>
      <w:r>
        <w:rPr>
          <w:rFonts w:cstheme="majorBidi"/>
          <w:kern w:val="0"/>
        </w:rPr>
        <w:t xml:space="preserve">, </w:t>
      </w:r>
      <w:r w:rsidRPr="009D2AE5">
        <w:rPr>
          <w:rFonts w:cstheme="majorBidi"/>
          <w:kern w:val="0"/>
        </w:rPr>
        <w:t>RO</w:t>
      </w:r>
      <w:r>
        <w:rPr>
          <w:rFonts w:cstheme="majorBidi"/>
          <w:kern w:val="0"/>
        </w:rPr>
        <w:t xml:space="preserve">, and </w:t>
      </w:r>
      <w:r w:rsidRPr="009D2AE5">
        <w:rPr>
          <w:rFonts w:cstheme="majorBidi"/>
          <w:kern w:val="0"/>
        </w:rPr>
        <w:t>FO, are viable for treating high</w:t>
      </w:r>
      <w:r w:rsidR="00801871">
        <w:rPr>
          <w:rFonts w:cstheme="majorBidi"/>
          <w:kern w:val="0"/>
        </w:rPr>
        <w:t>-</w:t>
      </w:r>
      <w:r w:rsidRPr="009D2AE5">
        <w:rPr>
          <w:rFonts w:cstheme="majorBidi"/>
          <w:kern w:val="0"/>
        </w:rPr>
        <w:t xml:space="preserve">salinity brine, but each has its own set of challenges that need addressing. Thermal-based methods </w:t>
      </w:r>
      <w:r>
        <w:rPr>
          <w:rFonts w:cstheme="majorBidi"/>
          <w:kern w:val="0"/>
        </w:rPr>
        <w:t>such as</w:t>
      </w:r>
      <w:r w:rsidRPr="009D2AE5">
        <w:rPr>
          <w:rFonts w:cstheme="majorBidi"/>
          <w:kern w:val="0"/>
        </w:rPr>
        <w:t xml:space="preserve"> MED and MSF are effective at handling high</w:t>
      </w:r>
      <w:r w:rsidR="00801871">
        <w:rPr>
          <w:rFonts w:cstheme="majorBidi"/>
          <w:kern w:val="0"/>
        </w:rPr>
        <w:t>-</w:t>
      </w:r>
      <w:r w:rsidRPr="009D2AE5">
        <w:rPr>
          <w:rFonts w:cstheme="majorBidi"/>
          <w:kern w:val="0"/>
        </w:rPr>
        <w:t xml:space="preserve">salinity brine; however, they require extensive pretreatment to prevent fouling and scaling. Additionally, their capital costs can be significant due to the need for corrosion-resistant materials. Membrane-based methods </w:t>
      </w:r>
      <w:r>
        <w:rPr>
          <w:rFonts w:cstheme="majorBidi"/>
          <w:kern w:val="0"/>
        </w:rPr>
        <w:t xml:space="preserve">such as </w:t>
      </w:r>
      <w:r w:rsidRPr="009D2AE5">
        <w:rPr>
          <w:rFonts w:cstheme="majorBidi"/>
          <w:kern w:val="0"/>
        </w:rPr>
        <w:t xml:space="preserve">RO </w:t>
      </w:r>
      <w:r w:rsidRPr="009D2AE5">
        <w:rPr>
          <w:rFonts w:cstheme="majorBidi"/>
          <w:kern w:val="0"/>
        </w:rPr>
        <w:lastRenderedPageBreak/>
        <w:t xml:space="preserve">offer a more cost-effective solution for producing fresh water, but they face limitations with brine salinity levels exceeding 70,000 ppm, beyond which energy consumption </w:t>
      </w:r>
      <w:r>
        <w:rPr>
          <w:rFonts w:cstheme="majorBidi"/>
          <w:kern w:val="0"/>
        </w:rPr>
        <w:t>increases significantly</w:t>
      </w:r>
      <w:r w:rsidRPr="009D2AE5">
        <w:rPr>
          <w:rFonts w:cstheme="majorBidi"/>
          <w:kern w:val="0"/>
        </w:rPr>
        <w:t xml:space="preserve"> and water recovery rates drop</w:t>
      </w:r>
      <w:r>
        <w:rPr>
          <w:rFonts w:cstheme="majorBidi"/>
          <w:kern w:val="0"/>
        </w:rPr>
        <w:t xml:space="preserve"> </w:t>
      </w:r>
      <w:r>
        <w:rPr>
          <w:rFonts w:cstheme="majorBidi"/>
          <w:kern w:val="0"/>
        </w:rPr>
        <w:fldChar w:fldCharType="begin" w:fldLock="1"/>
      </w:r>
      <w:r w:rsidR="00D83446">
        <w:rPr>
          <w:rFonts w:cstheme="majorBidi"/>
          <w:kern w:val="0"/>
        </w:rPr>
        <w:instrText>ADDIN CSL_CITATION {"citationItems":[{"id":"ITEM-1","itemData":{"DOI":"10.1016/j.scitotenv.2019.07.351","ISSN":"18791026","PMID":"31374511","abstract":"Brine, also known as concentrate, is the by-product of the desalination process that has an adverse impact on the environment due to its high salinity. Hence, viable and cost-effective brine management systems are needed to reduce environmental pollution. Currently, various disposal methods have been practiced, including surface water discharge, sewer discharge, deep-well injection, evaporation ponds and land application. However, these brine disposal methods are unsustainable and restricted by high capital costs and non-universal application. Nowadays, brine treatment is considered one of the most promising alternatives to brine disposal, since treatment results in the reduction of environmental pollution, minimization of waste volume and production of freshwater with high recovery. This review article evaluates current practices in brine management, including disposal methods and treatment technologies. Based upon the side-by-side comparison of technologies, a brine treatment technology framework is introduced to outline the Zero Liquid Discharge (ZLD) approach through high freshwater recovery and wastewater volume minimization. Furthermore, an overview of brine characteristics and its sources, as well as its negative impact on the environment is discussed. Finally, the paper highlights future research areas for brine treatment technologies aiming to enhance the effectiveness and viability of desalination.","author":[{"dropping-particle":"","family":"Panagopoulos","given":"Argyris","non-dropping-particle":"","parse-names":false,"suffix":""},{"dropping-particle":"","family":"Haralambous","given":"Katherine Joanne","non-dropping-particle":"","parse-names":false,"suffix":""},{"dropping-particle":"","family":"Loizidou","given":"M.","non-dropping-particle":"","parse-names":false,"suffix":""}],"container-title":"Science of the Total Environment","id":"ITEM-1","issued":{"date-parts":[["2019"]]},"page":"133545","publisher":"Elsevier","title":"Desalination brine disposal methods and treatment technologies - A review","type":"article-journal","volume":"693"},"uris":["http://www.mendeley.com/documents/?uuid=68dacbef-190c-498f-8345-96265778bbd4"]}],"mendeley":{"formattedCitation":"[40]","plainTextFormattedCitation":"[40]","previouslyFormattedCitation":"[41]"},"properties":{"noteIndex":0},"schema":"https://github.com/citation-style-language/schema/raw/master/csl-citation.json"}</w:instrText>
      </w:r>
      <w:r>
        <w:rPr>
          <w:rFonts w:cstheme="majorBidi"/>
          <w:kern w:val="0"/>
        </w:rPr>
        <w:fldChar w:fldCharType="separate"/>
      </w:r>
      <w:r w:rsidR="00D83446" w:rsidRPr="00D83446">
        <w:rPr>
          <w:rFonts w:cstheme="majorBidi"/>
          <w:noProof/>
          <w:kern w:val="0"/>
        </w:rPr>
        <w:t>[40]</w:t>
      </w:r>
      <w:r>
        <w:rPr>
          <w:rFonts w:cstheme="majorBidi"/>
          <w:kern w:val="0"/>
        </w:rPr>
        <w:fldChar w:fldCharType="end"/>
      </w:r>
      <w:r w:rsidRPr="009D2AE5">
        <w:rPr>
          <w:rFonts w:cstheme="majorBidi"/>
          <w:kern w:val="0"/>
        </w:rPr>
        <w:t>.</w:t>
      </w:r>
      <w:r>
        <w:rPr>
          <w:rFonts w:cstheme="majorBidi"/>
          <w:kern w:val="0"/>
        </w:rPr>
        <w:t xml:space="preserve"> </w:t>
      </w:r>
      <w:r w:rsidRPr="009D2AE5">
        <w:rPr>
          <w:rFonts w:cstheme="majorBidi"/>
          <w:kern w:val="0"/>
        </w:rPr>
        <w:t>FO represents an innovative approach within membrane-based methods, capable of treating high</w:t>
      </w:r>
      <w:r w:rsidR="00801871">
        <w:rPr>
          <w:rFonts w:cstheme="majorBidi"/>
          <w:kern w:val="0"/>
        </w:rPr>
        <w:t>-</w:t>
      </w:r>
      <w:r w:rsidRPr="009D2AE5">
        <w:rPr>
          <w:rFonts w:cstheme="majorBidi"/>
          <w:kern w:val="0"/>
        </w:rPr>
        <w:t>salinity brine at relatively low costs. Another promising</w:t>
      </w:r>
      <w:r>
        <w:rPr>
          <w:rFonts w:cstheme="majorBidi"/>
          <w:kern w:val="0"/>
        </w:rPr>
        <w:t xml:space="preserve"> and emerging</w:t>
      </w:r>
      <w:r w:rsidRPr="009D2AE5">
        <w:rPr>
          <w:rFonts w:cstheme="majorBidi"/>
          <w:kern w:val="0"/>
        </w:rPr>
        <w:t xml:space="preserve"> method is freeze desalination (FD), which offers potential advantages for high</w:t>
      </w:r>
      <w:r w:rsidR="00801871">
        <w:rPr>
          <w:rFonts w:cstheme="majorBidi"/>
          <w:kern w:val="0"/>
        </w:rPr>
        <w:t>-</w:t>
      </w:r>
      <w:r w:rsidRPr="009D2AE5">
        <w:rPr>
          <w:rFonts w:cstheme="majorBidi"/>
          <w:kern w:val="0"/>
        </w:rPr>
        <w:t>salinity brine treatment. The subsequent sections will explore conventional brine disposal methods and introduce freeze desalination as an emerging technique in the field.</w:t>
      </w:r>
    </w:p>
    <w:p w14:paraId="0E9B159D" w14:textId="0A01D32A" w:rsidR="00672C50" w:rsidRPr="0054046F" w:rsidRDefault="00C00476" w:rsidP="00700DBA">
      <w:pPr>
        <w:pStyle w:val="Heading3"/>
        <w:numPr>
          <w:ilvl w:val="2"/>
          <w:numId w:val="5"/>
        </w:numPr>
        <w:spacing w:before="360" w:after="0" w:line="480" w:lineRule="auto"/>
        <w:ind w:left="432" w:hanging="432"/>
        <w:rPr>
          <w:sz w:val="24"/>
          <w:szCs w:val="24"/>
        </w:rPr>
      </w:pPr>
      <w:bookmarkStart w:id="18" w:name="_Toc172367668"/>
      <w:r w:rsidRPr="0054046F">
        <w:rPr>
          <w:sz w:val="24"/>
          <w:szCs w:val="24"/>
        </w:rPr>
        <w:t xml:space="preserve">Disposal </w:t>
      </w:r>
      <w:r w:rsidR="00706585" w:rsidRPr="0054046F">
        <w:rPr>
          <w:sz w:val="24"/>
          <w:szCs w:val="24"/>
        </w:rPr>
        <w:t>M</w:t>
      </w:r>
      <w:r w:rsidRPr="0054046F">
        <w:rPr>
          <w:sz w:val="24"/>
          <w:szCs w:val="24"/>
        </w:rPr>
        <w:t>ethods</w:t>
      </w:r>
      <w:bookmarkEnd w:id="18"/>
    </w:p>
    <w:p w14:paraId="07926449" w14:textId="18E95677" w:rsidR="00C00476" w:rsidRPr="004834D3" w:rsidRDefault="00970D25" w:rsidP="004D6B25">
      <w:pPr>
        <w:spacing w:before="240" w:after="240" w:line="480" w:lineRule="auto"/>
        <w:jc w:val="both"/>
        <w:rPr>
          <w:rFonts w:cstheme="majorBidi"/>
          <w:kern w:val="0"/>
        </w:rPr>
      </w:pPr>
      <w:r w:rsidRPr="004834D3">
        <w:rPr>
          <w:rFonts w:cstheme="majorBidi"/>
          <w:kern w:val="0"/>
        </w:rPr>
        <w:t xml:space="preserve">The desalination industry has developed various methods for brine disposal, including surface water discharge, sewer discharge, deep-well injection, evaporation ponds, and land application. </w:t>
      </w:r>
      <w:r w:rsidR="009D2AE5">
        <w:rPr>
          <w:rFonts w:cstheme="majorBidi"/>
          <w:kern w:val="0"/>
        </w:rPr>
        <w:t>B</w:t>
      </w:r>
      <w:r w:rsidRPr="004834D3">
        <w:rPr>
          <w:rFonts w:cstheme="majorBidi"/>
          <w:kern w:val="0"/>
        </w:rPr>
        <w:t>rine disposal expenses can range from 5% to 33% of the total process costs, influenced by the characteristics and volume of the brine, the level of pretreatment required, the means of disposal, and the nature of the disposal environment</w:t>
      </w:r>
      <w:r w:rsidR="00573488" w:rsidRPr="004834D3">
        <w:rPr>
          <w:rFonts w:cstheme="majorBidi"/>
          <w:kern w:val="0"/>
        </w:rPr>
        <w:t xml:space="preserve"> </w:t>
      </w:r>
      <w:r w:rsidR="00573488" w:rsidRPr="004834D3">
        <w:rPr>
          <w:rFonts w:cstheme="majorBidi"/>
          <w:kern w:val="0"/>
        </w:rPr>
        <w:fldChar w:fldCharType="begin" w:fldLock="1"/>
      </w:r>
      <w:r w:rsidR="00D83446">
        <w:rPr>
          <w:rFonts w:cstheme="majorBidi"/>
          <w:kern w:val="0"/>
        </w:rPr>
        <w:instrText>ADDIN CSL_CITATION {"citationItems":[{"id":"ITEM-1","itemData":{"author":[{"dropping-particle":"","family":"Eslamian","given":"Saeid","non-dropping-particle":"","parse-names":false,"suffix":""}],"id":"ITEM-1","issued":{"date-parts":[["2016"]]},"publisher":"Taylor &amp; Francis Group","title":"Urban Water Reuse","type":"book"},"uris":["http://www.mendeley.com/documents/?uuid=92702f55-3bea-424d-afac-a244b8f302f4"]}],"mendeley":{"formattedCitation":"[62]","plainTextFormattedCitation":"[62]","previouslyFormattedCitation":"[63]"},"properties":{"noteIndex":0},"schema":"https://github.com/citation-style-language/schema/raw/master/csl-citation.json"}</w:instrText>
      </w:r>
      <w:r w:rsidR="00573488" w:rsidRPr="004834D3">
        <w:rPr>
          <w:rFonts w:cstheme="majorBidi"/>
          <w:kern w:val="0"/>
        </w:rPr>
        <w:fldChar w:fldCharType="separate"/>
      </w:r>
      <w:r w:rsidR="00D83446" w:rsidRPr="00D83446">
        <w:rPr>
          <w:rFonts w:cstheme="majorBidi"/>
          <w:noProof/>
          <w:kern w:val="0"/>
        </w:rPr>
        <w:t>[62]</w:t>
      </w:r>
      <w:r w:rsidR="00573488" w:rsidRPr="004834D3">
        <w:rPr>
          <w:rFonts w:cstheme="majorBidi"/>
          <w:kern w:val="0"/>
        </w:rPr>
        <w:fldChar w:fldCharType="end"/>
      </w:r>
      <w:r w:rsidRPr="004834D3">
        <w:rPr>
          <w:rFonts w:cstheme="majorBidi"/>
          <w:kern w:val="0"/>
        </w:rPr>
        <w:t>.</w:t>
      </w:r>
      <w:r w:rsidR="009D2AE5">
        <w:rPr>
          <w:rFonts w:cstheme="majorBidi"/>
          <w:kern w:val="0"/>
        </w:rPr>
        <w:t xml:space="preserve"> In the following, three of the most employed brine disposal approaches are describe</w:t>
      </w:r>
      <w:r w:rsidR="008008F6">
        <w:rPr>
          <w:rFonts w:cstheme="majorBidi"/>
          <w:kern w:val="0"/>
        </w:rPr>
        <w:t>d</w:t>
      </w:r>
      <w:r w:rsidR="009D2AE5">
        <w:rPr>
          <w:rFonts w:cstheme="majorBidi"/>
          <w:kern w:val="0"/>
        </w:rPr>
        <w:t>.</w:t>
      </w:r>
    </w:p>
    <w:p w14:paraId="77CB06BE" w14:textId="143B0A4F" w:rsidR="00AA2BE1" w:rsidRPr="004D6B25" w:rsidRDefault="00AA2BE1" w:rsidP="004D6B25">
      <w:pPr>
        <w:spacing w:before="360" w:after="0" w:line="480" w:lineRule="auto"/>
        <w:rPr>
          <w:b/>
          <w:bCs/>
          <w:u w:val="single"/>
        </w:rPr>
      </w:pPr>
      <w:r w:rsidRPr="004D6B25">
        <w:rPr>
          <w:b/>
          <w:bCs/>
          <w:u w:val="single"/>
        </w:rPr>
        <w:t xml:space="preserve">Surface </w:t>
      </w:r>
      <w:r w:rsidR="00706585" w:rsidRPr="004D6B25">
        <w:rPr>
          <w:b/>
          <w:bCs/>
          <w:u w:val="single"/>
        </w:rPr>
        <w:t>W</w:t>
      </w:r>
      <w:r w:rsidRPr="004D6B25">
        <w:rPr>
          <w:b/>
          <w:bCs/>
          <w:u w:val="single"/>
        </w:rPr>
        <w:t xml:space="preserve">ater </w:t>
      </w:r>
      <w:r w:rsidR="00706585" w:rsidRPr="004D6B25">
        <w:rPr>
          <w:b/>
          <w:bCs/>
          <w:u w:val="single"/>
        </w:rPr>
        <w:t>D</w:t>
      </w:r>
      <w:r w:rsidRPr="004D6B25">
        <w:rPr>
          <w:b/>
          <w:bCs/>
          <w:u w:val="single"/>
        </w:rPr>
        <w:t>ischarge</w:t>
      </w:r>
    </w:p>
    <w:p w14:paraId="6DAB08FC" w14:textId="04AE6AA5" w:rsidR="00573488" w:rsidRPr="004834D3" w:rsidRDefault="005850C9" w:rsidP="004D6B25">
      <w:pPr>
        <w:spacing w:before="240" w:after="240" w:line="480" w:lineRule="auto"/>
        <w:jc w:val="both"/>
        <w:rPr>
          <w:rFonts w:cstheme="majorBidi"/>
          <w:kern w:val="0"/>
        </w:rPr>
      </w:pPr>
      <w:r w:rsidRPr="004834D3">
        <w:rPr>
          <w:rFonts w:cstheme="majorBidi"/>
          <w:kern w:val="0"/>
        </w:rPr>
        <w:t xml:space="preserve">Surface water discharge, a prevalent brine disposal method, involves directly releasing brine into oceans, rivers, bays, lakes, and other open water bodies. The process entails transferring the brine to the disposal site, where it is discharged into the receiving water body. This method is widely utilized by the majority of seawater desalination plants. However, its feasibility depends on whether the brine's composition aligns with that of the receiving water body to avoid harmful effects on the marine environment </w:t>
      </w:r>
      <w:r w:rsidRPr="004834D3">
        <w:rPr>
          <w:rFonts w:cstheme="majorBidi"/>
          <w:kern w:val="0"/>
        </w:rPr>
        <w:fldChar w:fldCharType="begin" w:fldLock="1"/>
      </w:r>
      <w:r w:rsidR="00D83446">
        <w:rPr>
          <w:rFonts w:cstheme="majorBidi"/>
          <w:kern w:val="0"/>
        </w:rPr>
        <w:instrText>ADDIN CSL_CITATION {"citationItems":[{"id":"ITEM-1","itemData":{"DOI":"10.1111/j.1936-704x.2005.mp132001003.x","abstract":"Environmental issues related to desalination are a major factor in the design and implementation of desalination technologies. An acceptable desalination plant is expected to meet environmental regulations; be cost-effective in terms of construction, operation and management, as well as the costs associated with monitoring and permit fees. Some major environmental concerns include issues related to location of desalination plants and water intake structures, and concentrate management and disposal. This chapter provides an overview of the environmental issues related to desalination.","author":[{"dropping-particle":"","family":"Younos","given":"Tamim","non-dropping-particle":"","parse-names":false,"suffix":""}],"container-title":"Journal of Contemporary Water Research &amp; Education","id":"ITEM-1","issue":"1","issued":{"date-parts":[["2009"]]},"page":"11-18","title":"Environmental Issues of Desalination","type":"article-journal","volume":"132"},"uris":["http://www.mendeley.com/documents/?uuid=a0534fa9-62aa-4ef3-82db-f46e7e45bcf3"]},{"id":"ITEM-2","itemData":{"DOI":"10.1007/s11269-014-0901-y","ISSN":"15731650","abstract":"Desalination has proven to be a reliable and efficient water supply option in many countries, especially in times of water scarcity. However, high desalination costs and high prices for desalinated water (twice or three times higher than those from traditional water sources) have been hindering an uptake and the development of desalination in many countries. Applied desalination technology, capital and operational costs, production capacity, water salinity are just a few factors determining the final cost of desalinated water that varies considerably between $1.7–9.5/kgal ($0.45–2.51/m3). The final prices for desalinated water and the related costs for local municipalities are among the most crucial determinants of the overall short- and long-term effectiveness of desalination processes. This paper provides an in-depth analysis on economics of desalination with country specific examples. It depicts a comprehensive picture of cost variability of desalinated water and points out challenges for cost-effective desalination in the future.","author":[{"dropping-particle":"","family":"Ziolkowska","given":"Jadwiga R.","non-dropping-particle":"","parse-names":false,"suffix":""}],"container-title":"Water Resources Management","id":"ITEM-2","issue":"5","issued":{"date-parts":[["2015"]]},"page":"1385-1397","publisher":"Springer","title":"Is Desalination Affordable?—Regional Cost and Price Analysis","type":"article-journal","volume":"29"},"uris":["http://www.mendeley.com/documents/?uuid=504fbd99-fff8-46ef-af87-bd19ae35bd2d"]}],"mendeley":{"formattedCitation":"[63,64]","plainTextFormattedCitation":"[63,64]","previouslyFormattedCitation":"[64,65]"},"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[63,64]</w:t>
      </w:r>
      <w:r w:rsidRPr="004834D3">
        <w:rPr>
          <w:rFonts w:cstheme="majorBidi"/>
          <w:kern w:val="0"/>
        </w:rPr>
        <w:fldChar w:fldCharType="end"/>
      </w:r>
      <w:r w:rsidRPr="004834D3">
        <w:rPr>
          <w:rFonts w:cstheme="majorBidi"/>
          <w:kern w:val="0"/>
        </w:rPr>
        <w:t xml:space="preserve">. Brine can pose risks due to its elevated salinity or the </w:t>
      </w:r>
      <w:r w:rsidRPr="004834D3">
        <w:rPr>
          <w:rFonts w:cstheme="majorBidi"/>
          <w:kern w:val="0"/>
        </w:rPr>
        <w:lastRenderedPageBreak/>
        <w:t>presence of pollutants not naturally occurring in the receiving water. For instance, before discharge, the brine can be diluted with regular seawater or municipal wastewater to reduce its salinity level</w:t>
      </w:r>
      <w:r w:rsidR="00941AAC" w:rsidRPr="004834D3">
        <w:rPr>
          <w:rFonts w:cstheme="majorBidi"/>
          <w:kern w:val="0"/>
        </w:rPr>
        <w:t xml:space="preserve"> </w:t>
      </w:r>
      <w:r w:rsidR="00941AAC" w:rsidRPr="004834D3">
        <w:rPr>
          <w:rFonts w:cstheme="majorBidi"/>
          <w:kern w:val="0"/>
        </w:rPr>
        <w:fldChar w:fldCharType="begin" w:fldLock="1"/>
      </w:r>
      <w:r w:rsidR="00D83446">
        <w:rPr>
          <w:rFonts w:cstheme="majorBidi"/>
          <w:kern w:val="0"/>
        </w:rPr>
        <w:instrText>ADDIN CSL_CITATION {"citationItems":[{"id":"ITEM-1","itemData":{"author":[{"dropping-particle":"","family":"Arafat","given":"Hassan","non-dropping-particle":"","parse-names":false,"suffix":""}],"id":"ITEM-1","issued":{"date-parts":[["2017"]]},"publisher":"Elsevier","title":"Desalination sustainability: a technical, socioeconomic, and environmental approach","type":"book"},"uris":["http://www.mendeley.com/documents/?uuid=66d0b483-335a-4980-b365-c6288ac53309"]}],"mendeley":{"formattedCitation":"[65]","plainTextFormattedCitation":"[65]","previouslyFormattedCitation":"[66]"},"properties":{"noteIndex":0},"schema":"https://github.com/citation-style-language/schema/raw/master/csl-citation.json"}</w:instrText>
      </w:r>
      <w:r w:rsidR="00941AAC" w:rsidRPr="004834D3">
        <w:rPr>
          <w:rFonts w:cstheme="majorBidi"/>
          <w:kern w:val="0"/>
        </w:rPr>
        <w:fldChar w:fldCharType="separate"/>
      </w:r>
      <w:r w:rsidR="00D83446" w:rsidRPr="00D83446">
        <w:rPr>
          <w:rFonts w:cstheme="majorBidi"/>
          <w:noProof/>
          <w:kern w:val="0"/>
        </w:rPr>
        <w:t>[65]</w:t>
      </w:r>
      <w:r w:rsidR="00941AAC" w:rsidRPr="004834D3">
        <w:rPr>
          <w:rFonts w:cstheme="majorBidi"/>
          <w:kern w:val="0"/>
        </w:rPr>
        <w:fldChar w:fldCharType="end"/>
      </w:r>
      <w:r w:rsidRPr="004834D3">
        <w:rPr>
          <w:rFonts w:cstheme="majorBidi"/>
          <w:kern w:val="0"/>
        </w:rPr>
        <w:t>. Research indicates that careful dilution and rapid mixing can mitigate adverse impacts</w:t>
      </w:r>
      <w:r w:rsidR="00941AAC" w:rsidRPr="004834D3">
        <w:rPr>
          <w:rFonts w:cstheme="majorBidi"/>
          <w:kern w:val="0"/>
        </w:rPr>
        <w:t xml:space="preserve"> </w:t>
      </w:r>
      <w:r w:rsidR="00941AAC" w:rsidRPr="004834D3">
        <w:rPr>
          <w:rFonts w:cstheme="majorBidi"/>
          <w:kern w:val="0"/>
        </w:rPr>
        <w:fldChar w:fldCharType="begin" w:fldLock="1"/>
      </w:r>
      <w:r w:rsidR="00D83446">
        <w:rPr>
          <w:rFonts w:cstheme="majorBidi"/>
          <w:kern w:val="0"/>
        </w:rPr>
        <w:instrText>ADDIN CSL_CITATION {"citationItems":[{"id":"ITEM-1","itemData":{"DOI":"10.1016/j.desal.2007.03.009","ISSN":"00119164","abstract":"Desalination of seawater accounts for a worldwide water production of 24.5 million m3/day. A \"hot spot\" of intense desalination activity has always been the Arabian Gulf, but other regional centers of activity emerge and become more prominent, such as the Mediterranean Sea and the Red Sea, or the coastal waters of California, China and Australia. Despite the many benefits the technology has to offer, concerns rise over potential negative impacts on the environment. Key issues are the concentrate and chemical discharges to the marine environment, the emissions of air pollutants and the energy demand of the processes. To safeguard a sustainable use of desalination technology, the impacts of each major desalination project should be investigated and mitigated by means of a project- and location-specific environmental impact assessment (EIA) study, while the benefits and impacts of different water supply options should be balanced on the scale of regional management plans. In this context, our paper intends to present an overview on present seawater desalination capacities by region, a synopsis of the key environmental concerns of desalination, including ways of mitigating the impacts of desalination on the environment, and of avoiding some of the dangers of the environment to desalination. © 2008.","author":[{"dropping-particle":"","family":"Lattemann","given":"Sabine","non-dropping-particle":"","parse-names":false,"suffix":""},{"dropping-particle":"","family":"Höpner","given":"Thomas","non-dropping-particle":"","parse-names":false,"suffix":""}],"container-title":"Desalination","id":"ITEM-1","issue":"1-3","issued":{"date-parts":[["2008"]]},"page":"1-15","publisher":"Elsevier","title":"Environmental impact and impact assessment of seawater desalination","type":"article-journal","volume":"220"},"uris":["http://www.mendeley.com/documents/?uuid=fce3abbe-63f5-496f-83d8-760661e033fc"]}],"mendeley":{"formattedCitation":"[66]","plainTextFormattedCitation":"[66]","previouslyFormattedCitation":"[67]"},"properties":{"noteIndex":0},"schema":"https://github.com/citation-style-language/schema/raw/master/csl-citation.json"}</w:instrText>
      </w:r>
      <w:r w:rsidR="00941AAC" w:rsidRPr="004834D3">
        <w:rPr>
          <w:rFonts w:cstheme="majorBidi"/>
          <w:kern w:val="0"/>
        </w:rPr>
        <w:fldChar w:fldCharType="separate"/>
      </w:r>
      <w:r w:rsidR="00D83446" w:rsidRPr="00D83446">
        <w:rPr>
          <w:rFonts w:cstheme="majorBidi"/>
          <w:noProof/>
          <w:kern w:val="0"/>
        </w:rPr>
        <w:t>[66]</w:t>
      </w:r>
      <w:r w:rsidR="00941AAC" w:rsidRPr="004834D3">
        <w:rPr>
          <w:rFonts w:cstheme="majorBidi"/>
          <w:kern w:val="0"/>
        </w:rPr>
        <w:fldChar w:fldCharType="end"/>
      </w:r>
      <w:r w:rsidRPr="004834D3">
        <w:rPr>
          <w:rFonts w:cstheme="majorBidi"/>
          <w:kern w:val="0"/>
        </w:rPr>
        <w:t>. The cost of this disposal method typically ranges from US$0.05/m³ to US$0.30/m³ of rejected brine</w:t>
      </w:r>
      <w:r w:rsidR="00941AAC" w:rsidRPr="004834D3">
        <w:rPr>
          <w:rFonts w:cstheme="majorBidi"/>
          <w:kern w:val="0"/>
        </w:rPr>
        <w:t xml:space="preserve"> </w:t>
      </w:r>
      <w:r w:rsidR="00941AAC" w:rsidRPr="004834D3">
        <w:rPr>
          <w:rFonts w:cstheme="majorBidi"/>
          <w:kern w:val="0"/>
        </w:rPr>
        <w:fldChar w:fldCharType="begin" w:fldLock="1"/>
      </w:r>
      <w:r w:rsidR="00D83446">
        <w:rPr>
          <w:rFonts w:cstheme="majorBidi"/>
          <w:kern w:val="0"/>
        </w:rPr>
        <w:instrText>ADDIN CSL_CITATION {"citationItems":[{"id":"ITEM-1","itemData":{"DOI":"10.1016/B978-0-12-803237-4.00017-3","ISBN":"9780128032381","abstract":"In recent decades, exponentially growing water demand, shrinking water resources, and recurring extreme droughts in many regions of the United States have compelled scientists and policymakers to rethink the future of water availability and water management. Since the 1950s, desalination has been applied in many US states as a viable solution to those problems, providing 2. billion gallons per day of desalinated water in 2013 alone. Despite its high production efficiency, flexibility, and reliability in times of drought, in most cases desalination is still not cost competitive compared with water from traditional sources (groundwater and surface water).By means of the SWOT analysis, this chapter identifies and discusses strengths, weaknesses, opportunities, and challenges for desalination in the United States. Using examples from California, Florida, and Texas (the leading states on the US desalination market), the chapter demystifies common fears and risks and points out solutions from practice for improving cost efficiency and sustainability of desalination.","author":[{"dropping-particle":"","family":"Ziolkowska","given":"J. R.","non-dropping-particle":"","parse-names":false,"suffix":""},{"dropping-particle":"","family":"Reyes","given":"R.","non-dropping-particle":"","parse-names":false,"suffix":""}],"container-title":"Competition for Water Resources: Experiences and Management Approaches in the US and Europe","id":"ITEM-1","issued":{"date-parts":[["2017"]]},"page":"298-316","publisher":"Elsevier","title":"Prospects for Desalination in the United States-Experiences From California, Florida, and Texas","type":"chapter"},"uris":["http://www.mendeley.com/documents/?uuid=fc2f3413-3298-43ef-824b-c40d96e06530"]},{"id":"ITEM-2","itemData":{"author":[{"dropping-particle":"","family":"Arafat","given":"Hassan","non-dropping-particle":"","parse-names":false,"suffix":""}],"id":"ITEM-2","issued":{"date-parts":[["2017"]]},"publisher":"Elsevier","title":"Desalination sustainability: a technical, socioeconomic, and environmental approach","type":"book"},"uris":["http://www.mendeley.com/documents/?uuid=66d0b483-335a-4980-b365-c6288ac53309"]}],"mendeley":{"formattedCitation":"[65,67]","plainTextFormattedCitation":"[65,67]","previouslyFormattedCitation":"[66,68]"},"properties":{"noteIndex":0},"schema":"https://github.com/citation-style-language/schema/raw/master/csl-citation.json"}</w:instrText>
      </w:r>
      <w:r w:rsidR="00941AAC" w:rsidRPr="004834D3">
        <w:rPr>
          <w:rFonts w:cstheme="majorBidi"/>
          <w:kern w:val="0"/>
        </w:rPr>
        <w:fldChar w:fldCharType="separate"/>
      </w:r>
      <w:r w:rsidR="00D83446" w:rsidRPr="00D83446">
        <w:rPr>
          <w:rFonts w:cstheme="majorBidi"/>
          <w:noProof/>
          <w:kern w:val="0"/>
        </w:rPr>
        <w:t>[65,67]</w:t>
      </w:r>
      <w:r w:rsidR="00941AAC" w:rsidRPr="004834D3">
        <w:rPr>
          <w:rFonts w:cstheme="majorBidi"/>
          <w:kern w:val="0"/>
        </w:rPr>
        <w:fldChar w:fldCharType="end"/>
      </w:r>
      <w:r w:rsidRPr="004834D3">
        <w:rPr>
          <w:rFonts w:cstheme="majorBidi"/>
          <w:kern w:val="0"/>
        </w:rPr>
        <w:t>.</w:t>
      </w:r>
    </w:p>
    <w:p w14:paraId="01CD4AAF" w14:textId="44F8AC5B" w:rsidR="00573488" w:rsidRPr="004D6B25" w:rsidRDefault="001916BF" w:rsidP="004D6B25">
      <w:pPr>
        <w:spacing w:before="360" w:after="0" w:line="480" w:lineRule="auto"/>
        <w:rPr>
          <w:b/>
          <w:bCs/>
          <w:u w:val="single"/>
        </w:rPr>
      </w:pPr>
      <w:r w:rsidRPr="004D6B25">
        <w:rPr>
          <w:b/>
          <w:bCs/>
          <w:u w:val="single"/>
        </w:rPr>
        <w:t xml:space="preserve">Sewer </w:t>
      </w:r>
      <w:r w:rsidR="007063A2" w:rsidRPr="004D6B25">
        <w:rPr>
          <w:b/>
          <w:bCs/>
          <w:u w:val="single"/>
        </w:rPr>
        <w:t>D</w:t>
      </w:r>
      <w:r w:rsidRPr="004D6B25">
        <w:rPr>
          <w:b/>
          <w:bCs/>
          <w:u w:val="single"/>
        </w:rPr>
        <w:t>ischarge</w:t>
      </w:r>
    </w:p>
    <w:p w14:paraId="0AAD048E" w14:textId="539F0CA6" w:rsidR="00672C50" w:rsidRPr="004834D3" w:rsidRDefault="000D1CE3" w:rsidP="004D6B25">
      <w:pPr>
        <w:spacing w:before="240" w:after="240" w:line="480" w:lineRule="auto"/>
        <w:jc w:val="both"/>
        <w:rPr>
          <w:rFonts w:cstheme="majorBidi"/>
          <w:kern w:val="0"/>
        </w:rPr>
      </w:pPr>
      <w:r w:rsidRPr="004834D3">
        <w:rPr>
          <w:rFonts w:cstheme="majorBidi"/>
          <w:kern w:val="0"/>
        </w:rPr>
        <w:t>Sewer discharge is a brine disposal method that involves releasing brine into the wastewater collection system. This approach is commonly favored by small-scale brackish water desalination plants, primarily due to concerns about the adverse effects of the brine's high TDS content on the receiving wastewater treatment plant</w:t>
      </w:r>
      <w:r w:rsidR="00946965" w:rsidRPr="004834D3">
        <w:rPr>
          <w:rFonts w:cstheme="majorBidi"/>
          <w:kern w:val="0"/>
        </w:rPr>
        <w:t xml:space="preserve"> </w:t>
      </w:r>
      <w:r w:rsidR="00946965" w:rsidRPr="004834D3">
        <w:rPr>
          <w:rFonts w:cstheme="majorBidi"/>
          <w:kern w:val="0"/>
        </w:rPr>
        <w:fldChar w:fldCharType="begin" w:fldLock="1"/>
      </w:r>
      <w:r w:rsidR="00D83446">
        <w:rPr>
          <w:rFonts w:cstheme="majorBidi"/>
          <w:kern w:val="0"/>
        </w:rPr>
        <w:instrText>ADDIN CSL_CITATION {"citationItems":[{"id":"ITEM-1","itemData":{"DOI":"10.1016/j.desal.2015.03.013","ISSN":"00119164","abstract":"Understanding the role of a global seawater desalination plant project using potential ecological indicators is important in assessing ecological risk and/or impact evaluations from observations at a molecular level. A marine health assessment of ecological indicators (e.g., as an early-warning system) can provide information about an area of ecosystem disturbance, the disappearance of symbiosis, organism mortality, instability of fertility and breeding species, the emergence of single species, the bioaccumulation of test bed operation pollutants discharged, and changes in the communities. Here, we provide a comprehensive review of ecosystem health assessments using potential ecological indicators in a seawater desalination test bed. We review some empirical analyses and compare desalination concentrate treatments, the impact of reverse osmosis and multistage flash, chemicals used in the plant, the impact pathway, the brine outfall pipe, an operational assessment, salinity tolerances, and the eco-toxicological effect of brine in a marine ecosystem. Based on literature research results and data illustrating the degraded ecosystem and/or the original ecosystem, stress caused by a desalination project on the marine ecosystem damage can provide information about the marine ecosystem disturbance, the disappearance of symbiosis relationship, which may be as important as sustainable management using living ecological indicators.","author":[{"dropping-particle":"","family":"Chang","given":"Jin Soo","non-dropping-particle":"","parse-names":false,"suffix":""}],"container-title":"Desalination","id":"ITEM-1","issued":{"date-parts":[["2015"]]},"page":"416-433","publisher":"Elsevier","title":"Understanding the role of ecological indicator use in assessing the effects of desalination plants","type":"article-journal","volume":"365"},"uris":["http://www.mendeley.com/documents/?uuid=119438c8-a6c2-4259-8021-e93d95d8990e"]}],"mendeley":{"formattedCitation":"[68]","plainTextFormattedCitation":"[68]","previouslyFormattedCitation":"[69]"},"properties":{"noteIndex":0},"schema":"https://github.com/citation-style-language/schema/raw/master/csl-citation.json"}</w:instrText>
      </w:r>
      <w:r w:rsidR="00946965" w:rsidRPr="004834D3">
        <w:rPr>
          <w:rFonts w:cstheme="majorBidi"/>
          <w:kern w:val="0"/>
        </w:rPr>
        <w:fldChar w:fldCharType="separate"/>
      </w:r>
      <w:r w:rsidR="00D83446" w:rsidRPr="00D83446">
        <w:rPr>
          <w:rFonts w:cstheme="majorBidi"/>
          <w:noProof/>
          <w:kern w:val="0"/>
        </w:rPr>
        <w:t>[68]</w:t>
      </w:r>
      <w:r w:rsidR="00946965" w:rsidRPr="004834D3">
        <w:rPr>
          <w:rFonts w:cstheme="majorBidi"/>
          <w:kern w:val="0"/>
        </w:rPr>
        <w:fldChar w:fldCharType="end"/>
      </w:r>
      <w:r w:rsidRPr="004834D3">
        <w:rPr>
          <w:rFonts w:cstheme="majorBidi"/>
          <w:kern w:val="0"/>
        </w:rPr>
        <w:t>. The high salinity of brine can impede the biological treatment process in a wastewater treatment plant, particularly when the TDS concentration of the influent exceeds 3000 mg/L</w:t>
      </w:r>
      <w:r w:rsidR="00946965" w:rsidRPr="004834D3">
        <w:rPr>
          <w:rFonts w:cstheme="majorBidi"/>
          <w:kern w:val="0"/>
        </w:rPr>
        <w:t xml:space="preserve"> </w:t>
      </w:r>
      <w:r w:rsidR="00946965" w:rsidRPr="004834D3">
        <w:rPr>
          <w:rFonts w:cstheme="majorBidi"/>
          <w:kern w:val="0"/>
        </w:rPr>
        <w:fldChar w:fldCharType="begin" w:fldLock="1"/>
      </w:r>
      <w:r w:rsidR="00D83446">
        <w:rPr>
          <w:rFonts w:cstheme="majorBidi"/>
          <w:kern w:val="0"/>
        </w:rPr>
        <w:instrText>ADDIN CSL_CITATION {"citationItems":[{"id":"ITEM-1","itemData":{"DOI":"10.1016/j.jenvman.2014.06.009","ISSN":"10958630","PMID":"24981281","abstract":"Domestic wastewater treatment under specific influent conditions seriously stressed with total dissolved solids (TDS) and copper (Cu) metal was examined by a laboratory-scale model of the phytoremediation process with the attached growth system using Typha sp. As compared with conventional wetland systems, the process showed more stability and improved performance (88±1.1% BOD5, 73±1.0% NH3-N, 48±2.0% PO4-P) at high organic loading rate (314±18g BOD5/m3/d) either in the presence of high TDS (~2500mg/L) or Cu metal (~30mg/L). Typha sp. could tolerate TDS concentrations up to 2500mg/L. Cu-contaminated sewage can cause plant morphological deformities if the metal exceeds the saturation limit of 2416 and 21,036mg/kg Cu in the shoots and roots, respectively. A minor reduction in the TDS (21%) was observed at the highest tolerable limit, whereas 67% reduction of Cu was observed at the process effluent. The process holds a great promise for main advantages of improved biofilm formation, reduced footprint, energy savings and increased efficiency in domestic wastewater treatment even under unfavorable conditions stressed by TDS and Cu. © 2014 Elsevier Ltd.","author":[{"dropping-particle":"","family":"Valipour","given":"Alireza","non-dropping-particle":"","parse-names":false,"suffix":""},{"dropping-particle":"","family":"Hamnabard","given":"Nazanin","non-dropping-particle":"","parse-names":false,"suffix":""},{"dropping-particle":"","family":"Woo","given":"Kwang Sung","non-dropping-particle":"","parse-names":false,"suffix":""},{"dropping-particle":"","family":"Ahn","given":"Young Ho","non-dropping-particle":"","parse-names":false,"suffix":""}],"container-title":"Journal of Environmental Management","id":"ITEM-1","issued":{"date-parts":[["2014"]]},"page":"1-8","publisher":"Elsevier","title":"Performance of high-rate constructed phytoremediation process with attached growth for domestic wastewater treatment: Effect of high TDS and Cu","type":"article-journal","volume":"145"},"uris":["http://www.mendeley.com/documents/?uuid=eb1b1d43-1ad7-48a1-a139-3fe3f921a8d2"]}],"mendeley":{"formattedCitation":"[69]","plainTextFormattedCitation":"[69]","previouslyFormattedCitation":"[70]"},"properties":{"noteIndex":0},"schema":"https://github.com/citation-style-language/schema/raw/master/csl-citation.json"}</w:instrText>
      </w:r>
      <w:r w:rsidR="00946965" w:rsidRPr="004834D3">
        <w:rPr>
          <w:rFonts w:cstheme="majorBidi"/>
          <w:kern w:val="0"/>
        </w:rPr>
        <w:fldChar w:fldCharType="separate"/>
      </w:r>
      <w:r w:rsidR="00D83446" w:rsidRPr="00D83446">
        <w:rPr>
          <w:rFonts w:cstheme="majorBidi"/>
          <w:noProof/>
          <w:kern w:val="0"/>
        </w:rPr>
        <w:t>[69]</w:t>
      </w:r>
      <w:r w:rsidR="00946965" w:rsidRPr="004834D3">
        <w:rPr>
          <w:rFonts w:cstheme="majorBidi"/>
          <w:kern w:val="0"/>
        </w:rPr>
        <w:fldChar w:fldCharType="end"/>
      </w:r>
      <w:r w:rsidRPr="004834D3">
        <w:rPr>
          <w:rFonts w:cstheme="majorBidi"/>
          <w:kern w:val="0"/>
        </w:rPr>
        <w:t>. As a result, sewer discharge is predominantly utilized by brackish water desalination plants and is seldom employed for seawater desalination purposes. The cost of this disposal method typically ranges from US$0.32/m³ to US$0.66/m³ of rejected brine</w:t>
      </w:r>
      <w:r w:rsidR="005C40A4" w:rsidRPr="004834D3">
        <w:rPr>
          <w:rFonts w:cstheme="majorBidi"/>
          <w:kern w:val="0"/>
        </w:rPr>
        <w:t xml:space="preserve"> </w:t>
      </w:r>
      <w:r w:rsidR="005C40A4" w:rsidRPr="004834D3">
        <w:rPr>
          <w:rFonts w:cstheme="majorBidi"/>
          <w:kern w:val="0"/>
        </w:rPr>
        <w:fldChar w:fldCharType="begin" w:fldLock="1"/>
      </w:r>
      <w:r w:rsidR="00D83446">
        <w:rPr>
          <w:rFonts w:cstheme="majorBidi"/>
          <w:kern w:val="0"/>
        </w:rPr>
        <w:instrText>ADDIN CSL_CITATION {"citationItems":[{"id":"ITEM-1","itemData":{"author":[{"dropping-particle":"","family":"Arafat","given":"Hassan","non-dropping-particle":"","parse-names":false,"suffix":""}],"id":"ITEM-1","issued":{"date-parts":[["2017"]]},"publisher":"Elsevier","title":"Desalination sustainability: a technical, socioeconomic, and environmental approach","type":"book"},"uris":["http://www.mendeley.com/documents/?uuid=66d0b483-335a-4980-b365-c6288ac53309"]},{"id":"ITEM-2","itemData":{"DOI":"10.1016/B978-0-12-803237-4.00017-3","ISBN":"9780128032381","abstract":"In recent decades, exponentially growing water demand, shrinking water resources, and recurring extreme droughts in many regions of the United States have compelled scientists and policymakers to rethink the future of water availability and water management. Since the 1950s, desalination has been applied in many US states as a viable solution to those problems, providing 2. billion gallons per day of desalinated water in 2013 alone. Despite its high production efficiency, flexibility, and reliability in times of drought, in most cases desalination is still not cost competitive compared with water from traditional sources (groundwater and surface water).By means of the SWOT analysis, this chapter identifies and discusses strengths, weaknesses, opportunities, and challenges for desalination in the United States. Using examples from California, Florida, and Texas (the leading states on the US desalination market), the chapter demystifies common fears and risks and points out solutions from practice for improving cost efficiency and sustainability of desalination.","author":[{"dropping-particle":"","family":"Ziolkowska","given":"J. R.","non-dropping-particle":"","parse-names":false,"suffix":""},{"dropping-particle":"","family":"Reyes","given":"R.","non-dropping-particle":"","parse-names":false,"suffix":""}],"container-title":"Competition for Water Resources: Experiences and Management Approaches in the US and Europe","id":"ITEM-2","issued":{"date-parts":[["2017"]]},"page":"298-316","publisher":"Elsevier","title":"Prospects for Desalination in the United States-Experiences From California, Florida, and Texas","type":"chapter"},"uris":["http://www.mendeley.com/documents/?uuid=fc2f3413-3298-43ef-824b-c40d96e06530"]}],"mendeley":{"formattedCitation":"[65,67]","plainTextFormattedCitation":"[65,67]","previouslyFormattedCitation":"[66,68]"},"properties":{"noteIndex":0},"schema":"https://github.com/citation-style-language/schema/raw/master/csl-citation.json"}</w:instrText>
      </w:r>
      <w:r w:rsidR="005C40A4" w:rsidRPr="004834D3">
        <w:rPr>
          <w:rFonts w:cstheme="majorBidi"/>
          <w:kern w:val="0"/>
        </w:rPr>
        <w:fldChar w:fldCharType="separate"/>
      </w:r>
      <w:r w:rsidR="00D83446" w:rsidRPr="00D83446">
        <w:rPr>
          <w:rFonts w:cstheme="majorBidi"/>
          <w:noProof/>
          <w:kern w:val="0"/>
        </w:rPr>
        <w:t>[65,67]</w:t>
      </w:r>
      <w:r w:rsidR="005C40A4" w:rsidRPr="004834D3">
        <w:rPr>
          <w:rFonts w:cstheme="majorBidi"/>
          <w:kern w:val="0"/>
        </w:rPr>
        <w:fldChar w:fldCharType="end"/>
      </w:r>
      <w:r w:rsidRPr="004834D3">
        <w:rPr>
          <w:rFonts w:cstheme="majorBidi"/>
          <w:kern w:val="0"/>
        </w:rPr>
        <w:t>.</w:t>
      </w:r>
    </w:p>
    <w:p w14:paraId="2B63761E" w14:textId="60CF9A90" w:rsidR="005C40A4" w:rsidRPr="004D6B25" w:rsidRDefault="00781198" w:rsidP="004D6B25">
      <w:pPr>
        <w:spacing w:before="360" w:after="0" w:line="480" w:lineRule="auto"/>
        <w:rPr>
          <w:b/>
          <w:bCs/>
          <w:u w:val="single"/>
        </w:rPr>
      </w:pPr>
      <w:r w:rsidRPr="004D6B25">
        <w:rPr>
          <w:b/>
          <w:bCs/>
          <w:u w:val="single"/>
        </w:rPr>
        <w:t>Deep-</w:t>
      </w:r>
      <w:r w:rsidR="007063A2" w:rsidRPr="004D6B25">
        <w:rPr>
          <w:b/>
          <w:bCs/>
          <w:u w:val="single"/>
        </w:rPr>
        <w:t>W</w:t>
      </w:r>
      <w:r w:rsidRPr="004D6B25">
        <w:rPr>
          <w:b/>
          <w:bCs/>
          <w:u w:val="single"/>
        </w:rPr>
        <w:t xml:space="preserve">ell </w:t>
      </w:r>
      <w:r w:rsidR="007063A2" w:rsidRPr="004D6B25">
        <w:rPr>
          <w:b/>
          <w:bCs/>
          <w:u w:val="single"/>
        </w:rPr>
        <w:t>I</w:t>
      </w:r>
      <w:r w:rsidRPr="004D6B25">
        <w:rPr>
          <w:b/>
          <w:bCs/>
          <w:u w:val="single"/>
        </w:rPr>
        <w:t>njection</w:t>
      </w:r>
    </w:p>
    <w:p w14:paraId="35666C34" w14:textId="71EA2A94" w:rsidR="00EA644C" w:rsidRPr="004834D3" w:rsidRDefault="00A87616" w:rsidP="004D6B25">
      <w:pPr>
        <w:spacing w:before="240" w:after="240" w:line="480" w:lineRule="auto"/>
        <w:jc w:val="both"/>
        <w:rPr>
          <w:rFonts w:cstheme="majorBidi"/>
          <w:kern w:val="0"/>
        </w:rPr>
      </w:pPr>
      <w:r w:rsidRPr="004834D3">
        <w:rPr>
          <w:rFonts w:cstheme="majorBidi"/>
          <w:kern w:val="0"/>
        </w:rPr>
        <w:t>Deep-Well Injection, a technique for disposing of brine, involves the careful injection of brine into deep underground aquifers that are sufficiently isolated from the water aquifers above. This method is commonly employed by brackish water desalination plants. The process entails injecting the brine into a well</w:t>
      </w:r>
      <w:r w:rsidR="008008F6">
        <w:rPr>
          <w:rFonts w:cstheme="majorBidi"/>
          <w:kern w:val="0"/>
        </w:rPr>
        <w:t>-</w:t>
      </w:r>
      <w:r w:rsidRPr="004834D3">
        <w:rPr>
          <w:rFonts w:cstheme="majorBidi"/>
          <w:kern w:val="0"/>
        </w:rPr>
        <w:t xml:space="preserve">equipped with multiple layers of casing. Porous rocks are utilized to confine the brine, while impermeable formations such as clay serve to prevent contamination of the water </w:t>
      </w:r>
      <w:r w:rsidRPr="004834D3">
        <w:rPr>
          <w:rFonts w:cstheme="majorBidi"/>
          <w:kern w:val="0"/>
        </w:rPr>
        <w:lastRenderedPageBreak/>
        <w:t>aquifers</w:t>
      </w:r>
      <w:r w:rsidR="00A23E0B" w:rsidRPr="004834D3">
        <w:rPr>
          <w:rFonts w:cstheme="majorBidi"/>
          <w:kern w:val="0"/>
        </w:rPr>
        <w:t xml:space="preserve"> </w:t>
      </w:r>
      <w:r w:rsidR="00A23E0B" w:rsidRPr="004834D3">
        <w:rPr>
          <w:rFonts w:cstheme="majorBidi"/>
          <w:kern w:val="0"/>
        </w:rPr>
        <w:fldChar w:fldCharType="begin" w:fldLock="1"/>
      </w:r>
      <w:r w:rsidR="00D83446">
        <w:rPr>
          <w:rFonts w:cstheme="majorBidi"/>
          <w:kern w:val="0"/>
        </w:rPr>
        <w:instrText>ADDIN CSL_CITATION {"citationItems":[{"id":"ITEM-1","itemData":{"author":[{"dropping-particle":"","family":"Thomas","given":"David C","non-dropping-particle":"","parse-names":false,"suffix":""},{"dropping-particle":"","family":"Benson","given":"Sally M","non-dropping-particle":"","parse-names":false,"suffix":""}],"id":"ITEM-1","issued":{"date-parts":[["2015"]]},"publisher":"Elsevier","title":"Carbon dioxide capture for storage in deep geologic formations-results from the CO2 Capture Project: Vol 2-Geologic Storage of Carbon Dioxide with Monitoring and Verification","type":"book"},"uris":["http://www.mendeley.com/documents/?uuid=db7a534a-6549-461b-8c18-46804d791591"]},{"id":"ITEM-2","itemData":{"DOI":"10.1179/ida.2011.3.3.17","ISSN":"1947-7953","abstract":"Developing an environmentally sound and economical concentrate disposal method is a critical element for desalination systems, particularly when a surface water outfall is not a viable option. Disp...","author":[{"dropping-particle":"","family":"Maliva","given":"Robert G.","non-dropping-particle":"","parse-names":false,"suffix":""},{"dropping-particle":"","family":"Missimer","given":"Thomas M.","non-dropping-particle":"","parse-names":false,"suffix":""},{"dropping-particle":"","family":"Fontaine","given":"Russell","non-dropping-particle":"","parse-names":false,"suffix":""}],"container-title":"IDA Journal of Desalination and Water Reuse","id":"ITEM-2","issue":"3","issued":{"date-parts":[["2011"]]},"page":"17-23","publisher":"Taylor \\&amp; Francis","title":"Injection Well Options for Sustainable Disposal of Desalination Concentrate","type":"article-journal","volume":"3"},"uris":["http://www.mendeley.com/documents/?uuid=281ff499-20f6-4300-8fc5-126294deef87"]}],"mendeley":{"formattedCitation":"[70,71]","plainTextFormattedCitation":"[70,71]","previouslyFormattedCitation":"[71,72]"},"properties":{"noteIndex":0},"schema":"https://github.com/citation-style-language/schema/raw/master/csl-citation.json"}</w:instrText>
      </w:r>
      <w:r w:rsidR="00A23E0B" w:rsidRPr="004834D3">
        <w:rPr>
          <w:rFonts w:cstheme="majorBidi"/>
          <w:kern w:val="0"/>
        </w:rPr>
        <w:fldChar w:fldCharType="separate"/>
      </w:r>
      <w:r w:rsidR="00D83446" w:rsidRPr="00D83446">
        <w:rPr>
          <w:rFonts w:cstheme="majorBidi"/>
          <w:noProof/>
          <w:kern w:val="0"/>
        </w:rPr>
        <w:t>[70,71]</w:t>
      </w:r>
      <w:r w:rsidR="00A23E0B" w:rsidRPr="004834D3">
        <w:rPr>
          <w:rFonts w:cstheme="majorBidi"/>
          <w:kern w:val="0"/>
        </w:rPr>
        <w:fldChar w:fldCharType="end"/>
      </w:r>
      <w:r w:rsidRPr="004834D3">
        <w:rPr>
          <w:rFonts w:cstheme="majorBidi"/>
          <w:kern w:val="0"/>
        </w:rPr>
        <w:t xml:space="preserve">. </w:t>
      </w:r>
      <w:r w:rsidR="008008F6">
        <w:rPr>
          <w:rFonts w:cstheme="majorBidi"/>
          <w:kern w:val="0"/>
        </w:rPr>
        <w:t>The receiving aquifer must have</w:t>
      </w:r>
      <w:r w:rsidRPr="004834D3">
        <w:rPr>
          <w:rFonts w:cstheme="majorBidi"/>
          <w:kern w:val="0"/>
        </w:rPr>
        <w:t xml:space="preserve"> the capacity to accommodate the brine generated over the plant's operational lifespan, which typically spans 25 to 30 years</w:t>
      </w:r>
      <w:r w:rsidR="00A23E0B" w:rsidRPr="004834D3">
        <w:rPr>
          <w:rFonts w:cstheme="majorBidi"/>
          <w:kern w:val="0"/>
        </w:rPr>
        <w:t xml:space="preserve"> </w:t>
      </w:r>
      <w:r w:rsidR="00A23E0B" w:rsidRPr="004834D3">
        <w:rPr>
          <w:rFonts w:cstheme="majorBidi"/>
          <w:kern w:val="0"/>
        </w:rPr>
        <w:fldChar w:fldCharType="begin" w:fldLock="1"/>
      </w:r>
      <w:r w:rsidR="00D83446">
        <w:rPr>
          <w:rFonts w:cstheme="majorBidi"/>
          <w:kern w:val="0"/>
        </w:rPr>
        <w:instrText>ADDIN CSL_CITATION {"citationItems":[{"id":"ITEM-1","itemData":{"ISBN":"9781848263758","author":[{"dropping-particle":"","family":"Gálvez","given":"Julian Blanco","non-dropping-particle":"","parse-names":false,"suffix":""},{"dropping-particle":"","family":"Rodríguez","given":"Sixto Malato","non-dropping-particle":"","parse-names":false,"suffix":""},{"dropping-particle":"","family":"Delyannis","given":"E.","non-dropping-particle":"","parse-names":false,"suffix":""},{"dropping-particle":"","family":"Belessiotis","given":"Vassilis G.","non-dropping-particle":"","parse-names":false,"suffix":""},{"dropping-particle":"","family":"Bhattacharya","given":"S. C.","non-dropping-particle":"","parse-names":false,"suffix":""},{"dropping-particle":"","family":"Kumar","given":"S.","non-dropping-particle":"","parse-names":false,"suffix":""}],"id":"ITEM-1","issued":{"date-parts":[["2010"]]},"number-of-pages":"466","publisher":"EOLSS Publications","title":"Solar Energy Conversion and Photoenergy Systems: Thermal Systems and Desalination Plants","type":"book","volume":"1"},"uris":["http://www.mendeley.com/documents/?uuid=df61988e-b835-49c9-bc24-6eb04579c3d7"]},{"id":"ITEM-2","itemData":{"ISBN":"9780820602004","author":[{"dropping-particle":"","family":"Olabarria","given":"Pedro Maria Gonzalez","non-dropping-particle":"","parse-names":false,"suffix":""}],"id":"ITEM-2","issued":{"date-parts":[["2015"]]},"publisher":"Chemical Publishing Company","title":"Constructive Engineering of Large Reverse Osmosis Desalination Plants, Chemical Publishing Company","type":"book"},"uris":["http://www.mendeley.com/documents/?uuid=d83fca2a-d39b-4358-895b-dc69aee27790"]}],"mendeley":{"formattedCitation":"[72,73]","plainTextFormattedCitation":"[72,73]","previouslyFormattedCitation":"[73,74]"},"properties":{"noteIndex":0},"schema":"https://github.com/citation-style-language/schema/raw/master/csl-citation.json"}</w:instrText>
      </w:r>
      <w:r w:rsidR="00A23E0B" w:rsidRPr="004834D3">
        <w:rPr>
          <w:rFonts w:cstheme="majorBidi"/>
          <w:kern w:val="0"/>
        </w:rPr>
        <w:fldChar w:fldCharType="separate"/>
      </w:r>
      <w:r w:rsidR="00D83446" w:rsidRPr="00D83446">
        <w:rPr>
          <w:rFonts w:cstheme="majorBidi"/>
          <w:noProof/>
          <w:kern w:val="0"/>
        </w:rPr>
        <w:t>[72,73]</w:t>
      </w:r>
      <w:r w:rsidR="00A23E0B" w:rsidRPr="004834D3">
        <w:rPr>
          <w:rFonts w:cstheme="majorBidi"/>
          <w:kern w:val="0"/>
        </w:rPr>
        <w:fldChar w:fldCharType="end"/>
      </w:r>
      <w:r w:rsidRPr="004834D3">
        <w:rPr>
          <w:rFonts w:cstheme="majorBidi"/>
          <w:kern w:val="0"/>
        </w:rPr>
        <w:t>. A primary environmental concern associated with deep-well injection is the potential contamination of nearby water aquifers that may serve as sources of drinking water</w:t>
      </w:r>
      <w:r w:rsidR="00A31B31" w:rsidRPr="004834D3">
        <w:rPr>
          <w:rFonts w:cstheme="majorBidi"/>
          <w:kern w:val="0"/>
        </w:rPr>
        <w:t xml:space="preserve"> </w:t>
      </w:r>
      <w:r w:rsidR="00A31B31" w:rsidRPr="004834D3">
        <w:rPr>
          <w:rFonts w:cstheme="majorBidi"/>
          <w:kern w:val="0"/>
        </w:rPr>
        <w:fldChar w:fldCharType="begin" w:fldLock="1"/>
      </w:r>
      <w:r w:rsidR="00D83446">
        <w:rPr>
          <w:rFonts w:cstheme="majorBidi"/>
          <w:kern w:val="0"/>
        </w:rPr>
        <w:instrText>ADDIN CSL_CITATION {"citationItems":[{"id":"ITEM-1","itemData":{"author":[{"dropping-particle":"","family":"Bergman","given":"Robert","non-dropping-particle":"","parse-names":false,"suffix":""}],"id":"ITEM-1","issued":{"date-parts":[["2007"]]},"publisher":"American Water Works Association","title":"Reverse osmosis and nanofiltration","type":"book"},"uris":["http://www.mendeley.com/documents/?uuid=fd4d6c81-f179-4013-a5f0-7c4ec34999b9"]}],"mendeley":{"formattedCitation":"[74]","plainTextFormattedCitation":"[74]","previouslyFormattedCitation":"[75]"},"properties":{"noteIndex":0},"schema":"https://github.com/citation-style-language/schema/raw/master/csl-citation.json"}</w:instrText>
      </w:r>
      <w:r w:rsidR="00A31B31" w:rsidRPr="004834D3">
        <w:rPr>
          <w:rFonts w:cstheme="majorBidi"/>
          <w:kern w:val="0"/>
        </w:rPr>
        <w:fldChar w:fldCharType="separate"/>
      </w:r>
      <w:r w:rsidR="00D83446" w:rsidRPr="00D83446">
        <w:rPr>
          <w:rFonts w:cstheme="majorBidi"/>
          <w:noProof/>
          <w:kern w:val="0"/>
        </w:rPr>
        <w:t>[74]</w:t>
      </w:r>
      <w:r w:rsidR="00A31B31" w:rsidRPr="004834D3">
        <w:rPr>
          <w:rFonts w:cstheme="majorBidi"/>
          <w:kern w:val="0"/>
        </w:rPr>
        <w:fldChar w:fldCharType="end"/>
      </w:r>
      <w:r w:rsidRPr="004834D3">
        <w:rPr>
          <w:rFonts w:cstheme="majorBidi"/>
          <w:kern w:val="0"/>
        </w:rPr>
        <w:t>. The cost of employing this disposal method typically falls within the range of US$0.54/m3 to US$2.65/m3 of brine discharged</w:t>
      </w:r>
      <w:r w:rsidR="00A31B31" w:rsidRPr="004834D3">
        <w:rPr>
          <w:rFonts w:cstheme="majorBidi"/>
          <w:kern w:val="0"/>
        </w:rPr>
        <w:t xml:space="preserve"> </w:t>
      </w:r>
      <w:r w:rsidR="00A31B31" w:rsidRPr="004834D3">
        <w:rPr>
          <w:rFonts w:cstheme="majorBidi"/>
          <w:kern w:val="0"/>
        </w:rPr>
        <w:fldChar w:fldCharType="begin" w:fldLock="1"/>
      </w:r>
      <w:r w:rsidR="00D83446">
        <w:rPr>
          <w:rFonts w:cstheme="majorBidi"/>
          <w:kern w:val="0"/>
        </w:rPr>
        <w:instrText>ADDIN CSL_CITATION {"citationItems":[{"id":"ITEM-1","itemData":{"author":[{"dropping-particle":"","family":"Arafat","given":"Hassan","non-dropping-particle":"","parse-names":false,"suffix":""}],"id":"ITEM-1","issued":{"date-parts":[["2017"]]},"publisher":"Elsevier","title":"Desalination sustainability: a technical, socioeconomic, and environmental approach","type":"book"},"uris":["http://www.mendeley.com/documents/?uuid=66d0b483-335a-4980-b365-c6288ac53309"]},{"id":"ITEM-2","itemData":{"DOI":"10.1016/B978-0-12-803237-4.00017-3","ISBN":"9780128032381","abstract":"In recent decades, exponentially growing water demand, shrinking water resources, and recurring extreme droughts in many regions of the United States have compelled scientists and policymakers to rethink the future of water availability and water management. Since the 1950s, desalination has been applied in many US states as a viable solution to those problems, providing 2. billion gallons per day of desalinated water in 2013 alone. Despite its high production efficiency, flexibility, and reliability in times of drought, in most cases desalination is still not cost competitive compared with water from traditional sources (groundwater and surface water).By means of the SWOT analysis, this chapter identifies and discusses strengths, weaknesses, opportunities, and challenges for desalination in the United States. Using examples from California, Florida, and Texas (the leading states on the US desalination market), the chapter demystifies common fears and risks and points out solutions from practice for improving cost efficiency and sustainability of desalination.","author":[{"dropping-particle":"","family":"Ziolkowska","given":"J. R.","non-dropping-particle":"","parse-names":false,"suffix":""},{"dropping-particle":"","family":"Reyes","given":"R.","non-dropping-particle":"","parse-names":false,"suffix":""}],"container-title":"Competition for Water Resources: Experiences and Management Approaches in the US and Europe","id":"ITEM-2","issued":{"date-parts":[["2017"]]},"page":"298-316","publisher":"Elsevier","title":"Prospects for Desalination in the United States-Experiences From California, Florida, and Texas","type":"chapter"},"uris":["http://www.mendeley.com/documents/?uuid=fc2f3413-3298-43ef-824b-c40d96e06530"]}],"mendeley":{"formattedCitation":"[65,67]","plainTextFormattedCitation":"[65,67]","previouslyFormattedCitation":"[66,68]"},"properties":{"noteIndex":0},"schema":"https://github.com/citation-style-language/schema/raw/master/csl-citation.json"}</w:instrText>
      </w:r>
      <w:r w:rsidR="00A31B31" w:rsidRPr="004834D3">
        <w:rPr>
          <w:rFonts w:cstheme="majorBidi"/>
          <w:kern w:val="0"/>
        </w:rPr>
        <w:fldChar w:fldCharType="separate"/>
      </w:r>
      <w:r w:rsidR="00D83446" w:rsidRPr="00D83446">
        <w:rPr>
          <w:rFonts w:cstheme="majorBidi"/>
          <w:noProof/>
          <w:kern w:val="0"/>
        </w:rPr>
        <w:t>[65,67]</w:t>
      </w:r>
      <w:r w:rsidR="00A31B31" w:rsidRPr="004834D3">
        <w:rPr>
          <w:rFonts w:cstheme="majorBidi"/>
          <w:kern w:val="0"/>
        </w:rPr>
        <w:fldChar w:fldCharType="end"/>
      </w:r>
      <w:r w:rsidRPr="004834D3">
        <w:rPr>
          <w:rFonts w:cstheme="majorBidi"/>
          <w:kern w:val="0"/>
        </w:rPr>
        <w:t>.</w:t>
      </w:r>
    </w:p>
    <w:p w14:paraId="00357EA1" w14:textId="76D35CCA" w:rsidR="000F0D75" w:rsidRPr="00535C31" w:rsidRDefault="00AE186C" w:rsidP="00700DBA">
      <w:pPr>
        <w:pStyle w:val="Heading3"/>
        <w:numPr>
          <w:ilvl w:val="2"/>
          <w:numId w:val="5"/>
        </w:numPr>
        <w:spacing w:before="360" w:after="0" w:line="480" w:lineRule="auto"/>
        <w:ind w:left="432" w:hanging="432"/>
        <w:rPr>
          <w:sz w:val="24"/>
          <w:szCs w:val="24"/>
        </w:rPr>
      </w:pPr>
      <w:bookmarkStart w:id="19" w:name="_Toc172367669"/>
      <w:r w:rsidRPr="00535C31">
        <w:rPr>
          <w:sz w:val="24"/>
          <w:szCs w:val="24"/>
        </w:rPr>
        <w:t xml:space="preserve">Freeze </w:t>
      </w:r>
      <w:r w:rsidR="003E0361" w:rsidRPr="00535C31">
        <w:rPr>
          <w:sz w:val="24"/>
          <w:szCs w:val="24"/>
        </w:rPr>
        <w:t>D</w:t>
      </w:r>
      <w:r w:rsidRPr="00535C31">
        <w:rPr>
          <w:sz w:val="24"/>
          <w:szCs w:val="24"/>
        </w:rPr>
        <w:t>esalination</w:t>
      </w:r>
      <w:r w:rsidR="003E0361" w:rsidRPr="00535C31">
        <w:rPr>
          <w:sz w:val="24"/>
          <w:szCs w:val="24"/>
        </w:rPr>
        <w:t xml:space="preserve"> (FD)</w:t>
      </w:r>
      <w:bookmarkEnd w:id="19"/>
    </w:p>
    <w:p w14:paraId="634691F2" w14:textId="61B6778A" w:rsidR="000B4F8C" w:rsidRPr="004834D3" w:rsidRDefault="00AE186C" w:rsidP="004D6B25">
      <w:pPr>
        <w:spacing w:before="240" w:after="240" w:line="480" w:lineRule="auto"/>
        <w:jc w:val="both"/>
        <w:rPr>
          <w:rFonts w:cstheme="majorBidi"/>
          <w:kern w:val="0"/>
        </w:rPr>
      </w:pPr>
      <w:r w:rsidRPr="004834D3">
        <w:rPr>
          <w:rFonts w:cstheme="majorBidi"/>
          <w:kern w:val="0"/>
        </w:rPr>
        <w:t>Freeze desalination (FD) technology presents a promising solution to circumvent common challenges encountered in traditional desalination methods. Unlike thermal-based methods, which often face issues such as high energy consumption and corrosion, or membrane-based methods, which contend with fouling and demanding pretreatment requirements, FD offers an alternative approach. In FD, the process involves the partial or complete freezing of the solution, wherein newly formed ice crystals gradually enlarge, displacing impurities, including salts, into the remaining brine solution. Freshwater is then obtained in the form of ice blocks or ice crystals</w:t>
      </w:r>
      <w:r w:rsidR="00F3192F" w:rsidRPr="004834D3">
        <w:rPr>
          <w:rFonts w:cstheme="majorBidi"/>
          <w:kern w:val="0"/>
        </w:rPr>
        <w:t xml:space="preserve"> </w:t>
      </w:r>
      <w:r w:rsidR="00F3192F" w:rsidRPr="004834D3">
        <w:rPr>
          <w:rFonts w:cstheme="majorBidi"/>
          <w:kern w:val="0"/>
        </w:rPr>
        <w:fldChar w:fldCharType="begin" w:fldLock="1"/>
      </w:r>
      <w:r w:rsidR="00D83446">
        <w:rPr>
          <w:rFonts w:cstheme="majorBidi"/>
          <w:kern w:val="0"/>
        </w:rPr>
        <w:instrText>ADDIN CSL_CITATION {"citationItems":[{"id":"ITEM-1","itemData":{"DOI":"10.1080/19443994.2015.1041163","ISSN":"19443986","abstract":"Freeze desalination of samples of seawater from Umluj beach, Red Sea, in Saudi Arabia, was investigated by laboratory experiments using nondirect freezing. The influence of kinetic parameters including degree of crystallization, freezing–melting cycles, and gradual melting on the total dissolved solids (TDS) and salt rejection was examined. The melted ice water produced by partial crystallization of single-stage freezing has two times less salt concentration than the feed seawater (TDS, 40,916 mg/l). Continuous cycling of the freezing–melting process reduced the dissolved salts to 1.5% with TDS 610 mg/l, in the level of drinking water. The TDS of the melted ice decreased with gradual melting time and reached 693 mg/l after 6 h. The results indicated that the laboratory freezing desalination could decrease sea ice salinity from 4.1 to 0.06% without using chemical additives.","author":[{"dropping-particle":"","family":"Badawy","given":"Sayed M.","non-dropping-particle":"","parse-names":false,"suffix":""}],"container-title":"Desalination and Water Treatment","id":"ITEM-1","issue":"24","issued":{"date-parts":[["2016"]]},"page":"11040-11047","publisher":"Taylor \\&amp; Francis","title":"Laboratory freezing desalination of seawater","type":"article-journal","volume":"57"},"uris":["http://www.mendeley.com/documents/?uuid=bb0c9284-ca85-4bf7-b02b-ad3c152a5981"]}],"mendeley":{"formattedCitation":"[75]","plainTextFormattedCitation":"[75]","previouslyFormattedCitation":"[76]"},"properties":{"noteIndex":0},"schema":"https://github.com/citation-style-language/schema/raw/master/csl-citation.json"}</w:instrText>
      </w:r>
      <w:r w:rsidR="00F3192F" w:rsidRPr="004834D3">
        <w:rPr>
          <w:rFonts w:cstheme="majorBidi"/>
          <w:kern w:val="0"/>
        </w:rPr>
        <w:fldChar w:fldCharType="separate"/>
      </w:r>
      <w:r w:rsidR="00D83446" w:rsidRPr="00D83446">
        <w:rPr>
          <w:rFonts w:cstheme="majorBidi"/>
          <w:noProof/>
          <w:kern w:val="0"/>
        </w:rPr>
        <w:t>[75]</w:t>
      </w:r>
      <w:r w:rsidR="00F3192F" w:rsidRPr="004834D3">
        <w:rPr>
          <w:rFonts w:cstheme="majorBidi"/>
          <w:kern w:val="0"/>
        </w:rPr>
        <w:fldChar w:fldCharType="end"/>
      </w:r>
      <w:r w:rsidRPr="004834D3">
        <w:rPr>
          <w:rFonts w:cstheme="majorBidi"/>
          <w:kern w:val="0"/>
        </w:rPr>
        <w:t xml:space="preserve">. The produced ice is subsequently separated from the highly saline brine, washed, and finally melted to yield pure water. </w:t>
      </w:r>
    </w:p>
    <w:p w14:paraId="2623B90D" w14:textId="3B6C9446" w:rsidR="00314455" w:rsidRPr="004834D3" w:rsidRDefault="00B37485" w:rsidP="004D6B25">
      <w:pPr>
        <w:spacing w:before="240" w:after="240" w:line="480" w:lineRule="auto"/>
        <w:ind w:firstLine="720"/>
        <w:jc w:val="both"/>
        <w:rPr>
          <w:rFonts w:cstheme="majorBidi"/>
          <w:kern w:val="0"/>
        </w:rPr>
      </w:pPr>
      <w:r w:rsidRPr="004834D3">
        <w:rPr>
          <w:rFonts w:cstheme="majorBidi"/>
          <w:kern w:val="0"/>
        </w:rPr>
        <w:t xml:space="preserve">Freeze desalination </w:t>
      </w:r>
      <w:r w:rsidR="00FB306C">
        <w:rPr>
          <w:rFonts w:cstheme="majorBidi"/>
          <w:kern w:val="0"/>
        </w:rPr>
        <w:t>has</w:t>
      </w:r>
      <w:r w:rsidRPr="004834D3">
        <w:rPr>
          <w:rFonts w:cstheme="majorBidi"/>
          <w:kern w:val="0"/>
        </w:rPr>
        <w:t xml:space="preserve"> several attributes that address the limitations of major desalination technologies, namely thermal-based desalination, and membrane-based desalination. Unlike membrane-based processes, FD is </w:t>
      </w:r>
      <w:r w:rsidR="008008F6">
        <w:rPr>
          <w:rFonts w:cstheme="majorBidi"/>
          <w:kern w:val="0"/>
        </w:rPr>
        <w:t>i</w:t>
      </w:r>
      <w:r w:rsidRPr="004834D3">
        <w:rPr>
          <w:rFonts w:cstheme="majorBidi"/>
          <w:kern w:val="0"/>
        </w:rPr>
        <w:t>nsensitive to fouling issues, a common challenge in membrane desalination, where cleaning fouled membranes can be exceedingly challenging</w:t>
      </w:r>
      <w:r w:rsidR="00BD03C1" w:rsidRPr="004834D3">
        <w:rPr>
          <w:rFonts w:cstheme="majorBidi"/>
          <w:kern w:val="0"/>
        </w:rPr>
        <w:t xml:space="preserve"> </w:t>
      </w:r>
      <w:r w:rsidR="00BD03C1" w:rsidRPr="004834D3">
        <w:rPr>
          <w:rFonts w:cstheme="majorBidi"/>
          <w:kern w:val="0"/>
        </w:rPr>
        <w:fldChar w:fldCharType="begin" w:fldLock="1"/>
      </w:r>
      <w:r w:rsidR="00D83446">
        <w:rPr>
          <w:rFonts w:cstheme="majorBidi"/>
          <w:kern w:val="0"/>
        </w:rPr>
        <w:instrText>ADDIN CSL_CITATION {"citationItems":[{"id":"ITEM-1","itemData":{"DOI":"10.1080/15422110600671734","ISSN":"15422119","abstract":"A thorough literature survey was conducted on the freezing-melting (FM) process for desalination. Collected literatures were studied and analyzed to identify the current state-of-the-art of the FM process, and its practical limitations. The main advantages of the FM process are the requirement of low energy and low temperature operation compared to thermal desalination. Other advantages are less scaling or fouling and fewer corrosion problems, ability to use inexpensive plastics or low-cost material, and absence of pretreatment. The three broad classes of FM process are: direct contact freezing, indirect contact freezing, and vacuum freezing. Different types of processing options in each class are discussed with their operating principles and merits and downsides of each process.","author":[{"dropping-particle":"","family":"Rahman","given":"Mohammad Shafiur","non-dropping-particle":"","parse-names":false,"suffix":""},{"dropping-particle":"","family":"Ahmed","given":"Mushtaque","non-dropping-particle":"","parse-names":false,"suffix":""},{"dropping-particle":"","family":"Chen","given":"X. Dong","non-dropping-particle":"","parse-names":false,"suffix":""}],"container-title":"Separation and Purification Reviews","id":"ITEM-1","issue":"2","issued":{"date-parts":[["2006"]]},"page":"59-96","publisher":"Taylor \\&amp; Francis","title":"Freezing-melting process and desalination: I. review of the state-of-the-art","type":"article-journal","volume":"35"},"uris":["http://www.mendeley.com/documents/?uuid=f34d61da-2846-47ef-b6d5-0d4b40de1740"]},{"id":"ITEM-2","itemData":{"DOI":"10.4491/eer.2015.074","ISSN":"2005968X","abstract":"The increasing demand for materials, energy and products drives chemical engineers to propose new solutions everyday able to promote development while supporting sustainable industrial growth. Membrane engineering can offer significant assets to this development. Here, they are identified the most interesting aspects of membrane engineering in strategic industrial sectors such as water treatment, energy production and depletion and reuse of raw materials. The opportunity to integrate membrane units with innovative systems to exploit the potential advantages derived from their synergic uses is also emphasized. The analysis of the potentialities of these new technologies is supported by the introduction of process intensification metrics which provide an alternative and innovative point of view regarding the unit performance, highlighting important aspects characterizing the technology and not identified by the conventional analysis of the unit performance.","author":[{"dropping-particle":"","family":"Brunetti","given":"Adele","non-dropping-particle":"","parse-names":false,"suffix":""},{"dropping-particle":"","family":"Macedonio","given":"Francesca","non-dropping-particle":"","parse-names":false,"suffix":""},{"dropping-particle":"","family":"Barbieri","given":"Giuseppe","non-dropping-particle":"","parse-names":false,"suffix":""},{"dropping-particle":"","family":"Drioli","given":"Enrico","non-dropping-particle":"","parse-names":false,"suffix":""}],"container-title":"Environmental Engineering Research","id":"ITEM-2","issue":"4","issued":{"date-parts":[["2015"]]},"page":"307-328","publisher":"Korean Society of Environmental Engineers","title":"Membrane engineering for environmental protection and sustainable industrial growth: Options for water and gas treatment","type":"article-journal","volume":"20"},"uris":["http://www.mendeley.com/documents/?uuid=75efa8d2-51df-4535-a62c-b07c1f9aa9a6"]}],"mendeley":{"formattedCitation":"[76,77]","plainTextFormattedCitation":"[76,77]","previouslyFormattedCitation":"[77,78]"},"properties":{"noteIndex":0},"schema":"https://github.com/citation-style-language/schema/raw/master/csl-citation.json"}</w:instrText>
      </w:r>
      <w:r w:rsidR="00BD03C1" w:rsidRPr="004834D3">
        <w:rPr>
          <w:rFonts w:cstheme="majorBidi"/>
          <w:kern w:val="0"/>
        </w:rPr>
        <w:fldChar w:fldCharType="separate"/>
      </w:r>
      <w:r w:rsidR="00D83446" w:rsidRPr="00D83446">
        <w:rPr>
          <w:rFonts w:cstheme="majorBidi"/>
          <w:noProof/>
          <w:kern w:val="0"/>
        </w:rPr>
        <w:t>[76,77]</w:t>
      </w:r>
      <w:r w:rsidR="00BD03C1" w:rsidRPr="004834D3">
        <w:rPr>
          <w:rFonts w:cstheme="majorBidi"/>
          <w:kern w:val="0"/>
        </w:rPr>
        <w:fldChar w:fldCharType="end"/>
      </w:r>
      <w:r w:rsidRPr="004834D3">
        <w:rPr>
          <w:rFonts w:cstheme="majorBidi"/>
          <w:kern w:val="0"/>
        </w:rPr>
        <w:t xml:space="preserve">. Additionally, unlike RO, which necessitates extensive pretreatment and chemical additives, FD operates without such requirements. RO typically generates concentrated brine, posing environmental concerns, whereas FD shows promise in treating this concentrated brine toward </w:t>
      </w:r>
      <w:r w:rsidRPr="004834D3">
        <w:rPr>
          <w:rFonts w:cstheme="majorBidi"/>
          <w:kern w:val="0"/>
        </w:rPr>
        <w:lastRenderedPageBreak/>
        <w:t>achieving close to zero liquid discharge</w:t>
      </w:r>
      <w:r w:rsidR="00BD03C1" w:rsidRPr="004834D3">
        <w:rPr>
          <w:rFonts w:cstheme="majorBidi"/>
          <w:kern w:val="0"/>
        </w:rPr>
        <w:t xml:space="preserve"> </w:t>
      </w:r>
      <w:r w:rsidR="00BD03C1" w:rsidRPr="004834D3">
        <w:rPr>
          <w:rFonts w:cstheme="majorBidi"/>
          <w:kern w:val="0"/>
        </w:rPr>
        <w:fldChar w:fldCharType="begin" w:fldLock="1"/>
      </w:r>
      <w:r w:rsidR="00D83446">
        <w:rPr>
          <w:rFonts w:cstheme="majorBidi"/>
          <w:kern w:val="0"/>
        </w:rPr>
        <w:instrText>ADDIN CSL_CITATION {"citationItems":[{"id":"ITEM-1","itemData":{"DOI":"10.1016/j.desal.2012.07.037","ISSN":"00119164","abstract":"Ice maker machines are extensively used in many commercial and residential areas for the purpose of making ice cubes. As the ice forms a certain amount of dissolved salts will be rejected to the remaining residual liquid. However, the degree of separation by freezing, in terms of the salt rejection and water recovery, is dictated by several factors and influences, such as operating conditions and feed quality. In this paper, the potential of an ice maker is investigated for desalting several types of process feed including sodium chloride solutions, Arabian Gulf seawater and reverse osmosis brines. The performance of multi-staging the freeze concentration process was also experimentally assessed. The results show that the process was useful in concentrating reverse osmosis brine and producing a recycle stream for further processing by membrane plant. © 2012 Elsevier B.V.","author":[{"dropping-particle":"","family":"Williams","given":"P. M.","non-dropping-particle":"","parse-names":false,"suffix":""},{"dropping-particle":"","family":"Ahmad","given":"M.","non-dropping-particle":"","parse-names":false,"suffix":""},{"dropping-particle":"","family":"Connolly","given":"B. S.","non-dropping-particle":"","parse-names":false,"suffix":""}],"container-title":"Desalination","id":"ITEM-1","issued":{"date-parts":[["2013"]]},"page":"219-224","publisher":"Elsevier","title":"Freeze desalination: An assessment of an ice maker machine for desalting brines","type":"article-journal","volume":"308"},"uris":["http://www.mendeley.com/documents/?uuid=f56fab12-a953-4558-8e5e-eadf130718c8"]}],"mendeley":{"formattedCitation":"[78]","plainTextFormattedCitation":"[78]","previouslyFormattedCitation":"[79]"},"properties":{"noteIndex":0},"schema":"https://github.com/citation-style-language/schema/raw/master/csl-citation.json"}</w:instrText>
      </w:r>
      <w:r w:rsidR="00BD03C1" w:rsidRPr="004834D3">
        <w:rPr>
          <w:rFonts w:cstheme="majorBidi"/>
          <w:kern w:val="0"/>
        </w:rPr>
        <w:fldChar w:fldCharType="separate"/>
      </w:r>
      <w:r w:rsidR="00D83446" w:rsidRPr="00D83446">
        <w:rPr>
          <w:rFonts w:cstheme="majorBidi"/>
          <w:noProof/>
          <w:kern w:val="0"/>
        </w:rPr>
        <w:t>[78]</w:t>
      </w:r>
      <w:r w:rsidR="00BD03C1" w:rsidRPr="004834D3">
        <w:rPr>
          <w:rFonts w:cstheme="majorBidi"/>
          <w:kern w:val="0"/>
        </w:rPr>
        <w:fldChar w:fldCharType="end"/>
      </w:r>
      <w:r w:rsidRPr="004834D3">
        <w:rPr>
          <w:rFonts w:cstheme="majorBidi"/>
          <w:kern w:val="0"/>
        </w:rPr>
        <w:t>. Moreover, FD encounters minimal scaling and corrosion problems due to its lower operating temperatures compared to thermal desalination processes. From an energy perspective, the latent heat of ice fusion in FD is significantly lower at 333 kJ/kg compared to the 2500 kJ/kg required for water evaporation in thermal desalination processes</w:t>
      </w:r>
      <w:r w:rsidR="00BD03C1" w:rsidRPr="004834D3">
        <w:rPr>
          <w:rFonts w:cstheme="majorBidi"/>
          <w:kern w:val="0"/>
        </w:rPr>
        <w:t xml:space="preserve"> </w:t>
      </w:r>
      <w:r w:rsidR="00BD03C1" w:rsidRPr="004834D3">
        <w:rPr>
          <w:rFonts w:cstheme="majorBidi"/>
          <w:kern w:val="0"/>
        </w:rPr>
        <w:fldChar w:fldCharType="begin" w:fldLock="1"/>
      </w:r>
      <w:r w:rsidR="00D83446">
        <w:rPr>
          <w:rFonts w:cstheme="majorBidi"/>
          <w:kern w:val="0"/>
        </w:rPr>
        <w:instrText>ADDIN CSL_CITATION {"citationItems":[{"id":"ITEM-1","itemData":{"DOI":"10.5383/ijtee.15.02.004","ISSN":"19237316","abstract":"Desalination by freeze crystallization is a freezing-melting process in which water is crystallized to ice and separated from saline solution. This area is observing a renascence to mitigate the staggering and sea rejected brine that has a negative environmental impact. Phase diagram of NaCl-H2O is the key point of designing freeze desalination systems. All freeze crystallization methods follow the same process, starting from nucleation, crystal growth, separation, and finally melting. Direct contact, indirect contact, vacuum, and eutectic point are the basic methods of crystallization. Furthermore, suspension freezing and freezing on a cold plate by indirect contact with refrigerant are the found to be the most suitable methods for desalination. Initial concentration, refrigerant temperature, growth rate, and flow rate are the main operating parameters that determine the final product properties and desalination efficiency. In this work, a quick review on the subject is brought up as the area is regaining renascence this followed with simulation of an indirect freeze crystallization process in a rectangular enclosure using computational fluid dynamics (CFD) modelling. These modeling are paradigm shift to gain more insight to the complex crystallization process being based on multiple species non-isothermal flow in a two phase flow representing the liquid and the ice formation. Results show that by combined CFD in multiple species modelling much insight into freeze crystallization can be revealed, optimized and re-designed.","author":[{"dropping-particle":"","family":"Kadi","given":"Khadije","non-dropping-particle":"El","parse-names":false,"suffix":""},{"dropping-particle":"","family":"Janajreh","given":"Isam","non-dropping-particle":"","parse-names":false,"suffix":""}],"container-title":"International Journal of Thermal and Environmental Engineering","id":"ITEM-1","issue":"2","issued":{"date-parts":[["2019"]]},"page":"103-110","title":"Desalination by Freeze Crystallization: An Overview","type":"article-journal","volume":"15"},"uris":["http://www.mendeley.com/documents/?uuid=9a57c9fa-38e9-4aaa-940d-9fb2bd319a76"]}],"mendeley":{"formattedCitation":"[79]","plainTextFormattedCitation":"[79]","previouslyFormattedCitation":"[80]"},"properties":{"noteIndex":0},"schema":"https://github.com/citation-style-language/schema/raw/master/csl-citation.json"}</w:instrText>
      </w:r>
      <w:r w:rsidR="00BD03C1" w:rsidRPr="004834D3">
        <w:rPr>
          <w:rFonts w:cstheme="majorBidi"/>
          <w:kern w:val="0"/>
        </w:rPr>
        <w:fldChar w:fldCharType="separate"/>
      </w:r>
      <w:r w:rsidR="00D83446" w:rsidRPr="00D83446">
        <w:rPr>
          <w:rFonts w:cstheme="majorBidi"/>
          <w:noProof/>
          <w:kern w:val="0"/>
        </w:rPr>
        <w:t>[79]</w:t>
      </w:r>
      <w:r w:rsidR="00BD03C1" w:rsidRPr="004834D3">
        <w:rPr>
          <w:rFonts w:cstheme="majorBidi"/>
          <w:kern w:val="0"/>
        </w:rPr>
        <w:fldChar w:fldCharType="end"/>
      </w:r>
      <w:r w:rsidRPr="004834D3">
        <w:rPr>
          <w:rFonts w:cstheme="majorBidi"/>
          <w:kern w:val="0"/>
        </w:rPr>
        <w:t>. Consequently, FD demands approximately one-seventh of the energy needed for thermal desalination. Furthermore, FD exhibits versatility in handling highly concentrated brines, offering flexibility in treatment options</w:t>
      </w:r>
      <w:r w:rsidR="0004150E" w:rsidRPr="004834D3">
        <w:rPr>
          <w:rFonts w:cstheme="majorBidi"/>
          <w:kern w:val="0"/>
        </w:rPr>
        <w:t xml:space="preserve"> </w:t>
      </w:r>
      <w:r w:rsidR="0004150E" w:rsidRPr="004834D3">
        <w:rPr>
          <w:rFonts w:cstheme="majorBidi"/>
          <w:kern w:val="0"/>
        </w:rPr>
        <w:fldChar w:fldCharType="begin" w:fldLock="1"/>
      </w:r>
      <w:r w:rsidR="00D83446">
        <w:rPr>
          <w:rFonts w:cstheme="majorBidi"/>
          <w:kern w:val="0"/>
        </w:rPr>
        <w:instrText>ADDIN CSL_CITATION {"citationItems":[{"id":"ITEM-1","itemData":{"DOI":"10.1016/j.jwpe.2015.10.005","ISSN":"22147144","abstract":"In recent years, various Freeze Crystallization (FC) processes have been investigated and shown to have potential as an environmentally friendly and sustainable water treatment technology towards achieving a near zero waste by producing potable water and salts (in some instances pure salt(s)) from hyper-saline brines. This paper reviews the history and current status of FC technologies for the treatment of Reverse Osmosis (RO) brines. A number of water treatment examples and applications of FC are discussed. The review found that, although the outcomes from the FC research are promising, the adoption of this technology in mainstream desalination brine treatment has been insignificant despite the fact that FC could have niche applications in the treatment of brines generated from membrane processes such as RO. The review also found that a hybrid technology approach, such as an integrated RO-FC process, can provide the optimum treatment solution from both an equipment capital and operating cost perspective. Lastly, the paper highlights future focus areas for research and development in the field of FC that aims at making this technology part of the mainstream suite of brine treatment technologies.","author":[{"dropping-particle":"","family":"Randall","given":"D. G.","non-dropping-particle":"","parse-names":false,"suffix":""},{"dropping-particle":"","family":"Nathoo","given":"J.","non-dropping-particle":"","parse-names":false,"suffix":""}],"container-title":"Journal of Water Process Engineering","id":"ITEM-1","issued":{"date-parts":[["2015"]]},"page":"186-194","publisher":"Elsevier","title":"A succinct review of the treatment of Reverse Osmosis brines using Freeze Crystallization","type":"article-journal","volume":"8"},"uris":["http://www.mendeley.com/documents/?uuid=58bcddc4-96f1-4414-9048-1f7438cda1fd"]}],"mendeley":{"formattedCitation":"[80]","plainTextFormattedCitation":"[80]","previouslyFormattedCitation":"[81]"},"properties":{"noteIndex":0},"schema":"https://github.com/citation-style-language/schema/raw/master/csl-citation.json"}</w:instrText>
      </w:r>
      <w:r w:rsidR="0004150E" w:rsidRPr="004834D3">
        <w:rPr>
          <w:rFonts w:cstheme="majorBidi"/>
          <w:kern w:val="0"/>
        </w:rPr>
        <w:fldChar w:fldCharType="separate"/>
      </w:r>
      <w:r w:rsidR="00D83446" w:rsidRPr="00D83446">
        <w:rPr>
          <w:rFonts w:cstheme="majorBidi"/>
          <w:noProof/>
          <w:kern w:val="0"/>
        </w:rPr>
        <w:t>[80]</w:t>
      </w:r>
      <w:r w:rsidR="0004150E" w:rsidRPr="004834D3">
        <w:rPr>
          <w:rFonts w:cstheme="majorBidi"/>
          <w:kern w:val="0"/>
        </w:rPr>
        <w:fldChar w:fldCharType="end"/>
      </w:r>
      <w:r w:rsidRPr="004834D3">
        <w:rPr>
          <w:rFonts w:cstheme="majorBidi"/>
          <w:kern w:val="0"/>
        </w:rPr>
        <w:t>.</w:t>
      </w:r>
    </w:p>
    <w:p w14:paraId="302C7EE0" w14:textId="36371A38" w:rsidR="00C30247" w:rsidRDefault="00FB306C" w:rsidP="004D6B25">
      <w:pPr>
        <w:spacing w:before="240" w:after="240" w:line="480" w:lineRule="auto"/>
        <w:ind w:firstLine="720"/>
        <w:jc w:val="both"/>
        <w:rPr>
          <w:rFonts w:cstheme="majorBidi"/>
          <w:kern w:val="0"/>
        </w:rPr>
      </w:pPr>
      <w:r>
        <w:rPr>
          <w:rFonts w:cstheme="majorBidi"/>
          <w:kern w:val="0"/>
        </w:rPr>
        <w:t>F</w:t>
      </w:r>
      <w:r w:rsidR="002F0AFB" w:rsidRPr="004834D3">
        <w:rPr>
          <w:rFonts w:cstheme="majorBidi"/>
          <w:kern w:val="0"/>
        </w:rPr>
        <w:t xml:space="preserve">reeze </w:t>
      </w:r>
      <w:r w:rsidR="00D32D1C" w:rsidRPr="004834D3">
        <w:rPr>
          <w:rFonts w:cstheme="majorBidi"/>
          <w:kern w:val="0"/>
        </w:rPr>
        <w:t>d</w:t>
      </w:r>
      <w:r w:rsidR="002F0AFB" w:rsidRPr="004834D3">
        <w:rPr>
          <w:rFonts w:cstheme="majorBidi"/>
          <w:kern w:val="0"/>
        </w:rPr>
        <w:t>esalination involves a phase change, transitioning from liquid to solid, with saline water or brine transforming into ice. The freezing process results in the formation of ice crystals, predominantly composed of pure water</w:t>
      </w:r>
      <w:r w:rsidR="000B0201" w:rsidRPr="004834D3">
        <w:rPr>
          <w:rFonts w:cstheme="majorBidi"/>
          <w:kern w:val="0"/>
        </w:rPr>
        <w:t xml:space="preserve"> </w:t>
      </w:r>
      <w:r w:rsidR="000B0201" w:rsidRPr="004834D3">
        <w:rPr>
          <w:rFonts w:cstheme="majorBidi"/>
          <w:kern w:val="0"/>
        </w:rPr>
        <w:fldChar w:fldCharType="begin" w:fldLock="1"/>
      </w:r>
      <w:r w:rsidR="00D83446">
        <w:rPr>
          <w:rFonts w:cstheme="majorBidi"/>
          <w:kern w:val="0"/>
        </w:rPr>
        <w:instrText>ADDIN CSL_CITATION {"citationItems":[{"id":"ITEM-1","itemData":{"DOI":"10.1016/j.desal.2014.10.023","ISSN":"00119164","abstract":"The world is currently facing the prospect of a severe global shortage of fresh water alongside finite energy resources and the development of energy-efficient desalination methods is of paramount importance to solve these complex problems. In this paper the basic principles of freeze concentration processes are presented. Even though the process has the advantage of low energy usage and high concentration factors, only lab and pilot scale studies have been conducted in the desalination industry and application of the process has been limited due to the dominance of more traditional thermal and membrane technologies. Finally, the paper looks at the future applications for freeze concentration and discusses the possibility of application to high saline brine wastes in hybrid-technology.","author":[{"dropping-particle":"","family":"Williams","given":"Paul M.","non-dropping-particle":"","parse-names":false,"suffix":""},{"dropping-particle":"","family":"Ahmad","given":"Mansour","non-dropping-particle":"","parse-names":false,"suffix":""},{"dropping-particle":"","family":"Connolly","given":"Benjamin S.","non-dropping-particle":"","parse-names":false,"suffix":""},{"dropping-particle":"","family":"Oatley-Radcliffe","given":"Darren L.","non-dropping-particle":"","parse-names":false,"suffix":""}],"container-title":"Desalination","id":"ITEM-1","issued":{"date-parts":[["2015"]]},"page":"314-327","publisher":"Elsevier","title":"Technology for freeze concentration in the desalination industry","type":"article-journal","volume":"356"},"uris":["http://www.mendeley.com/documents/?uuid=3d71d7f7-c725-44d8-b96f-855a58fae5b4"]}],"mendeley":{"formattedCitation":"[81]","plainTextFormattedCitation":"[81]","previouslyFormattedCitation":"[82]"},"properties":{"noteIndex":0},"schema":"https://github.com/citation-style-language/schema/raw/master/csl-citation.json"}</w:instrText>
      </w:r>
      <w:r w:rsidR="000B0201" w:rsidRPr="004834D3">
        <w:rPr>
          <w:rFonts w:cstheme="majorBidi"/>
          <w:kern w:val="0"/>
        </w:rPr>
        <w:fldChar w:fldCharType="separate"/>
      </w:r>
      <w:r w:rsidR="00D83446" w:rsidRPr="00D83446">
        <w:rPr>
          <w:rFonts w:cstheme="majorBidi"/>
          <w:noProof/>
          <w:kern w:val="0"/>
        </w:rPr>
        <w:t>[81]</w:t>
      </w:r>
      <w:r w:rsidR="000B0201" w:rsidRPr="004834D3">
        <w:rPr>
          <w:rFonts w:cstheme="majorBidi"/>
          <w:kern w:val="0"/>
        </w:rPr>
        <w:fldChar w:fldCharType="end"/>
      </w:r>
      <w:r w:rsidR="002F0AFB" w:rsidRPr="004834D3">
        <w:rPr>
          <w:rFonts w:cstheme="majorBidi"/>
          <w:kern w:val="0"/>
        </w:rPr>
        <w:t>. Consequently, fresh water is extracted in the form of ice, leaving behind a more concentrated liquid. FD relies heavily on refrigerants to achieve the lower temperatures required for operation</w:t>
      </w:r>
      <w:r w:rsidR="000B0201" w:rsidRPr="004834D3">
        <w:rPr>
          <w:rFonts w:cstheme="majorBidi"/>
          <w:kern w:val="0"/>
        </w:rPr>
        <w:t xml:space="preserve"> </w:t>
      </w:r>
      <w:r w:rsidR="000B0201" w:rsidRPr="004834D3">
        <w:rPr>
          <w:rFonts w:cstheme="majorBidi"/>
          <w:kern w:val="0"/>
        </w:rPr>
        <w:fldChar w:fldCharType="begin" w:fldLock="1"/>
      </w:r>
      <w:r w:rsidR="00D83446">
        <w:rPr>
          <w:rFonts w:cstheme="majorBidi"/>
          <w:kern w:val="0"/>
        </w:rPr>
        <w:instrText>ADDIN CSL_CITATION {"citationItems":[{"id":"ITEM-1","itemData":{"DOI":"10.1504/IJND.2007.013549","ISSN":"1476914X","abstract":"The main factors affecting the use of freezing-melting (FM) process are the capital cost and the process complexity. The FM technology was successful when these two factors were compensated by other advantages. The success in food industry was mainly due to its ability of producing high-quality products compared to the available thermal technology in the market. In chemical industry it is generally adopted when there are no other alternatives. It would be difficult to utilise the above advantages to adopt FM process for desalination. Furthermore, misconceptions and negative attitudes also affected the progress of FM process. In desalination, a number of existing technologies are available. The pilot studies in several countries indicated that the hybrid techniques of combining FM process and other desalination methods have high potential for development. The strategies for the commercial success of the FM process in desalination industry are identified in this paper. Copyright © 2007 Inderscience Enterprises Ltd.","author":[{"dropping-particle":"","family":"Rahman","given":"M. Shafiur","non-dropping-particle":"","parse-names":false,"suffix":""},{"dropping-particle":"","family":"Ahmed","given":"Mushtaque","non-dropping-particle":"","parse-names":false,"suffix":""},{"dropping-particle":"","family":"Chen","given":"X. Dong","non-dropping-particle":"","parse-names":false,"suffix":""}],"container-title":"International Journal of Nuclear Desalination","id":"ITEM-1","issue":"3","issued":{"date-parts":[["2007"]]},"page":"253-264","publisher":"Inderscience Publishers","title":"Freezing-melting process and desalination: Review of present status and future prospects","type":"article-journal","volume":"2"},"uris":["http://www.mendeley.com/documents/?uuid=a469a1a1-981a-44f9-a995-faf68072766d"]}],"mendeley":{"formattedCitation":"[82]","plainTextFormattedCitation":"[82]","previouslyFormattedCitation":"[83]"},"properties":{"noteIndex":0},"schema":"https://github.com/citation-style-language/schema/raw/master/csl-citation.json"}</w:instrText>
      </w:r>
      <w:r w:rsidR="000B0201" w:rsidRPr="004834D3">
        <w:rPr>
          <w:rFonts w:cstheme="majorBidi"/>
          <w:kern w:val="0"/>
        </w:rPr>
        <w:fldChar w:fldCharType="separate"/>
      </w:r>
      <w:r w:rsidR="00D83446" w:rsidRPr="00D83446">
        <w:rPr>
          <w:rFonts w:cstheme="majorBidi"/>
          <w:noProof/>
          <w:kern w:val="0"/>
        </w:rPr>
        <w:t>[82]</w:t>
      </w:r>
      <w:r w:rsidR="000B0201" w:rsidRPr="004834D3">
        <w:rPr>
          <w:rFonts w:cstheme="majorBidi"/>
          <w:kern w:val="0"/>
        </w:rPr>
        <w:fldChar w:fldCharType="end"/>
      </w:r>
      <w:r w:rsidR="002F0AFB" w:rsidRPr="004834D3">
        <w:rPr>
          <w:rFonts w:cstheme="majorBidi"/>
          <w:kern w:val="0"/>
        </w:rPr>
        <w:t xml:space="preserve">. Typically, based on freezing conditions and processes, freeze </w:t>
      </w:r>
      <w:r w:rsidR="00D32D1C" w:rsidRPr="004834D3">
        <w:rPr>
          <w:rFonts w:cstheme="majorBidi"/>
          <w:kern w:val="0"/>
        </w:rPr>
        <w:t>desalination</w:t>
      </w:r>
      <w:r w:rsidR="002F0AFB" w:rsidRPr="004834D3">
        <w:rPr>
          <w:rFonts w:cstheme="majorBidi"/>
          <w:kern w:val="0"/>
        </w:rPr>
        <w:t xml:space="preserve"> configurations can be</w:t>
      </w:r>
      <w:r w:rsidR="00D32D1C" w:rsidRPr="004834D3">
        <w:rPr>
          <w:rFonts w:cstheme="majorBidi"/>
          <w:kern w:val="0"/>
        </w:rPr>
        <w:t xml:space="preserve"> </w:t>
      </w:r>
      <w:r w:rsidR="002F0AFB" w:rsidRPr="004834D3">
        <w:rPr>
          <w:rFonts w:cstheme="majorBidi"/>
          <w:kern w:val="0"/>
        </w:rPr>
        <w:t>categorized into four main types: Direct, Indirect, Eutectic, and Vacuum freezing, each defined by specific operational parameters</w:t>
      </w:r>
      <w:r w:rsidR="000B0201" w:rsidRPr="004834D3">
        <w:rPr>
          <w:rFonts w:cstheme="majorBidi"/>
          <w:kern w:val="0"/>
        </w:rPr>
        <w:t xml:space="preserve"> </w:t>
      </w:r>
      <w:r w:rsidR="000B0201" w:rsidRPr="004834D3">
        <w:rPr>
          <w:rFonts w:cstheme="majorBidi"/>
          <w:kern w:val="0"/>
        </w:rPr>
        <w:fldChar w:fldCharType="begin" w:fldLock="1"/>
      </w:r>
      <w:r w:rsidR="00D83446">
        <w:rPr>
          <w:rFonts w:cstheme="majorBidi"/>
          <w:kern w:val="0"/>
        </w:rPr>
        <w:instrText>ADDIN CSL_CITATION {"citationItems":[{"id":"ITEM-1","itemData":{"DOI":"10.1002/9781118904855","ISBN":"9781118904855","abstract":"This is the first volume to cover desalination in such depth and detail, offering engineers, technicians, and operators full coverage of the applications, economics, and expectations of what will certainly become one of the most important water-related processes on the planet. Covering thermal processes and membrane processes, this is the only volume any engineer working in desalination must have, covering both practical and theoretical issues encountered on a daily basis. Certain to be an important contribution to the water management community.","author":[{"dropping-particle":"","family":"Kucera","given":"Jane","non-dropping-particle":"","parse-names":false,"suffix":""}],"container-title":"Desalination: Water from Water","id":"ITEM-1","issued":{"date-parts":[["2014"]]},"number-of-pages":"1-624","publisher":"John Wiley &amp; Sons","title":"Desalination: Water from Water","type":"book","volume":"9781118208"},"uris":["http://www.mendeley.com/documents/?uuid=8b5a317e-61d2-4b41-a93d-e6bc0263199b"]}],"mendeley":{"formattedCitation":"[83]","plainTextFormattedCitation":"[83]","previouslyFormattedCitation":"[84]"},"properties":{"noteIndex":0},"schema":"https://github.com/citation-style-language/schema/raw/master/csl-citation.json"}</w:instrText>
      </w:r>
      <w:r w:rsidR="000B0201" w:rsidRPr="004834D3">
        <w:rPr>
          <w:rFonts w:cstheme="majorBidi"/>
          <w:kern w:val="0"/>
        </w:rPr>
        <w:fldChar w:fldCharType="separate"/>
      </w:r>
      <w:r w:rsidR="00D83446" w:rsidRPr="00D83446">
        <w:rPr>
          <w:rFonts w:cstheme="majorBidi"/>
          <w:noProof/>
          <w:kern w:val="0"/>
        </w:rPr>
        <w:t>[83]</w:t>
      </w:r>
      <w:r w:rsidR="000B0201" w:rsidRPr="004834D3">
        <w:rPr>
          <w:rFonts w:cstheme="majorBidi"/>
          <w:kern w:val="0"/>
        </w:rPr>
        <w:fldChar w:fldCharType="end"/>
      </w:r>
      <w:r w:rsidR="002F0AFB" w:rsidRPr="004834D3">
        <w:rPr>
          <w:rFonts w:cstheme="majorBidi"/>
          <w:kern w:val="0"/>
        </w:rPr>
        <w:t>. In direct FD, the refrigerant comes into direct contact with the saline solution. Conversely, in indirect FD, a thermally conducting solid surface separates the refrigerant from the solution, with heat transferred from the solution through the conducting surface cooled by circulating refrigerant. Both direct and indirect FD operate with cooling temperatures below the freezing point of the solution. If the operational cooling temperature is further reduced to reach the eutectic point, eutectic freezing (EF) occurs</w:t>
      </w:r>
      <w:r w:rsidR="000B0201" w:rsidRPr="004834D3">
        <w:rPr>
          <w:rFonts w:cstheme="majorBidi"/>
          <w:kern w:val="0"/>
        </w:rPr>
        <w:t xml:space="preserve"> </w:t>
      </w:r>
      <w:r w:rsidR="000B0201" w:rsidRPr="004834D3">
        <w:rPr>
          <w:rFonts w:cstheme="majorBidi"/>
          <w:kern w:val="0"/>
        </w:rPr>
        <w:fldChar w:fldCharType="begin" w:fldLock="1"/>
      </w:r>
      <w:r w:rsidR="00D83446">
        <w:rPr>
          <w:rFonts w:cstheme="majorBidi"/>
          <w:kern w:val="0"/>
        </w:rPr>
        <w:instrText>ADDIN CSL_CITATION {"citationItems":[{"id":"ITEM-1","itemData":{"DOI":"10.1016/S0011-9164(00)82232-8","ISSN":"00119164","abstract":"The eutectic freezing process separates aqueous solutions of inorganic salts into solid salt and fresh water. It is useful for treating cooling tower and boiler blowdown and the brine effluent from inland desalting plants. By freezing the water out of these aqueous solutions until they are adequately concentrated to precipitate the salt simultaneously, one ends up with no brine product. The ice and salt crystals nucleate and grow independently and are easily separated since the ice floats and the salt sinks. Laboratory investigation of the eutectic temperatures of various proportions of the ions commonly found in natural waters (Na, K, Ca, Mg, Cl, SO4, HCO3) shows that the process will operate well at temperatures no lower than -25°C. © 1979.","author":[{"dropping-particle":"","family":"Barduhn","given":"Allen J.","non-dropping-particle":"","parse-names":false,"suffix":""},{"dropping-particle":"","family":"Manudhane","given":"Avinash","non-dropping-particle":"","parse-names":false,"suffix":""}],"container-title":"Desalination","id":"ITEM-1","issue":"3","issued":{"date-parts":[["1979"]]},"page":"233-241","publisher":"Elsevier","title":"Temperatures required for eutectic freezing of natural waters","type":"article-journal","volume":"28"},"uris":["http://www.mendeley.com/documents/?uuid=d21cd0ea-a91a-493a-861d-e3d35b1a46fb"]}],"mendeley":{"formattedCitation":"[84]","plainTextFormattedCitation":"[84]","previouslyFormattedCitation":"[85]"},"properties":{"noteIndex":0},"schema":"https://github.com/citation-style-language/schema/raw/master/csl-citation.json"}</w:instrText>
      </w:r>
      <w:r w:rsidR="000B0201" w:rsidRPr="004834D3">
        <w:rPr>
          <w:rFonts w:cstheme="majorBidi"/>
          <w:kern w:val="0"/>
        </w:rPr>
        <w:fldChar w:fldCharType="separate"/>
      </w:r>
      <w:r w:rsidR="00D83446" w:rsidRPr="00D83446">
        <w:rPr>
          <w:rFonts w:cstheme="majorBidi"/>
          <w:noProof/>
          <w:kern w:val="0"/>
        </w:rPr>
        <w:t>[84]</w:t>
      </w:r>
      <w:r w:rsidR="000B0201" w:rsidRPr="004834D3">
        <w:rPr>
          <w:rFonts w:cstheme="majorBidi"/>
          <w:kern w:val="0"/>
        </w:rPr>
        <w:fldChar w:fldCharType="end"/>
      </w:r>
      <w:r w:rsidR="002F0AFB" w:rsidRPr="004834D3">
        <w:rPr>
          <w:rFonts w:cstheme="majorBidi"/>
          <w:kern w:val="0"/>
        </w:rPr>
        <w:t xml:space="preserve">. </w:t>
      </w:r>
      <w:r w:rsidR="001268A3">
        <w:rPr>
          <w:rFonts w:cstheme="majorBidi"/>
          <w:kern w:val="0"/>
        </w:rPr>
        <w:t xml:space="preserve">The eutectic point is the lowest temperature at which the liquid phase is stable. Below the eutectic point, only solid phases exist. </w:t>
      </w:r>
      <w:r w:rsidR="002F0AFB" w:rsidRPr="004834D3">
        <w:rPr>
          <w:rFonts w:cstheme="majorBidi"/>
          <w:kern w:val="0"/>
        </w:rPr>
        <w:t xml:space="preserve">In EF, salt crystals and ice form simultaneously. Additionally, </w:t>
      </w:r>
      <w:r w:rsidR="001268A3">
        <w:rPr>
          <w:rFonts w:cstheme="majorBidi"/>
          <w:kern w:val="0"/>
        </w:rPr>
        <w:t>v</w:t>
      </w:r>
      <w:r w:rsidR="002F0AFB" w:rsidRPr="004834D3">
        <w:rPr>
          <w:rFonts w:cstheme="majorBidi"/>
          <w:kern w:val="0"/>
        </w:rPr>
        <w:t xml:space="preserve">acuum </w:t>
      </w:r>
      <w:r w:rsidR="001268A3">
        <w:rPr>
          <w:rFonts w:cstheme="majorBidi"/>
          <w:kern w:val="0"/>
        </w:rPr>
        <w:t>f</w:t>
      </w:r>
      <w:r w:rsidR="002F0AFB" w:rsidRPr="004834D3">
        <w:rPr>
          <w:rFonts w:cstheme="majorBidi"/>
          <w:kern w:val="0"/>
        </w:rPr>
        <w:t xml:space="preserve">reezing operates under high vacuum pressure to rapidly vaporize a portion of the water, extracting significant heat from the solution (refrigeration effect) </w:t>
      </w:r>
      <w:r w:rsidR="002F0AFB" w:rsidRPr="004834D3">
        <w:rPr>
          <w:rFonts w:cstheme="majorBidi"/>
          <w:kern w:val="0"/>
        </w:rPr>
        <w:lastRenderedPageBreak/>
        <w:t>and facilitating the freezing of the remaining portion into fresher ice</w:t>
      </w:r>
      <w:r w:rsidR="000B0201" w:rsidRPr="004834D3">
        <w:rPr>
          <w:rFonts w:cstheme="majorBidi"/>
          <w:kern w:val="0"/>
        </w:rPr>
        <w:t xml:space="preserve"> </w:t>
      </w:r>
      <w:r w:rsidR="000B0201" w:rsidRPr="004834D3">
        <w:rPr>
          <w:rFonts w:cstheme="majorBidi"/>
          <w:kern w:val="0"/>
        </w:rPr>
        <w:fldChar w:fldCharType="begin" w:fldLock="1"/>
      </w:r>
      <w:r w:rsidR="00D83446">
        <w:rPr>
          <w:rFonts w:cstheme="majorBidi"/>
          <w:kern w:val="0"/>
        </w:rPr>
        <w:instrText>ADDIN CSL_CITATION {"citationItems":[{"id":"ITEM-1","itemData":{"DOI":"10.1016/0011-9164(96)00038-0","ISSN":"00119164","abstract":"In an absorptive vacuum freezing process, water evaporates from the freezing solution and condenses on a cold salt solution. Given sufficient condensing capacity, the evaporation rate will be controlled by the freezing solution vapor pressure. The size of the condensing equipment which matches a given evaporation system can be estimated using rate measurements made with low vapor pressure freezing solutions. © 1996, All rights reserved.","author":[{"dropping-particle":"","family":"Dickey","given":"L. C.","non-dropping-particle":"","parse-names":false,"suffix":""}],"container-title":"Desalination","id":"ITEM-1","issue":"3","issued":{"date-parts":[["1996"]]},"page":"155-163","publisher":"Elsevier","title":"Evaporation of water from agitated freezing slurries at low pressure","type":"article-journal","volume":"104"},"uris":["http://www.mendeley.com/documents/?uuid=348096d4-41a5-4d42-b75c-c5906840a676"]}],"mendeley":{"formattedCitation":"[85]","plainTextFormattedCitation":"[85]","previouslyFormattedCitation":"[86]"},"properties":{"noteIndex":0},"schema":"https://github.com/citation-style-language/schema/raw/master/csl-citation.json"}</w:instrText>
      </w:r>
      <w:r w:rsidR="000B0201" w:rsidRPr="004834D3">
        <w:rPr>
          <w:rFonts w:cstheme="majorBidi"/>
          <w:kern w:val="0"/>
        </w:rPr>
        <w:fldChar w:fldCharType="separate"/>
      </w:r>
      <w:r w:rsidR="00D83446" w:rsidRPr="00D83446">
        <w:rPr>
          <w:rFonts w:cstheme="majorBidi"/>
          <w:noProof/>
          <w:kern w:val="0"/>
        </w:rPr>
        <w:t>[85]</w:t>
      </w:r>
      <w:r w:rsidR="000B0201" w:rsidRPr="004834D3">
        <w:rPr>
          <w:rFonts w:cstheme="majorBidi"/>
          <w:kern w:val="0"/>
        </w:rPr>
        <w:fldChar w:fldCharType="end"/>
      </w:r>
      <w:r w:rsidR="002F0AFB" w:rsidRPr="004834D3">
        <w:rPr>
          <w:rFonts w:cstheme="majorBidi"/>
          <w:kern w:val="0"/>
        </w:rPr>
        <w:t xml:space="preserve">. </w:t>
      </w:r>
      <w:r w:rsidR="00C30247" w:rsidRPr="00C30247">
        <w:rPr>
          <w:rFonts w:cstheme="majorBidi"/>
          <w:kern w:val="0"/>
        </w:rPr>
        <w:t xml:space="preserve">In the subsequent sections, two of the most prevalent </w:t>
      </w:r>
      <w:r w:rsidR="00C30247">
        <w:rPr>
          <w:rFonts w:cstheme="majorBidi"/>
          <w:kern w:val="0"/>
        </w:rPr>
        <w:t>FD</w:t>
      </w:r>
      <w:r w:rsidR="00C30247" w:rsidRPr="00C30247">
        <w:rPr>
          <w:rFonts w:cstheme="majorBidi"/>
          <w:kern w:val="0"/>
        </w:rPr>
        <w:t xml:space="preserve"> systems</w:t>
      </w:r>
      <w:r w:rsidR="00C30247">
        <w:rPr>
          <w:rFonts w:cstheme="majorBidi"/>
          <w:kern w:val="0"/>
        </w:rPr>
        <w:t xml:space="preserve">, </w:t>
      </w:r>
      <w:r w:rsidR="00C30247" w:rsidRPr="00C30247">
        <w:rPr>
          <w:rFonts w:cstheme="majorBidi"/>
          <w:kern w:val="0"/>
        </w:rPr>
        <w:t>the indirect and direct methods</w:t>
      </w:r>
      <w:r w:rsidR="00C30247">
        <w:rPr>
          <w:rFonts w:cstheme="majorBidi"/>
          <w:kern w:val="0"/>
        </w:rPr>
        <w:t>, are explored in great detail.</w:t>
      </w:r>
    </w:p>
    <w:p w14:paraId="22ECE1CE" w14:textId="6291E21C" w:rsidR="000A00ED" w:rsidRPr="000637E9" w:rsidRDefault="000A00ED" w:rsidP="000637E9">
      <w:pPr>
        <w:spacing w:before="360" w:after="0" w:line="480" w:lineRule="auto"/>
        <w:rPr>
          <w:b/>
          <w:bCs/>
          <w:u w:val="single"/>
        </w:rPr>
      </w:pPr>
      <w:r w:rsidRPr="000637E9">
        <w:rPr>
          <w:b/>
          <w:bCs/>
          <w:u w:val="single"/>
        </w:rPr>
        <w:t xml:space="preserve">Indirect </w:t>
      </w:r>
      <w:r w:rsidR="003E0361" w:rsidRPr="000637E9">
        <w:rPr>
          <w:b/>
          <w:bCs/>
          <w:u w:val="single"/>
        </w:rPr>
        <w:t>F</w:t>
      </w:r>
      <w:r w:rsidRPr="000637E9">
        <w:rPr>
          <w:b/>
          <w:bCs/>
          <w:u w:val="single"/>
        </w:rPr>
        <w:t xml:space="preserve">reeze </w:t>
      </w:r>
      <w:r w:rsidR="003E0361" w:rsidRPr="000637E9">
        <w:rPr>
          <w:b/>
          <w:bCs/>
          <w:u w:val="single"/>
        </w:rPr>
        <w:t>D</w:t>
      </w:r>
      <w:r w:rsidRPr="000637E9">
        <w:rPr>
          <w:b/>
          <w:bCs/>
          <w:u w:val="single"/>
        </w:rPr>
        <w:t>esalination</w:t>
      </w:r>
    </w:p>
    <w:p w14:paraId="749F6A82" w14:textId="4E2DE040" w:rsidR="000A00ED" w:rsidRPr="004834D3" w:rsidRDefault="000A00ED" w:rsidP="000637E9">
      <w:pPr>
        <w:spacing w:before="240" w:after="240" w:line="480" w:lineRule="auto"/>
        <w:jc w:val="both"/>
        <w:rPr>
          <w:rFonts w:cstheme="majorBidi"/>
          <w:kern w:val="0"/>
        </w:rPr>
      </w:pPr>
      <w:r w:rsidRPr="004834D3">
        <w:rPr>
          <w:rFonts w:cstheme="majorBidi"/>
          <w:kern w:val="0"/>
        </w:rPr>
        <w:t xml:space="preserve">In indirect freeze desalination, the saline solution and refrigerant are kept separate by a solid barrier, with heat from the solution transferred through this barrier to the refrigerant </w:t>
      </w:r>
      <w:r w:rsidRPr="004834D3">
        <w:rPr>
          <w:rFonts w:cstheme="majorBidi"/>
          <w:kern w:val="0"/>
        </w:rPr>
        <w:fldChar w:fldCharType="begin" w:fldLock="1"/>
      </w:r>
      <w:r w:rsidR="00D83446">
        <w:rPr>
          <w:rFonts w:cstheme="majorBidi"/>
          <w:kern w:val="0"/>
        </w:rPr>
        <w:instrText>ADDIN CSL_CITATION {"citationItems":[{"id":"ITEM-1","itemData":{"DOI":"10.1016/j.desal.2018.09.009","ISSN":"00119164","abstract":"Freeze desalination (FD) is an emerging technology to overcome limitations of membrane- and thermal-energy-based desalination processes. Extant studies concerning FD have primarily focused on ice-quality and productivity enhancement. Numerous crystallizer designs operating under various conditions have been investigated to achieve highest possible fresh-water purity. Few post-treatment techniques have also been developed to boost quality and productivity of fresh water. Some obstacles, have been faced in attempts to scale-up the FD process, and possible remedies to these are discussed in this paper. In addition, there exists a possibility towards combining FD with other desalination technologies, thereby developing a hybrid process. The proposed paper discusses extant research trends in FD as a comprehensive review along with discussion of future prospects concerning utility of the FD process.","author":[{"dropping-particle":"","family":"Kalista","given":"Brenda","non-dropping-particle":"","parse-names":false,"suffix":""},{"dropping-particle":"","family":"Shin","given":"Hyein","non-dropping-particle":"","parse-names":false,"suffix":""},{"dropping-particle":"","family":"Cho","given":"Jaeweon","non-dropping-particle":"","parse-names":false,"suffix":""},{"dropping-particle":"","family":"Jang","given":"Am","non-dropping-particle":"","parse-names":false,"suffix":""}],"container-title":"Desalination","id":"ITEM-1","issued":{"date-parts":[["2018"]]},"page":"167-181","publisher":"Elsevier","title":"Current development and future prospect review of freeze desalination","type":"article-journal","volume":"447"},"uris":["http://www.mendeley.com/documents/?uuid=9e7aee7d-11ff-4aa5-9eee-8d0c26ba317f"]}],"mendeley":{"formattedCitation":"[86]","plainTextFormattedCitation":"[86]","previouslyFormattedCitation":"[87]"},"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[86]</w:t>
      </w:r>
      <w:r w:rsidRPr="004834D3">
        <w:rPr>
          <w:rFonts w:cstheme="majorBidi"/>
          <w:kern w:val="0"/>
        </w:rPr>
        <w:fldChar w:fldCharType="end"/>
      </w:r>
      <w:r w:rsidRPr="004834D3">
        <w:rPr>
          <w:rFonts w:cstheme="majorBidi"/>
          <w:kern w:val="0"/>
        </w:rPr>
        <w:t xml:space="preserve">. There are two primary categories of indirect FD: suspension crystallization and progressive freezing on a cold surface </w:t>
      </w:r>
      <w:r w:rsidRPr="004834D3">
        <w:rPr>
          <w:rFonts w:cstheme="majorBidi"/>
          <w:kern w:val="0"/>
        </w:rPr>
        <w:fldChar w:fldCharType="begin" w:fldLock="1"/>
      </w:r>
      <w:r w:rsidR="00D83446">
        <w:rPr>
          <w:rFonts w:cstheme="majorBidi"/>
          <w:kern w:val="0"/>
        </w:rPr>
        <w:instrText>ADDIN CSL_CITATION {"citationItems":[{"id":"ITEM-1","itemData":{"DOI":"10.5383/ijtee.15.02.004","ISSN":"19237316","abstract":"Desalination by freeze crystallization is a freezing-melting process in which water is crystallized to ice and separated from saline solution. This area is observing a renascence to mitigate the staggering and sea rejected brine that has a negative environmental impact. Phase diagram of NaCl-H2O is the key point of designing freeze desalination systems. All freeze crystallization methods follow the same process, starting from nucleation, crystal growth, separation, and finally melting. Direct contact, indirect contact, vacuum, and eutectic point are the basic methods of crystallization. Furthermore, suspension freezing and freezing on a cold plate by indirect contact with refrigerant are the found to be the most suitable methods for desalination. Initial concentration, refrigerant temperature, growth rate, and flow rate are the main operating parameters that determine the final product properties and desalination efficiency. In this work, a quick review on the subject is brought up as the area is regaining renascence this followed with simulation of an indirect freeze crystallization process in a rectangular enclosure using computational fluid dynamics (CFD) modelling. These modeling are paradigm shift to gain more insight to the complex crystallization process being based on multiple species non-isothermal flow in a two phase flow representing the liquid and the ice formation. Results show that by combined CFD in multiple species modelling much insight into freeze crystallization can be revealed, optimized and re-designed.","author":[{"dropping-particle":"","family":"Kadi","given":"Khadije","non-dropping-particle":"El","parse-names":false,"suffix":""},{"dropping-particle":"","family":"Janajreh","given":"Isam","non-dropping-particle":"","parse-names":false,"suffix":""}],"container-title":"International Journal of Thermal and Environmental Engineering","id":"ITEM-1","issue":"2","issued":{"date-parts":[["2019"]]},"page":"103-110","title":"Desalination by Freeze Crystallization: An Overview","type":"article-journal","volume":"15"},"uris":["http://www.mendeley.com/documents/?uuid=9a57c9fa-38e9-4aaa-940d-9fb2bd319a76"]}],"mendeley":{"formattedCitation":"[79]","plainTextFormattedCitation":"[79]","previouslyFormattedCitation":"[80]"},"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[79]</w:t>
      </w:r>
      <w:r w:rsidRPr="004834D3">
        <w:rPr>
          <w:rFonts w:cstheme="majorBidi"/>
          <w:kern w:val="0"/>
        </w:rPr>
        <w:fldChar w:fldCharType="end"/>
      </w:r>
      <w:r w:rsidRPr="004834D3">
        <w:rPr>
          <w:rFonts w:cstheme="majorBidi"/>
          <w:kern w:val="0"/>
        </w:rPr>
        <w:t xml:space="preserve">. In suspension crystallization, the pre-cooled saline solution is circulated through a scraped-surface heat exchanger operating at low sub-cooling temperatures to facilitate the nucleation of small crystals. The resulting slurries are then returned to the main vessel for ice growth, with the ice subsequently separated from the slurry using a filter </w:t>
      </w:r>
      <w:r w:rsidRPr="004834D3">
        <w:rPr>
          <w:rFonts w:cstheme="majorBidi"/>
          <w:kern w:val="0"/>
        </w:rPr>
        <w:fldChar w:fldCharType="begin" w:fldLock="1"/>
      </w:r>
      <w:r w:rsidR="00D83446">
        <w:rPr>
          <w:rFonts w:cstheme="majorBidi"/>
          <w:kern w:val="0"/>
        </w:rPr>
        <w:instrText>ADDIN CSL_CITATION {"citationItems":[{"id":"ITEM-1","itemData":{"DOI":"10.1080/15422110600671734","ISSN":"15422119","abstract":"A thorough literature survey was conducted on the freezing-melting (FM) process for desalination. Collected literatures were studied and analyzed to identify the current state-of-the-art of the FM process, and its practical limitations. The main advantages of the FM process are the requirement of low energy and low temperature operation compared to thermal desalination. Other advantages are less scaling or fouling and fewer corrosion problems, ability to use inexpensive plastics or low-cost material, and absence of pretreatment. The three broad classes of FM process are: direct contact freezing, indirect contact freezing, and vacuum freezing. Different types of processing options in each class are discussed with their operating principles and merits and downsides of each process.","author":[{"dropping-particle":"","family":"Rahman","given":"Mohammad Shafiur","non-dropping-particle":"","parse-names":false,"suffix":""},{"dropping-particle":"","family":"Ahmed","given":"Mushtaque","non-dropping-particle":"","parse-names":false,"suffix":""},{"dropping-particle":"","family":"Chen","given":"X. Dong","non-dropping-particle":"","parse-names":false,"suffix":""}],"container-title":"Separation and Purification Reviews","id":"ITEM-1","issue":"2","issued":{"date-parts":[["2006"]]},"page":"59-96","publisher":"Taylor \\&amp; Francis","title":"Freezing-melting process and desalination: I. review of the state-of-the-art","type":"article-journal","volume":"35"},"uris":["http://www.mendeley.com/documents/?uuid=f34d61da-2846-47ef-b6d5-0d4b40de1740"]}],"mendeley":{"formattedCitation":"[76]","plainTextFormattedCitation":"[76]","previouslyFormattedCitation":"[77]"},"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[76]</w:t>
      </w:r>
      <w:r w:rsidRPr="004834D3">
        <w:rPr>
          <w:rFonts w:cstheme="majorBidi"/>
          <w:kern w:val="0"/>
        </w:rPr>
        <w:fldChar w:fldCharType="end"/>
      </w:r>
      <w:r w:rsidRPr="004834D3">
        <w:rPr>
          <w:rFonts w:cstheme="majorBidi"/>
          <w:kern w:val="0"/>
        </w:rPr>
        <w:t xml:space="preserve">. However, suspension crystallization typically falls short of reaching freshwater standards due to the small size of the ice crystals and the contamination of their surfaces by salt </w:t>
      </w:r>
      <w:r w:rsidRPr="004834D3">
        <w:rPr>
          <w:rFonts w:cstheme="majorBidi"/>
          <w:kern w:val="0"/>
        </w:rPr>
        <w:fldChar w:fldCharType="begin" w:fldLock="1"/>
      </w:r>
      <w:r w:rsidR="00D83446">
        <w:rPr>
          <w:rFonts w:cstheme="majorBidi"/>
          <w:kern w:val="0"/>
        </w:rPr>
        <w:instrText>ADDIN CSL_CITATION {"citationItems":[{"id":"ITEM-1","itemData":{"DOI":"10.1016/j.desal.2017.04.002","ISSN":"00119164","abstract":"In receiving terminal, liquid natural gas (LNG) needs to be re-gasified by the ambient heat generally supplied by seawater. Unfortunately, a great amount of LNG cold energy is wasted during this process, resulting in energy inefficiency and environmental implications. Seawater freezing desalination (SFD) should be an effective way to use cold energy of LNG in terms of energy match and operation cost. According to the properties of LNG, this work aims to develop a direct contact type ice generator, which integrating some special designs such as jacketed cylinder, nozzle arrangement and gas floatation, in order to improve heat transfer and phase separation in the SFD process. Through dynamic analysis on refrigerant atomization, the changes in speed and diameter of refrigerant droplet are obtained. The analysis results are helpful to further improve the design and operation of ice generator. In addition, the work also experimentally investigated the effects of some predominate factors on determining overall performance of ice generator, comprehensively considering ice generation and desalination. The experimental results could be significant for the SFD project by using cold energy of LNG.","author":[{"dropping-particle":"","family":"Xie","given":"Chungang","non-dropping-particle":"","parse-names":false,"suffix":""},{"dropping-particle":"","family":"Zhang","given":"Lingpin","non-dropping-particle":"","parse-names":false,"suffix":""},{"dropping-particle":"","family":"Liu","given":"Yanhui","non-dropping-particle":"","parse-names":false,"suffix":""},{"dropping-particle":"","family":"Lv","given":"Qingchun","non-dropping-particle":"","parse-names":false,"suffix":""},{"dropping-particle":"","family":"Ruan","given":"Guoling","non-dropping-particle":"","parse-names":false,"suffix":""},{"dropping-particle":"","family":"Hosseini","given":"Seyed Saeid","non-dropping-particle":"","parse-names":false,"suffix":""}],"container-title":"Desalination","id":"ITEM-1","issued":{"date-parts":[["2018"]]},"page":"293-300","publisher":"Elsevier","title":"A direct contact type ice generator for seawater freezing desalination using LNG cold energy","type":"article-journal","volume":"435"},"uris":["http://www.mendeley.com/documents/?uuid=599dd073-80f0-43bb-af1b-1cec45815590"]}],"mendeley":{"formattedCitation":"[87]","plainTextFormattedCitation":"[87]","previouslyFormattedCitation":"[88]"},"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[87]</w:t>
      </w:r>
      <w:r w:rsidRPr="004834D3">
        <w:rPr>
          <w:rFonts w:cstheme="majorBidi"/>
          <w:kern w:val="0"/>
        </w:rPr>
        <w:fldChar w:fldCharType="end"/>
      </w:r>
      <w:r w:rsidRPr="004834D3">
        <w:rPr>
          <w:rFonts w:cstheme="majorBidi"/>
          <w:kern w:val="0"/>
        </w:rPr>
        <w:t xml:space="preserve">. Furthermore, the costs and complexities associated with achieving freshwater standards through suspension crystallization are considerably higher compared to those required for progressive freezing </w:t>
      </w:r>
      <w:r w:rsidRPr="004834D3">
        <w:rPr>
          <w:rFonts w:cstheme="majorBidi"/>
          <w:kern w:val="0"/>
        </w:rPr>
        <w:fldChar w:fldCharType="begin" w:fldLock="1"/>
      </w:r>
      <w:r w:rsidR="00D83446">
        <w:rPr>
          <w:rFonts w:cstheme="majorBidi"/>
          <w:kern w:val="0"/>
        </w:rPr>
        <w:instrText>ADDIN CSL_CITATION {"citationItems":[{"id":"ITEM-1","itemData":{"DOI":"10.1016/j.applthermaleng.2018.12.153","ISSN":"13594311","abstract":"Absorption-refrigeration-cycle-based exhaust gas heat recovery technology is effective in improving the thermal efficiency and fuel economy of marine diesel engines. However, the absorption refrigeration system is inflexible in the start–stop operation, and this cannot fulfil the fluctuating demand of refrigeration. This paper presents both the theoretical and experimental investigations of an absorption refrigeration and freezing pre-desalination-based marine engine exhaust gas heat recovery system. The energy storage subcycle is introduced to overcome the energy underutilisation and balance the excessive refrigerating output of the absorption refrigeration cycle. Seawater is utilised as the phase-change material and it is pre-desalinated in the energy storage subcycle. A mathematical model of the system is established and experimental investigation is conducted. Furthermore, the theoretical and experimental performances are compared, and an economic analysis of seawater desalination is performed to evaluate its economy. The results show that the total refrigeration output of the system ranges from 6.1 kW to 9.9 kW, and the system COP (Coefficient of Performance) can reach 16% under the experimental operating conditions. Additionally, the salinity of pre-desalinated seawater can be reduced to below 10 ppt. Moreover, the cost of RO (Reverse Osmosis) seawater desalination can be reduced by 26% through the pre-desalination process of seawater.","author":[{"dropping-particle":"","family":"Yuan","given":"Han","non-dropping-particle":"","parse-names":false,"suffix":""},{"dropping-particle":"","family":"Sun","given":"Pengyuan","non-dropping-particle":"","parse-names":false,"suffix":""},{"dropping-particle":"","family":"Zhang","given":"Ji","non-dropping-particle":"","parse-names":false,"suffix":""},{"dropping-particle":"","family":"Sun","given":"Kunyuan","non-dropping-particle":"","parse-names":false,"suffix":""},{"dropping-particle":"","family":"Mei","given":"Ning","non-dropping-particle":"","parse-names":false,"suffix":""},{"dropping-particle":"","family":"Zhou","given":"Peilin","non-dropping-particle":"","parse-names":false,"suffix":""}],"container-title":"Applied Thermal Engineering","id":"ITEM-1","issued":{"date-parts":[["2019"]]},"page":"224-236","publisher":"Elsevier","title":"Theoretical and experimental investigation of an absorption refrigeration and pre-desalination system for marine engine exhaust gas heat recovery","type":"article-journal","volume":"150"},"uris":["http://www.mendeley.com/documents/?uuid=267b7fe1-be7f-4466-86d6-3e36fa9f4e8b"]},{"id":"ITEM-2","itemData":{"DOI":"10.1016/j.watres.2016.06.046","ISSN":"18792448","PMID":"27371931","abstract":"With the aid of cold energy from regasification of liquefied natural gas (LNG), freeze desalination (FD) is an emerging technology for seawater desalination because of its low energy characteristics and insensitivities to fouling problems. This work aims to investigate the major operating parameters of FD such as coolant temperature, freezing duration, supercooling, seeding, agitation, crystallizer material and subsequent washing procedure on ice production and water quality. It was found that the optimal freezing duration per batch was 1 h for an iron crystallizer and 1.5 h for a glass crystallizer. The optimal coolant temperature should be around -8 °C. The optimal amount of washing water to clean the raw ice was about 50 wt% of the raw ice. Over 50 wt% of the feed could be recovered as raw ice within 1 h, which means an overall ice recovery rate of higher than 25% (of the original seawater), considering the consumption of washing water. Both artificial and real seawater were tested under the optimized conditions. The total dissolved solid in the product ice was around 300 ppm, which met the World Health Organization (WHO) potable water salinity standard of 500 ppm. Therefore, the process parameters optimized in this study can be directly used for the freeze desalination of seawater.","author":[{"dropping-particle":"","family":"Chang","given":"Jian","non-dropping-particle":"","parse-names":false,"suffix":""},{"dropping-particle":"","family":"Zuo","given":"Jian","non-dropping-particle":"","parse-names":false,"suffix":""},{"dropping-particle":"","family":"Lu","given":"Kang Jia","non-dropping-particle":"","parse-names":false,"suffix":""},{"dropping-particle":"","family":"Chung","given":"Tai Shung","non-dropping-particle":"","parse-names":false,"suffix":""}],"container-title":"Water Research","id":"ITEM-2","issued":{"date-parts":[["2016"]]},"page":"282-293","publisher":"Elsevier Ltd","title":"Freeze desalination of seawater using LNG cold energy","type":"article-journal","volume":"102"},"uris":["http://www.mendeley.com/documents/?uuid=cc871a5c-79b0-4f44-ada6-746c1101cdda"]}],"mendeley":{"formattedCitation":"[88,89]","plainTextFormattedCitation":"[88,89]","previouslyFormattedCitation":"[89,90]"},"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[88,89]</w:t>
      </w:r>
      <w:r w:rsidRPr="004834D3">
        <w:rPr>
          <w:rFonts w:cstheme="majorBidi"/>
          <w:kern w:val="0"/>
        </w:rPr>
        <w:fldChar w:fldCharType="end"/>
      </w:r>
      <w:r w:rsidRPr="004834D3">
        <w:rPr>
          <w:rFonts w:cstheme="majorBidi"/>
          <w:kern w:val="0"/>
        </w:rPr>
        <w:t>. In progressive freezing, a single ice layer is initially formed on the cooled surface, gradually increasing in thickness as the remaining brine comes into close contact with the ice for further crystallization. The primary advantage of freezing desalination on a cold plate lies in the higher quality of the produced ice. The ice forms layer by layer in a one-dimensional direction, minimizing impurities entrapped between ice crystals and simplifying the separation of ice and saline water.</w:t>
      </w:r>
    </w:p>
    <w:p w14:paraId="7EFF1B27" w14:textId="77777777" w:rsidR="000637E9" w:rsidRDefault="000637E9" w:rsidP="000637E9">
      <w:pPr>
        <w:spacing w:before="360" w:after="0" w:line="480" w:lineRule="auto"/>
        <w:rPr>
          <w:b/>
          <w:bCs/>
          <w:u w:val="single"/>
        </w:rPr>
      </w:pPr>
    </w:p>
    <w:p w14:paraId="5C24FFEE" w14:textId="6FE6A970" w:rsidR="000B4F8C" w:rsidRPr="000637E9" w:rsidRDefault="00384186" w:rsidP="000637E9">
      <w:pPr>
        <w:spacing w:before="360" w:after="0" w:line="480" w:lineRule="auto"/>
        <w:rPr>
          <w:b/>
          <w:bCs/>
          <w:u w:val="single"/>
        </w:rPr>
      </w:pPr>
      <w:r w:rsidRPr="000637E9">
        <w:rPr>
          <w:b/>
          <w:bCs/>
          <w:u w:val="single"/>
        </w:rPr>
        <w:lastRenderedPageBreak/>
        <w:t xml:space="preserve">Direct </w:t>
      </w:r>
      <w:r w:rsidR="003E0361" w:rsidRPr="000637E9">
        <w:rPr>
          <w:b/>
          <w:bCs/>
          <w:u w:val="single"/>
        </w:rPr>
        <w:t>F</w:t>
      </w:r>
      <w:r w:rsidRPr="000637E9">
        <w:rPr>
          <w:b/>
          <w:bCs/>
          <w:u w:val="single"/>
        </w:rPr>
        <w:t xml:space="preserve">reeze </w:t>
      </w:r>
      <w:r w:rsidR="003E0361" w:rsidRPr="000637E9">
        <w:rPr>
          <w:b/>
          <w:bCs/>
          <w:u w:val="single"/>
        </w:rPr>
        <w:t>D</w:t>
      </w:r>
      <w:r w:rsidRPr="000637E9">
        <w:rPr>
          <w:b/>
          <w:bCs/>
          <w:u w:val="single"/>
        </w:rPr>
        <w:t>esalination</w:t>
      </w:r>
    </w:p>
    <w:p w14:paraId="1D935920" w14:textId="6C848BCC" w:rsidR="000B4F8C" w:rsidRPr="004834D3" w:rsidRDefault="003B2375" w:rsidP="000637E9">
      <w:pPr>
        <w:spacing w:before="240" w:after="240" w:line="480" w:lineRule="auto"/>
        <w:jc w:val="both"/>
        <w:rPr>
          <w:rFonts w:cstheme="majorBidi"/>
          <w:kern w:val="0"/>
        </w:rPr>
      </w:pPr>
      <w:r w:rsidRPr="004834D3">
        <w:rPr>
          <w:rFonts w:cstheme="majorBidi"/>
          <w:kern w:val="0"/>
        </w:rPr>
        <w:t xml:space="preserve">Direct contact freezing desalination employs refrigerant directly in contact with the solution to be frozen </w:t>
      </w:r>
      <w:r w:rsidRPr="004834D3">
        <w:rPr>
          <w:rFonts w:cstheme="majorBidi"/>
          <w:kern w:val="0"/>
        </w:rPr>
        <w:fldChar w:fldCharType="begin" w:fldLock="1"/>
      </w:r>
      <w:r w:rsidR="00D83446">
        <w:rPr>
          <w:rFonts w:cstheme="majorBidi"/>
          <w:kern w:val="0"/>
        </w:rPr>
        <w:instrText>ADDIN CSL_CITATION {"citationItems":[{"id":"ITEM-1","itemData":{"DOI":"10.5383/ijtee.15.02.004","ISSN":"19237316","abstract":"Desalination by freeze crystallization is a freezing-melting process in which water is crystallized to ice and separated from saline solution. This area is observing a renascence to mitigate the staggering and sea rejected brine that has a negative environmental impact. Phase diagram of NaCl-H2O is the key point of designing freeze desalination systems. All freeze crystallization methods follow the same process, starting from nucleation, crystal growth, separation, and finally melting. Direct contact, indirect contact, vacuum, and eutectic point are the basic methods of crystallization. Furthermore, suspension freezing and freezing on a cold plate by indirect contact with refrigerant are the found to be the most suitable methods for desalination. Initial concentration, refrigerant temperature, growth rate, and flow rate are the main operating parameters that determine the final product properties and desalination efficiency. In this work, a quick review on the subject is brought up as the area is regaining renascence this followed with simulation of an indirect freeze crystallization process in a rectangular enclosure using computational fluid dynamics (CFD) modelling. These modeling are paradigm shift to gain more insight to the complex crystallization process being based on multiple species non-isothermal flow in a two phase flow representing the liquid and the ice formation. Results show that by combined CFD in multiple species modelling much insight into freeze crystallization can be revealed, optimized and re-designed.","author":[{"dropping-particle":"","family":"Kadi","given":"Khadije","non-dropping-particle":"El","parse-names":false,"suffix":""},{"dropping-particle":"","family":"Janajreh","given":"Isam","non-dropping-particle":"","parse-names":false,"suffix":""}],"container-title":"International Journal of Thermal and Environmental Engineering","id":"ITEM-1","issue":"2","issued":{"date-parts":[["2019"]]},"page":"103-110","title":"Desalination by Freeze Crystallization: An Overview","type":"article-journal","volume":"15"},"uris":["http://www.mendeley.com/documents/?uuid=9a57c9fa-38e9-4aaa-940d-9fb2bd319a76"]}],"mendeley":{"formattedCitation":"[79]","plainTextFormattedCitation":"[79]","previouslyFormattedCitation":"[80]"},"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[79]</w:t>
      </w:r>
      <w:r w:rsidRPr="004834D3">
        <w:rPr>
          <w:rFonts w:cstheme="majorBidi"/>
          <w:kern w:val="0"/>
        </w:rPr>
        <w:fldChar w:fldCharType="end"/>
      </w:r>
      <w:r w:rsidRPr="004834D3">
        <w:rPr>
          <w:rFonts w:cstheme="majorBidi"/>
          <w:kern w:val="0"/>
        </w:rPr>
        <w:t xml:space="preserve">. Pressurized liquid refrigerant is injected into the brine solution, causing expansion and vaporization within the solution at low pressure. This process results in the absorption of a substantial amount of heat from the solution, enhancing cooling and lowering it to its freezing point to form ice crystals </w:t>
      </w:r>
      <w:r w:rsidRPr="004834D3">
        <w:rPr>
          <w:rFonts w:cstheme="majorBidi"/>
          <w:kern w:val="0"/>
        </w:rPr>
        <w:fldChar w:fldCharType="begin" w:fldLock="1"/>
      </w:r>
      <w:r w:rsidR="00D83446">
        <w:rPr>
          <w:rFonts w:cstheme="majorBidi"/>
          <w:kern w:val="0"/>
        </w:rPr>
        <w:instrText>ADDIN CSL_CITATION {"citationItems":[{"id":"ITEM-1","itemData":{"DOI":"10.1016/j.watres.2022.119389","ISSN":"18792448","PMID":"36450177","abstract":"Desalination is the solution for water security in regions with insufficient resources. This comes at high energy cost and hence improving desalination technologies translate into huge saving. Freeze desalination (FD) is emerging as an attractive low energy and less corrosion alternative to provide the needed fresh water. The maturity of the heat driven cooling technology and solar cooling have given freeze desalination an additional momentum. This paper summarizes the latest research progress done on FD that continues to push this technology towards deployment. It gives an overview of the FD configurations and highlighting its pros and cons, presents the recent experimental work that investigate the physics of the technology, and reviews the latest high-fidelity numerical modeling of brine freezing and salt diffusion away from crystal lattice which taps on the advanced development in computational power and multiphysics integration. This enables one to identify the challenges facing FD technology and stating the prospect and foreseeable research. The finding suggests that direct and indirect FD have been evolved well while the indirect is becoming the mainstream method for risk avoidance, while vacuum freezing and eutectic freezing are still facing large obstacles in their application. For direct FD, gas hydrate combined with liquefied natural gas (LNG) regasification has been popular topics to reduce their desalination cost. Simulation and modeling development in indirect FD continue to improve the knowledge of the mechanism of ice growth and salt entrapment which are key problems that need further experimental and numerical investigations. Nonetheless, the current successful application of LNG cold energy in freeze desalination, the hybridization of FD with conventional desalination technologies, as well as ultrasound assisted freezing are promising directions for FD commercialization.","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Research","id":"ITEM-1","issued":{"date-parts":[["2023"]]},"page":"119389","publisher":"Elsevier","title":"Freeze desalination: Current research development and future prospects","type":"article-journal","volume":"229"},"uris":["http://www.mendeley.com/documents/?uuid=7deb3a31-1ad4-491e-89cf-2ec534b0f83b"]}],"mendeley":{"formattedCitation":"[90]","plainTextFormattedCitation":"[90]","previouslyFormattedCitation":"[91]"},"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[90]</w:t>
      </w:r>
      <w:r w:rsidRPr="004834D3">
        <w:rPr>
          <w:rFonts w:cstheme="majorBidi"/>
          <w:kern w:val="0"/>
        </w:rPr>
        <w:fldChar w:fldCharType="end"/>
      </w:r>
      <w:r w:rsidRPr="004834D3">
        <w:rPr>
          <w:rFonts w:cstheme="majorBidi"/>
          <w:kern w:val="0"/>
        </w:rPr>
        <w:t>. One advantage of direct FD is its exceptionally high surface area and heat transfer coefficient due to the direct interaction between the brine solution and the refrigerant. It is widely regarded as the most efficient FD mode, utilizing insoluble refrigerants such as butane and Freon, which evaporate upon contact with seawater, drawing latent heat from the brine and facilitating ice crystal formation</w:t>
      </w:r>
      <w:r w:rsidR="00F44F86" w:rsidRPr="004834D3">
        <w:rPr>
          <w:rFonts w:cstheme="majorBidi"/>
          <w:kern w:val="0"/>
        </w:rPr>
        <w:t xml:space="preserve"> </w:t>
      </w:r>
      <w:r w:rsidR="00F44F86" w:rsidRPr="004834D3">
        <w:rPr>
          <w:rFonts w:cstheme="majorBidi"/>
          <w:kern w:val="0"/>
        </w:rPr>
        <w:fldChar w:fldCharType="begin" w:fldLock="1"/>
      </w:r>
      <w:r w:rsidR="00D83446">
        <w:rPr>
          <w:rFonts w:cstheme="majorBidi"/>
          <w:kern w:val="0"/>
        </w:rPr>
        <w:instrText>ADDIN CSL_CITATION {"citationItems":[{"id":"ITEM-1","itemData":{"DOI":"10.1016/0140-7007(81)90076-1","ISSN":"01407007","abstract":"This paper will discuss the utilization of LNG cold in Japan. Discussion is concentrated on the following: temperature conditions of both direct and indirect utilization; restriction in quantity and mode of cryogenic energy utilization; distance from LNG terminals to cold utilization plants; cooling system for LNG cold utilization plants, and emergence of cryogenic energy utilization complexes. © 1981.","author":[{"dropping-particle":"","family":"Hirakawa","given":"S.","non-dropping-particle":"","parse-names":false,"suffix":""},{"dropping-particle":"","family":"Kosugi","given":"K.","non-dropping-particle":"","parse-names":false,"suffix":""}],"container-title":"International Journal of Refrigeration","id":"ITEM-1","issue":"1","issued":{"date-parts":[["1981"]]},"page":"17-21","publisher":"Elsevier","title":"Utilization of LNG cold","type":"article-journal","volume":"4"},"uris":["http://www.mendeley.com/documents/?uuid=04a53082-af67-4e97-b28c-1e37058d8fa1"]}],"mendeley":{"formattedCitation":"[91]","plainTextFormattedCitation":"[91]","previouslyFormattedCitation":"[92]"},"properties":{"noteIndex":0},"schema":"https://github.com/citation-style-language/schema/raw/master/csl-citation.json"}</w:instrText>
      </w:r>
      <w:r w:rsidR="00F44F86" w:rsidRPr="004834D3">
        <w:rPr>
          <w:rFonts w:cstheme="majorBidi"/>
          <w:kern w:val="0"/>
        </w:rPr>
        <w:fldChar w:fldCharType="separate"/>
      </w:r>
      <w:r w:rsidR="00D83446" w:rsidRPr="00D83446">
        <w:rPr>
          <w:rFonts w:cstheme="majorBidi"/>
          <w:noProof/>
          <w:kern w:val="0"/>
        </w:rPr>
        <w:t>[91]</w:t>
      </w:r>
      <w:r w:rsidR="00F44F86" w:rsidRPr="004834D3">
        <w:rPr>
          <w:rFonts w:cstheme="majorBidi"/>
          <w:kern w:val="0"/>
        </w:rPr>
        <w:fldChar w:fldCharType="end"/>
      </w:r>
      <w:r w:rsidRPr="004834D3">
        <w:rPr>
          <w:rFonts w:cstheme="majorBidi"/>
          <w:kern w:val="0"/>
        </w:rPr>
        <w:t xml:space="preserve">. Critical to the success of direct FD is the careful selection of refrigerant. </w:t>
      </w:r>
      <w:r w:rsidR="00C30247">
        <w:rPr>
          <w:rFonts w:cstheme="majorBidi"/>
          <w:kern w:val="0"/>
        </w:rPr>
        <w:t>It</w:t>
      </w:r>
      <w:r w:rsidRPr="004834D3">
        <w:rPr>
          <w:rFonts w:cstheme="majorBidi"/>
          <w:kern w:val="0"/>
        </w:rPr>
        <w:t xml:space="preserve"> should possess a boiling point lower than -4°C, exhibit low vapor pressure at room temperature, be non-toxic, immiscible, chemically stable in seawater, and resistant to hydrate formation during expansion</w:t>
      </w:r>
      <w:r w:rsidR="00F44F86" w:rsidRPr="004834D3">
        <w:rPr>
          <w:rFonts w:cstheme="majorBidi"/>
          <w:kern w:val="0"/>
        </w:rPr>
        <w:t xml:space="preserve"> </w:t>
      </w:r>
      <w:r w:rsidR="00F44F86" w:rsidRPr="004834D3">
        <w:rPr>
          <w:rFonts w:cstheme="majorBidi"/>
          <w:kern w:val="0"/>
        </w:rPr>
        <w:fldChar w:fldCharType="begin" w:fldLock="1"/>
      </w:r>
      <w:r w:rsidR="00D83446">
        <w:rPr>
          <w:rFonts w:cstheme="majorBidi"/>
          <w:kern w:val="0"/>
        </w:rPr>
        <w:instrText>ADDIN CSL_CITATION {"citationItems":[{"id":"ITEM-1","itemData":{"author":[{"dropping-particle":"","family":"Barduhn","given":"A J","non-dropping-particle":"","parse-names":false,"suffix":""}],"container-title":"Selected Papers on Desalination and Ocean Technology","id":"ITEM-1","issued":{"date-parts":[["1968"]]},"title":"The freezing process for water conversion in the United States","type":"book","volume":"414"},"uris":["http://www.mendeley.com/documents/?uuid=c6c09b1e-dffd-42f7-9720-8d1fb98d1d0a"]}],"mendeley":{"formattedCitation":"[92]","plainTextFormattedCitation":"[92]","previouslyFormattedCitation":"[93]"},"properties":{"noteIndex":0},"schema":"https://github.com/citation-style-language/schema/raw/master/csl-citation.json"}</w:instrText>
      </w:r>
      <w:r w:rsidR="00F44F86" w:rsidRPr="004834D3">
        <w:rPr>
          <w:rFonts w:cstheme="majorBidi"/>
          <w:kern w:val="0"/>
        </w:rPr>
        <w:fldChar w:fldCharType="separate"/>
      </w:r>
      <w:r w:rsidR="00D83446" w:rsidRPr="00D83446">
        <w:rPr>
          <w:rFonts w:cstheme="majorBidi"/>
          <w:noProof/>
          <w:kern w:val="0"/>
        </w:rPr>
        <w:t>[92]</w:t>
      </w:r>
      <w:r w:rsidR="00F44F86" w:rsidRPr="004834D3">
        <w:rPr>
          <w:rFonts w:cstheme="majorBidi"/>
          <w:kern w:val="0"/>
        </w:rPr>
        <w:fldChar w:fldCharType="end"/>
      </w:r>
      <w:r w:rsidRPr="004834D3">
        <w:rPr>
          <w:rFonts w:cstheme="majorBidi"/>
          <w:kern w:val="0"/>
        </w:rPr>
        <w:t>. Additionally, the refrigerant should be readily available from commercial suppliers at an affordable price</w:t>
      </w:r>
      <w:r w:rsidR="00106296" w:rsidRPr="004834D3">
        <w:rPr>
          <w:rFonts w:cstheme="majorBidi"/>
          <w:kern w:val="0"/>
        </w:rPr>
        <w:t xml:space="preserve"> </w:t>
      </w:r>
      <w:r w:rsidR="00106296" w:rsidRPr="004834D3">
        <w:rPr>
          <w:rFonts w:cstheme="majorBidi"/>
          <w:kern w:val="0"/>
        </w:rPr>
        <w:fldChar w:fldCharType="begin" w:fldLock="1"/>
      </w:r>
      <w:r w:rsidR="00D83446">
        <w:rPr>
          <w:rFonts w:cstheme="majorBidi"/>
          <w:kern w:val="0"/>
        </w:rPr>
        <w:instrText>ADDIN CSL_CITATION {"citationItems":[{"id":"ITEM-1","itemData":{"DOI":"10.1016/S0011-9164(00)80177-0","author":[{"dropping-particle":"","family":"Stepakoff","given":"Gerald L","non-dropping-particle":"","parse-names":false,"suffix":""},{"dropping-particle":"","family":"Modica","given":"Anthony P","non-dropping-particle":"","parse-names":false,"suffix":""}],"container-title":"Desalination","id":"ITEM-1","issue":"1","issued":{"date-parts":[["1973"]]},"page":"85-105","publisher":"Elsevier","title":"The hydrolysis of halocarbon refrigerants in freeze desalination processes Part 1. Solubility and hydrolysis rates of Freon 114 (CClF2CClF2)","type":"article-journal","volume":"12"},"uris":["http://www.mendeley.com/documents/?uuid=4bb938ac-b25e-4ab2-8838-6eec9f03fb5a"]}],"mendeley":{"formattedCitation":"[93]","plainTextFormattedCitation":"[93]","previouslyFormattedCitation":"[94]"},"properties":{"noteIndex":0},"schema":"https://github.com/citation-style-language/schema/raw/master/csl-citation.json"}</w:instrText>
      </w:r>
      <w:r w:rsidR="00106296" w:rsidRPr="004834D3">
        <w:rPr>
          <w:rFonts w:cstheme="majorBidi"/>
          <w:kern w:val="0"/>
        </w:rPr>
        <w:fldChar w:fldCharType="separate"/>
      </w:r>
      <w:r w:rsidR="00D83446" w:rsidRPr="00D83446">
        <w:rPr>
          <w:rFonts w:cstheme="majorBidi"/>
          <w:noProof/>
          <w:kern w:val="0"/>
        </w:rPr>
        <w:t>[93]</w:t>
      </w:r>
      <w:r w:rsidR="00106296" w:rsidRPr="004834D3">
        <w:rPr>
          <w:rFonts w:cstheme="majorBidi"/>
          <w:kern w:val="0"/>
        </w:rPr>
        <w:fldChar w:fldCharType="end"/>
      </w:r>
      <w:r w:rsidRPr="004834D3">
        <w:rPr>
          <w:rFonts w:cstheme="majorBidi"/>
          <w:kern w:val="0"/>
        </w:rPr>
        <w:t>. Despite its high cooling efficiency, direct FD has notable drawbacks. One concern is the potential contamination of the produced ice by the refrigerant, rendering it unsuitable for potable water</w:t>
      </w:r>
      <w:r w:rsidR="00132919" w:rsidRPr="004834D3">
        <w:rPr>
          <w:rFonts w:cstheme="majorBidi"/>
          <w:kern w:val="0"/>
        </w:rPr>
        <w:t xml:space="preserve"> </w:t>
      </w:r>
      <w:r w:rsidR="00132919" w:rsidRPr="004834D3">
        <w:rPr>
          <w:rFonts w:cstheme="majorBidi"/>
          <w:kern w:val="0"/>
        </w:rPr>
        <w:fldChar w:fldCharType="begin" w:fldLock="1"/>
      </w:r>
      <w:r w:rsidR="00D83446">
        <w:rPr>
          <w:rFonts w:cstheme="majorBidi"/>
          <w:kern w:val="0"/>
        </w:rPr>
        <w:instrText xml:space="preserve">ADDIN CSL_CITATION {"citationItems":[{"id":"ITEM-1","itemData":{"DOI":"10.1016/j.watres.2012.04.042","ISSN":"18792448","PMID":"22682269","abstract":"The severe global water scarcity and record-high fossil oil price have greatly stimulated the research interests on new desalination technologies which can be driven by renewable energy or waste energy. In this study, a hybrid desalination process comprising freeze desalination and membrane distillation (FD-MD) processes was developed and explored in an attempt to utilize the waste cold energy released from re-gasification of liquefied natural gas (LNG). The concept of this technology was demonstrated using indirect-contact freeze desalination (ICFD) and direct-contact membrane distillation (DCMD) configurations. By optimizing the ICFD operation parameters, namely, the usage of nucleate seeds, operation duration and feed concentration, high quality drinkable water with a low salinity </w:instrText>
      </w:r>
      <w:r w:rsidR="00D83446">
        <w:rPr>
          <w:rFonts w:ascii="Cambria Math" w:hAnsi="Cambria Math" w:cs="Cambria Math"/>
          <w:kern w:val="0"/>
        </w:rPr>
        <w:instrText>∼</w:instrText>
      </w:r>
      <w:r w:rsidR="00D83446">
        <w:rPr>
          <w:rFonts w:cstheme="majorBidi"/>
          <w:kern w:val="0"/>
        </w:rPr>
        <w:instrText>0.144 g/L was produced in the ICFD process. At the same time, using the optimized hollow fiber module length and packing density in the DCMD process, ultra pure water with a low salinity of 0.062 g/L was attained at a condition of high energy efficiency (EE). Overall, by combining FD and MD processes and adopting the optimized operation parameters, the hybrid FD-MD system has been successfully demonstrated. A high total water recovery of 71.5% was achieved, and the water quality obtained met the standard for drinkable water. In addition, with results from specific energy calculation, it was proven that the hybrid process is an energy-saving process and utilization of LNG cold energy could greatly reduce the total energy consumption. © 2012 Elsevier Ltd.","author":[{"dropping-particle":"","family":"Wang","given":"Peng","non-dropping-particle":"","parse-names":false,"suffix":""},{"dropping-particle":"","family":"Chung","given":"Tai Shung","non-dropping-particle":"","parse-names":false,"suffix":""}],"container-title":"Water Research","id":"ITEM-1","issue":"13","issued":{"date-parts":[["2012"]]},"page":"4037-4052","publisher":"Elsevier","title":"A conceptual demonstration of freeze desalination-membrane distillation (FD-MD) hybrid desalination process utilizing liquefied natural gas (LNG) cold energy","type":"article-journal","volume":"46"},"uris":["http://www.mendeley.com/documents/?uuid=c63ee53b-cc3f-4ad2-9836-f933b416a93e"]}],"mendeley":{"formattedCitation":"[94]","plainTextFormattedCitation":"[94]","previouslyFormattedCitation":"[95]"},"properties":{"noteIndex":0},"schema":"https://github.com/citation-style-language/schema/raw/master/csl-citation.json"}</w:instrText>
      </w:r>
      <w:r w:rsidR="00132919" w:rsidRPr="004834D3">
        <w:rPr>
          <w:rFonts w:cstheme="majorBidi"/>
          <w:kern w:val="0"/>
        </w:rPr>
        <w:fldChar w:fldCharType="separate"/>
      </w:r>
      <w:r w:rsidR="00D83446" w:rsidRPr="00D83446">
        <w:rPr>
          <w:rFonts w:cstheme="majorBidi"/>
          <w:noProof/>
          <w:kern w:val="0"/>
        </w:rPr>
        <w:t>[94]</w:t>
      </w:r>
      <w:r w:rsidR="00132919" w:rsidRPr="004834D3">
        <w:rPr>
          <w:rFonts w:cstheme="majorBidi"/>
          <w:kern w:val="0"/>
        </w:rPr>
        <w:fldChar w:fldCharType="end"/>
      </w:r>
      <w:r w:rsidRPr="004834D3">
        <w:rPr>
          <w:rFonts w:cstheme="majorBidi"/>
          <w:kern w:val="0"/>
        </w:rPr>
        <w:t>. Moreover, the use of explosive refrigerants like butane raises safety concerns</w:t>
      </w:r>
      <w:r w:rsidR="00132919" w:rsidRPr="004834D3">
        <w:rPr>
          <w:rFonts w:cstheme="majorBidi"/>
          <w:kern w:val="0"/>
        </w:rPr>
        <w:t xml:space="preserve"> </w:t>
      </w:r>
      <w:r w:rsidR="00132919" w:rsidRPr="004834D3">
        <w:rPr>
          <w:rFonts w:cstheme="majorBidi"/>
          <w:kern w:val="0"/>
        </w:rPr>
        <w:fldChar w:fldCharType="begin" w:fldLock="1"/>
      </w:r>
      <w:r w:rsidR="00D83446">
        <w:rPr>
          <w:rFonts w:cstheme="majorBidi"/>
          <w:kern w:val="0"/>
        </w:rPr>
        <w:instrText xml:space="preserve">ADDIN CSL_CITATION {"citationItems":[{"id":"ITEM-1","itemData":{"DOI":"10.1016/j.watres.2012.04.042","ISSN":"18792448","PMID":"22682269","abstract":"The severe global water scarcity and record-high fossil oil price have greatly stimulated the research interests on new desalination technologies which can be driven by renewable energy or waste energy. In this study, a hybrid desalination process comprising freeze desalination and membrane distillation (FD-MD) processes was developed and explored in an attempt to utilize the waste cold energy released from re-gasification of liquefied natural gas (LNG). The concept of this technology was demonstrated using indirect-contact freeze desalination (ICFD) and direct-contact membrane distillation (DCMD) configurations. By optimizing the ICFD operation parameters, namely, the usage of nucleate seeds, operation duration and feed concentration, high quality drinkable water with a low salinity </w:instrText>
      </w:r>
      <w:r w:rsidR="00D83446">
        <w:rPr>
          <w:rFonts w:ascii="Cambria Math" w:hAnsi="Cambria Math" w:cs="Cambria Math"/>
          <w:kern w:val="0"/>
        </w:rPr>
        <w:instrText>∼</w:instrText>
      </w:r>
      <w:r w:rsidR="00D83446">
        <w:rPr>
          <w:rFonts w:cstheme="majorBidi"/>
          <w:kern w:val="0"/>
        </w:rPr>
        <w:instrText>0.144 g/L was produced in the ICFD process. At the same time, using the optimized hollow fiber module length and packing density in the DCMD process, ultra pure water with a low salinity of 0.062 g/L was attained at a condition of high energy efficiency (EE). Overall, by combining FD and MD processes and adopting the optimized operation parameters, the hybrid FD-MD system has been successfully demonstrated. A high total water recovery of 71.5% was achieved, and the water quality obtained met the standard for drinkable water. In addition, with results from specific energy calculation, it was proven that the hybrid process is an energy-saving process and utilization of LNG cold energy could greatly reduce the total energy consumption. © 2012 Elsevier Ltd.","author":[{"dropping-particle":"","family":"Wang","given":"Peng","non-dropping-particle":"","parse-names":false,"suffix":""},{"dropping-particle":"","family":"Chung","given":"Tai Shung","non-dropping-particle":"","parse-names":false,"suffix":""}],"container-title":"Water Research","id":"ITEM-1","issue":"13","issued":{"date-parts":[["2012"]]},"page":"4037-4052","publisher":"Elsevier","title":"A conceptual demonstration of freeze desalination-membrane distillation (FD-MD) hybrid desalination process utilizing liquefied natural gas (LNG) cold energy","type":"article-journal","volume":"46"},"uris":["http://www.mendeley.com/documents/?uuid=c63ee53b-cc3f-4ad2-9836-f933b416a93e"]}],"mendeley":{"formattedCitation":"[94]","plainTextFormattedCitation":"[94]","previouslyFormattedCitation":"[95]"},"properties":{"noteIndex":0},"schema":"https://github.com/citation-style-language/schema/raw/master/csl-citation.json"}</w:instrText>
      </w:r>
      <w:r w:rsidR="00132919" w:rsidRPr="004834D3">
        <w:rPr>
          <w:rFonts w:cstheme="majorBidi"/>
          <w:kern w:val="0"/>
        </w:rPr>
        <w:fldChar w:fldCharType="separate"/>
      </w:r>
      <w:r w:rsidR="00D83446" w:rsidRPr="00D83446">
        <w:rPr>
          <w:rFonts w:cstheme="majorBidi"/>
          <w:noProof/>
          <w:kern w:val="0"/>
        </w:rPr>
        <w:t>[94]</w:t>
      </w:r>
      <w:r w:rsidR="00132919" w:rsidRPr="004834D3">
        <w:rPr>
          <w:rFonts w:cstheme="majorBidi"/>
          <w:kern w:val="0"/>
        </w:rPr>
        <w:fldChar w:fldCharType="end"/>
      </w:r>
      <w:r w:rsidRPr="004834D3">
        <w:rPr>
          <w:rFonts w:cstheme="majorBidi"/>
          <w:kern w:val="0"/>
        </w:rPr>
        <w:t>. Current research in direct FD is increasingly exploring the utilization of waste cold energy released from LNG regasification processes</w:t>
      </w:r>
      <w:r w:rsidR="00132919" w:rsidRPr="004834D3">
        <w:rPr>
          <w:rFonts w:cstheme="majorBidi"/>
          <w:kern w:val="0"/>
        </w:rPr>
        <w:t xml:space="preserve"> </w:t>
      </w:r>
      <w:r w:rsidR="00132919" w:rsidRPr="004834D3">
        <w:rPr>
          <w:rFonts w:cstheme="majorBidi"/>
          <w:kern w:val="0"/>
        </w:rPr>
        <w:fldChar w:fldCharType="begin" w:fldLock="1"/>
      </w:r>
      <w:r w:rsidR="00D83446">
        <w:rPr>
          <w:rFonts w:cstheme="majorBidi"/>
          <w:kern w:val="0"/>
        </w:rPr>
        <w:instrText>ADDIN CSL_CITATION {"citationItems":[{"id":"ITEM-1","itemData":{"DOI":"10.1016/j.ijhydene.2017.04.176","ISSN":"03603199","abstract":"The freeze desalination method is not being used widely, since it needs refrigeration system that consumes much electricity. On the other hand, liquefied natural gas (LNG) releases a lot of cold energy during its vaporization process. Thus, combining the two processes of LNG vaporization and seawater freezing may produce freshwater in an economical and environment-friendly way. In this paper, a seawater freeze desalination prototype system is designed and manufactured. In this system, R410A is chosen as the secondary refrigerant to transfer cold energy from LNG to seawater, and a flake ice-maker is adopted to produce ice. Experiments are conducted with the prototype system, with liquid nitrogen as the cold source. The results show that the system is able to reach the designed fresh water capacity of 150 L h−1, with the converted cold energy efficiency above 2 kg (fresh water)·kg (LNG)−1. The salt removal rate of the system is about 50%, indicating that one cycle of the freeze desalination is not enough for producing drinking water. The influences of some key factors, such as refrigerant evaporating temperature, number of spraying nozzles at the water distributing disk, and seawater flowrate, on the salinity of the formed ice are also tested.","author":[{"dropping-particle":"","family":"Lin","given":"Wensheng","non-dropping-particle":"","parse-names":false,"suffix":""},{"dropping-particle":"","family":"Huang","given":"Meibin","non-dropping-particle":"","parse-names":false,"suffix":""},{"dropping-particle":"","family":"Gu","given":"Anzhong","non-dropping-particle":"","parse-names":false,"suffix":""}],"container-title":"International Journal of Hydrogen Energy","id":"ITEM-1","issue":"29","issued":{"date-parts":[["2017"]]},"page":"18691-18698","publisher":"Elsevier","title":"A seawater freeze desalination prototype system utilizing LNG cold energy","type":"article-journal","volume":"42"},"uris":["http://www.mendeley.com/documents/?uuid=3c7aaa8c-dc0a-49f9-ad68-36bac80d5a6b"]},{"id":"ITEM-2","itemData":{"DOI":"10.1016/j.desal.2017.04.002","ISSN":"00119164","abstract":"In receiving terminal, liquid natural gas (LNG) needs to be re-gasified by the ambient heat generally supplied by seawater. Unfortunately, a great amount of LNG cold energy is wasted during this process, resulting in energy inefficiency and environmental implications. Seawater freezing desalination (SFD) should be an effective way to use cold energy of LNG in terms of energy match and operation cost. According to the properties of LNG, this work aims to develop a direct contact type ice generator, which integrating some special designs such as jacketed cylinder, nozzle arrangement and gas floatation, in order to improve heat transfer and phase separation in the SFD process. Through dynamic analysis on refrigerant atomization, the changes in speed and diameter of refrigerant droplet are obtained. The analysis results are helpful to further improve the design and operation of ice generator. In addition, the work also experimentally investigated the effects of some predominate factors on determining overall performance of ice generator, comprehensively considering ice generation and desalination. The experimental results could be significant for the SFD project by using cold energy of LNG.","author":[{"dropping-particle":"","family":"Xie","given":"Chungang","non-dropping-particle":"","parse-names":false,"suffix":""},{"dropping-particle":"","family":"Zhang","given":"Lingpin","non-dropping-particle":"","parse-names":false,"suffix":""},{"dropping-particle":"","family":"Liu","given":"Yanhui","non-dropping-particle":"","parse-names":false,"suffix":""},{"dropping-particle":"","family":"Lv","given":"Qingchun","non-dropping-particle":"","parse-names":false,"suffix":""},{"dropping-particle":"","family":"Ruan","given":"Guoling","non-dropping-particle":"","parse-names":false,"suffix":""},{"dropping-particle":"","family":"Hosseini","given":"Seyed Saeid","non-dropping-particle":"","parse-names":false,"suffix":""}],"container-title":"Desalination","id":"ITEM-2","issued":{"date-parts":[["2018"]]},"page":"293-300","publisher":"Elsevier","title":"A direct contact type ice generator for seawater freezing desalination using LNG cold energy","type":"article-journal","volume":"435"},"uris":["http://www.mendeley.com/documents/?uuid=599dd073-80f0-43bb-af1b-1cec45815590"]}],"mendeley":{"formattedCitation":"[87,95]","plainTextFormattedCitation":"[87,95]","previouslyFormattedCitation":"[88,96]"},"properties":{"noteIndex":0},"schema":"https://github.com/citation-style-language/schema/raw/master/csl-citation.json"}</w:instrText>
      </w:r>
      <w:r w:rsidR="00132919" w:rsidRPr="004834D3">
        <w:rPr>
          <w:rFonts w:cstheme="majorBidi"/>
          <w:kern w:val="0"/>
        </w:rPr>
        <w:fldChar w:fldCharType="separate"/>
      </w:r>
      <w:r w:rsidR="00D83446" w:rsidRPr="00D83446">
        <w:rPr>
          <w:rFonts w:cstheme="majorBidi"/>
          <w:noProof/>
          <w:kern w:val="0"/>
        </w:rPr>
        <w:t>[87,95]</w:t>
      </w:r>
      <w:r w:rsidR="00132919" w:rsidRPr="004834D3">
        <w:rPr>
          <w:rFonts w:cstheme="majorBidi"/>
          <w:kern w:val="0"/>
        </w:rPr>
        <w:fldChar w:fldCharType="end"/>
      </w:r>
      <w:r w:rsidRPr="004834D3">
        <w:rPr>
          <w:rFonts w:cstheme="majorBidi"/>
          <w:kern w:val="0"/>
        </w:rPr>
        <w:t>.</w:t>
      </w:r>
      <w:r w:rsidR="000A00ED" w:rsidRPr="004834D3">
        <w:rPr>
          <w:rFonts w:cstheme="majorBidi"/>
          <w:kern w:val="0"/>
        </w:rPr>
        <w:t xml:space="preserve"> A typical direct contact freeze desalination system comprises ice crystallization components an</w:t>
      </w:r>
      <w:r w:rsidR="00C30247">
        <w:rPr>
          <w:rFonts w:cstheme="majorBidi"/>
          <w:kern w:val="0"/>
        </w:rPr>
        <w:t>d</w:t>
      </w:r>
      <w:r w:rsidR="000A00ED" w:rsidRPr="004834D3">
        <w:rPr>
          <w:rFonts w:cstheme="majorBidi"/>
          <w:kern w:val="0"/>
        </w:rPr>
        <w:t xml:space="preserve"> ice separator unit</w:t>
      </w:r>
      <w:r w:rsidR="00C30247">
        <w:rPr>
          <w:rFonts w:cstheme="majorBidi"/>
          <w:kern w:val="0"/>
        </w:rPr>
        <w:t>s</w:t>
      </w:r>
      <w:r w:rsidR="00D161DA" w:rsidRPr="004834D3">
        <w:rPr>
          <w:rFonts w:cstheme="majorBidi"/>
          <w:kern w:val="0"/>
        </w:rPr>
        <w:t xml:space="preserve"> </w:t>
      </w:r>
      <w:r w:rsidR="00D161DA" w:rsidRPr="004834D3">
        <w:rPr>
          <w:rFonts w:cstheme="majorBidi"/>
          <w:kern w:val="0"/>
        </w:rPr>
        <w:fldChar w:fldCharType="begin" w:fldLock="1"/>
      </w:r>
      <w:r w:rsidR="00D83446">
        <w:rPr>
          <w:rFonts w:cstheme="majorBidi"/>
          <w:kern w:val="0"/>
        </w:rPr>
        <w:instrText>ADDIN CSL_CITATION {"citationItems":[{"id":"ITEM-1","itemData":{"DOI":"10.1201/9780429449734-9","ISBN":"9781420014372","abstract":"In many food processes water, or another solvent, needs to be removed from a dilute liquid to produce a concentrated or dried product. The processes that can be used to remove water include evaporation, freeze concentration, reverse osmosis (or other membrane separations), and drying (Figure 8.1). The choice depends on the extent of concentration required, the effect of the process on the product, available energy sources, and on the relative costs of the processes. Often a combination of processes is used.","author":[{"dropping-particle":"","family":"Morison","given":"Ken R.","non-dropping-particle":"","parse-names":false,"suffix":""},{"dropping-particle":"","family":"Hartel","given":"Richard W.","non-dropping-particle":"","parse-names":false,"suffix":""}],"container-title":"Handbook of Food Engineering, Second Edition","id":"ITEM-1","issued":{"date-parts":[["2006"]]},"page":"495-552","publisher":"CRC Press","title":"Evaporation and freeze concentration","type":"chapter"},"uris":["http://www.mendeley.com/documents/?uuid=021fce46-bee7-4fd0-98fe-84bda6685ef3"]}],"mendeley":{"formattedCitation":"[96]","plainTextFormattedCitation":"[96]","previouslyFormattedCitation":"[97]"},"properties":{"noteIndex":0},"schema":"https://github.com/citation-style-language/schema/raw/master/csl-citation.json"}</w:instrText>
      </w:r>
      <w:r w:rsidR="00D161DA" w:rsidRPr="004834D3">
        <w:rPr>
          <w:rFonts w:cstheme="majorBidi"/>
          <w:kern w:val="0"/>
        </w:rPr>
        <w:fldChar w:fldCharType="separate"/>
      </w:r>
      <w:r w:rsidR="00D83446" w:rsidRPr="00D83446">
        <w:rPr>
          <w:rFonts w:cstheme="majorBidi"/>
          <w:noProof/>
          <w:kern w:val="0"/>
        </w:rPr>
        <w:t>[96]</w:t>
      </w:r>
      <w:r w:rsidR="00D161DA" w:rsidRPr="004834D3">
        <w:rPr>
          <w:rFonts w:cstheme="majorBidi"/>
          <w:kern w:val="0"/>
        </w:rPr>
        <w:fldChar w:fldCharType="end"/>
      </w:r>
      <w:r w:rsidR="000A00ED" w:rsidRPr="004834D3">
        <w:rPr>
          <w:rFonts w:cstheme="majorBidi"/>
          <w:kern w:val="0"/>
        </w:rPr>
        <w:t>.</w:t>
      </w:r>
    </w:p>
    <w:p w14:paraId="654199FF" w14:textId="77777777" w:rsidR="000637E9" w:rsidRDefault="000637E9" w:rsidP="000637E9">
      <w:pPr>
        <w:spacing w:before="360" w:after="0" w:line="480" w:lineRule="auto"/>
        <w:rPr>
          <w:i/>
          <w:iCs/>
          <w:u w:val="single"/>
        </w:rPr>
      </w:pPr>
    </w:p>
    <w:p w14:paraId="2B0876E0" w14:textId="77777777" w:rsidR="000637E9" w:rsidRDefault="000637E9" w:rsidP="000637E9">
      <w:pPr>
        <w:spacing w:before="360" w:after="0" w:line="480" w:lineRule="auto"/>
        <w:rPr>
          <w:i/>
          <w:iCs/>
          <w:u w:val="single"/>
        </w:rPr>
      </w:pPr>
    </w:p>
    <w:p w14:paraId="6C6EBDDE" w14:textId="20BDC3AD" w:rsidR="00FA4D64" w:rsidRPr="000637E9" w:rsidRDefault="009777F5" w:rsidP="000637E9">
      <w:pPr>
        <w:spacing w:before="360" w:after="0" w:line="480" w:lineRule="auto"/>
        <w:rPr>
          <w:i/>
          <w:iCs/>
          <w:u w:val="single"/>
        </w:rPr>
      </w:pPr>
      <w:r w:rsidRPr="000637E9">
        <w:rPr>
          <w:i/>
          <w:iCs/>
          <w:u w:val="single"/>
        </w:rPr>
        <w:lastRenderedPageBreak/>
        <w:t xml:space="preserve">Ice </w:t>
      </w:r>
      <w:r w:rsidR="003E0361" w:rsidRPr="000637E9">
        <w:rPr>
          <w:i/>
          <w:iCs/>
          <w:u w:val="single"/>
        </w:rPr>
        <w:t>C</w:t>
      </w:r>
      <w:r w:rsidR="004B6088" w:rsidRPr="000637E9">
        <w:rPr>
          <w:i/>
          <w:iCs/>
          <w:u w:val="single"/>
        </w:rPr>
        <w:t xml:space="preserve">rystallization </w:t>
      </w:r>
      <w:r w:rsidR="003E0361" w:rsidRPr="000637E9">
        <w:rPr>
          <w:i/>
          <w:iCs/>
          <w:u w:val="single"/>
        </w:rPr>
        <w:t>U</w:t>
      </w:r>
      <w:r w:rsidR="004B6088" w:rsidRPr="000637E9">
        <w:rPr>
          <w:i/>
          <w:iCs/>
          <w:u w:val="single"/>
        </w:rPr>
        <w:t>nit</w:t>
      </w:r>
    </w:p>
    <w:p w14:paraId="1F2ED54D" w14:textId="26347E3F" w:rsidR="00921974" w:rsidRPr="004834D3" w:rsidRDefault="00D161DA" w:rsidP="000637E9">
      <w:pPr>
        <w:spacing w:before="240" w:after="240" w:line="480" w:lineRule="auto"/>
        <w:jc w:val="both"/>
        <w:rPr>
          <w:rFonts w:cstheme="majorBidi"/>
          <w:kern w:val="0"/>
        </w:rPr>
      </w:pPr>
      <w:r w:rsidRPr="004834D3">
        <w:rPr>
          <w:rFonts w:cstheme="majorBidi"/>
          <w:kern w:val="0"/>
        </w:rPr>
        <w:t>Refrigerant, maintained in a pressurized liquid state, is expanded into the brine solution, where it undergoes vaporization at low pressure. This vaporization induces a refrigeration effect, leading to the formation of ice crystals within the brine</w:t>
      </w:r>
      <w:r w:rsidR="00B96802" w:rsidRPr="004834D3">
        <w:rPr>
          <w:rFonts w:cstheme="majorBidi"/>
          <w:kern w:val="0"/>
        </w:rPr>
        <w:t xml:space="preserve"> </w:t>
      </w:r>
      <w:r w:rsidR="00B96802" w:rsidRPr="004834D3">
        <w:rPr>
          <w:rFonts w:cstheme="majorBidi"/>
          <w:kern w:val="0"/>
        </w:rPr>
        <w:fldChar w:fldCharType="begin" w:fldLock="1"/>
      </w:r>
      <w:r w:rsidR="00D83446">
        <w:rPr>
          <w:rFonts w:cstheme="majorBidi"/>
          <w:kern w:val="0"/>
        </w:rPr>
        <w:instrText>ADDIN CSL_CITATION {"citationItems":[{"id":"ITEM-1","itemData":{"DOI":"10.1002/9781118904855","ISBN":"9781118904855","abstract":"This is the first volume to cover desalination in such depth and detail, offering engineers, technicians, and operators full coverage of the applications, economics, and expectations of what will certainly become one of the most important water-related processes on the planet. Covering thermal processes and membrane processes, this is the only volume any engineer working in desalination must have, covering both practical and theoretical issues encountered on a daily basis. Certain to be an important contribution to the water management community.","author":[{"dropping-particle":"","family":"Kucera","given":"Jane","non-dropping-particle":"","parse-names":false,"suffix":""}],"container-title":"Desalination: Water from Water","id":"ITEM-1","issued":{"date-parts":[["2014"]]},"number-of-pages":"1-624","publisher":"John Wiley &amp; Sons","title":"Desalination: Water from Water","type":"book","volume":"9781118208"},"uris":["http://www.mendeley.com/documents/?uuid=8b5a317e-61d2-4b41-a93d-e6bc0263199b"]}],"mendeley":{"formattedCitation":"[83]","plainTextFormattedCitation":"[83]","previouslyFormattedCitation":"[84]"},"properties":{"noteIndex":0},"schema":"https://github.com/citation-style-language/schema/raw/master/csl-citation.json"}</w:instrText>
      </w:r>
      <w:r w:rsidR="00B96802" w:rsidRPr="004834D3">
        <w:rPr>
          <w:rFonts w:cstheme="majorBidi"/>
          <w:kern w:val="0"/>
        </w:rPr>
        <w:fldChar w:fldCharType="separate"/>
      </w:r>
      <w:r w:rsidR="00D83446" w:rsidRPr="00D83446">
        <w:rPr>
          <w:rFonts w:cstheme="majorBidi"/>
          <w:noProof/>
          <w:kern w:val="0"/>
        </w:rPr>
        <w:t>[83]</w:t>
      </w:r>
      <w:r w:rsidR="00B96802" w:rsidRPr="004834D3">
        <w:rPr>
          <w:rFonts w:cstheme="majorBidi"/>
          <w:kern w:val="0"/>
        </w:rPr>
        <w:fldChar w:fldCharType="end"/>
      </w:r>
      <w:r w:rsidRPr="004834D3">
        <w:rPr>
          <w:rFonts w:cstheme="majorBidi"/>
          <w:kern w:val="0"/>
        </w:rPr>
        <w:t xml:space="preserve">. The quality of these ice crystals </w:t>
      </w:r>
      <w:r w:rsidR="00C30247">
        <w:rPr>
          <w:rFonts w:cstheme="majorBidi"/>
          <w:kern w:val="0"/>
        </w:rPr>
        <w:t>depends</w:t>
      </w:r>
      <w:r w:rsidRPr="004834D3">
        <w:rPr>
          <w:rFonts w:cstheme="majorBidi"/>
          <w:kern w:val="0"/>
        </w:rPr>
        <w:t xml:space="preserve"> on the circulation of the immiscible refrigerant</w:t>
      </w:r>
      <w:r w:rsidR="00B96802" w:rsidRPr="004834D3">
        <w:rPr>
          <w:rFonts w:cstheme="majorBidi"/>
          <w:kern w:val="0"/>
        </w:rPr>
        <w:t xml:space="preserve"> </w:t>
      </w:r>
      <w:r w:rsidR="00B96802" w:rsidRPr="004834D3">
        <w:rPr>
          <w:rFonts w:cstheme="majorBidi"/>
          <w:kern w:val="0"/>
        </w:rPr>
        <w:fldChar w:fldCharType="begin" w:fldLock="1"/>
      </w:r>
      <w:r w:rsidR="00D83446">
        <w:rPr>
          <w:rFonts w:cstheme="majorBidi"/>
          <w:kern w:val="0"/>
        </w:rPr>
        <w:instrText>ADDIN CSL_CITATION {"citationItems":[{"id":"ITEM-1","itemData":{"DOI":"10.1016/0011-9164(87)90237-2","ISSN":"00119164","abstract":"The circulation pattern of the ice slurry in freeze desalting by direct-contact vaporization of an immiscible refrigerant can profoundly affect the quality of the product crystals. In order to understand better the interaction between crystal growth and relaxation a study was conducted on a continuous crystallizer equipped with a slurry recycle loop which functioned as an isothermal holding zone. As the freezer space velocity was increased from 0.45 min-1 to 1 min-1, the permeability of the ice formed increased about 2.5 fold. An increase in production rate from 1.44 to 3.6 kg/lit.hr. had no effect on permeability or on crystal size. Indications are that in scale-up, much higher values of space velocity are practical and that brine entrainment by the vapor will be the limiting design factor. © 1987.","author":[{"dropping-particle":"","family":"Wiegandt","given":"H. F.","non-dropping-particle":"","parse-names":false,"suffix":""},{"dropping-particle":"","family":"Madani","given":"A.","non-dropping-particle":"","parse-names":false,"suffix":""},{"dropping-particle":"","family":"Harriott","given":"P.","non-dropping-particle":"","parse-names":false,"suffix":""}],"container-title":"Desalination","id":"ITEM-1","issue":"C","issued":{"date-parts":[["1987"]]},"page":"107-126","publisher":"Elsevier","title":"Ice crystallization developments for the butane direct-contact process","type":"article-journal","volume":"67"},"uris":["http://www.mendeley.com/documents/?uuid=fc5e55d0-b31b-48ba-b650-3cc68a5191bb"]}],"mendeley":{"formattedCitation":"[97]","plainTextFormattedCitation":"[97]","previouslyFormattedCitation":"[98]"},"properties":{"noteIndex":0},"schema":"https://github.com/citation-style-language/schema/raw/master/csl-citation.json"}</w:instrText>
      </w:r>
      <w:r w:rsidR="00B96802" w:rsidRPr="004834D3">
        <w:rPr>
          <w:rFonts w:cstheme="majorBidi"/>
          <w:kern w:val="0"/>
        </w:rPr>
        <w:fldChar w:fldCharType="separate"/>
      </w:r>
      <w:r w:rsidR="00D83446" w:rsidRPr="00D83446">
        <w:rPr>
          <w:rFonts w:cstheme="majorBidi"/>
          <w:noProof/>
          <w:kern w:val="0"/>
        </w:rPr>
        <w:t>[97]</w:t>
      </w:r>
      <w:r w:rsidR="00B96802" w:rsidRPr="004834D3">
        <w:rPr>
          <w:rFonts w:cstheme="majorBidi"/>
          <w:kern w:val="0"/>
        </w:rPr>
        <w:fldChar w:fldCharType="end"/>
      </w:r>
      <w:r w:rsidRPr="004834D3">
        <w:rPr>
          <w:rFonts w:cstheme="majorBidi"/>
          <w:kern w:val="0"/>
        </w:rPr>
        <w:t>. Optimal mixing methods include utilizing fine spray nozzles to introduce liquid refrigerant in the brine, pumping vapor from the vapor space through a spurge system for reintroduction in the brine, rapidly circulating the entire liquid content of the freezer, and employing conventional mechanical agitators</w:t>
      </w:r>
      <w:r w:rsidR="00B96802" w:rsidRPr="004834D3">
        <w:rPr>
          <w:rFonts w:cstheme="majorBidi"/>
          <w:kern w:val="0"/>
        </w:rPr>
        <w:t xml:space="preserve"> </w:t>
      </w:r>
      <w:r w:rsidR="00B96802" w:rsidRPr="004834D3">
        <w:rPr>
          <w:rFonts w:cstheme="majorBidi"/>
          <w:kern w:val="0"/>
        </w:rPr>
        <w:fldChar w:fldCharType="begin" w:fldLock="1"/>
      </w:r>
      <w:r w:rsidR="00D83446">
        <w:rPr>
          <w:rFonts w:cstheme="majorBidi"/>
          <w:kern w:val="0"/>
        </w:rPr>
        <w:instrText>ADDIN CSL_CITATION {"citationItems":[{"id":"ITEM-1","itemData":{"DOI":"10.1016/S0011-9164(00)80212-X","ISSN":"00119164","author":[{"dropping-particle":"","family":"Barduhn","given":"Allen J.","non-dropping-particle":"","parse-names":false,"suffix":""}],"container-title":"Desalination","id":"ITEM-1","issue":"2","issued":{"date-parts":[["1968"]]},"page":"173-184","publisher":"Elsevier","title":"The state of the crystallization processes for desalting saline waters","type":"article-journal","volume":"5"},"uris":["http://www.mendeley.com/documents/?uuid=ad86a5f5-5538-4264-a8d1-0d52088469e5"]}],"mendeley":{"formattedCitation":"[98]","plainTextFormattedCitation":"[98]","previouslyFormattedCitation":"[99]"},"properties":{"noteIndex":0},"schema":"https://github.com/citation-style-language/schema/raw/master/csl-citation.json"}</w:instrText>
      </w:r>
      <w:r w:rsidR="00B96802" w:rsidRPr="004834D3">
        <w:rPr>
          <w:rFonts w:cstheme="majorBidi"/>
          <w:kern w:val="0"/>
        </w:rPr>
        <w:fldChar w:fldCharType="separate"/>
      </w:r>
      <w:r w:rsidR="00D83446" w:rsidRPr="00D83446">
        <w:rPr>
          <w:rFonts w:cstheme="majorBidi"/>
          <w:noProof/>
          <w:kern w:val="0"/>
        </w:rPr>
        <w:t>[98]</w:t>
      </w:r>
      <w:r w:rsidR="00B96802" w:rsidRPr="004834D3">
        <w:rPr>
          <w:rFonts w:cstheme="majorBidi"/>
          <w:kern w:val="0"/>
        </w:rPr>
        <w:fldChar w:fldCharType="end"/>
      </w:r>
      <w:r w:rsidRPr="004834D3">
        <w:rPr>
          <w:rFonts w:cstheme="majorBidi"/>
          <w:kern w:val="0"/>
        </w:rPr>
        <w:t xml:space="preserve">. Alternatively, a spray freezer approach involves spraying refrigerants and brine into a low-pressure space, resulting in instantaneous slurry formation. </w:t>
      </w:r>
    </w:p>
    <w:p w14:paraId="6FA9A6A5" w14:textId="1EB0E9BD" w:rsidR="00FF519A" w:rsidRPr="000637E9" w:rsidRDefault="00FF519A" w:rsidP="000637E9">
      <w:pPr>
        <w:spacing w:before="360" w:after="0" w:line="480" w:lineRule="auto"/>
        <w:rPr>
          <w:i/>
          <w:iCs/>
          <w:u w:val="single"/>
        </w:rPr>
      </w:pPr>
      <w:r w:rsidRPr="000637E9">
        <w:rPr>
          <w:i/>
          <w:iCs/>
          <w:u w:val="single"/>
        </w:rPr>
        <w:t xml:space="preserve">Ice </w:t>
      </w:r>
      <w:r w:rsidR="003E0361" w:rsidRPr="000637E9">
        <w:rPr>
          <w:i/>
          <w:iCs/>
          <w:u w:val="single"/>
        </w:rPr>
        <w:t>S</w:t>
      </w:r>
      <w:r w:rsidRPr="000637E9">
        <w:rPr>
          <w:i/>
          <w:iCs/>
          <w:u w:val="single"/>
        </w:rPr>
        <w:t xml:space="preserve">eparation </w:t>
      </w:r>
      <w:r w:rsidR="003E0361" w:rsidRPr="000637E9">
        <w:rPr>
          <w:i/>
          <w:iCs/>
          <w:u w:val="single"/>
        </w:rPr>
        <w:t>U</w:t>
      </w:r>
      <w:r w:rsidRPr="000637E9">
        <w:rPr>
          <w:i/>
          <w:iCs/>
          <w:u w:val="single"/>
        </w:rPr>
        <w:t>nit</w:t>
      </w:r>
    </w:p>
    <w:p w14:paraId="4E5B0078" w14:textId="614A174E" w:rsidR="00984B96" w:rsidRPr="004834D3" w:rsidRDefault="007C7132" w:rsidP="000637E9">
      <w:pPr>
        <w:spacing w:before="240" w:after="240" w:line="480" w:lineRule="auto"/>
        <w:jc w:val="both"/>
        <w:rPr>
          <w:rFonts w:cstheme="majorBidi"/>
          <w:kern w:val="0"/>
        </w:rPr>
      </w:pPr>
      <w:r>
        <w:rPr>
          <w:rFonts w:cstheme="majorBidi"/>
          <w:kern w:val="0"/>
        </w:rPr>
        <w:t>I</w:t>
      </w:r>
      <w:r w:rsidR="009C3D3B" w:rsidRPr="004834D3">
        <w:rPr>
          <w:rFonts w:cstheme="majorBidi"/>
          <w:kern w:val="0"/>
        </w:rPr>
        <w:t xml:space="preserve">ce crystals must undergo separation from the brine, which adheres to them due to interfacial tension. Ice crystals formed within the crystallization unit are gathered and transferred to an ice separator to rid them of adhered brine. Separation devices fall into several categories: presses, gravity drainage systems, </w:t>
      </w:r>
      <w:r w:rsidR="00A755BE" w:rsidRPr="004834D3">
        <w:rPr>
          <w:rFonts w:cstheme="majorBidi"/>
          <w:kern w:val="0"/>
        </w:rPr>
        <w:t>hydrocyclone separator</w:t>
      </w:r>
      <w:r w:rsidR="008008F6">
        <w:rPr>
          <w:rFonts w:cstheme="majorBidi"/>
          <w:kern w:val="0"/>
        </w:rPr>
        <w:t>s</w:t>
      </w:r>
      <w:r w:rsidR="00A755BE" w:rsidRPr="004834D3">
        <w:rPr>
          <w:rFonts w:cstheme="majorBidi"/>
          <w:kern w:val="0"/>
        </w:rPr>
        <w:t xml:space="preserve">, </w:t>
      </w:r>
      <w:r w:rsidR="009C3D3B" w:rsidRPr="004834D3">
        <w:rPr>
          <w:rFonts w:cstheme="majorBidi"/>
          <w:kern w:val="0"/>
        </w:rPr>
        <w:t>centrifuges, filters, and wash columns</w:t>
      </w:r>
      <w:r w:rsidR="00393FBB" w:rsidRPr="004834D3">
        <w:rPr>
          <w:rFonts w:cstheme="majorBidi"/>
          <w:kern w:val="0"/>
        </w:rPr>
        <w:t xml:space="preserve"> </w:t>
      </w:r>
      <w:r w:rsidR="00393FBB" w:rsidRPr="004834D3">
        <w:rPr>
          <w:rFonts w:cstheme="majorBidi"/>
          <w:kern w:val="0"/>
        </w:rPr>
        <w:fldChar w:fldCharType="begin" w:fldLock="1"/>
      </w:r>
      <w:r w:rsidR="00D83446">
        <w:rPr>
          <w:rFonts w:cstheme="majorBidi"/>
          <w:kern w:val="0"/>
        </w:rPr>
        <w:instrText>ADDIN CSL_CITATION {"citationItems":[{"id":"ITEM-1","itemData":{"author":[{"dropping-particle":"","family":"Thijssen","given":"H","non-dropping-particle":"","parse-names":false,"suffix":""}],"container-title":"Freeze drying and advanced food technology","id":"ITEM-1","issued":{"date-parts":[["1975"]]},"page":"481-501","publisher":"Academic press","title":"Current developments in freeze concentration of liquid foods","type":"article-journal"},"uris":["http://www.mendeley.com/documents/?uuid=4d836606-e5be-4acb-83ea-7e4f648fd3aa"]},{"id":"ITEM-2","itemData":{"DOI":"10.1016/0011-9164(69)80007-X","abstract":"Characteristics and performance of laboratory scale counterwasher slurry separators are investigated. Separators are of type used in the freeze-distillation process for seawater conversion. The experiments demonstrate the validity of the theoretical conclusions and help to establish the optimal operating conditions for high production rates, sufficiently low salt content in the product, and minimum loss of fresh water. The highest production rate obtained in the experiments is 8000 lb/hr . sq ft of brine-free ice in the freeze-distillation process. This rate is shown to be well below the maximum obtainable.","author":[{"dropping-particle":"","family":"Josef Shwartz","given":"","non-dropping-particle":"","parse-names":false,"suffix":""},{"dropping-particle":"","family":"Ronald F. Probstein","given":"","non-dropping-particle":"","parse-names":false,"suffix":""}],"container-title":"M, I.T.-Dept Mech Eng-Fluid Mechanics Laboratory Publ 69-1","id":"ITEM-2","issue":"2","issued":{"date-parts":[["1969"]]},"page":"239-266","publisher":"Elsevier","title":"Experimental Study of Slurry Separators for Use in Desalination","type":"article-journal","volume":"6"},"uris":["http://www.mendeley.com/documents/?uuid=15801d8f-162e-47e0-b74e-b9a9bca8e351"]}],"mendeley":{"formattedCitation":"[99,100]","plainTextFormattedCitation":"[99,100]","previouslyFormattedCitation":"[100,101]"},"properties":{"noteIndex":0},"schema":"https://github.com/citation-style-language/schema/raw/master/csl-citation.json"}</w:instrText>
      </w:r>
      <w:r w:rsidR="00393FBB" w:rsidRPr="004834D3">
        <w:rPr>
          <w:rFonts w:cstheme="majorBidi"/>
          <w:kern w:val="0"/>
        </w:rPr>
        <w:fldChar w:fldCharType="separate"/>
      </w:r>
      <w:r w:rsidR="00D83446" w:rsidRPr="00D83446">
        <w:rPr>
          <w:rFonts w:cstheme="majorBidi"/>
          <w:noProof/>
          <w:kern w:val="0"/>
        </w:rPr>
        <w:t>[99,100]</w:t>
      </w:r>
      <w:r w:rsidR="00393FBB" w:rsidRPr="004834D3">
        <w:rPr>
          <w:rFonts w:cstheme="majorBidi"/>
          <w:kern w:val="0"/>
        </w:rPr>
        <w:fldChar w:fldCharType="end"/>
      </w:r>
      <w:r w:rsidR="009C3D3B" w:rsidRPr="004834D3">
        <w:rPr>
          <w:rFonts w:cstheme="majorBidi"/>
          <w:kern w:val="0"/>
        </w:rPr>
        <w:t>. Filtration has proven less effective for crystal separation, posing challenges in removing adhered brine. Frequently, screens or filters experience freezing issues, with brine freezing in the openings. Wash columns emerge as the preferred choice for ice washing and brine rejection</w:t>
      </w:r>
      <w:r w:rsidR="00E30F54" w:rsidRPr="004834D3">
        <w:rPr>
          <w:rFonts w:cstheme="majorBidi"/>
          <w:kern w:val="0"/>
        </w:rPr>
        <w:t xml:space="preserve"> </w:t>
      </w:r>
      <w:r w:rsidR="00E30F54" w:rsidRPr="004834D3">
        <w:rPr>
          <w:rFonts w:cstheme="majorBidi"/>
          <w:kern w:val="0"/>
        </w:rPr>
        <w:fldChar w:fldCharType="begin" w:fldLock="1"/>
      </w:r>
      <w:r w:rsidR="00D83446">
        <w:rPr>
          <w:rFonts w:cstheme="majorBidi"/>
          <w:kern w:val="0"/>
        </w:rPr>
        <w:instrText>ADDIN CSL_CITATION {"citationItems":[{"id":"ITEM-1","itemData":{"DOI":"10.1016/S0011-9164(00)88633-6","ISSN":"00119164","abstract":"Laboratory work has continued on the design and operation of continuous column crystallisers previously described by the authors. In order to elucidate the dominant factor in the purification process, an extractive washing model has been utilized to calculate values of the diffusion and mass transfer groups. Total reflux and continuous feed conditions have been used. Work has also been undertaken in order to investigate the size and shape of the ice crystals formed in the freezing section of the column. Modification of the screw conveyer was necessary to facilitate crystal removal. © 1981.","author":[{"dropping-particle":"","family":"Arulampalam","given":"G. T.","non-dropping-particle":"","parse-names":false,"suffix":""},{"dropping-particle":"","family":"Bates","given":"C.","non-dropping-particle":"","parse-names":false,"suffix":""},{"dropping-particle":"","family":"Khaw","given":"L. F.","non-dropping-particle":"","parse-names":false,"suffix":""},{"dropping-particle":"","family":"McGrath","given":"L.","non-dropping-particle":"","parse-names":false,"suffix":""}],"container-title":"Desalination","id":"ITEM-1","issue":"1","issued":{"date-parts":[["1981"]]},"page":"87-97","publisher":"Elsevier","title":"Investigation of purification mechanism in a column crystalliser operating under total reflux and continuous conditions","type":"article-journal","volume":"36"},"uris":["http://www.mendeley.com/documents/?uuid=d641d020-8468-4703-ae44-decd415eaa01"]}],"mendeley":{"formattedCitation":"[101]","plainTextFormattedCitation":"[101]","previouslyFormattedCitation":"[102]"},"properties":{"noteIndex":0},"schema":"https://github.com/citation-style-language/schema/raw/master/csl-citation.json"}</w:instrText>
      </w:r>
      <w:r w:rsidR="00E30F54" w:rsidRPr="004834D3">
        <w:rPr>
          <w:rFonts w:cstheme="majorBidi"/>
          <w:kern w:val="0"/>
        </w:rPr>
        <w:fldChar w:fldCharType="separate"/>
      </w:r>
      <w:r w:rsidR="00D83446" w:rsidRPr="00D83446">
        <w:rPr>
          <w:rFonts w:cstheme="majorBidi"/>
          <w:noProof/>
          <w:kern w:val="0"/>
        </w:rPr>
        <w:t>[101]</w:t>
      </w:r>
      <w:r w:rsidR="00E30F54" w:rsidRPr="004834D3">
        <w:rPr>
          <w:rFonts w:cstheme="majorBidi"/>
          <w:kern w:val="0"/>
        </w:rPr>
        <w:fldChar w:fldCharType="end"/>
      </w:r>
      <w:r w:rsidR="009C3D3B" w:rsidRPr="004834D3">
        <w:rPr>
          <w:rFonts w:cstheme="majorBidi"/>
          <w:kern w:val="0"/>
        </w:rPr>
        <w:t>.</w:t>
      </w:r>
      <w:r w:rsidR="00984B96" w:rsidRPr="004834D3">
        <w:rPr>
          <w:rFonts w:cstheme="majorBidi"/>
          <w:kern w:val="0"/>
        </w:rPr>
        <w:t xml:space="preserve"> </w:t>
      </w:r>
      <w:r w:rsidR="00865C45" w:rsidRPr="004834D3">
        <w:rPr>
          <w:rFonts w:cstheme="majorBidi"/>
          <w:kern w:val="0"/>
        </w:rPr>
        <w:t xml:space="preserve">Efficient removal of adhered brine presents one of the most challenging unit operations. </w:t>
      </w:r>
    </w:p>
    <w:p w14:paraId="35752A3A" w14:textId="397B5179" w:rsidR="00865C45" w:rsidRPr="004834D3" w:rsidRDefault="00865C45" w:rsidP="000637E9">
      <w:pPr>
        <w:spacing w:before="240" w:after="240" w:line="480" w:lineRule="auto"/>
        <w:ind w:firstLine="720"/>
        <w:jc w:val="both"/>
        <w:rPr>
          <w:rFonts w:cstheme="majorBidi"/>
          <w:kern w:val="0"/>
        </w:rPr>
      </w:pPr>
      <w:r w:rsidRPr="004834D3">
        <w:rPr>
          <w:rFonts w:cstheme="majorBidi"/>
          <w:kern w:val="0"/>
        </w:rPr>
        <w:t>Among the most prevalent methods is the wash column, which can take the form of either a flooded or drained column</w:t>
      </w:r>
      <w:r w:rsidR="002F7211" w:rsidRPr="004834D3">
        <w:rPr>
          <w:rFonts w:cstheme="majorBidi"/>
          <w:kern w:val="0"/>
        </w:rPr>
        <w:t xml:space="preserve"> </w:t>
      </w:r>
      <w:r w:rsidR="002F7211" w:rsidRPr="004834D3">
        <w:rPr>
          <w:rFonts w:cstheme="majorBidi"/>
          <w:kern w:val="0"/>
        </w:rPr>
        <w:fldChar w:fldCharType="begin" w:fldLock="1"/>
      </w:r>
      <w:r w:rsidR="00D83446">
        <w:rPr>
          <w:rFonts w:cstheme="majorBidi"/>
          <w:kern w:val="0"/>
        </w:rPr>
        <w:instrText>ADDIN CSL_CITATION {"citationItems":[{"id":"ITEM-1","itemData":{"DOI":"10.1080/10408398409527389","ISSN":"00990248","PMID":"6383717","author":[{"dropping-particle":"","family":"Deshpande","given":"S. S.","non-dropping-particle":"","parse-names":false,"suffix":""},{"dropping-particle":"","family":"Cheryan","given":"Munir","non-dropping-particle":"","parse-names":false,"suffix":""},{"dropping-particle":"","family":"Sathe","given":"Shridhar K.","non-dropping-particle":"","parse-names":false,"suffix":""},{"dropping-particle":"","family":"Salunkhe","given":"D. K.","non-dropping-particle":"","parse-names":false,"suffix":""}],"container-title":"C R C Critical Reviews in Food Science and Nutrition","id":"ITEM-1","issue":"3","issued":{"date-parts":[["1984"]]},"page":"173-248","publisher":"Taylor \\&amp; Francis","title":"Freeze concentration of fruit juices","type":"article-journal","volume":"20"},"uris":["http://www.mendeley.com/documents/?uuid=6385c864-1541-4717-914a-6a3a53ca0e86"]}],"mendeley":{"formattedCitation":"[102]","plainTextFormattedCitation":"[102]","previouslyFormattedCitation":"[103]"},"properties":{"noteIndex":0},"schema":"https://github.com/citation-style-language/schema/raw/master/csl-citation.json"}</w:instrText>
      </w:r>
      <w:r w:rsidR="002F7211" w:rsidRPr="004834D3">
        <w:rPr>
          <w:rFonts w:cstheme="majorBidi"/>
          <w:kern w:val="0"/>
        </w:rPr>
        <w:fldChar w:fldCharType="separate"/>
      </w:r>
      <w:r w:rsidR="00D83446" w:rsidRPr="00D83446">
        <w:rPr>
          <w:rFonts w:cstheme="majorBidi"/>
          <w:noProof/>
          <w:kern w:val="0"/>
        </w:rPr>
        <w:t>[102]</w:t>
      </w:r>
      <w:r w:rsidR="002F7211" w:rsidRPr="004834D3">
        <w:rPr>
          <w:rFonts w:cstheme="majorBidi"/>
          <w:kern w:val="0"/>
        </w:rPr>
        <w:fldChar w:fldCharType="end"/>
      </w:r>
      <w:r w:rsidRPr="004834D3">
        <w:rPr>
          <w:rFonts w:cstheme="majorBidi"/>
          <w:kern w:val="0"/>
        </w:rPr>
        <w:t xml:space="preserve">. Wash columns come in two types: pressurized and gravity-based. In a pressurized wash column, crystals ascend to the top while hydraulic pressure compels </w:t>
      </w:r>
      <w:r w:rsidRPr="004834D3">
        <w:rPr>
          <w:rFonts w:cstheme="majorBidi"/>
          <w:kern w:val="0"/>
        </w:rPr>
        <w:lastRenderedPageBreak/>
        <w:t>a wash liquid, derived from melted pure crystals, to descend. This liquid, as it flows down the column, purges impurities from the crystal surfaces. At the interface between washed and unwashed crystals, known as the wash front, the wash liquid encounters colder crystals, enhancing crystallization. Consequently, the wash liquid remains separate from the concentrated liquid</w:t>
      </w:r>
      <w:r w:rsidR="002F7211" w:rsidRPr="004834D3">
        <w:rPr>
          <w:rFonts w:cstheme="majorBidi"/>
          <w:kern w:val="0"/>
        </w:rPr>
        <w:t xml:space="preserve"> </w:t>
      </w:r>
      <w:r w:rsidR="002F7211" w:rsidRPr="004834D3">
        <w:rPr>
          <w:rFonts w:cstheme="majorBidi"/>
          <w:kern w:val="0"/>
        </w:rPr>
        <w:fldChar w:fldCharType="begin" w:fldLock="1"/>
      </w:r>
      <w:r w:rsidR="00D83446">
        <w:rPr>
          <w:rFonts w:cstheme="majorBidi"/>
          <w:kern w:val="0"/>
        </w:rPr>
        <w:instrText>ADDIN CSL_CITATION {"citationItems":[{"id":"ITEM-1","itemData":{"DOI":"10.1002/9781118904855","ISBN":"9781118904855","abstract":"This is the first volume to cover desalination in such depth and detail, offering engineers, technicians, and operators full coverage of the applications, economics, and expectations of what will certainly become one of the most important water-related processes on the planet. Covering thermal processes and membrane processes, this is the only volume any engineer working in desalination must have, covering both practical and theoretical issues encountered on a daily basis. Certain to be an important contribution to the water management community.","author":[{"dropping-particle":"","family":"Kucera","given":"Jane","non-dropping-particle":"","parse-names":false,"suffix":""}],"container-title":"Desalination: Water from Water","id":"ITEM-1","issued":{"date-parts":[["2014"]]},"number-of-pages":"1-624","publisher":"John Wiley &amp; Sons","title":"Desalination: Water from Water","type":"book","volume":"9781118208"},"uris":["http://www.mendeley.com/documents/?uuid=8b5a317e-61d2-4b41-a93d-e6bc0263199b"]}],"mendeley":{"formattedCitation":"[83]","plainTextFormattedCitation":"[83]","previouslyFormattedCitation":"[84]"},"properties":{"noteIndex":0},"schema":"https://github.com/citation-style-language/schema/raw/master/csl-citation.json"}</w:instrText>
      </w:r>
      <w:r w:rsidR="002F7211" w:rsidRPr="004834D3">
        <w:rPr>
          <w:rFonts w:cstheme="majorBidi"/>
          <w:kern w:val="0"/>
        </w:rPr>
        <w:fldChar w:fldCharType="separate"/>
      </w:r>
      <w:r w:rsidR="00D83446" w:rsidRPr="00D83446">
        <w:rPr>
          <w:rFonts w:cstheme="majorBidi"/>
          <w:noProof/>
          <w:kern w:val="0"/>
        </w:rPr>
        <w:t>[83]</w:t>
      </w:r>
      <w:r w:rsidR="002F7211" w:rsidRPr="004834D3">
        <w:rPr>
          <w:rFonts w:cstheme="majorBidi"/>
          <w:kern w:val="0"/>
        </w:rPr>
        <w:fldChar w:fldCharType="end"/>
      </w:r>
      <w:r w:rsidRPr="004834D3">
        <w:rPr>
          <w:rFonts w:cstheme="majorBidi"/>
          <w:kern w:val="0"/>
        </w:rPr>
        <w:t xml:space="preserve">. The gravity wash column, though simpler in design, requires larger dimensions than its pressurized counterpart. Its increased height generates the necessary pressure to compress the ice bed. Functioning similarly to the pressurized column but at lower pressures, it still facilitates </w:t>
      </w:r>
      <w:r w:rsidR="008008F6">
        <w:rPr>
          <w:rFonts w:cstheme="majorBidi"/>
          <w:kern w:val="0"/>
        </w:rPr>
        <w:t xml:space="preserve">the </w:t>
      </w:r>
      <w:r w:rsidRPr="004834D3">
        <w:rPr>
          <w:rFonts w:cstheme="majorBidi"/>
          <w:kern w:val="0"/>
        </w:rPr>
        <w:t>hydraulic movement of an ice pack up the column. To overcome challenges posed by surface tension forces, clean fresh water can act as a displacing liquid. Enhanced separation via drainage occurs when, in addition to draining brine from the bottom of ice crystals, pure water is introduced at the top of the batch, filtering through the ice bed interstices to displace the brine.</w:t>
      </w:r>
      <w:r w:rsidR="00301683" w:rsidRPr="004834D3">
        <w:rPr>
          <w:rFonts w:cstheme="majorBidi"/>
          <w:kern w:val="0"/>
        </w:rPr>
        <w:t xml:space="preserve"> The effectiveness of wash columns hinges on factors such as crystal size, shape, and the viscosity of concentrated brine. Ensuring uniformity in crystal size and shape is crucial to prevent wash water from unevenly permeating through the crystals, potentially following paths of least resistance.</w:t>
      </w:r>
    </w:p>
    <w:p w14:paraId="6E3E77B0" w14:textId="0FD6E331" w:rsidR="007C121A" w:rsidRDefault="007C121A" w:rsidP="000637E9">
      <w:pPr>
        <w:spacing w:before="240" w:after="240" w:line="480" w:lineRule="auto"/>
        <w:ind w:firstLine="720"/>
        <w:jc w:val="both"/>
        <w:rPr>
          <w:rFonts w:cstheme="majorBidi"/>
          <w:kern w:val="0"/>
        </w:rPr>
      </w:pPr>
      <w:r w:rsidRPr="004834D3">
        <w:rPr>
          <w:rFonts w:cstheme="majorBidi"/>
          <w:kern w:val="0"/>
        </w:rPr>
        <w:t xml:space="preserve">Centrifuges have been employed for separating ice crystals from concentrated brine as well. Filtering centrifuge leverages the disparity in specific gravity between ice crystals and brine concentrate, with centrifugal force propelling the brine through the filter basket. Typically, water rinsing is necessary to ensure there is no salt carryover. Additionally, ice particles from brine can be separated using a filter. </w:t>
      </w:r>
    </w:p>
    <w:p w14:paraId="237F730A" w14:textId="77777777" w:rsidR="0062747D" w:rsidRDefault="0062747D" w:rsidP="000637E9">
      <w:pPr>
        <w:spacing w:before="240" w:after="240" w:line="480" w:lineRule="auto"/>
        <w:ind w:firstLine="720"/>
        <w:jc w:val="both"/>
        <w:rPr>
          <w:rFonts w:cstheme="majorBidi"/>
          <w:kern w:val="0"/>
        </w:rPr>
      </w:pPr>
    </w:p>
    <w:p w14:paraId="78628427" w14:textId="79E82938" w:rsidR="0062747D" w:rsidRDefault="0062747D" w:rsidP="000637E9">
      <w:pPr>
        <w:spacing w:before="240" w:after="240" w:line="480" w:lineRule="auto"/>
        <w:ind w:firstLine="720"/>
        <w:jc w:val="both"/>
        <w:rPr>
          <w:rFonts w:cstheme="majorBidi"/>
          <w:kern w:val="0"/>
        </w:rPr>
      </w:pPr>
    </w:p>
    <w:p w14:paraId="746EE73E" w14:textId="0E9DBDF8" w:rsidR="001161C9" w:rsidRPr="00F80326" w:rsidRDefault="002A0243" w:rsidP="00700DBA">
      <w:pPr>
        <w:pStyle w:val="Heading1"/>
        <w:numPr>
          <w:ilvl w:val="0"/>
          <w:numId w:val="4"/>
        </w:numPr>
        <w:spacing w:before="0" w:after="0" w:line="480" w:lineRule="auto"/>
        <w:ind w:left="288" w:hanging="288"/>
        <w:rPr>
          <w:sz w:val="28"/>
          <w:szCs w:val="28"/>
        </w:rPr>
      </w:pPr>
      <w:bookmarkStart w:id="20" w:name="_Toc172367670"/>
      <w:r>
        <w:rPr>
          <w:sz w:val="28"/>
          <w:szCs w:val="28"/>
        </w:rPr>
        <w:lastRenderedPageBreak/>
        <w:t xml:space="preserve">Design </w:t>
      </w:r>
      <w:r w:rsidR="00535C31">
        <w:rPr>
          <w:sz w:val="28"/>
          <w:szCs w:val="28"/>
        </w:rPr>
        <w:t>and</w:t>
      </w:r>
      <w:r>
        <w:rPr>
          <w:sz w:val="28"/>
          <w:szCs w:val="28"/>
        </w:rPr>
        <w:t xml:space="preserve"> Fabrication of a </w:t>
      </w:r>
      <w:r w:rsidR="000A1407" w:rsidRPr="00F80326">
        <w:rPr>
          <w:sz w:val="28"/>
          <w:szCs w:val="28"/>
        </w:rPr>
        <w:t>Novel</w:t>
      </w:r>
      <w:r w:rsidR="001161C9" w:rsidRPr="00F80326">
        <w:rPr>
          <w:sz w:val="28"/>
          <w:szCs w:val="28"/>
        </w:rPr>
        <w:t xml:space="preserve"> </w:t>
      </w:r>
      <w:r w:rsidR="00A455CA" w:rsidRPr="00F80326">
        <w:rPr>
          <w:sz w:val="28"/>
          <w:szCs w:val="28"/>
        </w:rPr>
        <w:t>Freeze Desalination System</w:t>
      </w:r>
      <w:r w:rsidR="002E4D3F" w:rsidRPr="00F80326">
        <w:rPr>
          <w:rStyle w:val="FootnoteReference"/>
          <w:sz w:val="28"/>
          <w:szCs w:val="28"/>
        </w:rPr>
        <w:footnoteReference w:id="1"/>
      </w:r>
      <w:bookmarkEnd w:id="20"/>
    </w:p>
    <w:p w14:paraId="33DF9A02" w14:textId="06456AFA" w:rsidR="0043767E" w:rsidRPr="0043767E" w:rsidRDefault="002224F0" w:rsidP="00523CE2">
      <w:pPr>
        <w:spacing w:before="240" w:after="240" w:line="480" w:lineRule="auto"/>
        <w:jc w:val="both"/>
      </w:pPr>
      <w:r>
        <w:t xml:space="preserve">In this chapter, the innovative freeze desalination system is introduced, providing a comprehensive and detailed explanation of its mechanism. The section starts with an overview of freeze desalination, exploring its applications across various industries, examining different methodologies, and comparing these approaches. A thorough literature review of direct contact freeze desalination systems is also included to contextualize the current advancements and identify gaps in existing technologies. Subsequently, a detailed presentation of the experimental setup is provided, and each component used in the system is described in detail. </w:t>
      </w:r>
    </w:p>
    <w:p w14:paraId="0CF93EF4" w14:textId="113D3D4F" w:rsidR="007917CB" w:rsidRPr="00523CE2" w:rsidRDefault="000B3305" w:rsidP="00700DBA">
      <w:pPr>
        <w:pStyle w:val="Heading2"/>
        <w:numPr>
          <w:ilvl w:val="1"/>
          <w:numId w:val="4"/>
        </w:numPr>
        <w:spacing w:before="360" w:after="0" w:line="480" w:lineRule="auto"/>
        <w:ind w:left="432" w:hanging="432"/>
        <w:jc w:val="both"/>
        <w:rPr>
          <w:rFonts w:eastAsia="MS Mincho"/>
          <w:sz w:val="24"/>
          <w:szCs w:val="24"/>
        </w:rPr>
      </w:pPr>
      <w:bookmarkStart w:id="21" w:name="_Toc172367671"/>
      <w:r w:rsidRPr="00523CE2">
        <w:rPr>
          <w:rFonts w:eastAsia="MS Mincho"/>
          <w:sz w:val="24"/>
          <w:szCs w:val="24"/>
        </w:rPr>
        <w:t>Literature Review &amp; State of the Art</w:t>
      </w:r>
      <w:bookmarkEnd w:id="21"/>
      <w:r w:rsidRPr="00523CE2">
        <w:rPr>
          <w:rFonts w:eastAsia="MS Mincho"/>
          <w:sz w:val="24"/>
          <w:szCs w:val="24"/>
        </w:rPr>
        <w:t xml:space="preserve"> </w:t>
      </w:r>
    </w:p>
    <w:p w14:paraId="523E27F8" w14:textId="466711B9" w:rsidR="007917CB" w:rsidRPr="00523CE2" w:rsidRDefault="007917CB" w:rsidP="00523CE2">
      <w:pPr>
        <w:adjustRightInd w:val="0"/>
        <w:snapToGrid w:val="0"/>
        <w:spacing w:before="240" w:after="240" w:line="480" w:lineRule="auto"/>
        <w:jc w:val="both"/>
        <w:rPr>
          <w:rFonts w:eastAsia="MS Mincho" w:cstheme="majorBidi"/>
        </w:rPr>
      </w:pPr>
      <w:r w:rsidRPr="00523CE2">
        <w:rPr>
          <w:rFonts w:eastAsia="MS Mincho" w:cstheme="majorBidi"/>
        </w:rPr>
        <w:t xml:space="preserve">The freeze desalination method involves cooling saline water until it partially freezes, resulting in the extraction of freshwater in the form of ice while the remaining unfrozen brine becomes more concentrated. </w:t>
      </w:r>
      <w:r w:rsidRPr="00523CE2">
        <w:rPr>
          <w:rFonts w:eastAsia="MS Mincho" w:cstheme="majorBidi"/>
        </w:rPr>
        <w:fldChar w:fldCharType="begin" w:fldLock="1"/>
      </w:r>
      <w:r w:rsidR="00D83446" w:rsidRPr="00523CE2">
        <w:rPr>
          <w:rFonts w:eastAsia="MS Mincho" w:cstheme="majorBidi"/>
        </w:rPr>
        <w:instrText>ADDIN CSL_CITATION {"citationItems":[{"id":"ITEM-1","itemData":{"DOI":"10.1016/j.desal.2014.10.023","ISSN":"00119164","abstract":"The world is currently facing the prospect of a severe global shortage of fresh water alongside finite energy resources and the development of energy-efficient desalination methods is of paramount importance to solve these complex problems. In this paper the basic principles of freeze concentration processes are presented. Even though the process has the advantage of low energy usage and high concentration factors, only lab and pilot scale studies have been conducted in the desalination industry and application of the process has been limited due to the dominance of more traditional thermal and membrane technologies. Finally, the paper looks at the future applications for freeze concentration and discusses the possibility of application to high saline brine wastes in hybrid-technology.","author":[{"dropping-particle":"","family":"Williams","given":"Paul M.","non-dropping-particle":"","parse-names":false,"suffix":""},{"dropping-particle":"","family":"Ahmad","given":"Mansour","non-dropping-particle":"","parse-names":false,"suffix":""},{"dropping-particle":"","family":"Connolly","given":"Benjamin S.","non-dropping-particle":"","parse-names":false,"suffix":""},{"dropping-particle":"","family":"Oatley-Radcliffe","given":"Darren L.","non-dropping-particle":"","parse-names":false,"suffix":""}],"container-title":"Desalination","id":"ITEM-1","issued":{"date-parts":[["2015"]]},"page":"314-327","publisher":"Elsevier","title":"Technology for freeze concentration in the desalination industry","type":"article-journal","volume":"356"},"uris":["http://www.mendeley.com/documents/?uuid=3d71d7f7-c725-44d8-b96f-855a58fae5b4"]}],"mendeley":{"formattedCitation":"[81]","plainTextFormattedCitation":"[81]","previouslyFormattedCitation":"[82]"},"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[81]</w:t>
      </w:r>
      <w:r w:rsidRPr="00523CE2">
        <w:rPr>
          <w:rFonts w:eastAsia="MS Mincho" w:cstheme="majorBidi"/>
        </w:rPr>
        <w:fldChar w:fldCharType="end"/>
      </w:r>
      <w:r w:rsidRPr="00523CE2">
        <w:rPr>
          <w:rFonts w:eastAsia="MS Mincho" w:cstheme="majorBidi"/>
        </w:rPr>
        <w:t xml:space="preserve">. This method experiences fewer issues related to scaling, fouling, and corrosion due to its operation at low temperatures </w:t>
      </w:r>
      <w:r w:rsidRPr="00523CE2">
        <w:rPr>
          <w:rFonts w:eastAsia="MS Mincho" w:cstheme="majorBidi"/>
        </w:rPr>
        <w:fldChar w:fldCharType="begin" w:fldLock="1"/>
      </w:r>
      <w:r w:rsidR="00D83446" w:rsidRPr="00523CE2">
        <w:rPr>
          <w:rFonts w:eastAsia="MS Mincho" w:cstheme="majorBidi"/>
        </w:rPr>
        <w:instrText>ADDIN CSL_CITATION {"citationItems":[{"id":"ITEM-1","itemData":{"DOI":"10.1038/s41545-022-00158-1","ISSN":"20597037","abstract":"Freeze desalination (FD) has several benefits compared to vaporization-based and membrane-based desalination methods. The FD process needs approximately 1/7th of the latent heat required by the vaporization-based desalination processes. The involvement of sub-zero temperature in FD reduces the risk of corrosion and scaling. This paper reviews the advances in FD methods involving stand-alone and hybrid methods that operate with and without utilizing the energy released during the re-gasification of liquefied natural gas. Moreover, the paper discusses the future focus areas for research and development to make FD a commercially feasible technology. Potable water was produced from brackish water and seawater by FD wherein the nucleation was achieved by ice seeding, the mixing of rejected salt from ice into the liquid phase was controlled appropriately, growth of ice crystals was slow, and liquid subcooling was maintained at approximately 4 K. The post-treatment of obtained ice is needed to produce potable water if the process is instigated without ice seeding. The plant capacity of stand-alone progressive FD was higher than the stand-alone suspension FD of seawater. The integration of the falling-film, fractional thawing, and block FD method showed significantly improved plant capacity than the stand-alone suspension FD method. The energy consumption of stand-alone PFC and SFC-based desalination with latent heat recovery was reported close to the reverse osmosis (RO) method. The hybrid (integration of the suspension FD method with membrane distillation) FD method utilizing LNG cold energy consumed less energy than the conventional RO method.","author":[{"dropping-particle":"","family":"Najim","given":"Abdul","non-dropping-particle":"","parse-names":false,"suffix":""}],"container-title":"npj Clean Water","id":"ITEM-1","issue":"1","issued":{"date-parts":[["2022"]]},"publisher":"Springer US","title":"A review of advances in freeze desalination and future prospects","type":"article-journal","volume":"5"},"uris":["http://www.mendeley.com/documents/?uuid=099d278e-8cc4-429f-93aa-9dca446d8214"]}],"mendeley":{"formattedCitation":"[103]","plainTextFormattedCitation":"[103]","previouslyFormattedCitation":"[104]"},"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[103]</w:t>
      </w:r>
      <w:r w:rsidRPr="00523CE2">
        <w:rPr>
          <w:rFonts w:eastAsia="MS Mincho" w:cstheme="majorBidi"/>
        </w:rPr>
        <w:fldChar w:fldCharType="end"/>
      </w:r>
      <w:r w:rsidRPr="00523CE2">
        <w:rPr>
          <w:rFonts w:eastAsia="MS Mincho" w:cstheme="majorBidi"/>
        </w:rPr>
        <w:t xml:space="preserve">. Additionally, from an energy perspective, the freezing process is inherently less energy-intensive than evaporation, with the latent heat of fusion of water being almost one-seventh of its latent heat of evaporation </w:t>
      </w:r>
      <w:r w:rsidRPr="00523CE2">
        <w:rPr>
          <w:rFonts w:eastAsia="MS Mincho" w:cstheme="majorBidi"/>
        </w:rPr>
        <w:fldChar w:fldCharType="begin" w:fldLock="1"/>
      </w:r>
      <w:r w:rsidR="00D83446" w:rsidRPr="00523CE2">
        <w:rPr>
          <w:rFonts w:eastAsia="MS Mincho" w:cstheme="majorBidi"/>
        </w:rPr>
        <w:instrText>ADDIN CSL_CITATION {"citationItems":[{"id":"ITEM-1","itemData":{"DOI":"10.1038/s41545-022-00158-1","ISSN":"20597037","abstract":"Freeze desalination (FD) has several benefits compared to vaporization-based and membrane-based desalination methods. The FD process needs approximately 1/7th of the latent heat required by the vaporization-based desalination processes. The involvement of sub-zero temperature in FD reduces the risk of corrosion and scaling. This paper reviews the advances in FD methods involving stand-alone and hybrid methods that operate with and without utilizing the energy released during the re-gasification of liquefied natural gas. Moreover, the paper discusses the future focus areas for research and development to make FD a commercially feasible technology. Potable water was produced from brackish water and seawater by FD wherein the nucleation was achieved by ice seeding, the mixing of rejected salt from ice into the liquid phase was controlled appropriately, growth of ice crystals was slow, and liquid subcooling was maintained at approximately 4 K. The post-treatment of obtained ice is needed to produce potable water if the process is instigated without ice seeding. The plant capacity of stand-alone progressive FD was higher than the stand-alone suspension FD of seawater. The integration of the falling-film, fractional thawing, and block FD method showed significantly improved plant capacity than the stand-alone suspension FD method. The energy consumption of stand-alone PFC and SFC-based desalination with latent heat recovery was reported close to the reverse osmosis (RO) method. The hybrid (integration of the suspension FD method with membrane distillation) FD method utilizing LNG cold energy consumed less energy than the conventional RO method.","author":[{"dropping-particle":"","family":"Najim","given":"Abdul","non-dropping-particle":"","parse-names":false,"suffix":""}],"container-title":"npj Clean Water","id":"ITEM-1","issue":"1","issued":{"date-parts":[["2022"]]},"publisher":"Springer US","title":"A review of advances in freeze desalination and future prospects","type":"article-journal","volume":"5"},"uris":["http://www.mendeley.com/documents/?uuid=099d278e-8cc4-429f-93aa-9dca446d8214"]}],"mendeley":{"formattedCitation":"[103]","plainTextFormattedCitation":"[103]","previouslyFormattedCitation":"[104]"},"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[103]</w:t>
      </w:r>
      <w:r w:rsidRPr="00523CE2">
        <w:rPr>
          <w:rFonts w:eastAsia="MS Mincho" w:cstheme="majorBidi"/>
        </w:rPr>
        <w:fldChar w:fldCharType="end"/>
      </w:r>
      <w:r w:rsidRPr="00523CE2">
        <w:rPr>
          <w:rFonts w:eastAsia="MS Mincho" w:cstheme="majorBidi"/>
        </w:rPr>
        <w:t>. Hence, freeze desalination is a viable option for treating reject</w:t>
      </w:r>
      <w:r w:rsidR="008008F6" w:rsidRPr="00523CE2">
        <w:rPr>
          <w:rFonts w:eastAsia="MS Mincho" w:cstheme="majorBidi"/>
        </w:rPr>
        <w:t>ed</w:t>
      </w:r>
      <w:r w:rsidRPr="00523CE2">
        <w:rPr>
          <w:rFonts w:eastAsia="MS Mincho" w:cstheme="majorBidi"/>
        </w:rPr>
        <w:t xml:space="preserve"> brine from reverse osmosis processes, thereby moving towards zero liquid discharge. Moreover, freeze desalination systems require minimal pretreatment of the feed brine, resulting in significantly fewer chemicals discharged into the environment </w:t>
      </w:r>
      <w:r w:rsidRPr="00523CE2">
        <w:rPr>
          <w:rFonts w:eastAsia="MS Mincho" w:cstheme="majorBidi"/>
        </w:rPr>
        <w:fldChar w:fldCharType="begin" w:fldLock="1"/>
      </w:r>
      <w:r w:rsidR="00D83446" w:rsidRPr="00523CE2">
        <w:rPr>
          <w:rFonts w:eastAsia="MS Mincho" w:cstheme="majorBidi"/>
        </w:rPr>
        <w:instrText>ADDIN CSL_CITATION {"citationItems":[{"id":"ITEM-1","itemData":{"DOI":"10.1016/j.desal.2021.115077","ISSN":"00119164","abstract":"A progressive freeze concentration (PFC) process was applied to treat several waters where clean ice was generated one-dimensionally, and salt and impurities concentrate into the liquid phase. The impact of eight process parameters on salt percent removal and ice percent recovery were investigated. They were coolant temperature, stirring rate, advance speed of crystallizer, feed solution concentration, feed solution temperature, ice seeding, crystallizer material, and mixing flow pattern. The significant process parameters found were stirring rate, coolant temperature, and feed solution concentration. Temperature difference between feed solution temperature and coolant temperature is important in minimizing supercooling which has a negative effect on treatment. For example, our results showed a temperature difference of 10 °C for a feed solution temperature of 2.5 °C were needed to minimize supercooling. Salt percent removal was found to be directly related to while ice percent recovery was inversely related to the stirring rate. Treatment of an artificial seawater (salinity 35.67 g/L) and a RO brine concentrate (salinity 2600 mg/L) resulted in 51% and 70% ice percent recovery and 74% and 97.7% salt percent removal, respectively. An application of the PFC process includes brine concentrate treatment for inland desalination plants.","author":[{"dropping-particle":"","family":"Moharramzadeh","given":"Sina","non-dropping-particle":"","parse-names":false,"suffix":""},{"dropping-particle":"","family":"Ong","given":"Say Kee","non-dropping-particle":"","parse-names":false,"suffix":""},{"dropping-particle":"","family":"Alleman","given":"James","non-dropping-particle":"","parse-names":false,"suffix":""},{"dropping-particle":"","family":"Cetin","given":"Kristen S.","non-dropping-particle":"","parse-names":false,"suffix":""}],"container-title":"Desalination","id":"ITEM-1","issue":"December 2020","issued":{"date-parts":[["2021"]]},"page":"115077","publisher":"Elsevier B.V.","title":"Parametric study of the progressive freeze concentration for desalination","type":"article-journal","volume":"510"},"uris":["http://www.mendeley.com/documents/?uuid=297e33a2-d823-46d5-a5f5-42b02ebc8eb1"]}],"mendeley":{"formattedCitation":"[104]","plainTextFormattedCitation":"[104]","previouslyFormattedCitation":"[105]"},"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[104]</w:t>
      </w:r>
      <w:r w:rsidRPr="00523CE2">
        <w:rPr>
          <w:rFonts w:eastAsia="MS Mincho" w:cstheme="majorBidi"/>
        </w:rPr>
        <w:fldChar w:fldCharType="end"/>
      </w:r>
      <w:r w:rsidRPr="00523CE2">
        <w:rPr>
          <w:rFonts w:eastAsia="MS Mincho" w:cstheme="majorBidi"/>
        </w:rPr>
        <w:t xml:space="preserve">. Researchers have explored the application of freeze desalination in various fields, including the treatment of oil and gas produced water </w:t>
      </w:r>
      <w:r w:rsidRPr="00523CE2">
        <w:rPr>
          <w:rFonts w:eastAsia="MS Mincho" w:cstheme="majorBidi"/>
        </w:rPr>
        <w:fldChar w:fldCharType="begin" w:fldLock="1"/>
      </w:r>
      <w:r w:rsidR="00D83446" w:rsidRPr="00523CE2">
        <w:rPr>
          <w:rFonts w:eastAsia="MS Mincho" w:cstheme="majorBidi"/>
        </w:rPr>
        <w:instrText>ADDIN CSL_CITATION {"citationItems":[{"id":"ITEM-1","itemData":{"DOI":"10.1093/ijlct/cts049","ISSN":"17481325","abstract":"Produced water is a complex mixture of organic and inorganic compounds and the largest volume of by-product generated during oil and gas recovery operations. The potential of oilfield produced water to be a source of fresh water for water-stressed oil-producing countries and the increasing environmental concerns in addition to stringent legislations on produced water discharge into the environment have made produced water management a significant part of the oil and gas business. This article reviews current technologies for the management of produced water, examines how electrochemical techniques may be used in these areas and compares the prospects for future development. It suggests that treatment technologies based on electrochemistry could be the future of produced water management, since produced water is a potential electrolyte because it has a relatively good conductivity. It also explains that by applying photoelectrochemistry, water electrolysis, fuel cell and electrodeposition, electrochemical engineering could achieve energy storage, production of clean water and recovery of valuable metals from produced water with minimal or no negative impact on the environment. © The Author 2012. Published by Oxford University Press.","author":[{"dropping-particle":"","family":"Igunnu","given":"Ebenezer T.","non-dropping-particle":"","parse-names":false,"suffix":""},{"dropping-particle":"","family":"Chen","given":"George Z.","non-dropping-particle":"","parse-names":false,"suffix":""}],"container-title":"International Journal of Low-Carbon Technologies","id":"ITEM-1","issue":"3","issued":{"date-parts":[["2014"]]},"page":"157-177","title":"Produced water treatment technologies","type":"article-journal","volume":"9"},"uris":["http://www.mendeley.com/documents/?uuid=83297b41-1106-45f8-a82b-f06ff9d47b62"]}],"mendeley":{"formattedCitation":"[105]","plainTextFormattedCitation":"[105]","previouslyFormattedCitation":"[106]"},"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[105]</w:t>
      </w:r>
      <w:r w:rsidRPr="00523CE2">
        <w:rPr>
          <w:rFonts w:eastAsia="MS Mincho" w:cstheme="majorBidi"/>
        </w:rPr>
        <w:fldChar w:fldCharType="end"/>
      </w:r>
      <w:r w:rsidRPr="00523CE2">
        <w:rPr>
          <w:rFonts w:eastAsia="MS Mincho" w:cstheme="majorBidi"/>
        </w:rPr>
        <w:t xml:space="preserve">, </w:t>
      </w:r>
      <w:r w:rsidR="008008F6" w:rsidRPr="00523CE2">
        <w:rPr>
          <w:rFonts w:eastAsia="MS Mincho" w:cstheme="majorBidi"/>
        </w:rPr>
        <w:t xml:space="preserve">the </w:t>
      </w:r>
      <w:r w:rsidRPr="00523CE2">
        <w:rPr>
          <w:rFonts w:eastAsia="MS Mincho" w:cstheme="majorBidi"/>
        </w:rPr>
        <w:t xml:space="preserve">concentration of fruit juice </w:t>
      </w:r>
      <w:r w:rsidRPr="00523CE2">
        <w:rPr>
          <w:rFonts w:eastAsia="MS Mincho" w:cstheme="majorBidi"/>
        </w:rPr>
        <w:lastRenderedPageBreak/>
        <w:t xml:space="preserve">and glucose solutions </w:t>
      </w:r>
      <w:r w:rsidRPr="00523CE2">
        <w:rPr>
          <w:rFonts w:eastAsia="MS Mincho" w:cstheme="majorBidi"/>
        </w:rPr>
        <w:fldChar w:fldCharType="begin" w:fldLock="1"/>
      </w:r>
      <w:r w:rsidR="00D83446" w:rsidRPr="00523CE2">
        <w:rPr>
          <w:rFonts w:eastAsia="MS Mincho" w:cstheme="majorBidi"/>
        </w:rPr>
        <w:instrText>ADDIN CSL_CITATION {"citationItems":[{"id":"ITEM-1","itemData":{"DOI":"10.1016/j.jfoodeng.2019.03.018","ISSN":"02608774","abstract":"A 2.5-L multi-pass intelligent freeze concentration (FC) prototypical instrument with liquid food freezing point depression (FPD) data built into its controller was tested in this study for the concentration of apple juice. The instrument operates in suspension crystallization mode and integrates a traditional separated scraped surface heat exchanger (SSHE), crystallizer, and washing column into a compact three-in-one structure. Its concentration ratio in a single pass on apple juice was approximately 1.8 (e.g. from 10% to 18%). After three passes of FC, the apple juice concentration increased to 34.5 °Bx; the retention rate of vitamin C and aromatic substances, represented by ethyl butyrate, were both more than 90%, but little change in reducing sugars and color value occurred, and the partition coefficients of soluble solids in ice and the mother liquor were between 0.0081 and 0.067, obtaining a general yield of soluble solids of 97%. The controller correlates the juice concentration with its FPD to log the concentration change, and correlates the mechanical load current with the ice bed maturity to determine the end point of the freeze stage. This study contributes to our knowledge of FC of liquid food and future research and development efforts in this area.","author":[{"dropping-particle":"","family":"Ding","given":"Zhongxiang","non-dropping-particle":"","parse-names":false,"suffix":""},{"dropping-particle":"","family":"Qin","given":"Frank G.F.","non-dropping-particle":"","parse-names":false,"suffix":""},{"dropping-particle":"","family":"Yuan","given":"Jiaojiao","non-dropping-particle":"","parse-names":false,"suffix":""},{"dropping-particle":"","family":"Huang","given":"Simin","non-dropping-particle":"","parse-names":false,"suffix":""},{"dropping-particle":"","family":"Jiang","given":"Runhua","non-dropping-particle":"","parse-names":false,"suffix":""},{"dropping-particle":"","family":"Shao","given":"Youyuan","non-dropping-particle":"","parse-names":false,"suffix":""}],"container-title":"Journal of Food Engineering","id":"ITEM-1","issue":"March","issued":{"date-parts":[["2019"]]},"page":"61-72","publisher":"Elsevier","title":"Concentration of apple juice with an intelligent freeze concentrator","type":"article-journal","volume":"256"},"uris":["http://www.mendeley.com/documents/?uuid=2006a635-14d1-41d3-ab90-5aa119c3276d"]},{"id":"ITEM-2","itemData":{"DOI":"10.1016/j.cherd.2015.06.040","ISSN":"02638762","abstract":"Progressive freeze concentration (PFC) has emerged as a viable technology for concentra-tion of liquid solution. In this study, a newly designed spiral finned crystallizer to improveproductivity of PFC process was proposed. Performance of the crystallizer was analyzedthrough the system efficiency assessed in parallel with the effect of operating conditions. Itwas found that the efficiency of the system has significantly improved signalled by the lowereffective partition constant and higher solute recovery. Effective partition constant of 0.35and solute recovery of approximately 0.96 g of glucose obtained per 1 g of initial glucose wereobtained. 1.71 g m-2s-1of maximal ice production was attained, reflecting good function ofthe spiral fin. A mass balance has successfully validated the obtained experimental results.Thus, the spiral finned crystallizer is highly potential to be integrated in a PFC system as aneffective system to concentrate a solution and to produce pure ice crystal. This proposedsystem can also offer an attractive alternative for the food industry as it involves no heatingand has high potential in producing highly concentrated solution.","author":[{"dropping-particle":"","family":"Samsuri","given":"Shafirah","non-dropping-particle":"","parse-names":false,"suffix":""},{"dropping-particle":"","family":"Amran","given":"Nurul Aini","non-dropping-particle":"","parse-names":false,"suffix":""},{"dropping-particle":"","family":"Jusoh","given":"Mazura","non-dropping-particle":"","parse-names":false,"suffix":""}],"container-title":"Chemical Engineering Research and Design","id":"ITEM-2","issued":{"date-parts":[["2015"]]},"page":"280-286","publisher":"Institution of Chemical Engineers","title":"Spiral finned crystallizer for progressive freezeconcentration process","type":"article-journal","volume":"104"},"uris":["http://www.mendeley.com/documents/?uuid=967240da-1425-43f8-9dd4-c8fc6c230ee8"]}],"mendeley":{"formattedCitation":"[106,107]","plainTextFormattedCitation":"[106,107]","previouslyFormattedCitation":"[107,108]"},"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[106,107]</w:t>
      </w:r>
      <w:r w:rsidRPr="00523CE2">
        <w:rPr>
          <w:rFonts w:eastAsia="MS Mincho" w:cstheme="majorBidi"/>
        </w:rPr>
        <w:fldChar w:fldCharType="end"/>
      </w:r>
      <w:r w:rsidRPr="00523CE2">
        <w:rPr>
          <w:rFonts w:eastAsia="MS Mincho" w:cstheme="majorBidi"/>
        </w:rPr>
        <w:t xml:space="preserve">, dairy products </w:t>
      </w:r>
      <w:r w:rsidRPr="00523CE2">
        <w:rPr>
          <w:rFonts w:eastAsia="MS Mincho" w:cstheme="majorBidi"/>
        </w:rPr>
        <w:fldChar w:fldCharType="begin" w:fldLock="1"/>
      </w:r>
      <w:r w:rsidR="00D83446" w:rsidRPr="00523CE2">
        <w:rPr>
          <w:rFonts w:eastAsia="MS Mincho" w:cstheme="majorBidi"/>
        </w:rPr>
        <w:instrText>ADDIN CSL_CITATION {"citationItems":[{"id":"ITEM-1","itemData":{"DOI":"10.1016/j.foodres.2017.10.006","ISSN":"18737145","PMID":"29433776","abstract":"Strawberry juice was concentrated using block freeze concentration process. The concentrate was used to produce two yogurts with different concentrations of cryoconcentrated strawberry pulp (15% and 30%). Total lactic acid bacteria count, physicochemical and rheological properties was evaluated during storage (7 days) for all yogurts. Also, the beverages produced were compared with two commercial trademarks. It was observed that the total lactic acid bacteria count remained higher than 108 CFU·mL− 1 during the storage time for all beverages studied. The viscosity of the yogurts decreased when the ratio of strawberry cryoconcentrate was increased. The Power Law model was successfully applied to describe the flow of the yogurts, which had a thixotropic behaviour. The incorporation of the cryoconcentrated strawberry pulp in the yogurt resulted in a product with 3-fold more anthocyanins content and antioxidant activity. The enrichment of natural yogurt with strawberry cryoconcentrated pulp proved to be effective in the production of a beverage with higher nutritional characteristics.","author":[{"dropping-particle":"","family":"Jaster","given":"Henrique","non-dropping-particle":"","parse-names":false,"suffix":""},{"dropping-particle":"","family":"Arend","given":"Giordana Demaman","non-dropping-particle":"","parse-names":false,"suffix":""},{"dropping-particle":"","family":"Rezzadori","given":"Katia","non-dropping-particle":"","parse-names":false,"suffix":""},{"dropping-particle":"","family":"Chaves","given":"Vitor Clasen","non-dropping-particle":"","parse-names":false,"suffix":""},{"dropping-particle":"","family":"Reginatto","given":"Flávio Henrique","non-dropping-particle":"","parse-names":false,"suffix":""},{"dropping-particle":"","family":"Petrus","given":"José Carlos Cunha","non-dropping-particle":"","parse-names":false,"suffix":""}],"container-title":"Food Research International","id":"ITEM-1","issue":"July 2017","issued":{"date-parts":[["2018"]]},"page":"119-125","publisher":"Elsevier","title":"Enhancement of antioxidant activity and physicochemical properties of yogurt enriched with concentrated strawberry pulp obtained by block freeze concentration","type":"article-journal","volume":"104"},"uris":["http://www.mendeley.com/documents/?uuid=32329491-6ac9-4a29-a529-8937b2c43b7e"]}],"mendeley":{"formattedCitation":"[108]","plainTextFormattedCitation":"[108]","previouslyFormattedCitation":"[109]"},"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[108]</w:t>
      </w:r>
      <w:r w:rsidRPr="00523CE2">
        <w:rPr>
          <w:rFonts w:eastAsia="MS Mincho" w:cstheme="majorBidi"/>
        </w:rPr>
        <w:fldChar w:fldCharType="end"/>
      </w:r>
      <w:r w:rsidRPr="00523CE2">
        <w:rPr>
          <w:rFonts w:eastAsia="MS Mincho" w:cstheme="majorBidi"/>
        </w:rPr>
        <w:t xml:space="preserve">, pharmaceutical applications </w:t>
      </w:r>
      <w:r w:rsidRPr="00523CE2">
        <w:rPr>
          <w:rFonts w:eastAsia="MS Mincho" w:cstheme="majorBidi"/>
        </w:rPr>
        <w:fldChar w:fldCharType="begin" w:fldLock="1"/>
      </w:r>
      <w:r w:rsidR="00D83446" w:rsidRPr="00523CE2">
        <w:rPr>
          <w:rFonts w:eastAsia="MS Mincho" w:cstheme="majorBidi"/>
        </w:rPr>
        <w:instrText>ADDIN CSL_CITATION {"citationItems":[{"id":"ITEM-1","itemData":{"DOI":"10.1002/bit.27936","ISSN":"10970290","PMID":"34496028","abstract":"Freezing processes are a well-established unit operation in the biopharmaceutical industry to increase the shelf-life of protein-based drugs. While freezing reduces degradation reaction rates, it may also exert stresses such as freeze concentration. Macroscopic freeze concentration in large-scale freezing processes has been described thoroughly by examination of frozen bulk material, but the transient process leading to such freeze concentration profiles has not been monitored yet for biopharmaceutical solutions. In this study, Raman spectroscopy as a process analytical technology is demonstrated for model formulations containing monoclonal antibodies (mAbs) or bovine serum albumin (BSA) in varying concentrations of sucrose and buffer salts. Therefore, a Raman probe was immersed into a bulk volume at different heights, monitoring the freeze concentration in the liquid phase during the freezing processes. Partial least square regression models were used to quantitatively discriminate between the protein and excipients simultaneously. The freeze concentration profiles were dependend on freezing temperature and formulation with freeze concentrations up to 2.4-fold. Convection currents at the bottom of the freezing container were observed with a maximum height of 1 mm. Furthermore, freeze concentration was correlated with the sucrose concentration in a formulation. Analysis of the freeze concentration slope indicated diffusion from the bottom to the top of the container. In summary, Raman spectroscopy is a valuable tool for process validation of freeze concentration simulations and to overcome scale-dependent challenges.","author":[{"dropping-particle":"","family":"Weber","given":"Dennis","non-dropping-particle":"","parse-names":false,"suffix":""},{"dropping-particle":"","family":"Hubbuch","given":"Jürgen","non-dropping-particle":"","parse-names":false,"suffix":""}],"container-title":"Biotechnology and Bioengineering","id":"ITEM-1","issue":"12","issued":{"date-parts":[["2021"]]},"page":"4708-4719","title":"Raman spectroscopy as a process analytical technology to investigate biopharmaceutical freeze concentration processes","type":"article-journal","volume":"118"},"uris":["http://www.mendeley.com/documents/?uuid=fbe23dbb-0b4c-4488-9ec8-7569abe28474"]}],"mendeley":{"formattedCitation":"[109]","plainTextFormattedCitation":"[109]","previouslyFormattedCitation":"[110]"},"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[109]</w:t>
      </w:r>
      <w:r w:rsidRPr="00523CE2">
        <w:rPr>
          <w:rFonts w:eastAsia="MS Mincho" w:cstheme="majorBidi"/>
        </w:rPr>
        <w:fldChar w:fldCharType="end"/>
      </w:r>
      <w:r w:rsidRPr="00523CE2">
        <w:rPr>
          <w:rFonts w:eastAsia="MS Mincho" w:cstheme="majorBidi"/>
        </w:rPr>
        <w:t xml:space="preserve">, and wastewater treatment </w:t>
      </w:r>
      <w:r w:rsidRPr="00523CE2">
        <w:rPr>
          <w:rFonts w:eastAsia="MS Mincho" w:cstheme="majorBidi"/>
        </w:rPr>
        <w:fldChar w:fldCharType="begin" w:fldLock="1"/>
      </w:r>
      <w:r w:rsidR="00D83446" w:rsidRPr="00523CE2">
        <w:rPr>
          <w:rFonts w:eastAsia="MS Mincho" w:cstheme="majorBidi"/>
        </w:rPr>
        <w:instrText>ADDIN CSL_CITATION {"citationItems":[{"id":"ITEM-1","itemData":{"DOI":"10.1002/ceat.201800505","ISSN":"15214125","abstract":"One way to conserve fresh water resources is by reusing water from wastewater. For instance, water can be removed from wastewater through formation of ice crystal layers by progressive freeze concentration (PFC). The application of PFC to remove water from produced water and biodiesel wastewater was assessed through the final concentration of concentrated wastewater and purity of melted ice crystals. No PFC study has been done on these applications. In order to evaluate the efficiency of PFC, the effective partition constant (K) and separation efficiency (SE) were calculated for the effect of stirring rate and coolant temperature. The results demonstrate that PFC is a more practical method for produced water, as compared to biodiesel wastewater which is based on the value of low K and high SE.","author":[{"dropping-particle":"","family":"Samsuri","given":"Shafirah","non-dropping-particle":"","parse-names":false,"suffix":""},{"dropping-particle":"","family":"Rizan","given":"Nor Aman Nor","non-dropping-particle":"","parse-names":false,"suffix":""},{"dropping-particle":"","family":"Hung","given":"Siew Hzien","non-dropping-particle":"","parse-names":false,"suffix":""},{"dropping-particle":"","family":"Amran","given":"Nurul Aini","non-dropping-particle":"","parse-names":false,"suffix":""},{"dropping-particle":"","family":"Sambudi","given":"Nonni Soraya","non-dropping-particle":"","parse-names":false,"suffix":""}],"container-title":"Chemical Engineering and Technology","id":"ITEM-1","issue":"9","issued":{"date-parts":[["2019"]]},"page":"1764-1770","title":"Progressive Freeze Concentration for Volume Reduction of Produced Water and Biodiesel Wastewater","type":"article-journal","volume":"42"},"uris":["http://www.mendeley.com/documents/?uuid=0016ed75-fdf9-49a5-9a7a-0acfe0487e07"]}],"mendeley":{"formattedCitation":"[110]","plainTextFormattedCitation":"[110]","previouslyFormattedCitation":"[111]"},"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[110]</w:t>
      </w:r>
      <w:r w:rsidRPr="00523CE2">
        <w:rPr>
          <w:rFonts w:eastAsia="MS Mincho" w:cstheme="majorBidi"/>
        </w:rPr>
        <w:fldChar w:fldCharType="end"/>
      </w:r>
      <w:r w:rsidRPr="00523CE2">
        <w:rPr>
          <w:rFonts w:eastAsia="MS Mincho" w:cstheme="majorBidi"/>
        </w:rPr>
        <w:t xml:space="preserve">. </w:t>
      </w:r>
    </w:p>
    <w:p w14:paraId="53F06A7E" w14:textId="41F30299" w:rsidR="007917CB" w:rsidRPr="00523CE2" w:rsidRDefault="002F3A45" w:rsidP="00523CE2">
      <w:pPr>
        <w:shd w:val="clear" w:color="auto" w:fill="FFFFFF" w:themeFill="background1"/>
        <w:adjustRightInd w:val="0"/>
        <w:snapToGrid w:val="0"/>
        <w:spacing w:before="240" w:after="240" w:line="480" w:lineRule="auto"/>
        <w:ind w:firstLine="720"/>
        <w:jc w:val="both"/>
        <w:rPr>
          <w:rFonts w:eastAsia="MS Mincho" w:cstheme="majorBidi"/>
        </w:rPr>
      </w:pPr>
      <w:r w:rsidRPr="00523CE2">
        <w:rPr>
          <w:rFonts w:eastAsia="MS Mincho" w:cstheme="majorBidi"/>
        </w:rPr>
        <w:t xml:space="preserve">Freeze desalination can be classified into direct and indirect contact methods based on the interaction between the brine and refrigerant.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{"citationItems":[{"id":"ITEM-1","itemData":{"DOI":"10.1016/b978-0-12-395660-6.x5001-0","ISBN":"0126567026","abstract":"Principles of Desalination, Part A, Second Edition is a collection of papers that describes the design of distillation and dual-purpose plants, what desalination can and cannot accomplish in an economical way. One paper discusses techniques toward a rapid and direct way of optimizing the economic performance of sea water conversion systems, incurring capital and continuing costs of operation (for example, transformer equipment, filtration devices, and chemical preparation). Another paper considers the general system and internal system engineering of distillation. Designing distilling plants involves the selection of process parameters, cycle determination, and calculation of water costs. The different types of evaporators are the boiling-type, the flash type, the vapor compression, the combination plant cycles, and the power plant make-up evaporators. Commercial sea water desalination plants incorporate multistage flash evaporators or multieffect vertical-tube or horizontal-tube evaporators. The problem of energy supply to these plants can be solved by a combined generation of electricity and low pressure steam. When the generation of electricity and low pressure steam are combined, the extra fuel demand for electricity generation over the fuel demand for low pressure steam generation only, is less than that for electricity generation alone. This book is suitable for economists, environmentalists, ecologists, and policy makers involved in energy conservation, agricultural development, and water management.","container-title":"Principles of Desalination","editor":[{"dropping-particle":"","family":"Spiegler","given":"K. S.","non-dropping-particle":"","parse-names":false,"suffix":""},{"dropping-particle":"","family":"Laird","given":"A. D. K.","non-dropping-particle":"","parse-names":false,"suffix":""}],"id":"ITEM-1","issued":{"date-parts":[["1966"]]},"publisher":"Elsevier","title":"Principles of Desalination","type":"book"},"uris":["http://www.mendeley.com/documents/?uuid=150a7da0-6612-4325-b18d-1d1f9d4914bb"]},{"id":"ITEM-2","itemData":{"DOI":"10.1080/15422110600671734","ISSN":"15422119","abstract":"A thorough literature survey was conducted on the freezing-melting (FM) process for desalination. Collected literatures were studied and analyzed to identify the current state-of-the-art of the FM process, and its practical limitations. The main advantages of the FM process are the requirement of low energy and low temperature operation compared to thermal desalination. Other advantages are less scaling or fouling and fewer corrosion problems, ability to use inexpensive plastics or low-cost material, and absence of pretreatment. The three broad classes of FM process are: direct contact freezing, indirect contact freezing, and vacuum freezing. Different types of processing options in each class are discussed with their operating principles and merits and downsides of each process.","author":[{"dropping-particle":"","family":"Rahman","given":"Mohammad Shafiur","non-dropping-particle":"","parse-names":false,"suffix":""},{"dropping-particle":"","family":"Ahmed","given":"Mushtaque","non-dropping-particle":"","parse-names":false,"suffix":""},{"dropping-particle":"","family":"Chen","given":"X. Dong","non-dropping-particle":"","parse-names":false,"suffix":""}],"container-title":"Separation and Purification Reviews","id":"ITEM-2","issue":"2","issued":{"date-parts":[["2006"]]},"page":"59-96","publisher":"Taylor \\&amp; Francis","title":"Freezing-melting process and desalination: I. review of the state-of-the-art","type":"article-journal","volume":"35"},"uris":["http://www.mendeley.com/documents/?uuid=f34d61da-2846-47ef-b6d5-0d4b40de1740"]}],"mendeley":{"formattedCitation":"[76,111]","plainTextFormattedCitation":"[76,111]","previouslyFormattedCitation":"[77,112]"},"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[76,111]</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In the direct FD method, a refrigerant directly contacts the saline solution, whereas the indirect FD method utilizes a thermally conducting solid surface to separate the refrigerant from the saline water. In both direct and indirect FD processes, the cooling temperature is maintained below the freezing point of the solution</w:t>
      </w:r>
      <w:r w:rsidR="007917CB" w:rsidRPr="00523CE2">
        <w:rPr>
          <w:rFonts w:eastAsia="MS Mincho" w:cstheme="majorBidi"/>
        </w:rPr>
        <w:t xml:space="preserve">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watres.2022.119389","ISSN":"0043-1354","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Research","id":"ITEM-1","issue":"June 2022","issued":{"date-parts":[["2023"]]},"page":"119389","publisher":"Elsevier Ltd","title":"Freeze desalination : Current research development and future prospects","type":"article-journal","volume":"229"},"uris":["http://www.mendeley.com/documents/?uuid=e8751c65-b452-4cb2-91a8-417c9c0b50b3"]}],"mendeley":{"formattedCitation":"[112]","plainTextFormattedCitation":"[112]","previouslyFormattedCitation":"[113]"},"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[112]</w:t>
      </w:r>
      <w:r w:rsidR="007917CB" w:rsidRPr="00523CE2">
        <w:rPr>
          <w:rFonts w:eastAsia="MS Mincho" w:cstheme="majorBidi"/>
        </w:rPr>
        <w:fldChar w:fldCharType="end"/>
      </w:r>
      <w:r w:rsidR="007917CB" w:rsidRPr="00523CE2">
        <w:rPr>
          <w:rFonts w:eastAsia="MS Mincho" w:cstheme="majorBidi"/>
        </w:rPr>
        <w:t>.</w:t>
      </w:r>
      <w:r w:rsidR="00CA53E9" w:rsidRPr="00523CE2">
        <w:rPr>
          <w:rFonts w:eastAsia="MS Mincho" w:cstheme="majorBidi"/>
        </w:rPr>
        <w:t xml:space="preserve"> </w:t>
      </w:r>
      <w:r w:rsidRPr="00523CE2">
        <w:rPr>
          <w:rFonts w:eastAsia="MS Mincho" w:cstheme="majorBidi"/>
        </w:rPr>
        <w:t xml:space="preserve">Various experimental and numerical investigations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{"citationItems":[{"id":"ITEM-1","itemData":{"DOI":"10.1016/j.energy.2019.05.193","ISSN":"03605442","abstract":"This article aims to evaluate technical and economic feasibility of the direct contact type seawater freezing desalination (SFD) process proposed by Xie et al. (2018), where the cold energy is provided by regasification of liquefied natural gas (LNG). In the SFD process, the immiscible refrigerant that contains cold energy from LNG regasification is injected into a seawater tank to generate freshwater ice. The freshwater ice is separated and melted to obtain freshwater. Process analysis, integration and optimization are carried out with the aid of detailed material and energy balance models. The influences of some important operating variables of the ice generator, including the inlet temperatures of both refrigerant and seawater, the seawater flow rate and the ratio of seawater that is crystalized into freshwater ice are emphasized in this study. As the main operating cost and income of SFD process are strongly affected by both electricity and water prices, the comparison and effect of these prices in different regions are discussed. Sample calculations with the basis of 1 kg LNG/s show that the optimized SFD process is able to produce 1.64 kg/s of freshwater using 7.83 kg/s seawater when consuming 1.66 kW of electric power.","author":[{"dropping-particle":"","family":"Ong","given":"Chong Wei","non-dropping-particle":"","parse-names":false,"suffix":""},{"dropping-particle":"","family":"Chen","given":"Cheng Liang","non-dropping-particle":"","parse-names":false,"suffix":""}],"container-title":"Energy","id":"ITEM-1","issued":{"date-parts":[["2019"]]},"page":"429-439","publisher":"Elsevier Ltd","title":"Technical and economic evaluation of seawater freezing desalination using liquefied natural gas","type":"article-journal","volume":"181"},"uris":["http://www.mendeley.com/documents/?uuid=55ce5085-1e70-4929-8097-3770ea949cc4"]},{"id":"ITEM-2","itemData":{"DOI":"10.1016/j.desal.2020.114700","ISSN":"00119164","abstract":"The freeze-melting process can be a viable method for the purposes of desalination because of its low energy consumption, ignorable corrosion issues, and without huge pressure or membrane replacement work. Large contact area for heat and mass transfer per unit mass of water between the water and air and low heat resistance results in higher energy efficiency during spray freezing desalination process compared to other freezing desalination methods. A 200 m high desalination tower was proposed in this paper that could generate 27.7 kg/s fresh water in the form of water droplets with 2 mm diameter at an atmospheric temperature of −26°C. This research has founded that the natural convective airflow induced by the heat released by the warm water in the freezing process could generate through the wind turbine mounted in this system approximately one-third of the energy consumed by the water pump of the system. This free energy has never been studied in previous research. The power consumption required to produce 1 m3 fresh water in this system is approximately 1.07 kWh. Compared to traditional desalination methods, the power consumption of our new spray freezing desalination system is much lower than previous systems with the same mass flow rate of fresh water. Only 375.4 kJ cold energy to produce one-kilogram fresh water. Thus, this spray freezing desalination system could be employed in desalination industry if free cold energy (e.g. from the cold atmosphere or the regasification process of LNG) and seawater resources are available.","author":[{"dropping-particle":"","family":"Liu","given":"Yang","non-dropping-particle":"","parse-names":false,"suffix":""},{"dropping-particle":"","family":"Ming","given":"Tingzhen","non-dropping-particle":"","parse-names":false,"suffix":""},{"dropping-particle":"","family":"Wu","given":"Yongjia","non-dropping-particle":"","parse-names":false,"suffix":""},{"dropping-particle":"","family":"Richter","given":"Renaud","non-dropping-particle":"de","parse-names":false,"suffix":""},{"dropping-particle":"","family":"Fang","given":"Yueping","non-dropping-particle":"","parse-names":false,"suffix":""},{"dropping-particle":"","family":"Zhou","given":"Nan","non-dropping-particle":"","parse-names":false,"suffix":""}],"container-title":"Desalination","id":"ITEM-2","issue":"April","issued":{"date-parts":[["2020"]]},"page":"114700","publisher":"Elsevier","title":"Desalination of seawater by spray freezing in a natural draft tower","type":"article-journal","volume":"496"},"uris":["http://www.mendeley.com/documents/?uuid=378c23c8-6090-488f-b095-ea259cf73225"]},{"id":"ITEM-3","itemData":{"DOI":"10.1016/j.enconman.2018.05.010","ISSN":"01968904","abstract":"To overcome the water shortage problem, sea water desalination is a prospective answer in order to cater for the escalating demand for fresh water. Freeze desalination is where the freezing of sea water permits the separation of salts from the water in order to produce potable water. The ice formed is of pure water as the ice crystal lattice prevents the inclusion of any salts. The lower energy usage of freeze desalination in comparison to other desalination processes is the key advantage; as the latent heat of fusion (333.5 kJ/kg) is about 1/7th that of the latent heat of vaporisation (2256.7 kJ/kg). CFD ANSYS fluent software has been used to simulate the freeze desalination process; results were compared with experimental tests showing a maximum deviation of 0.93% for the temperature change during the ice forming process and the percentage errors obtained for the salinities of ice and brine were 15% and 10.5% respectively. From parametric analysis study, results showed that, as the freezing temperature reduces, the volume of the generated ice block increases, where at 225 K freeze temperature, 5 times more ice was produced compared to that at 257.15 K, but with a high salinity level of 3.02%. Results also showed that the lowest average salinity achieved was 0.5% at an ice layer thickness of around 4 mm using a freezing temperature of 245 K. This is higher than the 0.1% salinity level recommended by the World Health Organization (WHO) standards as safe to drink water. Therefore, a second stage freezing process was applied to this 0.5% saline water to produce the required salinity level. Results showed that the achieved average ice salinity in the second stage of freezing process was below 0.05% which is regarded as good quality drinking water; also freezing at 225 K temperature produced the largest pure ice volume. These results highlight the potential of using freeze desalination to produce drinking water.","author":[{"dropping-particle":"","family":"Jayakody","given":"Harith","non-dropping-particle":"","parse-names":false,"suffix":""},{"dropping-particle":"","family":"Al-Dadah","given":"Raya","non-dropping-particle":"","parse-names":false,"suffix":""},{"dropping-particle":"","family":"Mahmoud","given":"Saad","non-dropping-particle":"","parse-names":false,"suffix":""}],"container-title":"Energy Conversion and Management","id":"ITEM-3","issue":"March","issued":{"date-parts":[["2018"]]},"page":"407-420","publisher":"Elsevier","title":"Numerical investigation of indirect freeze desalination using an ice maker machine","type":"article-journal","volume":"168"},"uris":["http://www.mendeley.com/documents/?uuid=13d9a5bd-bac4-4f93-85b1-81fb2c4912b8"]},{"id":"ITEM-4","itemData":{"DOI":"10.1016/j.desal.2020.114378","ISSN":"00119164","abstract":"Access to potable water with standard quality is an inevitable component of human's lives. Freeze desalination, by consuming lower energy compared to other techniques, relies on the exertion of a cold source which is then accompanied by simultaneous rejection of impurities from water. Regarding this, a numerical study on freeze desalination in a hollow cylinder is carried out to determine the effects of the design variables such as heat flux, hydraulic diameter, initial salt concentration, and freezing time on the ice mass, ice salinity, ice generation speed, and Nusselt number on the cold surface of the inner tube. Results show that increasing the value of heat flux from −250 [Formula presented] to −1000 [Formula presented] imposes 3.9 times faster ice generation speed while decreasing the desalination rate by 22%. In opposite, increasing the hydraulic diameter from 2 to 8 cm, reduces the ice generation speed by 41% but improves its quality by 23.5%. Also, ice production and salinity would both increase with the freezing time which imposes a limit for freezing duration. Multi-objective optimization and artificial neural network with the purpose of obtaining the highest ice mass with lowest salinity are employed. Finally, multistage freeze desalination is explored to reach WHO standards.","author":[{"dropping-particle":"","family":"Eghtesad","given":"Amirsaman","non-dropping-particle":"","parse-names":false,"suffix":""},{"dropping-particle":"","family":"Salakhi","given":"Mehdi","non-dropping-particle":"","parse-names":false,"suffix":""},{"dropping-particle":"","family":"Afshin","given":"Hossein","non-dropping-particle":"","parse-names":false,"suffix":""},{"dropping-particle":"","family":"Hannani","given":"Siamak Kazemzadeh","non-dropping-particle":"","parse-names":false,"suffix":""}],"container-title":"Desalination","id":"ITEM-4","issue":"February","issued":{"date-parts":[["2020"]]},"page":"114378","publisher":"Elsevier","title":"Numerical investigation and optimization of indirect freeze desalination","type":"article-journal","volume":"481"},"uris":["http://www.mendeley.com/documents/?uuid=0a5cdfbe-be6c-4fdd-b943-7a620309484d"]}],"mendeley":{"formattedCitation":"[113–116]","plainTextFormattedCitation":"[113–116]","previouslyFormattedCitation":"[114–117]"},"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[113–116]</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have explored both direct and indirect contact FD methods</w:t>
      </w:r>
      <w:r w:rsidR="007917CB" w:rsidRPr="00523CE2">
        <w:rPr>
          <w:rFonts w:eastAsia="MS Mincho" w:cstheme="majorBidi"/>
        </w:rPr>
        <w:t xml:space="preserve">. </w:t>
      </w:r>
      <w:r w:rsidRPr="00523CE2">
        <w:rPr>
          <w:rFonts w:eastAsia="MS Mincho" w:cstheme="majorBidi"/>
        </w:rPr>
        <w:t xml:space="preserve">Indirect FD can be broadly categorized into two types: suspension freeze crystallization and layer freeze crystallization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watres.2022.119389","ISSN":"0043-1354","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Research","id":"ITEM-1","issue":"June 2022","issued":{"date-parts":[["2023"]]},"page":"119389","publisher":"Elsevier Ltd","title":"Freeze desalination : Current research development and future prospects","type":"article-journal","volume":"229"},"uris":["http://www.mendeley.com/documents/?uuid=e8751c65-b452-4cb2-91a8-417c9c0b50b3"]}],"mendeley":{"formattedCitation":"[112]","plainTextFormattedCitation":"[112]","previouslyFormattedCitation":"[113]"},"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[112]</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Suspension freeze crystallization involves the creation of numerous small suspended ice crystals within a cooled scraped-surface heat exchanger, which then grow</w:t>
      </w:r>
      <w:r w:rsidR="008008F6" w:rsidRPr="00523CE2">
        <w:rPr>
          <w:rFonts w:eastAsia="MS Mincho" w:cstheme="majorBidi"/>
        </w:rPr>
        <w:t>s</w:t>
      </w:r>
      <w:r w:rsidRPr="00523CE2">
        <w:rPr>
          <w:rFonts w:eastAsia="MS Mincho" w:cstheme="majorBidi"/>
        </w:rPr>
        <w:t xml:space="preserve"> in a stirred growth vessel before undergoing separation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{"citationItems":[{"id":"ITEM-1","itemData":{"DOI":"10.1038/s41545-022-00158-1","ISSN":"20597037","abstract":"Freeze desalination (FD) has several benefits compared to vaporization-based and membrane-based desalination methods. The FD process needs approximately 1/7th of the latent heat required by the vaporization-based desalination processes. The involvement of sub-zero temperature in FD reduces the risk of corrosion and scaling. This paper reviews the advances in FD methods involving stand-alone and hybrid methods that operate with and without utilizing the energy released during the re-gasification of liquefied natural gas. Moreover, the paper discusses the future focus areas for research and development to make FD a commercially feasible technology. Potable water was produced from brackish water and seawater by FD wherein the nucleation was achieved by ice seeding, the mixing of rejected salt from ice into the liquid phase was controlled appropriately, growth of ice crystals was slow, and liquid subcooling was maintained at approximately 4 K. The post-treatment of obtained ice is needed to produce potable water if the process is instigated without ice seeding. The plant capacity of stand-alone progressive FD was higher than the stand-alone suspension FD of seawater. The integration of the falling-film, fractional thawing, and block FD method showed significantly improved plant capacity than the stand-alone suspension FD method. The energy consumption of stand-alone PFC and SFC-based desalination with latent heat recovery was reported close to the reverse osmosis (RO) method. The hybrid (integration of the suspension FD method with membrane distillation) FD method utilizing LNG cold energy consumed less energy than the conventional RO method.","author":[{"dropping-particle":"","family":"Najim","given":"Abdul","non-dropping-particle":"","parse-names":false,"suffix":""}],"container-title":"npj Clean Water","id":"ITEM-1","issue":"1","issued":{"date-parts":[["2022"]]},"publisher":"Springer US","title":"A review of advances in freeze desalination and future prospects","type":"article-journal","volume":"5"},"uris":["http://www.mendeley.com/documents/?uuid=099d278e-8cc4-429f-93aa-9dca446d8214"]}],"mendeley":{"formattedCitation":"[103]","plainTextFormattedCitation":"[103]","previouslyFormattedCitation":"[104]"},"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[103]</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 xml:space="preserve">On the other hand, layer freeze crystallization results in the formation of an ice crystal layer on the cooling surface. Studies on indirect FD systems have indicated that as the salinity of the feed brine increases, both the recovery ratio (the mass ratio of produced ice to feed brine) and the desalination rate (the ratio of salt mass in the unfrozen concentrated brine to that in the feed brine) decrease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{"citationItems":[{"id":"ITEM-1","itemData":{"DOI":"10.1016/j.desal.2021.115077","ISSN":"00119164","abstract":"A progressive freeze concentration (PFC) process was applied to treat several waters where clean ice was generated one-dimensionally, and salt and impurities concentrate into the liquid phase. The impact of eight process parameters on salt percent removal and ice percent recovery were investigated. They were coolant temperature, stirring rate, advance speed of crystallizer, feed solution concentration, feed solution temperature, ice seeding, crystallizer material, and mixing flow pattern. The significant process parameters found were stirring rate, coolant temperature, and feed solution concentration. Temperature difference between feed solution temperature and coolant temperature is important in minimizing supercooling which has a negative effect on treatment. For example, our results showed a temperature difference of 10 °C for a feed solution temperature of 2.5 °C were needed to minimize supercooling. Salt percent removal was found to be directly related to while ice percent recovery was inversely related to the stirring rate. Treatment of an artificial seawater (salinity 35.67 g/L) and a RO brine concentrate (salinity 2600 mg/L) resulted in 51% and 70% ice percent recovery and 74% and 97.7% salt percent removal, respectively. An application of the PFC process includes brine concentrate treatment for inland desalination plants.","author":[{"dropping-particle":"","family":"Moharramzadeh","given":"Sina","non-dropping-particle":"","parse-names":false,"suffix":""},{"dropping-particle":"","family":"Ong","given":"Say Kee","non-dropping-particle":"","parse-names":false,"suffix":""},{"dropping-particle":"","family":"Alleman","given":"James","non-dropping-particle":"","parse-names":false,"suffix":""},{"dropping-particle":"","family":"Cetin","given":"Kristen S.","non-dropping-particle":"","parse-names":false,"suffix":""}],"container-title":"Desalination","id":"ITEM-1","issue":"December 2020","issued":{"date-parts":[["2021"]]},"page":"115077","publisher":"Elsevier B.V.","title":"Parametric study of the progressive freeze concentration for desalination","type":"article-journal","volume":"510"},"uris":["http://www.mendeley.com/documents/?uuid=297e33a2-d823-46d5-a5f5-42b02ebc8eb1"]},{"id":"ITEM-2","itemData":{"DOI":"10.1016/j.cep.2020.107970","ISSN":"02552701","abstract":"Ice based Freeze Desalination (FD) offers a potential alternative to recover fresh water from seawater. There has been increased interest over the years in the development of continuous crystallizer configurations to address the combined challenge of ice yield and salinity reduction in FD. In this work, experimental studies have been conducted to establish the potential of a novel continuously operated U-shaped crystallizer for ice based Freeze Desalination (FD). Unlike conventional FD crystallizers researched till date, this crystallizer integrates pre-cooling, chilling and freezing of saline water in a single unit along with in-situ ice removal. Preliminary experiments were carried out using synthetic salt water to investigate the effect of salt water flow rate and coolant temperature on product water yield and salinity. Salinity was found to increase with water yield. The overall phase change heat transfer coefficient has also been estimated. Subsequently test runs were carried out using seawater samples under prescribed operating conditions identified from the synthetic salt water runs. Salinity reduction was observed to increase with an increase in number of washing steps and wash water requirement. The results obtained provide a strong case to promote the use of the U-shaped crystallizer for ice based FD.","author":[{"dropping-particle":"","family":"Sahu","given":"Parul","non-dropping-particle":"","parse-names":false,"suffix":""},{"dropping-particle":"","family":"Krishnaswamy","given":"Srinivas","non-dropping-particle":"","parse-names":false,"suffix":""},{"dropping-particle":"","family":"Pande","given":"Nawal Kishore","non-dropping-particle":"","parse-names":false,"suffix":""}],"container-title":"Chemical Engineering and Processing - Process Intensification","id":"ITEM-2","issue":"November 2019","issued":{"date-parts":[["2020"]]},"page":"107970","publisher":"Elsevier","title":"Process intensification using a novel continuous U-shaped crystallizer for freeze desalination","type":"article-journal","volume":"153"},"uris":["http://www.mendeley.com/documents/?uuid=e57585e0-9abe-4968-9da9-ffdde4fb4d98"]},{"id":"ITEM-3","itemData":{"DOI":"10.1016/j.desal.2019.114233","ISSN":"00119164","abstract":"The existing methods for seawater freezing desalination include direct crystal suspension freezing and indirect progressive contact freezing (IPCF). However, freeze desalination is rarely used because of the low rates of desalination and freshwater production along with the relatively high treatment costs. In this study, we evaluated a new freeze desalination method using supercooled water dynamic ice making. The proposed method had a theoretical energy consumption of only 58% of that needed for IPCF. With gravity filtration separation of the produced ice–water mixture for 20 min or centrifugal dehydration for 1 min, a 0.5% salt content standard for freshwater and a 60% freshwater yield were attained. In addition, the method produced ice crystals with minimal impurities, after brine attached to the surface was removed through centrifugal dehydration, a 0.05% salt content standard for drinking water was achieved.","author":[{"dropping-particle":"","family":"Chen","given":"Dong","non-dropping-particle":"","parse-names":false,"suffix":""},{"dropping-particle":"","family":"Zhang","given":"Chaosheng","non-dropping-particle":"","parse-names":false,"suffix":""},{"dropping-particle":"","family":"Rong","given":"Hongwei","non-dropping-particle":"","parse-names":false,"suffix":""},{"dropping-particle":"","family":"Wei","given":"Chunhai","non-dropping-particle":"","parse-names":false,"suffix":""},{"dropping-particle":"","family":"Gou","given":"Siyu","non-dropping-particle":"","parse-names":false,"suffix":""}],"container-title":"Desalination","id":"ITEM-3","issue":"November 2019","issued":{"date-parts":[["2020"]]},"page":"114233","publisher":"Elsevier","title":"Experimental study on seawater desalination through supercooled water dynamic ice making","type":"article-journal","volume":"476"},"uris":["http://www.mendeley.com/documents/?uuid=cafac076-c2d7-4cbf-9d3f-14944e9dcc2c"]}],"mendeley":{"formattedCitation":"[104,117,118]","plainTextFormattedCitation":"[104,117,118]","previouslyFormattedCitation":"[105,118,119]"},"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[104,117,118]</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 xml:space="preserve">Additionally, reducing the cooling temperature increases the recovery ratio </w:t>
      </w:r>
      <w:r w:rsidR="00D83446" w:rsidRPr="00523CE2">
        <w:rPr>
          <w:rFonts w:eastAsia="MS Mincho" w:cstheme="majorBidi"/>
        </w:rPr>
        <w:fldChar w:fldCharType="begin" w:fldLock="1"/>
      </w:r>
      <w:r w:rsidR="00D83446" w:rsidRPr="00523CE2">
        <w:rPr>
          <w:rFonts w:eastAsia="MS Mincho" w:cstheme="majorBidi"/>
        </w:rPr>
        <w:instrText>ADDIN CSL_CITATION {"citationItems":[{"id":"ITEM-1","itemData":{"author":[{"dropping-particle":"","family":"Elhefny","given":"Aly","non-dropping-particle":"","parse-names":false,"suffix":""},{"dropping-particle":"","family":"Shabgard","given":"Hamidreza","non-dropping-particle":"","parse-names":false,"suffix":""},{"dropping-particle":"","family":"Cai","given":"Jie","non-dropping-particle":"","parse-names":false,"suffix":""},{"dropping-particle":"","family":"Kaviani","given":"Reza","non-dropping-particle":"","parse-names":false,"suffix":""},{"dropping-particle":"","family":"Parthasarathy","given":"Ramkumar N","non-dropping-particle":"","parse-names":false,"suffix":""}],"container-title":"Desalination","id":"ITEM-1","issued":{"date-parts":[["2024"]]},"page":"117423","publisher":"Elsevier","title":"Thermochemical modeling and performance evaluation of freeze desalination systems","type":"article-journal"},"uris":["http://www.mendeley.com/documents/?uuid=4e1afd95-bf86-4733-a0aa-5d50fd2ed91f"]}],"mendeley":{"formattedCitation":"[119]","plainTextFormattedCitation":"[119]","previouslyFormattedCitation":"[120]"},"properties":{"noteIndex":0},"schema":"https://github.com/citation-style-language/schema/raw/master/csl-citation.json"}</w:instrText>
      </w:r>
      <w:r w:rsidR="00D83446" w:rsidRPr="00523CE2">
        <w:rPr>
          <w:rFonts w:eastAsia="MS Mincho" w:cstheme="majorBidi"/>
        </w:rPr>
        <w:fldChar w:fldCharType="separate"/>
      </w:r>
      <w:r w:rsidR="00D83446" w:rsidRPr="00523CE2">
        <w:rPr>
          <w:rFonts w:eastAsia="MS Mincho" w:cstheme="majorBidi"/>
          <w:noProof/>
        </w:rPr>
        <w:t>[119]</w:t>
      </w:r>
      <w:r w:rsidR="00D83446" w:rsidRPr="00523CE2">
        <w:rPr>
          <w:rFonts w:eastAsia="MS Mincho" w:cstheme="majorBidi"/>
        </w:rPr>
        <w:fldChar w:fldCharType="end"/>
      </w:r>
      <w:r w:rsidR="00D83446" w:rsidRPr="00523CE2">
        <w:rPr>
          <w:rFonts w:eastAsia="MS Mincho" w:cstheme="majorBidi"/>
        </w:rPr>
        <w:t xml:space="preserve"> </w:t>
      </w:r>
      <w:r w:rsidRPr="00523CE2">
        <w:rPr>
          <w:rFonts w:eastAsia="MS Mincho" w:cstheme="majorBidi"/>
        </w:rPr>
        <w:t>while decreasing the desalination rate</w:t>
      </w:r>
      <w:r w:rsidR="007917CB" w:rsidRPr="00523CE2">
        <w:rPr>
          <w:rFonts w:eastAsia="MS Mincho" w:cstheme="majorBidi"/>
        </w:rPr>
        <w:t xml:space="preserve">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{"citationItems":[{"id":"ITEM-1","itemData":{"DOI":"10.1016/j.desal.2021.115077","ISSN":"00119164","abstract":"A progressive freeze concentration (PFC) process was applied to treat several waters where clean ice was generated one-dimensionally, and salt and impurities concentrate into the liquid phase. The impact of eight process parameters on salt percent removal and ice percent recovery were investigated. They were coolant temperature, stirring rate, advance speed of crystallizer, feed solution concentration, feed solution temperature, ice seeding, crystallizer material, and mixing flow pattern. The significant process parameters found were stirring rate, coolant temperature, and feed solution concentration. Temperature difference between feed solution temperature and coolant temperature is important in minimizing supercooling which has a negative effect on treatment. For example, our results showed a temperature difference of 10 °C for a feed solution temperature of 2.5 °C were needed to minimize supercooling. Salt percent removal was found to be directly related to while ice percent recovery was inversely related to the stirring rate. Treatment of an artificial seawater (salinity 35.67 g/L) and a RO brine concentrate (salinity 2600 mg/L) resulted in 51% and 70% ice percent recovery and 74% and 97.7% salt percent removal, respectively. An application of the PFC process includes brine concentrate treatment for inland desalination plants.","author":[{"dropping-particle":"","family":"Moharramzadeh","given":"Sina","non-dropping-particle":"","parse-names":false,"suffix":""},{"dropping-particle":"","family":"Ong","given":"Say Kee","non-dropping-particle":"","parse-names":false,"suffix":""},{"dropping-particle":"","family":"Alleman","given":"James","non-dropping-particle":"","parse-names":false,"suffix":""},{"dropping-particle":"","family":"Cetin","given":"Kristen S.","non-dropping-particle":"","parse-names":false,"suffix":""}],"container-title":"Desalination","id":"ITEM-1","issue":"December 2020","issued":{"date-parts":[["2021"]]},"page":"115077","publisher":"Elsevier B.V.","title":"Parametric study of the progressive freeze concentration for desalination","type":"article-journal","volume":"510"},"uris":["http://www.mendeley.com/documents/?uuid=297e33a2-d823-46d5-a5f5-42b02ebc8eb1"]}],"mendeley":{"formattedCitation":"[104]","plainTextFormattedCitation":"[104]","previouslyFormattedCitation":"[105]"},"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[104]</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Various techniques such as ice pressing</w:t>
      </w:r>
      <w:r w:rsidR="007917CB" w:rsidRPr="00523CE2">
        <w:rPr>
          <w:rFonts w:eastAsia="MS Mincho" w:cstheme="majorBidi"/>
        </w:rPr>
        <w:t xml:space="preserve">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{"citationItems":[{"id":"ITEM-1","itemData":{"DOI":"10.1016/j.seppur.2019.115748","ISSN":"18733794","abstract":"Freeze desalination as a sustainable concept to produce potable water can be a useful and an additional method to overcome the water crisis, especially with ongoing global warming in focus. Therefore, a scraped surface crystallizer in combination with a post-treatment pressing cone has been built on a laboratory scale to investigate any dependencies of ice purity and throughput on operational conditions. Furthermore, a new designed screw conveyor and an additionally installed force sensor led to a better understanding of mass flow, mass fraction and ice purity. Changing the mean coolant temperature and rotational speed of the screw showed their influences on the ability to separate brine from ice and thus on the overall efficiency of the test plant. The influence of one parameter can be compensated by adjusting another, which leaves more flexibility for the operator of such a plant. Additionally, several Nusselt correlations were checked for suitability as helpful tools to design an upscale.","author":[{"dropping-particle":"","family":"Erlbeck","given":"L.","non-dropping-particle":"","parse-names":false,"suffix":""},{"dropping-particle":"","family":"Wössner","given":"D.","non-dropping-particle":"","parse-names":false,"suffix":""},{"dropping-particle":"","family":"Schlachter","given":"K.","non-dropping-particle":"","parse-names":false,"suffix":""},{"dropping-particle":"","family":"Kunz","given":"T.","non-dropping-particle":"","parse-names":false,"suffix":""},{"dropping-particle":"","family":"Methner","given":"F. J.","non-dropping-particle":"","parse-names":false,"suffix":""},{"dropping-particle":"","family":"Rädle","given":"M.","non-dropping-particle":"","parse-names":false,"suffix":""}],"container-title":"Separation and Purification Technology","id":"ITEM-1","issue":"June","issued":{"date-parts":[["2019"]]},"page":"115748","publisher":"Elsevier","title":"Investigation of a novel scraped surface crystallizer with included ice-pressing section as new purification technology","type":"article-journal","volume":"228"},"uris":["http://www.mendeley.com/documents/?uuid=bce3f883-0042-4f79-86cd-47fa79e256dd"]},{"id":"ITEM-2","itemData":{"DOI":"10.1016/j.desal.2016.12.009","ISSN":"00119164","abstract":"Producing potable water is an important but cost- and energy-intensive process. Small scale machines for insular solutions are not yet available. Whereas drinking water is regulated to a maximum concentration of 0.05 wt% sodium chloride, sea water normally ranges from 3 wt% NaCl to more than 4 wt% NaCl. Freeze crystallization therefore can provide an energy- and cost-effective way to utilize small equipment as a good compromise between energy consumption and low maintenance effort. Because of this, different methods were investigated with respect to their desalination effect, ice growth and implementability. One method was a cooled plate in which dependencies of throughput and ice purity were tested as a function of operation conditions. Another procedure was heterogeneous heat transfer via droplets of non-miscible organic fluids. The last method was classical suspension crystallization were a vessel is cooled down and stirred to produce ice from a solution. Because no pure ice could be produced directly, centrifuging and pressing were investigated for ice purification post-treatment. To prove the whole concept, natural samples from the Atlantic Ocean were desalinated. The final result is that independent from the used freezing process all ice could be desalinated combining the ice production with adjacent mechanical drainage.","author":[{"dropping-particle":"","family":"Erlbeck","given":"L.","non-dropping-particle":"","parse-names":false,"suffix":""},{"dropping-particle":"","family":"Rädle","given":"M.","non-dropping-particle":"","parse-names":false,"suffix":""},{"dropping-particle":"","family":"Nessel","given":"R.","non-dropping-particle":"","parse-names":false,"suffix":""},{"dropping-particle":"","family":"Illner","given":"F.","non-dropping-particle":"","parse-names":false,"suffix":""},{"dropping-particle":"","family":"Müller","given":"W.","non-dropping-particle":"","parse-names":false,"suffix":""},{"dropping-particle":"","family":"Rudolph","given":"K.","non-dropping-particle":"","parse-names":false,"suffix":""},{"dropping-particle":"","family":"Kunz","given":"T.","non-dropping-particle":"","parse-names":false,"suffix":""},{"dropping-particle":"","family":"Methner","given":"F. J.","non-dropping-particle":"","parse-names":false,"suffix":""}],"container-title":"Desalination","id":"ITEM-2","issued":{"date-parts":[["2017"]]},"page":"93-102","title":"Investigation of the depletion of ions through freeze desalination","type":"article-journal","volume":"407"},"uris":["http://www.mendeley.com/documents/?uuid=e08ee3bb-e391-4d94-ba17-74246073269b"]}],"mendeley":{"formattedCitation":"[120,121]","plainTextFormattedCitation":"[120,121]","previouslyFormattedCitation":"[121,122]"},"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[120,121]</w:t>
      </w:r>
      <w:r w:rsidR="007917CB" w:rsidRPr="00523CE2">
        <w:rPr>
          <w:rFonts w:eastAsia="MS Mincho" w:cstheme="majorBidi"/>
        </w:rPr>
        <w:fldChar w:fldCharType="end"/>
      </w:r>
      <w:r w:rsidR="007917CB" w:rsidRPr="00523CE2">
        <w:rPr>
          <w:rFonts w:eastAsia="MS Mincho" w:cstheme="majorBidi"/>
        </w:rPr>
        <w:t xml:space="preserve">, sweating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{"citationItems":[{"id":"ITEM-1","itemData":{"DOI":"10.1016/j.desal.2010.10.053","ISSN":"00119164","abstract":"In the process of desalination by indirect freezing, ice formed on the cooled surface contains impurities due to kinetic effects. Sweating is an efficient method by which ice layer is purified under the effect of temperature gradient. The main kinetic parameters influencing sweating of ice are initial concentration of ice, sweating temperature and sweating time. In the present work, the effects of these parameters were studied using an experimental design. A statistical model for ice weight and ice purity was developed. The graphical representation of this model in the space of the variables enabled optimization of the whole desalination process time, which led to ice salinity less than the drinking water standards (0.5 g/kg). © 2010 Elsevier B.V.","author":[{"dropping-particle":"","family":"Mandri","given":"Youssef","non-dropping-particle":"","parse-names":false,"suffix":""},{"dropping-particle":"","family":"Rich","given":"Anouar","non-dropping-particle":"","parse-names":false,"suffix":""},{"dropping-particle":"","family":"Mangin","given":"Denis","non-dropping-particle":"","parse-names":false,"suffix":""},{"dropping-particle":"","family":"Abderafi","given":"Souad","non-dropping-particle":"","parse-names":false,"suffix":""},{"dropping-particle":"","family":"Bebon","given":"Christine","non-dropping-particle":"","parse-names":false,"suffix":""},{"dropping-particle":"","family":"Semlali","given":"Naoual","non-dropping-particle":"","parse-names":false,"suffix":""},{"dropping-particle":"","family":"Klein","given":"Jean Paul","non-dropping-particle":"","parse-names":false,"suffix":""},{"dropping-particle":"","family":"Bounahmidi","given":"Tijani","non-dropping-particle":"","parse-names":false,"suffix":""},{"dropping-particle":"","family":"Bouhaouss","given":"Ahmed","non-dropping-particle":"","parse-names":false,"suffix":""}],"container-title":"Desalination","id":"ITEM-1","issue":"1-3","issued":{"date-parts":[["2011"]]},"page":"142-147","title":"Parametric study of the sweating step in the seawater desalination process by indirect freezing","type":"article-journal","volume":"269"},"uris":["http://www.mendeley.com/documents/?uuid=329c3aac-a8ff-42b8-b248-9dacb1c3e636"]}],"mendeley":{"formattedCitation":"[122]","plainTextFormattedCitation":"[122]","previouslyFormattedCitation":"[123]"},"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[122]</w:t>
      </w:r>
      <w:r w:rsidR="007917CB" w:rsidRPr="00523CE2">
        <w:rPr>
          <w:rFonts w:eastAsia="MS Mincho" w:cstheme="majorBidi"/>
        </w:rPr>
        <w:fldChar w:fldCharType="end"/>
      </w:r>
      <w:r w:rsidR="007917CB" w:rsidRPr="00523CE2">
        <w:rPr>
          <w:rFonts w:eastAsia="MS Mincho" w:cstheme="majorBidi"/>
        </w:rPr>
        <w:t xml:space="preserve">, washing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{"citationItems":[{"id":"ITEM-1","itemData":{"DOI":"10.1016/j.watres.2016.06.046","ISSN":"18792448","PMID":"27371931","abstract":"With the aid of cold energy from regasification of liquefied natural gas (LNG), freeze desalination (FD) is an emerging technology for seawater desalination because of its low energy characteristics and insensitivities to fouling problems. This work aims to investigate the major operating parameters of FD such as coolant temperature, freezing duration, supercooling, seeding, agitation, crystallizer material and subsequent washing procedure on ice production and water quality. It was found that the optimal freezing duration per batch was 1 h for an iron crystallizer and 1.5 h for a glass crystallizer. The optimal coolant temperature should be around -8 °C. The optimal amount of washing water to clean the raw ice was about 50 wt% of the raw ice. Over 50 wt% of the feed could be recovered as raw ice within 1 h, which means an overall ice recovery rate of higher than 25% (of the original seawater), considering the consumption of washing water. Both artificial and real seawater were tested under the optimized conditions. The total dissolved solid in the product ice was around 300 ppm, which met the World Health Organization (WHO) potable water salinity standard of 500 ppm. Therefore, the process parameters optimized in this study can be directly used for the freeze desalination of seawater.","author":[{"dropping-particle":"","family":"Chang","given":"Jian","non-dropping-particle":"","parse-names":false,"suffix":""},{"dropping-particle":"","family":"Zuo","given":"Jian","non-dropping-particle":"","parse-names":false,"suffix":""},{"dropping-particle":"","family":"Lu","given":"Kang Jia","non-dropping-particle":"","parse-names":false,"suffix":""},{"dropping-particle":"","family":"Chung","given":"Tai Shung","non-dropping-particle":"","parse-names":false,"suffix":""}],"container-title":"Water Research","id":"ITEM-1","issued":{"date-parts":[["2016"]]},"page":"282-293","publisher":"Elsevier Ltd","title":"Freeze desalination of seawater using LNG cold energy","type":"article-journal","volume":"102"},"uris":["http://www.mendeley.com/documents/?uuid=cc871a5c-79b0-4f44-ada6-746c1101cdda"]}],"mendeley":{"formattedCitation":"[89]","plainTextFormattedCitation":"[89]","previouslyFormattedCitation":"[90]"},"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[89]</w:t>
      </w:r>
      <w:r w:rsidR="007917CB" w:rsidRPr="00523CE2">
        <w:rPr>
          <w:rFonts w:eastAsia="MS Mincho" w:cstheme="majorBidi"/>
        </w:rPr>
        <w:fldChar w:fldCharType="end"/>
      </w:r>
      <w:r w:rsidR="007917CB" w:rsidRPr="00523CE2">
        <w:rPr>
          <w:rFonts w:eastAsia="MS Mincho" w:cstheme="majorBidi"/>
        </w:rPr>
        <w:t xml:space="preserve">, and centrifugation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{"citationItems":[{"id":"ITEM-1","itemData":{"DOI":"10.1016/j.desal.2019.114201","ISSN":"00119164","abstract":"Microwave technology was applied in two combined freezing-based processes to desalinate raw seawater. The two processes employed freezing, microwaving and centrifugal desalination (FMCD) process and freezing, microwaving, gravity-induced and centrifugal desalination (FMGCD) process respectively. The removal efficiencies of salt, TDS (total dissolved solids), Cl−, Ca2+ and Mg2+, the ice yield rate as well as the duration time of the two desalination processes were studied. The results were compared with that of our previous study using combined freezing, gravity-induced and centrifugal desalination (FGCD) process. The study showed that microwave treatment can greatly accelerate the desalination in the two combined processes. By applying a two-minute microwave treatment, the desalination effect of FMGCD process is similar to or better than that of FGCD process. Taking TDS and Cl− concentration as reference indicators, the ice product quality of FMGCD process can meet the drinking water standard requirement when the brine reject proportion is &gt;54%.","author":[{"dropping-particle":"","family":"Yang","given":"Hui","non-dropping-particle":"","parse-names":false,"suffix":""},{"dropping-particle":"","family":"Fu","given":"Mengxiao","non-dropping-particle":"","parse-names":false,"suffix":""},{"dropping-particle":"","family":"Zhan","given":"Zhonglai","non-dropping-particle":"","parse-names":false,"suffix":""},{"dropping-particle":"","family":"Wang","given":"Rui","non-dropping-particle":"","parse-names":false,"suffix":""},{"dropping-particle":"","family":"Jiang","given":"Yuanfei","non-dropping-particle":"","parse-names":false,"suffix":""}],"container-title":"Desalination","id":"ITEM-1","issue":"November 2019","issued":{"date-parts":[["2020"]]},"page":"114201","publisher":"Elsevier","title":"Study on combined freezing-based desalination processes with microwave treatment","type":"article-journal","volume":"475"},"uris":["http://www.mendeley.com/documents/?uuid=2b59c085-979a-4892-a013-28f3fab200c1"]},{"id":"ITEM-2","itemData":{"DOI":"10.1016/j.desal.2019.114233","ISSN":"00119164","abstract":"The existing methods for seawater freezing desalination include direct crystal suspension freezing and indirect progressive contact freezing (IPCF). However, freeze desalination is rarely used because of the low rates of desalination and freshwater production along with the relatively high treatment costs. In this study, we evaluated a new freeze desalination method using supercooled water dynamic ice making. The proposed method had a theoretical energy consumption of only 58% of that needed for IPCF. With gravity filtration separation of the produced ice–water mixture for 20 min or centrifugal dehydration for 1 min, a 0.5% salt content standard for freshwater and a 60% freshwater yield were attained. In addition, the method produced ice crystals with minimal impurities, after brine attached to the surface was removed through centrifugal dehydration, a 0.05% salt content standard for drinking water was achieved.","author":[{"dropping-particle":"","family":"Chen","given":"Dong","non-dropping-particle":"","parse-names":false,"suffix":""},{"dropping-particle":"","family":"Zhang","given":"Chaosheng","non-dropping-particle":"","parse-names":false,"suffix":""},{"dropping-particle":"","family":"Rong","given":"Hongwei","non-dropping-particle":"","parse-names":false,"suffix":""},{"dropping-particle":"","family":"Wei","given":"Chunhai","non-dropping-particle":"","parse-names":false,"suffix":""},{"dropping-particle":"","family":"Gou","given":"Siyu","non-dropping-particle":"","parse-names":false,"suffix":""}],"container-title":"Desalination","id":"ITEM-2","issue":"November 2019","issued":{"date-parts":[["2020"]]},"page":"114233","publisher":"Elsevier","title":"Experimental study on seawater desalination through supercooled water dynamic ice making","type":"article-journal","volume":"476"},"uris":["http://www.mendeley.com/documents/?uuid=cafac076-c2d7-4cbf-9d3f-14944e9dcc2c"]}],"mendeley":{"formattedCitation":"[118,123]","plainTextFormattedCitation":"[118,123]","previouslyFormattedCitation":"[119,124]"},"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[118,123]</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are employed to improve the quality of the produced ice and lower its salinity</w:t>
      </w:r>
      <w:r w:rsidR="007917CB" w:rsidRPr="00523CE2">
        <w:rPr>
          <w:rFonts w:eastAsia="MS Mincho" w:cstheme="majorBidi"/>
        </w:rPr>
        <w:t xml:space="preserve">. </w:t>
      </w:r>
      <w:r w:rsidRPr="00523CE2">
        <w:rPr>
          <w:rFonts w:eastAsia="MS Mincho" w:cstheme="majorBidi"/>
        </w:rPr>
        <w:t>Desalination rates of up to 99% have been reported for indirect FD methods in certain experiments</w:t>
      </w:r>
      <w:r w:rsidR="007917CB" w:rsidRPr="00523CE2">
        <w:rPr>
          <w:rFonts w:eastAsia="MS Mincho" w:cstheme="majorBidi"/>
          <w:color w:val="FF0000"/>
        </w:rPr>
        <w:t xml:space="preserve">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{"citationItems":[{"id":"ITEM-1","itemData":{"DOI":"10.1016/j.desal.2019.114201","ISSN":"00119164","abstract":"Microwave technology was applied in two combined freezing-based processes to desalinate raw seawater. The two processes employed freezing, microwaving and centrifugal desalination (FMCD) process and freezing, microwaving, gravity-induced and centrifugal desalination (FMGCD) process respectively. The removal efficiencies of salt, TDS (total dissolved solids), Cl−, Ca2+ and Mg2+, the ice yield rate as well as the duration time of the two desalination processes were studied. The results were compared with that of our previous study using combined freezing, gravity-induced and centrifugal desalination (FGCD) process. The study showed that microwave treatment can greatly accelerate the desalination in the two combined processes. By applying a two-minute microwave treatment, the desalination effect of FMGCD process is similar to or better than that of FGCD process. Taking TDS and Cl− concentration as reference indicators, the ice product quality of FMGCD process can meet the drinking water standard requirement when the brine reject proportion is &gt;54%.","author":[{"dropping-particle":"","family":"Yang","given":"Hui","non-dropping-particle":"","parse-names":false,"suffix":""},{"dropping-particle":"","family":"Fu","given":"Mengxiao","non-dropping-particle":"","parse-names":false,"suffix":""},{"dropping-particle":"","family":"Zhan","given":"Zhonglai","non-dropping-particle":"","parse-names":false,"suffix":""},{"dropping-particle":"","family":"Wang","given":"Rui","non-dropping-particle":"","parse-names":false,"suffix":""},{"dropping-particle":"","family":"Jiang","given":"Yuanfei","non-dropping-particle":"","parse-names":false,"suffix":""}],"container-title":"Desalination","id":"ITEM-1","issue":"November 2019","issued":{"date-parts":[["2020"]]},"page":"114201","publisher":"Elsevier","title":"Study on combined freezing-based desalination processes with microwave treatment","type":"article-journal","volume":"475"},"uris":["http://www.mendeley.com/documents/?uuid=2b59c085-979a-4892-a013-28f3fab200c1"]},{"id":"ITEM-2","itemData":{"DOI":"10.1016/j.seppur.2019.115748","ISSN":"18733794","abstract":"Freeze desalination as a sustainable concept to produce potable water can be a useful and an additional method to overcome the water crisis, especially with ongoing global warming in focus. Therefore, a scraped surface crystallizer in combination with a post-treatment pressing cone has been built on a laboratory scale to investigate any dependencies of ice purity and throughput on operational conditions. Furthermore, a new designed screw conveyor and an additionally installed force sensor led to a better understanding of mass flow, mass fraction and ice purity. Changing the mean coolant temperature and rotational speed of the screw showed their influences on the ability to separate brine from ice and thus on the overall efficiency of the test plant. The influence of one parameter can be compensated by adjusting another, which leaves more flexibility for the operator of such a plant. Additionally, several Nusselt correlations were checked for suitability as helpful tools to design an upscale.","author":[{"dropping-particle":"","family":"Erlbeck","given":"L.","non-dropping-particle":"","parse-names":false,"suffix":""},{"dropping-particle":"","family":"Wössner","given":"D.","non-dropping-particle":"","parse-names":false,"suffix":""},{"dropping-particle":"","family":"Schlachter","given":"K.","non-dropping-particle":"","parse-names":false,"suffix":""},{"dropping-particle":"","family":"Kunz","given":"T.","non-dropping-particle":"","parse-names":false,"suffix":""},{"dropping-particle":"","family":"Methner","given":"F. J.","non-dropping-particle":"","parse-names":false,"suffix":""},{"dropping-particle":"","family":"Rädle","given":"M.","non-dropping-particle":"","parse-names":false,"suffix":""}],"container-title":"Separation and Purification Technology","id":"ITEM-2","issue":"June","issued":{"date-parts":[["2019"]]},"page":"115748","publisher":"Elsevier","title":"Investigation of a novel scraped surface crystallizer with included ice-pressing section as new purification technology","type":"article-journal","volume":"228"},"uris":["http://www.mendeley.com/documents/?uuid=bce3f883-0042-4f79-86cd-47fa79e256dd"]},{"id":"ITEM-3","itemData":{"DOI":"10.1016/j.cej.2017.05.136","ISSN":"13858947","abstract":"Due to stringent legislation, wastewater needs to be treated before dispersing in the environment. Wastewater can be purified through the formation of less contaminated ice layer by freezing. Freezing of the wastewater leaves the remaining wastewater more concentrated. Attainment of eutectic point (both ice and soluble salt crystallize simultaneously) by freeze crystallization can add extra financial value in terms of salt recovery. Separation of ice from salt becomes very easy because of significant density difference. Na2SO4 is one of the key components present in wastewater emanating from different industrial sources, considered as a model compound in this study. Recovery of Na2SO4 from the aqueous solution by eutectic freeze crystallization air-cooled through the ice layer and solution surface is an energy-efficient and cost effective method. This method was investigated experimentally to recover Na2SO4 from its solution. Furthermore, the influence of different factors and operating conditions was studied on the efficiency of the purification and recovery process.","author":[{"dropping-particle":"","family":"Hasan","given":"M.","non-dropping-particle":"","parse-names":false,"suffix":""},{"dropping-particle":"","family":"Rotich","given":"N.","non-dropping-particle":"","parse-names":false,"suffix":""},{"dropping-particle":"","family":"John","given":"M.","non-dropping-particle":"","parse-names":false,"suffix":""},{"dropping-particle":"","family":"Louhi-Kultanen","given":"M.","non-dropping-particle":"","parse-names":false,"suffix":""}],"container-title":"Chemical Engineering Journal","id":"ITEM-3","issued":{"date-parts":[["2017"]]},"page":"192-200","publisher":"Elsevier B.V.","title":"Salt recovery from wastewater by air-cooled eutectic freeze crystallization","type":"article-journal","volume":"326"},"uris":["http://www.mendeley.com/documents/?uuid=56d9232d-2ad1-4fe5-8a0c-f70dfc9a434b"]}],"mendeley":{"formattedCitation":"[120,123,124]","plainTextFormattedCitation":"[120,123,124]","previouslyFormattedCitation":"[121,124,125]"},"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[120,123,124]</w:t>
      </w:r>
      <w:r w:rsidR="007917CB" w:rsidRPr="00523CE2">
        <w:rPr>
          <w:rFonts w:eastAsia="MS Mincho" w:cstheme="majorBidi"/>
        </w:rPr>
        <w:fldChar w:fldCharType="end"/>
      </w:r>
      <w:r w:rsidR="007917CB" w:rsidRPr="00523CE2">
        <w:rPr>
          <w:rFonts w:eastAsia="MS Mincho" w:cstheme="majorBidi"/>
        </w:rPr>
        <w:t xml:space="preserve">. </w:t>
      </w:r>
      <w:r w:rsidRPr="00523CE2">
        <w:rPr>
          <w:rFonts w:eastAsia="MS Mincho" w:cstheme="majorBidi"/>
        </w:rPr>
        <w:t xml:space="preserve">However, these high desalination rates often coincide with low recovery ratios. Multi-stage FD, where treated water is reintroduced into </w:t>
      </w:r>
      <w:r w:rsidRPr="00523CE2">
        <w:rPr>
          <w:rFonts w:eastAsia="MS Mincho" w:cstheme="majorBidi"/>
        </w:rPr>
        <w:lastRenderedPageBreak/>
        <w:t xml:space="preserve">the system multiple times to further reduce the salinity of the final product, has also been investigated </w:t>
      </w:r>
      <w:r w:rsidR="007917CB" w:rsidRPr="00523CE2">
        <w:rPr>
          <w:rFonts w:eastAsia="MS Mincho" w:cstheme="majorBidi"/>
        </w:rPr>
        <w:fldChar w:fldCharType="begin" w:fldLock="1"/>
      </w:r>
      <w:r w:rsidR="00D83446" w:rsidRPr="00523CE2">
        <w:rPr>
          <w:rFonts w:eastAsia="MS Mincho" w:cstheme="majorBidi"/>
        </w:rPr>
        <w:instrText>ADDIN CSL_CITATION {"citationItems":[{"id":"ITEM-1","itemData":{"DOI":"10.1016/j.csite.2021.101685","ISSN":"2214157X","abstract":"The brackish water desalination process by freezing is a developed technology that becomes a practical option for water desalination due to low energy consumption. This study aims to experimentally investigate the major operating parameters of freezing processes such as freezing time and initial brackish water concentration and their impact on the quality of the treated water. Samples of salty water with different concentrations were processed with different freezing times and the input and output quality of the water were investigated. The results showed that high-quality potable water with a concentration of 215 mg/l could be achieved by processing brackish water with an initial concentration of 2240 mg/l, the required power to produce 1 kg of potable water according to EPA standards is 0.11 kWh.","author":[{"dropping-particle":"","family":"Alkhalidi","given":"Ammar","non-dropping-particle":"","parse-names":false,"suffix":""},{"dropping-particle":"","family":"Kiwan","given":"Suhil","non-dropping-particle":"","parse-names":false,"suffix":""},{"dropping-particle":"","family":"Al-Hayajneh","given":"Abdullah","non-dropping-particle":"","parse-names":false,"suffix":""}],"container-title":"Case Studies in Thermal Engineering","id":"ITEM-1","issue":"November","issued":{"date-parts":[["2021"]]},"page":"101685","publisher":"Elsevier Ltd","title":"Experimental investigation of water desalination using freezing technology","type":"article-journal","volume":"28"},"uris":["http://www.mendeley.com/documents/?uuid=646cc57b-f714-43ff-bd37-a967ac99069b"]}],"mendeley":{"formattedCitation":"[125]","plainTextFormattedCitation":"[125]","previouslyFormattedCitation":"[126]"},"properties":{"noteIndex":0},"schema":"https://github.com/citation-style-language/schema/raw/master/csl-citation.json"}</w:instrText>
      </w:r>
      <w:r w:rsidR="007917CB" w:rsidRPr="00523CE2">
        <w:rPr>
          <w:rFonts w:eastAsia="MS Mincho" w:cstheme="majorBidi"/>
        </w:rPr>
        <w:fldChar w:fldCharType="separate"/>
      </w:r>
      <w:r w:rsidR="00D83446" w:rsidRPr="00523CE2">
        <w:rPr>
          <w:rFonts w:eastAsia="MS Mincho" w:cstheme="majorBidi"/>
          <w:noProof/>
        </w:rPr>
        <w:t>[125]</w:t>
      </w:r>
      <w:r w:rsidR="007917CB" w:rsidRPr="00523CE2">
        <w:rPr>
          <w:rFonts w:eastAsia="MS Mincho" w:cstheme="majorBidi"/>
        </w:rPr>
        <w:fldChar w:fldCharType="end"/>
      </w:r>
      <w:r w:rsidR="007917CB" w:rsidRPr="00523CE2">
        <w:rPr>
          <w:rFonts w:eastAsia="MS Mincho" w:cstheme="majorBidi"/>
        </w:rPr>
        <w:t xml:space="preserve">. </w:t>
      </w:r>
    </w:p>
    <w:p w14:paraId="2D65D667" w14:textId="7A44E208" w:rsidR="008369E0" w:rsidRPr="00523CE2" w:rsidRDefault="00EA1B28" w:rsidP="00523CE2">
      <w:pPr>
        <w:spacing w:before="240" w:after="240" w:line="480" w:lineRule="auto"/>
        <w:ind w:firstLine="720"/>
        <w:jc w:val="both"/>
        <w:rPr>
          <w:rFonts w:cstheme="majorBidi"/>
        </w:rPr>
      </w:pPr>
      <w:r w:rsidRPr="00523CE2">
        <w:rPr>
          <w:rFonts w:cstheme="majorBidi"/>
        </w:rPr>
        <w:t>One of the pioneering studies on direct freeze desalination was conducted by Landau and Martindale</w:t>
      </w:r>
      <w:r w:rsidR="003E21FF" w:rsidRPr="00523CE2">
        <w:rPr>
          <w:rFonts w:cstheme="majorBidi"/>
        </w:rPr>
        <w:t xml:space="preserve"> </w:t>
      </w:r>
      <w:r w:rsidR="003E21FF" w:rsidRPr="00523CE2">
        <w:rPr>
          <w:rFonts w:eastAsia="MS Mincho" w:cstheme="majorBidi"/>
        </w:rPr>
        <w:fldChar w:fldCharType="begin" w:fldLock="1"/>
      </w:r>
      <w:r w:rsidR="00D83446" w:rsidRPr="00523CE2">
        <w:rPr>
          <w:rFonts w:eastAsia="MS Mincho" w:cstheme="majorBidi"/>
        </w:rPr>
        <w:instrText>ADDIN CSL_CITATION {"citationItems":[{"id":"ITEM-1","itemData":{"author":[{"dropping-particle":"","family":"Landau","given":"M.","non-dropping-particle":"","parse-names":false,"suffix":""},{"dropping-particle":"","family":"Martindale","given":"A.","non-dropping-particle":"","parse-names":false,"suffix":""}],"container-title":"Desalination","id":"ITEM-1","issue":"3","issued":{"date-parts":[["1967"]]},"page":"318-329","title":"Assessment of crystalliser designs for a butane freeze desalination process","type":"article-journal","volume":"3"},"uris":["http://www.mendeley.com/documents/?uuid=7a3f89ae-c814-4462-8553-be47c3a9905c"]}],"mendeley":{"formattedCitation":"[126]","plainTextFormattedCitation":"[126]","previouslyFormattedCitation":"[127]"},"properties":{"noteIndex":0},"schema":"https://github.com/citation-style-language/schema/raw/master/csl-citation.json"}</w:instrText>
      </w:r>
      <w:r w:rsidR="003E21FF" w:rsidRPr="00523CE2">
        <w:rPr>
          <w:rFonts w:eastAsia="MS Mincho" w:cstheme="majorBidi"/>
        </w:rPr>
        <w:fldChar w:fldCharType="separate"/>
      </w:r>
      <w:r w:rsidR="00D83446" w:rsidRPr="00523CE2">
        <w:rPr>
          <w:rFonts w:eastAsia="MS Mincho" w:cstheme="majorBidi"/>
          <w:noProof/>
        </w:rPr>
        <w:t>[126]</w:t>
      </w:r>
      <w:r w:rsidR="003E21FF" w:rsidRPr="00523CE2">
        <w:rPr>
          <w:rFonts w:eastAsia="MS Mincho" w:cstheme="majorBidi"/>
        </w:rPr>
        <w:fldChar w:fldCharType="end"/>
      </w:r>
      <w:r w:rsidRPr="00523CE2">
        <w:rPr>
          <w:rFonts w:cstheme="majorBidi"/>
        </w:rPr>
        <w:t>, who explored the influence of various operational parameters on ice quality. Their research demonstrated that reducing the salinity of the feed brine and the flow rate of the refrigerant significantly enhanced the quality of the ice produced. Gibson et al.</w:t>
      </w:r>
      <w:r w:rsidR="000869E6" w:rsidRPr="00523CE2">
        <w:rPr>
          <w:rFonts w:cstheme="majorBidi"/>
        </w:rPr>
        <w:t xml:space="preserve"> </w:t>
      </w:r>
      <w:r w:rsidR="000869E6" w:rsidRPr="00523CE2">
        <w:rPr>
          <w:rFonts w:eastAsia="MS Mincho" w:cstheme="majorBidi"/>
        </w:rPr>
        <w:fldChar w:fldCharType="begin" w:fldLock="1"/>
      </w:r>
      <w:r w:rsidR="00D83446" w:rsidRPr="00523CE2">
        <w:rPr>
          <w:rFonts w:eastAsia="MS Mincho" w:cstheme="majorBidi"/>
        </w:rPr>
        <w:instrText>ADDIN CSL_CITATION {"citationItems":[{"id":"ITEM-1","itemData":{"DOI":"10.1016/S0011-9164(00)80258-1","ISSN":"00119164","abstract":"Crystallizer and wash column research is described, relating to the CRYSTALEXtm process of freeze desalination. A high capacity crystallizer, the spray freezer, uses jet impact to obtain high evaporation rates in a fine, homogeneous spray of feed and Freon-114. Platelets of 150 μ diameter grow in less than one second without dendrites. Another configuration, the hybrid freezer, includes a stirred pool and generates 200 μ platelets at a 2° F driving force. The low Freon residue in the slurry is then separated out by a hydrocyclone which provides an enriched ice fraction for the wash column. The performance of the column is regulated by the force balance across the ice plug. Friction and compaction are the predominant factors which determine the range of stable operation. © 1974.","author":[{"dropping-particle":"","family":"Gibson","given":"W.","non-dropping-particle":"","parse-names":false,"suffix":""},{"dropping-particle":"","family":"Emmermann","given":"D.","non-dropping-particle":"","parse-names":false,"suffix":""},{"dropping-particle":"","family":"Grossman","given":"G.","non-dropping-particle":"","parse-names":false,"suffix":""},{"dropping-particle":"","family":"Johnson","given":"R.","non-dropping-particle":"","parse-names":false,"suffix":""},{"dropping-particle":"","family":"Modica","given":"A.","non-dropping-particle":"","parse-names":false,"suffix":""},{"dropping-particle":"","family":"Pallone","given":"A.","non-dropping-particle":"","parse-names":false,"suffix":""}],"container-title":"Desalination","id":"ITEM-1","issue":"3","issued":{"date-parts":[["1974"]]},"page":"249-262","title":"Spray freezer and pressurized counterwasher for freeze desalination","type":"article-journal","volume":"14"},"uris":["http://www.mendeley.com/documents/?uuid=8915a3e9-7775-4695-b044-db942df8b620"]}],"mendeley":{"formattedCitation":"[127]","plainTextFormattedCitation":"[127]","previouslyFormattedCitation":"[128]"},"properties":{"noteIndex":0},"schema":"https://github.com/citation-style-language/schema/raw/master/csl-citation.json"}</w:instrText>
      </w:r>
      <w:r w:rsidR="000869E6" w:rsidRPr="00523CE2">
        <w:rPr>
          <w:rFonts w:eastAsia="MS Mincho" w:cstheme="majorBidi"/>
        </w:rPr>
        <w:fldChar w:fldCharType="separate"/>
      </w:r>
      <w:r w:rsidR="00D83446" w:rsidRPr="00523CE2">
        <w:rPr>
          <w:rFonts w:eastAsia="MS Mincho" w:cstheme="majorBidi"/>
          <w:noProof/>
        </w:rPr>
        <w:t>[127]</w:t>
      </w:r>
      <w:r w:rsidR="000869E6" w:rsidRPr="00523CE2">
        <w:rPr>
          <w:rFonts w:eastAsia="MS Mincho" w:cstheme="majorBidi"/>
        </w:rPr>
        <w:fldChar w:fldCharType="end"/>
      </w:r>
      <w:r w:rsidRPr="00523CE2">
        <w:rPr>
          <w:rFonts w:cstheme="majorBidi"/>
        </w:rPr>
        <w:t xml:space="preserve"> investigated the spray freezing of seawater, employing a technique in which Freon-114 and saltwater feed were atomized through nozzles. To extract the residual Freon from the ice crystals, they utilized a pressurized wash column and emphasized the necessity of maintaining adequate turbulence to prevent the formation of an ice-cake layer near the spray nozzles. Further exploration of continuous brine crystallization was conducted by Wiegandt et al.</w:t>
      </w:r>
      <w:r w:rsidR="00EF0115" w:rsidRPr="00523CE2">
        <w:rPr>
          <w:rFonts w:cstheme="majorBidi"/>
        </w:rPr>
        <w:t xml:space="preserve"> </w:t>
      </w:r>
      <w:r w:rsidR="00EF0115" w:rsidRPr="00523CE2">
        <w:rPr>
          <w:rFonts w:eastAsia="MS Mincho" w:cstheme="majorBidi"/>
        </w:rPr>
        <w:fldChar w:fldCharType="begin" w:fldLock="1"/>
      </w:r>
      <w:r w:rsidR="00D83446" w:rsidRPr="00523CE2">
        <w:rPr>
          <w:rFonts w:eastAsia="MS Mincho" w:cstheme="majorBidi"/>
        </w:rPr>
        <w:instrText>ADDIN CSL_CITATION {"citationItems":[{"id":"ITEM-1","itemData":{"DOI":"10.1016/0011-9164(87)90237-2","ISSN":"00119164","abstract":"The circulation pattern of the ice slurry in freeze desalting by direct-contact vaporization of an immiscible refrigerant can profoundly affect the quality of the product crystals. In order to understand better the interaction between crystal growth and relaxation a study was conducted on a continuous crystallizer equipped with a slurry recycle loop which functioned as an isothermal holding zone. As the freezer space velocity was increased from 0.45 min-1 to 1 min-1, the permeability of the ice formed increased about 2.5 fold. An increase in production rate from 1.44 to 3.6 kg/lit.hr. had no effect on permeability or on crystal size. Indications are that in scale-up, much higher values of space velocity are practical and that brine entrainment by the vapor will be the limiting design factor. © 1987.","author":[{"dropping-particle":"","family":"Wiegandt","given":"H. F.","non-dropping-particle":"","parse-names":false,"suffix":""},{"dropping-particle":"","family":"Madani","given":"A.","non-dropping-particle":"","parse-names":false,"suffix":""},{"dropping-particle":"","family":"Harriott","given":"P.","non-dropping-particle":"","parse-names":false,"suffix":""}],"container-title":"Desalination","id":"ITEM-1","issue":"C","issued":{"date-parts":[["1987"]]},"page":"107-126","publisher":"Elsevier","title":"Ice crystallization developments for the butane direct-contact process","type":"article-journal","volume":"67"},"uris":["http://www.mendeley.com/documents/?uuid=fc5e55d0-b31b-48ba-b650-3cc68a5191bb"]}],"mendeley":{"formattedCitation":"[97]","plainTextFormattedCitation":"[97]","previouslyFormattedCitation":"[98]"},"properties":{"noteIndex":0},"schema":"https://github.com/citation-style-language/schema/raw/master/csl-citation.json"}</w:instrText>
      </w:r>
      <w:r w:rsidR="00EF0115" w:rsidRPr="00523CE2">
        <w:rPr>
          <w:rFonts w:eastAsia="MS Mincho" w:cstheme="majorBidi"/>
        </w:rPr>
        <w:fldChar w:fldCharType="separate"/>
      </w:r>
      <w:r w:rsidR="00D83446" w:rsidRPr="00523CE2">
        <w:rPr>
          <w:rFonts w:eastAsia="MS Mincho" w:cstheme="majorBidi"/>
          <w:noProof/>
        </w:rPr>
        <w:t>[97]</w:t>
      </w:r>
      <w:r w:rsidR="00EF0115" w:rsidRPr="00523CE2">
        <w:rPr>
          <w:rFonts w:eastAsia="MS Mincho" w:cstheme="majorBidi"/>
        </w:rPr>
        <w:fldChar w:fldCharType="end"/>
      </w:r>
      <w:r w:rsidRPr="00523CE2">
        <w:rPr>
          <w:rFonts w:cstheme="majorBidi"/>
        </w:rPr>
        <w:t>, who utilized butane as the refrigerant. Their findings indicated that atomizing the liquid refrigerant significantly increased the heat transfer area and promoted vigorous turbulent flows, thus enhancing the efficiency of the heat transfer process. More recent advancements by Xie et al.</w:t>
      </w:r>
      <w:r w:rsidR="00EF0115" w:rsidRPr="00523CE2">
        <w:rPr>
          <w:rFonts w:cstheme="majorBidi"/>
        </w:rPr>
        <w:t xml:space="preserve"> </w:t>
      </w:r>
      <w:r w:rsidR="00EF0115" w:rsidRPr="00523CE2">
        <w:rPr>
          <w:rFonts w:eastAsia="MS Mincho" w:cstheme="majorBidi"/>
        </w:rPr>
        <w:fldChar w:fldCharType="begin" w:fldLock="1"/>
      </w:r>
      <w:r w:rsidR="00D83446" w:rsidRPr="00523CE2">
        <w:rPr>
          <w:rFonts w:eastAsia="MS Mincho" w:cstheme="majorBidi"/>
        </w:rPr>
        <w:instrText>ADDIN CSL_CITATION {"citationItems":[{"id":"ITEM-1","itemData":{"DOI":"10.1016/j.desal.2017.04.002","ISSN":"00119164","abstract":"In receiving terminal, liquid natural gas (LNG) needs to be re-gasified by the ambient heat generally supplied by seawater. Unfortunately, a great amount of LNG cold energy is wasted during this process, resulting in energy inefficiency and environmental implications. Seawater freezing desalination (SFD) should be an effective way to use cold energy of LNG in terms of energy match and operation cost. According to the properties of LNG, this work aims to develop a direct contact type ice generator, which integrating some special designs such as jacketed cylinder, nozzle arrangement and gas floatation, in order to improve heat transfer and phase separation in the SFD process. Through dynamic analysis on refrigerant atomization, the changes in speed and diameter of refrigerant droplet are obtained. The analysis results are helpful to further improve the design and operation of ice generator. In addition, the work also experimentally investigated the effects of some predominate factors on determining overall performance of ice generator, comprehensively considering ice generation and desalination. The experimental results could be significant for the SFD project by using cold energy of LNG.","author":[{"dropping-particle":"","family":"Xie","given":"Chungang","non-dropping-particle":"","parse-names":false,"suffix":""},{"dropping-particle":"","family":"Zhang","given":"Lingpin","non-dropping-particle":"","parse-names":false,"suffix":""},{"dropping-particle":"","family":"Liu","given":"Yanhui","non-dropping-particle":"","parse-names":false,"suffix":""},{"dropping-particle":"","family":"Lv","given":"Qingchun","non-dropping-particle":"","parse-names":false,"suffix":""},{"dropping-particle":"","family":"Ruan","given":"Guoling","non-dropping-particle":"","parse-names":false,"suffix":""},{"dropping-particle":"","family":"Hosseini","given":"Seyed Saeid","non-dropping-particle":"","parse-names":false,"suffix":""}],"container-title":"Desalination","id":"ITEM-1","issued":{"date-parts":[["2018"]]},"page":"293-300","publisher":"Elsevier","title":"A direct contact type ice generator for seawater freezing desalination using LNG cold energy","type":"article-journal","volume":"435"},"uris":["http://www.mendeley.com/documents/?uuid=599dd073-80f0-43bb-af1b-1cec45815590"]}],"mendeley":{"formattedCitation":"[87]","plainTextFormattedCitation":"[87]","previouslyFormattedCitation":"[88]"},"properties":{"noteIndex":0},"schema":"https://github.com/citation-style-language/schema/raw/master/csl-citation.json"}</w:instrText>
      </w:r>
      <w:r w:rsidR="00EF0115" w:rsidRPr="00523CE2">
        <w:rPr>
          <w:rFonts w:eastAsia="MS Mincho" w:cstheme="majorBidi"/>
        </w:rPr>
        <w:fldChar w:fldCharType="separate"/>
      </w:r>
      <w:r w:rsidR="00D83446" w:rsidRPr="00523CE2">
        <w:rPr>
          <w:rFonts w:eastAsia="MS Mincho" w:cstheme="majorBidi"/>
          <w:noProof/>
        </w:rPr>
        <w:t>[87]</w:t>
      </w:r>
      <w:r w:rsidR="00EF0115" w:rsidRPr="00523CE2">
        <w:rPr>
          <w:rFonts w:eastAsia="MS Mincho" w:cstheme="majorBidi"/>
          <w:lang w:val="en-AU"/>
        </w:rPr>
        <w:fldChar w:fldCharType="end"/>
      </w:r>
      <w:r w:rsidRPr="00523CE2">
        <w:rPr>
          <w:rFonts w:cstheme="majorBidi"/>
        </w:rPr>
        <w:t xml:space="preserve"> introduced an innovative freeze desalination setup leveraging cold energy from liquefied natural gas (LNG) to cool a secondary fluid, which was then mixed with seawater. In their experiments, HFE-7100 was used as the intermediate cooling liquid </w:t>
      </w:r>
      <w:r w:rsidR="008008F6" w:rsidRPr="00523CE2">
        <w:rPr>
          <w:rFonts w:cstheme="majorBidi"/>
        </w:rPr>
        <w:t xml:space="preserve">and </w:t>
      </w:r>
      <w:r w:rsidRPr="00523CE2">
        <w:rPr>
          <w:rFonts w:cstheme="majorBidi"/>
        </w:rPr>
        <w:t xml:space="preserve">injected into a cylinder containing seawater to facilitate ice formation. Their results showed an increase in </w:t>
      </w:r>
      <w:r w:rsidR="008008F6" w:rsidRPr="00523CE2">
        <w:rPr>
          <w:rFonts w:cstheme="majorBidi"/>
        </w:rPr>
        <w:t xml:space="preserve">the </w:t>
      </w:r>
      <w:r w:rsidRPr="00523CE2">
        <w:rPr>
          <w:rFonts w:cstheme="majorBidi"/>
        </w:rPr>
        <w:t>ice generation rate with a reduction in the refrigerant temperature, although this also led to a decrease in the desalination rate. However, the use of HFE-7100 presented challenges due to its high vapor pressure at room temperature (26.9 kPa), which could lead to significant losses of the cooling liquid through evaporation. Additionally, the cost of HFE-7100 is relatively high, and it has a modest specific heat, which may limit its practical application in large-scale systems</w:t>
      </w:r>
      <w:r w:rsidR="00EF0115" w:rsidRPr="00523CE2">
        <w:rPr>
          <w:rFonts w:cstheme="majorBidi"/>
        </w:rPr>
        <w:t xml:space="preserve"> </w:t>
      </w:r>
      <w:r w:rsidR="00EF0115" w:rsidRPr="00523CE2">
        <w:rPr>
          <w:rFonts w:eastAsia="MS Mincho" w:cstheme="majorBidi"/>
        </w:rPr>
        <w:fldChar w:fldCharType="begin" w:fldLock="1"/>
      </w:r>
      <w:r w:rsidR="00D83446" w:rsidRPr="00523CE2">
        <w:rPr>
          <w:rFonts w:eastAsia="MS Mincho" w:cstheme="majorBidi"/>
        </w:rPr>
        <w:instrText>ADDIN CSL_CITATION {"citationItems":[{"id":"ITEM-1","itemData":{"id":"ITEM-1","issued":{"date-parts":[["2013"]]},"number-of-pages":"2-3","title":"Heat Transfer Applications using 3M ™ Novec ™ Engineered Fluids","type":"report"},"uris":["http://www.mendeley.com/documents/?uuid=9fbf44ae-586f-48f1-803f-d9f20a3a547a"]},{"id":"ITEM-2","itemData":{"id":"ITEM-2","issued":{"date-parts":[["2023"]]},"page":"https://www.silmid.com/us/specialties/specialty-ch","title":"Silmid","type":"webpage"},"uris":["http://www.mendeley.com/documents/?uuid=98a71cbc-89f5-4036-8e95-ab81afffc517"]}],"mendeley":{"formattedCitation":"[128,129]","plainTextFormattedCitation":"[128,129]","previouslyFormattedCitation":"[129,130]"},"properties":{"noteIndex":0},"schema":"https://github.com/citation-style-language/schema/raw/master/csl-citation.json"}</w:instrText>
      </w:r>
      <w:r w:rsidR="00EF0115" w:rsidRPr="00523CE2">
        <w:rPr>
          <w:rFonts w:eastAsia="MS Mincho" w:cstheme="majorBidi"/>
        </w:rPr>
        <w:fldChar w:fldCharType="separate"/>
      </w:r>
      <w:r w:rsidR="00D83446" w:rsidRPr="00523CE2">
        <w:rPr>
          <w:rFonts w:eastAsia="MS Mincho" w:cstheme="majorBidi"/>
          <w:noProof/>
        </w:rPr>
        <w:t>[128,129]</w:t>
      </w:r>
      <w:r w:rsidR="00EF0115" w:rsidRPr="00523CE2">
        <w:rPr>
          <w:rFonts w:eastAsia="MS Mincho" w:cstheme="majorBidi"/>
        </w:rPr>
        <w:fldChar w:fldCharType="end"/>
      </w:r>
      <w:r w:rsidRPr="00523CE2">
        <w:rPr>
          <w:rFonts w:cstheme="majorBidi"/>
        </w:rPr>
        <w:t>.</w:t>
      </w:r>
      <w:r w:rsidR="008369E0" w:rsidRPr="00523CE2">
        <w:rPr>
          <w:rFonts w:cstheme="majorBidi"/>
        </w:rPr>
        <w:t xml:space="preserve"> </w:t>
      </w:r>
    </w:p>
    <w:p w14:paraId="0073DCA6" w14:textId="32084E55" w:rsidR="00C61674" w:rsidRPr="00523CE2" w:rsidRDefault="006479CA" w:rsidP="00523CE2">
      <w:pPr>
        <w:spacing w:before="240" w:after="240" w:line="480" w:lineRule="auto"/>
        <w:ind w:firstLine="720"/>
        <w:jc w:val="both"/>
        <w:rPr>
          <w:rFonts w:cstheme="majorBidi"/>
        </w:rPr>
      </w:pPr>
      <w:r w:rsidRPr="00523CE2">
        <w:rPr>
          <w:rFonts w:cstheme="majorBidi"/>
        </w:rPr>
        <w:lastRenderedPageBreak/>
        <w:t xml:space="preserve">The literature suggests that the main advantage of indirect FD lies in producing refrigerant-free treated water of potentially higher quality, a result of the slower and more controlled freezing process that minimizes brine entrapment within the ice crystals </w:t>
      </w:r>
      <w:r w:rsidRPr="00523CE2">
        <w:rPr>
          <w:rFonts w:eastAsia="MS Mincho" w:cstheme="majorBidi"/>
        </w:rPr>
        <w:fldChar w:fldCharType="begin" w:fldLock="1"/>
      </w:r>
      <w:r w:rsidR="00D83446" w:rsidRPr="00523CE2">
        <w:rPr>
          <w:rFonts w:eastAsia="MS Mincho" w:cstheme="majorBidi"/>
        </w:rPr>
        <w:instrText>ADDIN CSL_CITATION {"citationItems":[{"id":"ITEM-1","itemData":{"DOI":"10.1016/j.watres.2022.119389","ISSN":"0043-1354","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Research","id":"ITEM-1","issue":"June 2022","issued":{"date-parts":[["2023"]]},"page":"119389","publisher":"Elsevier Ltd","title":"Freeze desalination : Current research development and future prospects","type":"article-journal","volume":"229"},"uris":["http://www.mendeley.com/documents/?uuid=e8751c65-b452-4cb2-91a8-417c9c0b50b3"]}],"mendeley":{"formattedCitation":"[112]","plainTextFormattedCitation":"[112]","previouslyFormattedCitation":"[113]"},"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[112]</w:t>
      </w:r>
      <w:r w:rsidRPr="00523CE2">
        <w:rPr>
          <w:rFonts w:eastAsia="MS Mincho" w:cstheme="majorBidi"/>
        </w:rPr>
        <w:fldChar w:fldCharType="end"/>
      </w:r>
      <w:r w:rsidRPr="00523CE2">
        <w:rPr>
          <w:rFonts w:cstheme="majorBidi"/>
        </w:rPr>
        <w:t xml:space="preserve">. Conversely, direct FD methods are favored for their higher ice production rates, due to the improved heat transfer between the refrigerant and saline water </w:t>
      </w:r>
      <w:r w:rsidRPr="00523CE2">
        <w:rPr>
          <w:rFonts w:eastAsia="MS Mincho" w:cstheme="majorBidi"/>
        </w:rPr>
        <w:fldChar w:fldCharType="begin" w:fldLock="1"/>
      </w:r>
      <w:r w:rsidR="00D83446" w:rsidRPr="00523CE2">
        <w:rPr>
          <w:rFonts w:eastAsia="MS Mincho" w:cstheme="majorBidi"/>
        </w:rPr>
        <w:instrText>ADDIN CSL_CITATION {"citationItems":[{"id":"ITEM-1","itemData":{"DOI":"10.1016/j.desal.2018.09.009","ISSN":"00119164","abstract":"Freeze desalination (FD) is an emerging technology to overcome limitations of membrane- and thermal-energy-based desalination processes. Extant studies concerning FD have primarily focused on ice-quality and productivity enhancement. Numerous crystallizer designs operating under various conditions have been investigated to achieve highest possible fresh-water purity. Few post-treatment techniques have also been developed to boost quality and productivity of fresh water. Some obstacles, have been faced in attempts to scale-up the FD process, and possible remedies to these are discussed in this paper. In addition, there exists a possibility towards combining FD with other desalination technologies, thereby developing a hybrid process. The proposed paper discusses extant research trends in FD as a comprehensive review along with discussion of future prospects concerning utility of the FD process.","author":[{"dropping-particle":"","family":"Kalista","given":"Brenda","non-dropping-particle":"","parse-names":false,"suffix":""},{"dropping-particle":"","family":"Shin","given":"Hyein","non-dropping-particle":"","parse-names":false,"suffix":""},{"dropping-particle":"","family":"Cho","given":"Jaeweon","non-dropping-particle":"","parse-names":false,"suffix":""},{"dropping-particle":"","family":"Jang","given":"Am","non-dropping-particle":"","parse-names":false,"suffix":""}],"container-title":"Desalination","id":"ITEM-1","issued":{"date-parts":[["2018"]]},"page":"167-181","publisher":"Elsevier","title":"Current development and future prospect review of freeze desalination","type":"article-journal","volume":"447"},"uris":["http://www.mendeley.com/documents/?uuid=9e7aee7d-11ff-4aa5-9eee-8d0c26ba317f"]}],"mendeley":{"formattedCitation":"[86]","plainTextFormattedCitation":"[86]","previouslyFormattedCitation":"[87]"},"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[86]</w:t>
      </w:r>
      <w:r w:rsidRPr="00523CE2">
        <w:rPr>
          <w:rFonts w:eastAsia="MS Mincho" w:cstheme="majorBidi"/>
        </w:rPr>
        <w:fldChar w:fldCharType="end"/>
      </w:r>
      <w:r w:rsidRPr="00523CE2">
        <w:rPr>
          <w:rFonts w:cstheme="majorBidi"/>
        </w:rPr>
        <w:t xml:space="preserve">, and lower specific power consumption compared to indirect FD methods </w:t>
      </w:r>
      <w:r w:rsidRPr="00523CE2">
        <w:rPr>
          <w:rFonts w:eastAsia="MS Mincho" w:cstheme="majorBidi"/>
        </w:rPr>
        <w:fldChar w:fldCharType="begin" w:fldLock="1"/>
      </w:r>
      <w:r w:rsidR="00D83446" w:rsidRPr="00523CE2">
        <w:rPr>
          <w:rFonts w:eastAsia="MS Mincho" w:cstheme="majorBidi"/>
        </w:rPr>
        <w:instrText>ADDIN CSL_CITATION {"citationItems":[{"id":"ITEM-1","itemData":{"DOI":"10.1016/j.watres.2022.119389","ISSN":"0043-1354","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Research","id":"ITEM-1","issue":"June 2022","issued":{"date-parts":[["2023"]]},"page":"119389","publisher":"Elsevier Ltd","title":"Freeze desalination : Current research development and future prospects","type":"article-journal","volume":"229"},"uris":["http://www.mendeley.com/documents/?uuid=e8751c65-b452-4cb2-91a8-417c9c0b50b3"]}],"mendeley":{"formattedCitation":"[112]","plainTextFormattedCitation":"[112]","previouslyFormattedCitation":"[113]"},"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[112]</w:t>
      </w:r>
      <w:r w:rsidRPr="00523CE2">
        <w:rPr>
          <w:rFonts w:eastAsia="MS Mincho" w:cstheme="majorBidi"/>
        </w:rPr>
        <w:fldChar w:fldCharType="end"/>
      </w:r>
      <w:r w:rsidRPr="00523CE2">
        <w:rPr>
          <w:rFonts w:cstheme="majorBidi"/>
        </w:rPr>
        <w:t>. However, indirect FD suffers from higher energy demands due to less efficient heat transfer between the refrigerant and feed brine and increased complexity in system design, notably in the removal of ice from cooling surfaces</w:t>
      </w:r>
      <w:r w:rsidR="00717B66" w:rsidRPr="00523CE2">
        <w:rPr>
          <w:rFonts w:cstheme="majorBidi"/>
        </w:rPr>
        <w:t xml:space="preserve"> </w:t>
      </w:r>
      <w:r w:rsidR="00717B66" w:rsidRPr="00523CE2">
        <w:rPr>
          <w:rFonts w:eastAsia="MS Mincho" w:cstheme="majorBidi"/>
        </w:rPr>
        <w:fldChar w:fldCharType="begin" w:fldLock="1"/>
      </w:r>
      <w:r w:rsidR="00D83446" w:rsidRPr="00523CE2">
        <w:rPr>
          <w:rFonts w:eastAsia="MS Mincho" w:cstheme="majorBidi"/>
        </w:rPr>
        <w:instrText>ADDIN CSL_CITATION {"citationItems":[{"id":"ITEM-1","itemData":{"DOI":"10.1080/15422110600671734","ISSN":"15422119","abstract":"A thorough literature survey was conducted on the freezing-melting (FM) process for desalination. Collected literatures were studied and analyzed to identify the current state-of-the-art of the FM process, and its practical limitations. The main advantages of the FM process are the requirement of low energy and low temperature operation compared to thermal desalination. Other advantages are less scaling or fouling and fewer corrosion problems, ability to use inexpensive plastics or low-cost material, and absence of pretreatment. The three broad classes of FM process are: direct contact freezing, indirect contact freezing, and vacuum freezing. Different types of processing options in each class are discussed with their operating principles and merits and downsides of each process.","author":[{"dropping-particle":"","family":"Rahman","given":"Mohammad Shafiur","non-dropping-particle":"","parse-names":false,"suffix":""},{"dropping-particle":"","family":"Ahmed","given":"Mushtaque","non-dropping-particle":"","parse-names":false,"suffix":""},{"dropping-particle":"","family":"Chen","given":"X. Dong","non-dropping-particle":"","parse-names":false,"suffix":""}],"container-title":"Separation and Purification Reviews","id":"ITEM-1","issue":"2","issued":{"date-parts":[["2006"]]},"page":"59-96","publisher":"Taylor \\&amp; Francis","title":"Freezing-melting process and desalination: I. review of the state-of-the-art","type":"article-journal","volume":"35"},"uris":["http://www.mendeley.com/documents/?uuid=f34d61da-2846-47ef-b6d5-0d4b40de1740"]}],"mendeley":{"formattedCitation":"[76]","plainTextFormattedCitation":"[76]","previouslyFormattedCitation":"[77]"},"properties":{"noteIndex":0},"schema":"https://github.com/citation-style-language/schema/raw/master/csl-citation.json"}</w:instrText>
      </w:r>
      <w:r w:rsidR="00717B66" w:rsidRPr="00523CE2">
        <w:rPr>
          <w:rFonts w:eastAsia="MS Mincho" w:cstheme="majorBidi"/>
        </w:rPr>
        <w:fldChar w:fldCharType="separate"/>
      </w:r>
      <w:r w:rsidR="00D83446" w:rsidRPr="00523CE2">
        <w:rPr>
          <w:rFonts w:eastAsia="MS Mincho" w:cstheme="majorBidi"/>
          <w:noProof/>
        </w:rPr>
        <w:t>[76]</w:t>
      </w:r>
      <w:r w:rsidR="00717B66" w:rsidRPr="00523CE2">
        <w:rPr>
          <w:rFonts w:eastAsia="MS Mincho" w:cstheme="majorBidi"/>
        </w:rPr>
        <w:fldChar w:fldCharType="end"/>
      </w:r>
      <w:r w:rsidRPr="00523CE2">
        <w:rPr>
          <w:rFonts w:cstheme="majorBidi"/>
        </w:rPr>
        <w:t xml:space="preserve">. Direct FD methods, while efficient, often have issues such as contamination from </w:t>
      </w:r>
      <w:r w:rsidR="008008F6" w:rsidRPr="00523CE2">
        <w:rPr>
          <w:rFonts w:cstheme="majorBidi"/>
        </w:rPr>
        <w:t xml:space="preserve">the </w:t>
      </w:r>
      <w:r w:rsidRPr="00523CE2">
        <w:rPr>
          <w:rFonts w:cstheme="majorBidi"/>
        </w:rPr>
        <w:t>residual refrigerant in the treated water and challenges in precisely controlling the freezing process, both of which can adversely affect water quality</w:t>
      </w:r>
      <w:r w:rsidR="00717B66" w:rsidRPr="00523CE2">
        <w:rPr>
          <w:rFonts w:cstheme="majorBidi"/>
        </w:rPr>
        <w:t xml:space="preserve"> </w:t>
      </w:r>
      <w:r w:rsidR="00717B66" w:rsidRPr="00523CE2">
        <w:rPr>
          <w:rFonts w:eastAsia="MS Mincho" w:cstheme="majorBidi"/>
        </w:rPr>
        <w:fldChar w:fldCharType="begin" w:fldLock="1"/>
      </w:r>
      <w:r w:rsidR="00D83446" w:rsidRPr="00523CE2">
        <w:rPr>
          <w:rFonts w:eastAsia="MS Mincho" w:cstheme="majorBidi"/>
        </w:rPr>
        <w:instrText>ADDIN CSL_CITATION {"citationItems":[{"id":"ITEM-1","itemData":{"DOI":"10.1002/9781118904855.ch10","ISBN":"9781118904855","abstract":"This chapter introduces the basic principle and advantages of freezing-melting process followed by its applications in desalination. It introduces different types of freezing-melting process by describing its components and operations as well as their advantages and disadvantages. Finally the future prospects, challenges and other potential hybrid freezing-melting processes for desalination are discussed.","author":[{"dropping-particle":"","family":"Rahman","given":"Mohammad Shafiur","non-dropping-particle":"","parse-names":false,"suffix":""},{"dropping-particle":"","family":"Al-Khusaibi","given":"Mohamed","non-dropping-particle":"","parse-names":false,"suffix":""}],"chapter-number":"10","container-title":"Wiley Blackwell 6","id":"ITEM-1","issued":{"date-parts":[["2014"]]},"page":"473-501","title":"Freezing-Melting Desalination Process","type":"chapter","volume":"9781118208526"},"uris":["http://www.mendeley.com/documents/?uuid=b2c284db-51cd-4240-bd49-68a03dcea0e2"]}],"mendeley":{"formattedCitation":"[130]","plainTextFormattedCitation":"[130]","previouslyFormattedCitation":"[131]"},"properties":{"noteIndex":0},"schema":"https://github.com/citation-style-language/schema/raw/master/csl-citation.json"}</w:instrText>
      </w:r>
      <w:r w:rsidR="00717B66" w:rsidRPr="00523CE2">
        <w:rPr>
          <w:rFonts w:eastAsia="MS Mincho" w:cstheme="majorBidi"/>
        </w:rPr>
        <w:fldChar w:fldCharType="separate"/>
      </w:r>
      <w:r w:rsidR="00D83446" w:rsidRPr="00523CE2">
        <w:rPr>
          <w:rFonts w:eastAsia="MS Mincho" w:cstheme="majorBidi"/>
          <w:noProof/>
        </w:rPr>
        <w:t>[130]</w:t>
      </w:r>
      <w:r w:rsidR="00717B66" w:rsidRPr="00523CE2">
        <w:rPr>
          <w:rFonts w:eastAsia="MS Mincho" w:cstheme="majorBidi"/>
        </w:rPr>
        <w:fldChar w:fldCharType="end"/>
      </w:r>
      <w:r w:rsidRPr="00523CE2">
        <w:rPr>
          <w:rFonts w:cstheme="majorBidi"/>
        </w:rPr>
        <w:t xml:space="preserve">. Additionally, a common challenge across both direct and indirect FD approaches is the effective separation of residual brine from the ice </w:t>
      </w:r>
      <w:r w:rsidR="008008F6" w:rsidRPr="00523CE2">
        <w:rPr>
          <w:rFonts w:cstheme="majorBidi"/>
        </w:rPr>
        <w:t>before</w:t>
      </w:r>
      <w:r w:rsidRPr="00523CE2">
        <w:rPr>
          <w:rFonts w:cstheme="majorBidi"/>
        </w:rPr>
        <w:t xml:space="preserve"> melting. Failure to adequately remove this brine leads to its dissolution in the melted ice, thereby elevating the salinity of the final treated water</w:t>
      </w:r>
      <w:r w:rsidR="00717B66" w:rsidRPr="00523CE2">
        <w:rPr>
          <w:rFonts w:cstheme="majorBidi"/>
        </w:rPr>
        <w:t xml:space="preserve"> </w:t>
      </w:r>
      <w:r w:rsidR="00717B66" w:rsidRPr="00523CE2">
        <w:rPr>
          <w:rFonts w:eastAsia="MS Mincho" w:cstheme="majorBidi"/>
        </w:rPr>
        <w:fldChar w:fldCharType="begin" w:fldLock="1"/>
      </w:r>
      <w:r w:rsidR="00D83446" w:rsidRPr="00523CE2">
        <w:rPr>
          <w:rFonts w:eastAsia="MS Mincho" w:cstheme="majorBidi"/>
        </w:rPr>
        <w:instrText>ADDIN CSL_CITATION {"citationItems":[{"id":"ITEM-1","itemData":{"DOI":"10.1038/s41545-022-00158-1","ISSN":"20597037","abstract":"Freeze desalination (FD) has several benefits compared to vaporization-based and membrane-based desalination methods. The FD process needs approximately 1/7th of the latent heat required by the vaporization-based desalination processes. The involvement of sub-zero temperature in FD reduces the risk of corrosion and scaling. This paper reviews the advances in FD methods involving stand-alone and hybrid methods that operate with and without utilizing the energy released during the re-gasification of liquefied natural gas. Moreover, the paper discusses the future focus areas for research and development to make FD a commercially feasible technology. Potable water was produced from brackish water and seawater by FD wherein the nucleation was achieved by ice seeding, the mixing of rejected salt from ice into the liquid phase was controlled appropriately, growth of ice crystals was slow, and liquid subcooling was maintained at approximately 4 K. The post-treatment of obtained ice is needed to produce potable water if the process is instigated without ice seeding. The plant capacity of stand-alone progressive FD was higher than the stand-alone suspension FD of seawater. The integration of the falling-film, fractional thawing, and block FD method showed significantly improved plant capacity than the stand-alone suspension FD method. The energy consumption of stand-alone PFC and SFC-based desalination with latent heat recovery was reported close to the reverse osmosis (RO) method. The hybrid (integration of the suspension FD method with membrane distillation) FD method utilizing LNG cold energy consumed less energy than the conventional RO method.","author":[{"dropping-particle":"","family":"Najim","given":"Abdul","non-dropping-particle":"","parse-names":false,"suffix":""}],"container-title":"npj Clean Water","id":"ITEM-1","issue":"1","issued":{"date-parts":[["2022"]]},"publisher":"Springer US","title":"A review of advances in freeze desalination and future prospects","type":"article-journal","volume":"5"},"uris":["http://www.mendeley.com/documents/?uuid=099d278e-8cc4-429f-93aa-9dca446d8214"]}],"mendeley":{"formattedCitation":"[103]","plainTextFormattedCitation":"[103]","previouslyFormattedCitation":"[104]"},"properties":{"noteIndex":0},"schema":"https://github.com/citation-style-language/schema/raw/master/csl-citation.json"}</w:instrText>
      </w:r>
      <w:r w:rsidR="00717B66" w:rsidRPr="00523CE2">
        <w:rPr>
          <w:rFonts w:eastAsia="MS Mincho" w:cstheme="majorBidi"/>
        </w:rPr>
        <w:fldChar w:fldCharType="separate"/>
      </w:r>
      <w:r w:rsidR="00D83446" w:rsidRPr="00523CE2">
        <w:rPr>
          <w:rFonts w:eastAsia="MS Mincho" w:cstheme="majorBidi"/>
          <w:noProof/>
        </w:rPr>
        <w:t>[103]</w:t>
      </w:r>
      <w:r w:rsidR="00717B66" w:rsidRPr="00523CE2">
        <w:rPr>
          <w:rFonts w:eastAsia="MS Mincho" w:cstheme="majorBidi"/>
        </w:rPr>
        <w:fldChar w:fldCharType="end"/>
      </w:r>
      <w:r w:rsidRPr="00523CE2">
        <w:rPr>
          <w:rFonts w:cstheme="majorBidi"/>
        </w:rPr>
        <w:t xml:space="preserve">. </w:t>
      </w:r>
    </w:p>
    <w:p w14:paraId="14182C8E" w14:textId="387138CC" w:rsidR="00C61674" w:rsidRPr="00523CE2" w:rsidRDefault="00361938" w:rsidP="00EB55AE">
      <w:pPr>
        <w:shd w:val="clear" w:color="auto" w:fill="FFFFFF" w:themeFill="background1"/>
        <w:adjustRightInd w:val="0"/>
        <w:snapToGrid w:val="0"/>
        <w:spacing w:before="240" w:after="240" w:line="480" w:lineRule="auto"/>
        <w:ind w:firstLine="720"/>
        <w:jc w:val="both"/>
        <w:rPr>
          <w:rFonts w:eastAsia="MS Mincho" w:cstheme="majorBidi"/>
        </w:rPr>
      </w:pPr>
      <w:r w:rsidRPr="00523CE2">
        <w:rPr>
          <w:rFonts w:eastAsia="MS Mincho" w:cstheme="majorBidi"/>
        </w:rPr>
        <w:t xml:space="preserve">Given the research on FD technologies and designs detailed in existing literature, there is a notable deficiency in systems that effectively integrate the advantages of both direct and indirect FD methods while mitigating their respective drawbacks. A hybrid FD system could potentially offer more effective solutions for desalinating high-concentration brines and facilitate their widespread application. This study aims to bridge this research gap by introducing an FD system that merges aspects of both direct and indirect methods. In </w:t>
      </w:r>
      <w:r w:rsidR="00166A68" w:rsidRPr="00523CE2">
        <w:rPr>
          <w:rFonts w:eastAsia="MS Mincho" w:cstheme="majorBidi"/>
        </w:rPr>
        <w:t>this</w:t>
      </w:r>
      <w:r w:rsidRPr="00523CE2">
        <w:rPr>
          <w:rFonts w:eastAsia="MS Mincho" w:cstheme="majorBidi"/>
        </w:rPr>
        <w:t xml:space="preserve"> design, the cooling fluid and the brine are mixed directly; however, unlike traditional direct FD systems that mix the refrigerant fluid from the refrigeration cycle with the brine, </w:t>
      </w:r>
      <w:r w:rsidR="00166A68" w:rsidRPr="00523CE2">
        <w:rPr>
          <w:rFonts w:eastAsia="MS Mincho" w:cstheme="majorBidi"/>
        </w:rPr>
        <w:t>this</w:t>
      </w:r>
      <w:r w:rsidRPr="00523CE2">
        <w:rPr>
          <w:rFonts w:eastAsia="MS Mincho" w:cstheme="majorBidi"/>
        </w:rPr>
        <w:t xml:space="preserve"> system uses an intermediate cooling liquid—specifically silicone oil, which circulates between the refrigeration and desalination units. Silicone </w:t>
      </w:r>
      <w:r w:rsidRPr="00523CE2">
        <w:rPr>
          <w:rFonts w:eastAsia="MS Mincho" w:cstheme="majorBidi"/>
        </w:rPr>
        <w:lastRenderedPageBreak/>
        <w:t xml:space="preserve">oil is selected for its notable benefits, including its non-volatility at room temperature, higher specific heat, and significantly lower cost compared to other fluids </w:t>
      </w:r>
      <w:r w:rsidRPr="00523CE2">
        <w:rPr>
          <w:rFonts w:eastAsia="MS Mincho" w:cstheme="majorBidi"/>
        </w:rPr>
        <w:fldChar w:fldCharType="begin" w:fldLock="1"/>
      </w:r>
      <w:r w:rsidR="00D83446" w:rsidRPr="00523CE2">
        <w:rPr>
          <w:rFonts w:eastAsia="MS Mincho" w:cstheme="majorBidi"/>
        </w:rPr>
        <w:instrText>ADDIN CSL_CITATION {"citationItems":[{"id":"ITEM-1","itemData":{"DOI":"https://www.clearcoproducts.com/pdf/volatile/NP-PSF-1_5cSt.pdf","id":"ITEM-1","issue":"215","issued":{"date-parts":[["2023"]]},"number-of-pages":"7862","title":"PSF ‐ 1.5 cSt silicone heat transfer fluid product information","type":"report"},"uris":["http://www.mendeley.com/documents/?uuid=df133d38-d06a-48b6-8c50-f1506821380b"]},{"id":"ITEM-2","itemData":{"id":"ITEM-2","issued":{"date-parts":[["2023"]]},"page":"https://www.gelest.com/product/DMS-T01.5/","title":"Gelest","type":"webpage"},"uris":["http://www.mendeley.com/documents/?uuid=ce1a52b6-9e25-4977-a5e4-ecc3740bff9c"]},{"id":"ITEM-3","itemData":{"id":"ITEM-3","issued":{"date-parts":[["2023"]]},"page":"https://www.silmid.com/us/specialties/specialty-ch","title":"Silmid","type":"webpage"},"uris":["http://www.mendeley.com/documents/?uuid=98a71cbc-89f5-4036-8e95-ab81afffc517"]}],"mendeley":{"formattedCitation":"[129,131,132]","plainTextFormattedCitation":"[129,131,132]","previouslyFormattedCitation":"[130,132,133]"},"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[129,131,132]</w:t>
      </w:r>
      <w:r w:rsidRPr="00523CE2">
        <w:rPr>
          <w:rFonts w:eastAsia="MS Mincho" w:cstheme="majorBidi"/>
        </w:rPr>
        <w:fldChar w:fldCharType="end"/>
      </w:r>
      <w:r w:rsidRPr="00523CE2">
        <w:rPr>
          <w:rFonts w:eastAsia="MS Mincho" w:cstheme="majorBidi"/>
        </w:rPr>
        <w:t xml:space="preserve">. Furthermore, </w:t>
      </w:r>
      <w:r w:rsidR="00166A68" w:rsidRPr="00523CE2">
        <w:rPr>
          <w:rFonts w:eastAsia="MS Mincho" w:cstheme="majorBidi"/>
        </w:rPr>
        <w:t>this</w:t>
      </w:r>
      <w:r w:rsidRPr="00523CE2">
        <w:rPr>
          <w:rFonts w:eastAsia="MS Mincho" w:cstheme="majorBidi"/>
        </w:rPr>
        <w:t xml:space="preserve"> FD system incorporates an innovative ice-crushing technique that minimizes brine entrapment and improves the desalination rate. The primary aim of this research is to demonstrate the viability of a novel FD system that utilizes an intermediate cooling liquid to overcome the limitations traditionally associated with FD </w:t>
      </w:r>
      <w:r w:rsidRPr="00261867">
        <w:rPr>
          <w:rFonts w:eastAsia="MS Mincho" w:cstheme="majorBidi"/>
        </w:rPr>
        <w:t>systems.</w:t>
      </w:r>
      <w:r w:rsidR="00EB55AE" w:rsidRPr="00261867">
        <w:rPr>
          <w:rFonts w:eastAsia="MS Mincho" w:cstheme="majorBidi"/>
        </w:rPr>
        <w:t xml:space="preserve"> The novelty of the current study lies in combining the advantages of both direct and indirect contact freezing desalination methods. It operates at atmospheric pressure, similar to indirect contact methods, while achieving a high heat transfer rate due to the direct contact between the brine and the cold medium (ICL), similar to direct contact methods. Additionally, the ICL used in this study does not bond with the water and can be easily separated from the water.</w:t>
      </w:r>
    </w:p>
    <w:p w14:paraId="57ED7AC8" w14:textId="0568F947" w:rsidR="0018368C" w:rsidRPr="00523CE2" w:rsidRDefault="0018368C" w:rsidP="00700DBA">
      <w:pPr>
        <w:pStyle w:val="Heading2"/>
        <w:numPr>
          <w:ilvl w:val="1"/>
          <w:numId w:val="4"/>
        </w:numPr>
        <w:spacing w:before="360" w:after="0" w:line="480" w:lineRule="auto"/>
        <w:ind w:left="432" w:hanging="432"/>
        <w:rPr>
          <w:sz w:val="24"/>
          <w:szCs w:val="24"/>
        </w:rPr>
      </w:pPr>
      <w:bookmarkStart w:id="22" w:name="_Toc172367672"/>
      <w:r w:rsidRPr="00523CE2">
        <w:rPr>
          <w:sz w:val="24"/>
          <w:szCs w:val="24"/>
        </w:rPr>
        <w:t xml:space="preserve">Experimental </w:t>
      </w:r>
      <w:r w:rsidR="00A52A44" w:rsidRPr="00523CE2">
        <w:rPr>
          <w:sz w:val="24"/>
          <w:szCs w:val="24"/>
        </w:rPr>
        <w:t>S</w:t>
      </w:r>
      <w:r w:rsidRPr="00523CE2">
        <w:rPr>
          <w:sz w:val="24"/>
          <w:szCs w:val="24"/>
        </w:rPr>
        <w:t>etup</w:t>
      </w:r>
      <w:bookmarkEnd w:id="22"/>
    </w:p>
    <w:p w14:paraId="63B14896" w14:textId="731F562A" w:rsidR="00352C6F" w:rsidRPr="004834D3" w:rsidRDefault="00084FEB" w:rsidP="00523CE2">
      <w:pPr>
        <w:adjustRightInd w:val="0"/>
        <w:snapToGrid w:val="0"/>
        <w:spacing w:before="240" w:after="240" w:line="480" w:lineRule="auto"/>
        <w:jc w:val="both"/>
        <w:rPr>
          <w:rFonts w:eastAsia="MS Mincho" w:cstheme="majorBidi"/>
        </w:rPr>
      </w:pPr>
      <w:r w:rsidRPr="004834D3">
        <w:rPr>
          <w:rFonts w:eastAsia="MS Mincho" w:cstheme="majorBidi"/>
        </w:rPr>
        <w:t>Th</w:t>
      </w:r>
      <w:r w:rsidR="00F00925">
        <w:rPr>
          <w:rFonts w:eastAsia="MS Mincho" w:cstheme="majorBidi"/>
        </w:rPr>
        <w:t>e experimental</w:t>
      </w:r>
      <w:r w:rsidRPr="004834D3">
        <w:rPr>
          <w:rFonts w:eastAsia="MS Mincho" w:cstheme="majorBidi"/>
        </w:rPr>
        <w:t xml:space="preserve"> freeze desalination study began with the fabrication of a small-scale experimental setup designed to evaluate the feasibility of the desalination process</w:t>
      </w:r>
      <w:r w:rsidR="00D83446">
        <w:rPr>
          <w:rFonts w:eastAsia="MS Mincho" w:cstheme="majorBidi"/>
        </w:rPr>
        <w:t xml:space="preserve"> </w:t>
      </w:r>
      <w:r w:rsidR="00D83446">
        <w:rPr>
          <w:rFonts w:eastAsia="MS Mincho" w:cstheme="majorBidi"/>
        </w:rPr>
        <w:fldChar w:fldCharType="begin" w:fldLock="1"/>
      </w:r>
      <w:r w:rsidR="00D83446">
        <w:rPr>
          <w:rFonts w:eastAsia="MS Mincho" w:cstheme="majorBidi"/>
        </w:rPr>
        <w:instrText>ADDIN CSL_CITATION {"citationItems":[{"id":"ITEM-1","itemData":{"author":[{"dropping-particle":"","family":"Kaviani","given":"Reza","non-dropping-particle":"","parse-names":false,"suffix":""},{"dropping-particle":"","family":"Shabgard","given":"Hamidreza","non-dropping-particle":"","parse-names":false,"suffix":""}],"container-title":"ASTFE Digital Library","id":"ITEM-1","issued":{"date-parts":[["2023"]]},"title":"An experimental study on a novel direct contact freeze-desalination unit","type":"paper-conference"},"uris":["http://www.mendeley.com/documents/?uuid=3c68ca17-3c18-4855-a4e7-920b449ba293"]}],"mendeley":{"formattedCitation":"[133]","plainTextFormattedCitation":"[133]","previouslyFormattedCitation":"[134]"},"properties":{"noteIndex":0},"schema":"https://github.com/citation-style-language/schema/raw/master/csl-citation.json"}</w:instrText>
      </w:r>
      <w:r w:rsidR="00D83446">
        <w:rPr>
          <w:rFonts w:eastAsia="MS Mincho" w:cstheme="majorBidi"/>
        </w:rPr>
        <w:fldChar w:fldCharType="separate"/>
      </w:r>
      <w:r w:rsidR="00D83446" w:rsidRPr="00D83446">
        <w:rPr>
          <w:rFonts w:eastAsia="MS Mincho" w:cstheme="majorBidi"/>
          <w:noProof/>
        </w:rPr>
        <w:t>[133]</w:t>
      </w:r>
      <w:r w:rsidR="00D83446">
        <w:rPr>
          <w:rFonts w:eastAsia="MS Mincho" w:cstheme="majorBidi"/>
        </w:rPr>
        <w:fldChar w:fldCharType="end"/>
      </w:r>
      <w:r w:rsidRPr="004834D3">
        <w:rPr>
          <w:rFonts w:eastAsia="MS Mincho" w:cstheme="majorBidi"/>
        </w:rPr>
        <w:t xml:space="preserve">. This initial setup included all the essential components for crystallization and brine desalination, </w:t>
      </w:r>
      <w:r w:rsidR="008008F6">
        <w:rPr>
          <w:rFonts w:eastAsia="MS Mincho" w:cstheme="majorBidi"/>
        </w:rPr>
        <w:t>except for</w:t>
      </w:r>
      <w:r w:rsidRPr="004834D3">
        <w:rPr>
          <w:rFonts w:eastAsia="MS Mincho" w:cstheme="majorBidi"/>
        </w:rPr>
        <w:t xml:space="preserve"> the ice separation unit. The refrigeration system in this setup was a chiller, which provided the necessary cooling for the brine freezing process. The small-scale setup yielded promising results, demonstrating the possibility of ice crystallization with low-salinity feed brine. Building on these successful initial findings, the researchers moved to the next stage: the development and testing of a large-scale setup. This larger system was designed to increase the ice production rate and extend the application of freeze desalination to high-salinity feed brine by utilizing a more powerful refrigeration system. </w:t>
      </w:r>
    </w:p>
    <w:p w14:paraId="177B46A3" w14:textId="52B1DC5D" w:rsidR="00352C6F" w:rsidRDefault="000262A5" w:rsidP="00523CE2">
      <w:pPr>
        <w:adjustRightInd w:val="0"/>
        <w:snapToGrid w:val="0"/>
        <w:spacing w:before="240" w:after="240" w:line="480" w:lineRule="auto"/>
        <w:ind w:firstLine="720"/>
        <w:jc w:val="both"/>
        <w:rPr>
          <w:rFonts w:eastAsia="MS Mincho" w:cstheme="majorBidi"/>
        </w:rPr>
      </w:pPr>
      <w:r w:rsidRPr="004834D3">
        <w:rPr>
          <w:rFonts w:eastAsia="MS Mincho" w:cstheme="majorBidi"/>
        </w:rPr>
        <w:lastRenderedPageBreak/>
        <w:t>The large-scale experimental setup is fabricated and tested to evaluate the performance and effectiveness of the proposed novel freeze desalination system. This setup utilizes an intermediate cooling liquid (ICL) as the cooling medium, facilitating heat transfer between the desalination unit and the refrigeration unit</w:t>
      </w:r>
      <w:r w:rsidR="00D83446">
        <w:rPr>
          <w:rFonts w:eastAsia="MS Mincho" w:cstheme="majorBidi"/>
        </w:rPr>
        <w:t xml:space="preserve"> </w:t>
      </w:r>
      <w:r w:rsidR="00D83446">
        <w:rPr>
          <w:rFonts w:eastAsia="MS Mincho" w:cstheme="majorBidi"/>
        </w:rPr>
        <w:fldChar w:fldCharType="begin" w:fldLock="1"/>
      </w:r>
      <w:r w:rsidR="00D83446">
        <w:rPr>
          <w:rFonts w:eastAsia="MS Mincho" w:cstheme="majorBidi"/>
        </w:rPr>
        <w:instrText>ADDIN CSL_CITATION {"citationItems":[{"id":"ITEM-1","itemData":{"DOI":"10.1016/j.desal.2024.117381","ISSN":"00119164","abstract":"Freeze desalination (FD) is a potentially suitable method for treatment of high salinity brines. In this study, a novel FD system utilizing an intermediate cooling liquid (ICL) is fabricated and employed to desalinate brines with salinities up to 100,000 ppm. The FD system consists of a refrigeration unit and a desalination unit that are in thermal communication via the ICL. The desalination unit includes a freezing chamber, several filters, and a centrifugal separator. Feed brine is injected into the cold ICL inside the freezing chamber and partially freezes. The ice is subsequently separated from the ICL and unfrozen concentrated brine. The collected ice contains small amounts of concentrated brine, most of which is drained centrifugally before melting the ice. The developed FD system operates at atmospheric pressure and benefits from the superior heat transfer rates offered by direct contact between the brine and the cooling fluid. Furthermore, it resolves the issues of ice attachment to the cooling surfaces and mixing of refrigerant with the treated water. The effects of the feed brine salinity, cooling temperature, and centrifugation time on the recovery ratio and purity of the treated water were investigated experimentally. Results showed that the recovery ratio increases by decreasing the cooling temperature, and by decreasing the feed brine salinity. However, higher recovery ratios were found to increase the residual salinity in the treated water. For a feed brine with total dissolved solids (TDS) of 70,000 ppm and cooling temperature of −17 °C, recovery ratio of about 50 % and treated water TDS of ⁓2600 ppm were achieved experimentally. A theoretical model of the system was also developed and validated against the experimental results.","author":[{"dropping-particle":"","family":"Kaviani","given":"Reza","non-dropping-particle":"","parse-names":false,"suffix":""},{"dropping-particle":"","family":"Shabgard","given":"Hamidreza","non-dropping-particle":"","parse-names":false,"suffix":""},{"dropping-particle":"","family":"Elhefny","given":"Aly","non-dropping-particle":"","parse-names":false,"suffix":""},{"dropping-particle":"","family":"Cai","given":"Jie","non-dropping-particle":"","parse-names":false,"suffix":""},{"dropping-particle":"","family":"Parthasarathy","given":"Ramkumar","non-dropping-particle":"","parse-names":false,"suffix":""}],"container-title":"Desalination","id":"ITEM-1","issued":{"date-parts":[["2024"]]},"page":"117381","publisher":"Elsevier","title":"Experimental and theoretical study of a novel freeze desalination system with an intermediate cooling liquid","type":"article-journal","volume":"576"},"uris":["http://www.mendeley.com/documents/?uuid=7a09a4a5-eb25-428f-a8c4-2640c935c8f0"]}],"mendeley":{"formattedCitation":"[134]","plainTextFormattedCitation":"[134]","previouslyFormattedCitation":"[135]"},"properties":{"noteIndex":0},"schema":"https://github.com/citation-style-language/schema/raw/master/csl-citation.json"}</w:instrText>
      </w:r>
      <w:r w:rsidR="00D83446">
        <w:rPr>
          <w:rFonts w:eastAsia="MS Mincho" w:cstheme="majorBidi"/>
        </w:rPr>
        <w:fldChar w:fldCharType="separate"/>
      </w:r>
      <w:r w:rsidR="00D83446" w:rsidRPr="00D83446">
        <w:rPr>
          <w:rFonts w:eastAsia="MS Mincho" w:cstheme="majorBidi"/>
          <w:noProof/>
        </w:rPr>
        <w:t>[134]</w:t>
      </w:r>
      <w:r w:rsidR="00D83446">
        <w:rPr>
          <w:rFonts w:eastAsia="MS Mincho" w:cstheme="majorBidi"/>
        </w:rPr>
        <w:fldChar w:fldCharType="end"/>
      </w:r>
      <w:r w:rsidRPr="004834D3">
        <w:rPr>
          <w:rFonts w:eastAsia="MS Mincho" w:cstheme="majorBidi"/>
        </w:rPr>
        <w:t xml:space="preserve">. </w:t>
      </w:r>
      <w:r w:rsidR="00F00925">
        <w:rPr>
          <w:rFonts w:eastAsia="MS Mincho" w:cstheme="majorBidi"/>
        </w:rPr>
        <w:t xml:space="preserve">The ICL circulates between the refrigeration system and desalination unit </w:t>
      </w:r>
      <w:r w:rsidR="00F00925">
        <w:t xml:space="preserve">supplying the necessary cold medium for the freeze desalination process. </w:t>
      </w:r>
      <w:r w:rsidRPr="004834D3">
        <w:rPr>
          <w:rFonts w:eastAsia="MS Mincho" w:cstheme="majorBidi"/>
        </w:rPr>
        <w:t xml:space="preserve">The specifics of this process will be detailed in the subsequent sections. Figure </w:t>
      </w:r>
      <w:r w:rsidR="00F00925">
        <w:rPr>
          <w:rFonts w:eastAsia="MS Mincho" w:cstheme="majorBidi"/>
        </w:rPr>
        <w:t>2-1</w:t>
      </w:r>
      <w:r w:rsidRPr="004834D3">
        <w:rPr>
          <w:rFonts w:eastAsia="MS Mincho" w:cstheme="majorBidi"/>
        </w:rPr>
        <w:t xml:space="preserve"> presents both the actual and schematic views of the fabricated desalination system. The setup consists of two main components: the desalination unit and the refrigeration unit, interconnected by the ICL via an evaporator. The ice separation and ice melting processes are handled by distinct units, which will be explained in greater detail in the following sections. The primary function of the refrigeration unit is to supply </w:t>
      </w:r>
      <w:r w:rsidR="00F00925" w:rsidRPr="004834D3">
        <w:rPr>
          <w:rFonts w:eastAsia="MS Mincho" w:cstheme="majorBidi"/>
        </w:rPr>
        <w:t>a cold</w:t>
      </w:r>
      <w:r w:rsidRPr="004834D3">
        <w:rPr>
          <w:rFonts w:eastAsia="MS Mincho" w:cstheme="majorBidi"/>
        </w:rPr>
        <w:t xml:space="preserve"> </w:t>
      </w:r>
      <w:r w:rsidR="00F00925">
        <w:rPr>
          <w:rFonts w:eastAsia="MS Mincho" w:cstheme="majorBidi"/>
        </w:rPr>
        <w:t>environment</w:t>
      </w:r>
      <w:r w:rsidRPr="004834D3">
        <w:rPr>
          <w:rFonts w:eastAsia="MS Mincho" w:cstheme="majorBidi"/>
        </w:rPr>
        <w:t xml:space="preserve"> </w:t>
      </w:r>
      <w:r w:rsidR="00F00925">
        <w:rPr>
          <w:rFonts w:eastAsia="MS Mincho" w:cstheme="majorBidi"/>
        </w:rPr>
        <w:t>for</w:t>
      </w:r>
      <w:r w:rsidRPr="004834D3">
        <w:rPr>
          <w:rFonts w:eastAsia="MS Mincho" w:cstheme="majorBidi"/>
        </w:rPr>
        <w:t xml:space="preserve"> the ICL, which then comes into contact with the feed brine. The main role of the desalination unit is to generate ice crystals. The ICL, a silicone fluid, continuously circulates between the evaporator section of the refrigeration unit and the desalination unit, ensuring efficient and effective cooling throughout the process.</w:t>
      </w:r>
    </w:p>
    <w:p w14:paraId="6A6AF94E" w14:textId="77777777" w:rsidR="000757A3" w:rsidRDefault="000757A3" w:rsidP="00F80326">
      <w:pPr>
        <w:adjustRightInd w:val="0"/>
        <w:snapToGrid w:val="0"/>
        <w:spacing w:before="240" w:after="240" w:line="480" w:lineRule="auto"/>
        <w:ind w:firstLine="720"/>
        <w:jc w:val="both"/>
        <w:rPr>
          <w:rFonts w:eastAsia="MS Mincho" w:cstheme="majorBidi"/>
        </w:rPr>
      </w:pPr>
    </w:p>
    <w:p w14:paraId="693D5122" w14:textId="77777777" w:rsidR="000757A3" w:rsidRDefault="000757A3" w:rsidP="00F80326">
      <w:pPr>
        <w:adjustRightInd w:val="0"/>
        <w:snapToGrid w:val="0"/>
        <w:spacing w:before="240" w:after="240" w:line="480" w:lineRule="auto"/>
        <w:ind w:firstLine="720"/>
        <w:jc w:val="both"/>
        <w:rPr>
          <w:rFonts w:eastAsia="MS Mincho" w:cstheme="majorBidi"/>
        </w:rPr>
      </w:pPr>
    </w:p>
    <w:p w14:paraId="7450749A" w14:textId="77777777" w:rsidR="000757A3" w:rsidRDefault="000757A3" w:rsidP="00F80326">
      <w:pPr>
        <w:adjustRightInd w:val="0"/>
        <w:snapToGrid w:val="0"/>
        <w:spacing w:before="240" w:after="240" w:line="480" w:lineRule="auto"/>
        <w:ind w:firstLine="720"/>
        <w:jc w:val="both"/>
        <w:rPr>
          <w:rFonts w:eastAsia="MS Mincho" w:cstheme="majorBidi"/>
        </w:rPr>
      </w:pPr>
    </w:p>
    <w:p w14:paraId="149376F9" w14:textId="77777777" w:rsidR="000757A3" w:rsidRDefault="000757A3" w:rsidP="00F80326">
      <w:pPr>
        <w:adjustRightInd w:val="0"/>
        <w:snapToGrid w:val="0"/>
        <w:spacing w:before="240" w:after="240" w:line="480" w:lineRule="auto"/>
        <w:ind w:firstLine="720"/>
        <w:jc w:val="both"/>
        <w:rPr>
          <w:rFonts w:eastAsia="MS Mincho" w:cstheme="majorBidi"/>
        </w:rPr>
      </w:pPr>
    </w:p>
    <w:p w14:paraId="7860033E" w14:textId="77777777" w:rsidR="000757A3" w:rsidRDefault="000757A3" w:rsidP="00F80326">
      <w:pPr>
        <w:adjustRightInd w:val="0"/>
        <w:snapToGrid w:val="0"/>
        <w:spacing w:before="240" w:after="240" w:line="480" w:lineRule="auto"/>
        <w:ind w:firstLine="720"/>
        <w:jc w:val="both"/>
        <w:rPr>
          <w:rFonts w:eastAsia="MS Mincho" w:cstheme="majorBidi"/>
        </w:rPr>
      </w:pPr>
    </w:p>
    <w:p w14:paraId="64722755" w14:textId="77777777" w:rsidR="000757A3" w:rsidRDefault="000757A3" w:rsidP="00F80326">
      <w:pPr>
        <w:adjustRightInd w:val="0"/>
        <w:snapToGrid w:val="0"/>
        <w:spacing w:before="240" w:after="240" w:line="480" w:lineRule="auto"/>
        <w:ind w:firstLine="720"/>
        <w:jc w:val="both"/>
        <w:rPr>
          <w:rFonts w:eastAsia="MS Mincho"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5"/>
      </w:tblGrid>
      <w:tr w:rsidR="00166A68" w:rsidRPr="00166A68" w14:paraId="73D21FFB" w14:textId="77777777" w:rsidTr="00125144">
        <w:trPr>
          <w:jc w:val="center"/>
        </w:trPr>
        <w:tc>
          <w:tcPr>
            <w:tcW w:w="9245" w:type="dxa"/>
            <w:vAlign w:val="center"/>
          </w:tcPr>
          <w:p w14:paraId="5898AA82" w14:textId="04687748" w:rsidR="00166A68" w:rsidRPr="00166A68" w:rsidRDefault="00523CE2" w:rsidP="00523CE2">
            <w:pPr>
              <w:adjustRightInd w:val="0"/>
              <w:snapToGrid w:val="0"/>
              <w:spacing w:line="360" w:lineRule="auto"/>
              <w:jc w:val="center"/>
              <w:rPr>
                <w:rFonts w:cstheme="majorBidi"/>
                <w:noProof/>
              </w:rPr>
            </w:pPr>
            <w:r w:rsidRPr="00523CE2">
              <w:rPr>
                <w:rFonts w:cstheme="majorBidi"/>
                <w:noProof/>
              </w:rPr>
              <w:lastRenderedPageBreak/>
              <mc:AlternateContent>
                <mc:Choice Requires="wps">
                  <w:drawing>
                    <wp:anchor distT="45720" distB="45720" distL="114300" distR="114300" simplePos="0" relativeHeight="251695104" behindDoc="0" locked="0" layoutInCell="1" allowOverlap="1" wp14:anchorId="5D7B3EEE" wp14:editId="4C13A7EE">
                      <wp:simplePos x="0" y="0"/>
                      <wp:positionH relativeFrom="column">
                        <wp:posOffset>220980</wp:posOffset>
                      </wp:positionH>
                      <wp:positionV relativeFrom="paragraph">
                        <wp:posOffset>-635</wp:posOffset>
                      </wp:positionV>
                      <wp:extent cx="396240" cy="311785"/>
                      <wp:effectExtent l="0" t="0" r="3810" b="0"/>
                      <wp:wrapNone/>
                      <wp:docPr id="1253069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11785"/>
                              </a:xfrm>
                              <a:prstGeom prst="rect">
                                <a:avLst/>
                              </a:prstGeom>
                              <a:solidFill>
                                <a:srgbClr val="FFFFFF"/>
                              </a:solidFill>
                              <a:ln w="9525">
                                <a:noFill/>
                                <a:miter lim="800000"/>
                                <a:headEnd/>
                                <a:tailEnd/>
                              </a:ln>
                            </wps:spPr>
                            <wps:txbx>
                              <w:txbxContent>
                                <w:p w14:paraId="1527416A" w14:textId="5BD3D6E9" w:rsidR="00523CE2" w:rsidRDefault="00523CE2">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B3EEE" id="_x0000_t202" coordsize="21600,21600" o:spt="202" path="m,l,21600r21600,l21600,xe">
                      <v:stroke joinstyle="miter"/>
                      <v:path gradientshapeok="t" o:connecttype="rect"/>
                    </v:shapetype>
                    <v:shape id="Text Box 2" o:spid="_x0000_s1026" type="#_x0000_t202" style="position:absolute;left:0;text-align:left;margin-left:17.4pt;margin-top:-.05pt;width:31.2pt;height:24.5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" stroked="f">
                      <v:textbox>
                        <w:txbxContent>
                          <w:p w14:paraId="1527416A" w14:textId="5BD3D6E9" w:rsidR="00523CE2" w:rsidRDefault="00523CE2">
                            <w:r>
                              <w:t>(a)</w:t>
                            </w:r>
                          </w:p>
                        </w:txbxContent>
                      </v:textbox>
                    </v:shape>
                  </w:pict>
                </mc:Fallback>
              </mc:AlternateContent>
            </w:r>
            <w:r w:rsidR="00166A68" w:rsidRPr="00166A68">
              <w:rPr>
                <w:rFonts w:cstheme="majorBidi"/>
                <w:noProof/>
              </w:rPr>
              <w:drawing>
                <wp:inline distT="0" distB="0" distL="0" distR="0" wp14:anchorId="092F35D1" wp14:editId="58344A09">
                  <wp:extent cx="4467921" cy="3474720"/>
                  <wp:effectExtent l="0" t="0" r="8890" b="0"/>
                  <wp:docPr id="417582489" name="Picture 41758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4467921" cy="3474720"/>
                          </a:xfrm>
                          <a:prstGeom prst="rect">
                            <a:avLst/>
                          </a:prstGeom>
                          <a:noFill/>
                          <a:ln>
                            <a:noFill/>
                          </a:ln>
                        </pic:spPr>
                      </pic:pic>
                    </a:graphicData>
                  </a:graphic>
                </wp:inline>
              </w:drawing>
            </w:r>
          </w:p>
        </w:tc>
      </w:tr>
      <w:tr w:rsidR="00166A68" w:rsidRPr="00166A68" w14:paraId="2E3A6F49" w14:textId="77777777" w:rsidTr="00125144">
        <w:trPr>
          <w:jc w:val="center"/>
        </w:trPr>
        <w:tc>
          <w:tcPr>
            <w:tcW w:w="9245" w:type="dxa"/>
          </w:tcPr>
          <w:p w14:paraId="5F21C975" w14:textId="36B4AB12" w:rsidR="00166A68" w:rsidRPr="00166A68" w:rsidRDefault="00523CE2" w:rsidP="000757A3">
            <w:pPr>
              <w:adjustRightInd w:val="0"/>
              <w:snapToGrid w:val="0"/>
              <w:spacing w:line="360" w:lineRule="auto"/>
              <w:rPr>
                <w:rFonts w:cstheme="majorBidi"/>
                <w:noProof/>
              </w:rPr>
            </w:pPr>
            <w:r w:rsidRPr="00523CE2">
              <w:rPr>
                <w:rFonts w:cstheme="majorBidi"/>
                <w:noProof/>
              </w:rPr>
              <mc:AlternateContent>
                <mc:Choice Requires="wps">
                  <w:drawing>
                    <wp:anchor distT="45720" distB="45720" distL="114300" distR="114300" simplePos="0" relativeHeight="251697152" behindDoc="0" locked="0" layoutInCell="1" allowOverlap="1" wp14:anchorId="545B74E4" wp14:editId="1156EDE9">
                      <wp:simplePos x="0" y="0"/>
                      <wp:positionH relativeFrom="column">
                        <wp:posOffset>161364</wp:posOffset>
                      </wp:positionH>
                      <wp:positionV relativeFrom="paragraph">
                        <wp:posOffset>-43018</wp:posOffset>
                      </wp:positionV>
                      <wp:extent cx="396240" cy="311785"/>
                      <wp:effectExtent l="0" t="0" r="3810" b="0"/>
                      <wp:wrapNone/>
                      <wp:docPr id="438283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11785"/>
                              </a:xfrm>
                              <a:prstGeom prst="rect">
                                <a:avLst/>
                              </a:prstGeom>
                              <a:solidFill>
                                <a:srgbClr val="FFFFFF"/>
                              </a:solidFill>
                              <a:ln w="9525">
                                <a:noFill/>
                                <a:miter lim="800000"/>
                                <a:headEnd/>
                                <a:tailEnd/>
                              </a:ln>
                            </wps:spPr>
                            <wps:txbx>
                              <w:txbxContent>
                                <w:p w14:paraId="55A82666" w14:textId="292ABC06" w:rsidR="00523CE2" w:rsidRDefault="00523CE2">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B74E4" id="_x0000_s1027" type="#_x0000_t202" style="position:absolute;margin-left:12.7pt;margin-top:-3.4pt;width:31.2pt;height:24.5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" stroked="f">
                      <v:textbox>
                        <w:txbxContent>
                          <w:p w14:paraId="55A82666" w14:textId="292ABC06" w:rsidR="00523CE2" w:rsidRDefault="00523CE2">
                            <w:r>
                              <w:t>(b)</w:t>
                            </w:r>
                          </w:p>
                        </w:txbxContent>
                      </v:textbox>
                    </v:shape>
                  </w:pict>
                </mc:Fallback>
              </mc:AlternateContent>
            </w:r>
            <w:r w:rsidR="00166A68" w:rsidRPr="00166A68">
              <w:rPr>
                <w:noProof/>
              </w:rPr>
              <w:drawing>
                <wp:anchor distT="0" distB="0" distL="114300" distR="114300" simplePos="0" relativeHeight="251682816" behindDoc="0" locked="0" layoutInCell="1" allowOverlap="1" wp14:anchorId="1D79F58F" wp14:editId="3A37D273">
                  <wp:simplePos x="982858" y="4738255"/>
                  <wp:positionH relativeFrom="margin">
                    <wp:align>center</wp:align>
                  </wp:positionH>
                  <wp:positionV relativeFrom="margin">
                    <wp:align>center</wp:align>
                  </wp:positionV>
                  <wp:extent cx="4652603" cy="2834640"/>
                  <wp:effectExtent l="0" t="0" r="0" b="3810"/>
                  <wp:wrapSquare wrapText="bothSides"/>
                  <wp:docPr id="1525654947" name="Picture 1525654947"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54947" name="Picture 1525654947" descr="A diagram of a machin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652603" cy="2834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66A68" w:rsidRPr="00166A68" w14:paraId="3BCB8161" w14:textId="77777777" w:rsidTr="00125144">
        <w:trPr>
          <w:jc w:val="center"/>
        </w:trPr>
        <w:tc>
          <w:tcPr>
            <w:tcW w:w="9245" w:type="dxa"/>
          </w:tcPr>
          <w:p w14:paraId="12CC1EEF" w14:textId="1474A3EF" w:rsidR="00166A68" w:rsidRPr="00166A68" w:rsidRDefault="00166A68" w:rsidP="00523CE2">
            <w:pPr>
              <w:pStyle w:val="Caption"/>
              <w:spacing w:before="120" w:after="0" w:line="480" w:lineRule="auto"/>
              <w:jc w:val="center"/>
              <w:rPr>
                <w:rFonts w:eastAsia="MS Mincho" w:cstheme="majorBidi"/>
              </w:rPr>
            </w:pPr>
            <w:bookmarkStart w:id="23" w:name="_Toc172708809"/>
            <w:r w:rsidRPr="00166A68">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2</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1</w:t>
            </w:r>
            <w:r w:rsidR="00996526">
              <w:rPr>
                <w:b/>
                <w:bCs/>
                <w:szCs w:val="24"/>
              </w:rPr>
              <w:fldChar w:fldCharType="end"/>
            </w:r>
            <w:r w:rsidRPr="00166A68">
              <w:rPr>
                <w:rFonts w:cstheme="majorBidi"/>
                <w:spacing w:val="-3"/>
                <w:szCs w:val="24"/>
                <w:lang w:eastAsia="ja-JP"/>
              </w:rPr>
              <w:t xml:space="preserve"> (a) Experimental setup and (b) schematic view of it. </w:t>
            </w:r>
            <w:r>
              <w:rPr>
                <w:rFonts w:cstheme="majorBidi"/>
                <w:spacing w:val="-3"/>
                <w:szCs w:val="24"/>
                <w:lang w:eastAsia="ja-JP"/>
              </w:rPr>
              <w:t>T</w:t>
            </w:r>
            <w:r w:rsidRPr="00166A68">
              <w:rPr>
                <w:rFonts w:cstheme="majorBidi"/>
                <w:spacing w:val="-3"/>
                <w:szCs w:val="24"/>
                <w:lang w:eastAsia="ja-JP"/>
              </w:rPr>
              <w:t>he components in the schematic view: (1) brine tank, (2) brine spray nozzle, (3) freezing chamber, (4) ice grinder, (5) ice-liquid separation filter bag, (6) settling tank, (7) first brine-ICL separation filter, (8) ICL tank, (9) second brine-ICL separation filter, (10) heat exchanger, (11) flowmeter, (12) compressor, (13) condenser, (14) expansion valve.</w:t>
            </w:r>
            <w:bookmarkEnd w:id="23"/>
          </w:p>
        </w:tc>
      </w:tr>
    </w:tbl>
    <w:p w14:paraId="43A1340F" w14:textId="63BF5F4F" w:rsidR="000262A5" w:rsidRDefault="00166A68" w:rsidP="00523CE2">
      <w:pPr>
        <w:adjustRightInd w:val="0"/>
        <w:snapToGrid w:val="0"/>
        <w:spacing w:before="240" w:after="240" w:line="480" w:lineRule="auto"/>
        <w:ind w:firstLine="720"/>
        <w:jc w:val="both"/>
        <w:rPr>
          <w:rFonts w:eastAsia="MS Mincho" w:cstheme="majorBidi"/>
        </w:rPr>
      </w:pPr>
      <w:r>
        <w:rPr>
          <w:rFonts w:eastAsia="MS Mincho" w:cstheme="majorBidi"/>
        </w:rPr>
        <w:lastRenderedPageBreak/>
        <w:t>T</w:t>
      </w:r>
      <w:r w:rsidR="00B30E4D" w:rsidRPr="004834D3">
        <w:rPr>
          <w:rFonts w:eastAsia="MS Mincho" w:cstheme="majorBidi"/>
        </w:rPr>
        <w:t>he desalination unit comprises several sections, including</w:t>
      </w:r>
      <w:r w:rsidR="00295FA4" w:rsidRPr="004834D3">
        <w:rPr>
          <w:rFonts w:eastAsia="MS Mincho" w:cstheme="majorBidi"/>
        </w:rPr>
        <w:t xml:space="preserve"> brine preparation,</w:t>
      </w:r>
      <w:r w:rsidR="00B30E4D" w:rsidRPr="004834D3">
        <w:rPr>
          <w:rFonts w:eastAsia="MS Mincho" w:cstheme="majorBidi"/>
        </w:rPr>
        <w:t xml:space="preserve"> brine injection, </w:t>
      </w:r>
      <w:r w:rsidR="00980574" w:rsidRPr="004834D3">
        <w:rPr>
          <w:rFonts w:eastAsia="MS Mincho" w:cstheme="majorBidi"/>
        </w:rPr>
        <w:t>crystallization</w:t>
      </w:r>
      <w:r w:rsidR="00B30E4D" w:rsidRPr="004834D3">
        <w:rPr>
          <w:rFonts w:eastAsia="MS Mincho" w:cstheme="majorBidi"/>
        </w:rPr>
        <w:t xml:space="preserve">, slurry separation, a filter separator, and ICL cooling. The process begins in the brine </w:t>
      </w:r>
      <w:r w:rsidR="00295FA4" w:rsidRPr="004834D3">
        <w:rPr>
          <w:rFonts w:eastAsia="MS Mincho" w:cstheme="majorBidi"/>
        </w:rPr>
        <w:t>preparation</w:t>
      </w:r>
      <w:r w:rsidR="00B30E4D" w:rsidRPr="004834D3">
        <w:rPr>
          <w:rFonts w:eastAsia="MS Mincho" w:cstheme="majorBidi"/>
        </w:rPr>
        <w:t xml:space="preserve"> section, where the brine is prepared and </w:t>
      </w:r>
      <w:r w:rsidR="00295FA4" w:rsidRPr="004834D3">
        <w:rPr>
          <w:rFonts w:eastAsia="MS Mincho" w:cstheme="majorBidi"/>
        </w:rPr>
        <w:t xml:space="preserve">then </w:t>
      </w:r>
      <w:r w:rsidR="00B30E4D" w:rsidRPr="004834D3">
        <w:rPr>
          <w:rFonts w:eastAsia="MS Mincho" w:cstheme="majorBidi"/>
        </w:rPr>
        <w:t xml:space="preserve">injected into the freezing chamber. Within the freezing chamber, the injected brine is partially frozen and mixed with the cold ICL. This creates a slurry composed of ICL, ice, and </w:t>
      </w:r>
      <w:r w:rsidR="00F00925">
        <w:rPr>
          <w:rFonts w:eastAsia="MS Mincho" w:cstheme="majorBidi"/>
        </w:rPr>
        <w:t xml:space="preserve">unfrozen </w:t>
      </w:r>
      <w:r w:rsidR="00B30E4D" w:rsidRPr="004834D3">
        <w:rPr>
          <w:rFonts w:eastAsia="MS Mincho" w:cstheme="majorBidi"/>
        </w:rPr>
        <w:t>concentrated brine. The slurry is then transferred to the slurry separation section, where the solid ice crystals are separated from the liquid components (ICL and concentrated brine). The collected ice is moved to the ice separation section, while the remaining ICL and concentrated brine proceed to the filter separator. In the filter separator, the ICL is separated from the concentrated brine. The concentrated brine is rejected from the system and the separated ICL is then pumped to the evaporator of the refrigeration system to be cooled before being circulated back to the freezing chamber, thus completing the cycle. Further details of each section in the desalination unit, along with the ice separation and ice melting processes, will be provided in the subsequent sections.</w:t>
      </w:r>
      <w:r w:rsidR="00627744" w:rsidRPr="004834D3">
        <w:rPr>
          <w:rFonts w:eastAsia="MS Mincho" w:cstheme="majorBidi"/>
        </w:rPr>
        <w:t xml:space="preserve"> The component numbers mentioned in the following sections correspond to those shown in Fig</w:t>
      </w:r>
      <w:r w:rsidR="00F00925">
        <w:rPr>
          <w:rFonts w:eastAsia="MS Mincho" w:cstheme="majorBidi"/>
        </w:rPr>
        <w:t>.</w:t>
      </w:r>
      <w:r w:rsidR="00627744" w:rsidRPr="004834D3">
        <w:rPr>
          <w:rFonts w:eastAsia="MS Mincho" w:cstheme="majorBidi"/>
        </w:rPr>
        <w:t xml:space="preserve"> </w:t>
      </w:r>
      <w:r w:rsidR="00F00925">
        <w:rPr>
          <w:rFonts w:eastAsia="MS Mincho" w:cstheme="majorBidi"/>
        </w:rPr>
        <w:t>2-1(</w:t>
      </w:r>
      <w:r w:rsidR="00627744" w:rsidRPr="004834D3">
        <w:rPr>
          <w:rFonts w:eastAsia="MS Mincho" w:cstheme="majorBidi"/>
        </w:rPr>
        <w:t>b</w:t>
      </w:r>
      <w:r w:rsidR="00F00925">
        <w:rPr>
          <w:rFonts w:eastAsia="MS Mincho" w:cstheme="majorBidi"/>
        </w:rPr>
        <w:t>)</w:t>
      </w:r>
      <w:r w:rsidR="00627744" w:rsidRPr="004834D3">
        <w:rPr>
          <w:rFonts w:eastAsia="MS Mincho" w:cstheme="majorBidi"/>
        </w:rPr>
        <w:t>.</w:t>
      </w:r>
    </w:p>
    <w:p w14:paraId="54BD03D6" w14:textId="77777777" w:rsidR="00335EA2" w:rsidRPr="00E56137" w:rsidRDefault="00335EA2" w:rsidP="00700DBA">
      <w:pPr>
        <w:pStyle w:val="Heading3"/>
        <w:numPr>
          <w:ilvl w:val="2"/>
          <w:numId w:val="4"/>
        </w:numPr>
        <w:spacing w:before="360" w:after="0" w:line="480" w:lineRule="auto"/>
        <w:ind w:left="432" w:hanging="432"/>
        <w:rPr>
          <w:rFonts w:eastAsia="MS Mincho"/>
          <w:sz w:val="24"/>
          <w:szCs w:val="24"/>
          <w:lang w:eastAsia="ja-JP"/>
        </w:rPr>
      </w:pPr>
      <w:bookmarkStart w:id="24" w:name="_Toc172367673"/>
      <w:r w:rsidRPr="00E56137">
        <w:rPr>
          <w:rFonts w:eastAsia="MS Mincho"/>
          <w:sz w:val="24"/>
          <w:szCs w:val="24"/>
          <w:lang w:eastAsia="ja-JP"/>
        </w:rPr>
        <w:t>Intermediate Cooling Liquid (ICL)</w:t>
      </w:r>
      <w:bookmarkEnd w:id="24"/>
    </w:p>
    <w:p w14:paraId="2D3406AA" w14:textId="3BDCE094" w:rsidR="00335EA2" w:rsidRPr="00523CE2" w:rsidRDefault="00335EA2" w:rsidP="00523CE2">
      <w:pPr>
        <w:shd w:val="clear" w:color="auto" w:fill="FFFFFF" w:themeFill="background1"/>
        <w:adjustRightInd w:val="0"/>
        <w:snapToGrid w:val="0"/>
        <w:spacing w:before="240" w:after="240" w:line="480" w:lineRule="auto"/>
        <w:jc w:val="both"/>
        <w:rPr>
          <w:rFonts w:eastAsia="MS Mincho" w:cstheme="majorBidi"/>
          <w:spacing w:val="-3"/>
          <w:lang w:eastAsia="ja-JP"/>
        </w:rPr>
      </w:pPr>
      <w:r w:rsidRPr="00523CE2">
        <w:rPr>
          <w:rFonts w:eastAsia="MS Mincho" w:cstheme="majorBidi"/>
          <w:spacing w:val="-3"/>
          <w:lang w:eastAsia="ja-JP"/>
        </w:rPr>
        <w:t>Before exploring the various components of the freeze desalination setup, it is crucial to first introduce the ICL and discuss its properties. Choosing the appropriate ICL is a crucial step in this experimental study. The selected liquid must possess several key characteristics: non-toxicity, immiscibility with water, low viscosity, low freezing temperature, availability, and affordability. After careful evaluation of these criteria and reviewing previous research, two fluids emerged as suitable candidates for the study: HFE-7100 and PSF-1.5 cSt Silicone Fluid. HFE-7100 fluid is</w:t>
      </w:r>
      <w:r w:rsidR="004F655B" w:rsidRPr="00523CE2">
        <w:rPr>
          <w:rFonts w:eastAsia="MS Mincho" w:cstheme="majorBidi"/>
          <w:spacing w:val="-3"/>
          <w:lang w:eastAsia="ja-JP"/>
        </w:rPr>
        <w:t xml:space="preserve"> a hydrofluoroether (HFE) fluid,</w:t>
      </w:r>
      <w:r w:rsidRPr="00523CE2">
        <w:rPr>
          <w:rFonts w:eastAsia="MS Mincho" w:cstheme="majorBidi"/>
          <w:spacing w:val="-3"/>
          <w:lang w:eastAsia="ja-JP"/>
        </w:rPr>
        <w:t xml:space="preserve"> characterized by its very low toxicity and immiscibility with water. It has an extremely low freezing </w:t>
      </w:r>
      <w:r w:rsidRPr="00523CE2">
        <w:rPr>
          <w:rFonts w:eastAsia="MS Mincho" w:cstheme="majorBidi"/>
          <w:spacing w:val="-3"/>
          <w:lang w:eastAsia="ja-JP"/>
        </w:rPr>
        <w:lastRenderedPageBreak/>
        <w:t xml:space="preserve">temperature of -135°C and a kinematic viscosity of 0.38 cSt at room temperature, making it highly effective for this application. Similarly, PSF-1.5 cSt Silicone Fluid also has low toxicity and is immiscible with water. It features a freezing temperature of -70°C and a low kinematic viscosity of 1.5 cSt at room temperature. </w:t>
      </w:r>
    </w:p>
    <w:p w14:paraId="5BA9FAD3" w14:textId="68FDABBA" w:rsidR="006E6A13" w:rsidRPr="00523CE2" w:rsidRDefault="00335EA2" w:rsidP="00523CE2">
      <w:pPr>
        <w:shd w:val="clear" w:color="auto" w:fill="FFFFFF" w:themeFill="background1"/>
        <w:adjustRightInd w:val="0"/>
        <w:snapToGrid w:val="0"/>
        <w:spacing w:before="240" w:after="240" w:line="480" w:lineRule="auto"/>
        <w:ind w:firstLine="720"/>
        <w:jc w:val="both"/>
        <w:rPr>
          <w:rFonts w:eastAsia="MS Mincho" w:cstheme="majorBidi"/>
          <w:spacing w:val="-3"/>
          <w:lang w:eastAsia="ja-JP"/>
        </w:rPr>
      </w:pPr>
      <w:r w:rsidRPr="00523CE2">
        <w:rPr>
          <w:rFonts w:eastAsia="MS Mincho" w:cstheme="majorBidi"/>
          <w:spacing w:val="-3"/>
          <w:lang w:eastAsia="ja-JP"/>
        </w:rPr>
        <w:t>When comparing</w:t>
      </w:r>
      <w:r w:rsidR="004F655B" w:rsidRPr="00523CE2">
        <w:rPr>
          <w:rFonts w:eastAsia="MS Mincho" w:cstheme="majorBidi"/>
          <w:spacing w:val="-3"/>
          <w:lang w:eastAsia="ja-JP"/>
        </w:rPr>
        <w:t xml:space="preserve"> PSF-1.5 cSt</w:t>
      </w:r>
      <w:r w:rsidRPr="00523CE2">
        <w:rPr>
          <w:rFonts w:eastAsia="MS Mincho" w:cstheme="majorBidi"/>
          <w:spacing w:val="-3"/>
          <w:lang w:eastAsia="ja-JP"/>
        </w:rPr>
        <w:t xml:space="preserve"> </w:t>
      </w:r>
      <w:r w:rsidR="004F655B" w:rsidRPr="00523CE2">
        <w:rPr>
          <w:rFonts w:eastAsia="MS Mincho" w:cstheme="majorBidi"/>
          <w:spacing w:val="-3"/>
          <w:lang w:eastAsia="ja-JP"/>
        </w:rPr>
        <w:t>S</w:t>
      </w:r>
      <w:r w:rsidRPr="00523CE2">
        <w:rPr>
          <w:rFonts w:eastAsia="MS Mincho" w:cstheme="majorBidi"/>
          <w:spacing w:val="-3"/>
          <w:lang w:eastAsia="ja-JP"/>
        </w:rPr>
        <w:t xml:space="preserve">ilicone </w:t>
      </w:r>
      <w:r w:rsidR="004F655B" w:rsidRPr="00523CE2">
        <w:rPr>
          <w:rFonts w:eastAsia="MS Mincho" w:cstheme="majorBidi"/>
          <w:spacing w:val="-3"/>
          <w:lang w:eastAsia="ja-JP"/>
        </w:rPr>
        <w:t>F</w:t>
      </w:r>
      <w:r w:rsidRPr="00523CE2">
        <w:rPr>
          <w:rFonts w:eastAsia="MS Mincho" w:cstheme="majorBidi"/>
          <w:spacing w:val="-3"/>
          <w:lang w:eastAsia="ja-JP"/>
        </w:rPr>
        <w:t xml:space="preserve">luid with HFE-7100, silicone oil offers several important advantages. Firstly, silicone oil has a vapor pressure of 0.13 kPa at 25°C, making it non-volatile at room temperature. In contrast, HFE-7100 has a much higher vapor pressure of 26.9 kPa at 25°C, indicating greater volatility under the same conditions. Additionally, silicone fluid has a higher specific heat than HFE-7100. Specifically, the specific heat of PSF-1.5 cSt silicone fluid is 1715 J/kg·K at 25°C, compared to 1183 J/kg·K for HFE-7100 </w:t>
      </w:r>
      <w:r w:rsidRPr="00523CE2">
        <w:rPr>
          <w:rFonts w:eastAsia="MS Mincho" w:cstheme="majorBidi"/>
          <w:spacing w:val="-3"/>
          <w:lang w:eastAsia="ja-JP"/>
        </w:rPr>
        <w:fldChar w:fldCharType="begin" w:fldLock="1"/>
      </w:r>
      <w:r w:rsidR="00D83446" w:rsidRPr="00523CE2">
        <w:rPr>
          <w:rFonts w:eastAsia="MS Mincho" w:cstheme="majorBidi"/>
          <w:spacing w:val="-3"/>
          <w:lang w:eastAsia="ja-JP"/>
        </w:rPr>
        <w:instrText>ADDIN CSL_CITATION {"citationItems":[{"id":"ITEM-1","itemData":{"id":"ITEM-1","issued":{"date-parts":[["2013"]]},"number-of-pages":"2-3","title":"Heat Transfer Applications using 3M ™ Novec ™ Engineered Fluids","type":"report"},"uris":["http://www.mendeley.com/documents/?uuid=9fbf44ae-586f-48f1-803f-d9f20a3a547a"]}],"mendeley":{"formattedCitation":"[128]","plainTextFormattedCitation":"[128]","previouslyFormattedCitation":"[129]"},"properties":{"noteIndex":0},"schema":"https://github.com/citation-style-language/schema/raw/master/csl-citation.json"}</w:instrText>
      </w:r>
      <w:r w:rsidRPr="00523CE2">
        <w:rPr>
          <w:rFonts w:eastAsia="MS Mincho" w:cstheme="majorBidi"/>
          <w:spacing w:val="-3"/>
          <w:lang w:eastAsia="ja-JP"/>
        </w:rPr>
        <w:fldChar w:fldCharType="separate"/>
      </w:r>
      <w:r w:rsidR="00D83446" w:rsidRPr="00523CE2">
        <w:rPr>
          <w:rFonts w:eastAsia="MS Mincho" w:cstheme="majorBidi"/>
          <w:noProof/>
          <w:spacing w:val="-3"/>
          <w:lang w:eastAsia="ja-JP"/>
        </w:rPr>
        <w:t>[128]</w:t>
      </w:r>
      <w:r w:rsidRPr="00523CE2">
        <w:rPr>
          <w:rFonts w:eastAsia="MS Mincho" w:cstheme="majorBidi"/>
          <w:spacing w:val="-3"/>
          <w:lang w:eastAsia="ja-JP"/>
        </w:rPr>
        <w:fldChar w:fldCharType="end"/>
      </w:r>
      <w:r w:rsidRPr="00523CE2">
        <w:rPr>
          <w:rFonts w:eastAsia="MS Mincho" w:cstheme="majorBidi"/>
          <w:spacing w:val="-3"/>
          <w:lang w:eastAsia="ja-JP"/>
        </w:rPr>
        <w:t xml:space="preserve">. Furthermore, the cost per kilogram of silicone fluid is significantly lower than that of </w:t>
      </w:r>
      <w:r w:rsidR="004F655B" w:rsidRPr="00523CE2">
        <w:rPr>
          <w:rFonts w:eastAsia="MS Mincho" w:cstheme="majorBidi"/>
          <w:spacing w:val="-3"/>
          <w:lang w:eastAsia="ja-JP"/>
        </w:rPr>
        <w:t>HFE-7100</w:t>
      </w:r>
      <w:r w:rsidRPr="00523CE2">
        <w:rPr>
          <w:rFonts w:eastAsia="MS Mincho" w:cstheme="majorBidi"/>
          <w:spacing w:val="-3"/>
          <w:lang w:eastAsia="ja-JP"/>
        </w:rPr>
        <w:t xml:space="preserve">, making it a more economical choice for large-scale applications </w:t>
      </w:r>
      <w:r w:rsidRPr="00523CE2">
        <w:rPr>
          <w:rFonts w:eastAsia="MS Mincho" w:cstheme="majorBidi"/>
        </w:rPr>
        <w:fldChar w:fldCharType="begin" w:fldLock="1"/>
      </w:r>
      <w:r w:rsidR="00D83446" w:rsidRPr="00523CE2">
        <w:rPr>
          <w:rFonts w:eastAsia="MS Mincho" w:cstheme="majorBidi"/>
        </w:rPr>
        <w:instrText>ADDIN CSL_CITATION {"citationItems":[{"id":"ITEM-1","itemData":{"abstract":"Three different classes of commercial heat transfer fluids (FK, PFCs and HFEs) are selected as candidates for the single-phase liquid cooling system of the SciFi Tracker photodetectors. None of them is perfect, though. PFCs are strong greenhouse gases: for example, C6F14, the popular PFCcoolant widely used at CERN because of its outstanding inertness and radiation resistance, has GWP of 9300. The heavier PFC fluid C7F16 with a wider liquid range has GWP of 7930. The 3M Novec fluids, designed as alternatives to PFCs and having sharply lower GWP, include a range of HFE liquids with GWP=60-300 and FK liquids, Novec 649 and 774, with GWP=1. These fluids are less inert and, arguably, less radiation resistant than PFCs. The 649, having the thermo-physical properties quite close to C6F14, had been tentatively selected as the baseline option for the SiPM cooling. HFE liquids Novec 7100 and 7200 can also be considered as alternatives. Environmental, safety and performance profiles of all above mentioned fluids are compared.","author":[{"dropping-particle":"","family":"Gorbounov","given":"P","non-dropping-particle":"","parse-names":false,"suffix":""},{"dropping-particle":"","family":"Battistin","given":"M","non-dropping-particle":"","parse-names":false,"suffix":""},{"dropping-particle":"","family":"Thomas","given":"E","non-dropping-particle":"","parse-names":false,"suffix":""}],"id":"ITEM-1","issue":"April","issued":{"date-parts":[["2016"]]},"page":"1-17","title":"Comparison of liquid coolants suitable for single-phase detector cooling","type":"article-journal"},"uris":["http://www.mendeley.com/documents/?uuid=43c27b05-c00d-43f2-ba92-06cc31ed0a3d"]},{"id":"ITEM-2","itemData":{"id":"ITEM-2","issued":{"date-parts":[["2023"]]},"page":"https://www.gelest.com/product/DMS-T01.5/","title":"Gelest","type":"webpage"},"uris":["http://www.mendeley.com/documents/?uuid=ce1a52b6-9e25-4977-a5e4-ecc3740bff9c"]},{"id":"ITEM-3","itemData":{"id":"ITEM-3","issued":{"date-parts":[["2023"]]},"page":"https://www.silmid.com/us/specialties/specialty-ch","title":"Silmid","type":"webpage"},"uris":["http://www.mendeley.com/documents/?uuid=98a71cbc-89f5-4036-8e95-ab81afffc517"]}],"mendeley":{"formattedCitation":"[129,132,135]","plainTextFormattedCitation":"[129,132,135]","previouslyFormattedCitation":"[130,133,136]"},"properties":{"noteIndex":0},"schema":"https://github.com/citation-style-language/schema/raw/master/csl-citation.json"}</w:instrText>
      </w:r>
      <w:r w:rsidRPr="00523CE2">
        <w:rPr>
          <w:rFonts w:eastAsia="MS Mincho" w:cstheme="majorBidi"/>
        </w:rPr>
        <w:fldChar w:fldCharType="separate"/>
      </w:r>
      <w:r w:rsidR="00D83446" w:rsidRPr="00523CE2">
        <w:rPr>
          <w:rFonts w:eastAsia="MS Mincho" w:cstheme="majorBidi"/>
          <w:noProof/>
        </w:rPr>
        <w:t>[129,132,135]</w:t>
      </w:r>
      <w:r w:rsidRPr="00523CE2">
        <w:rPr>
          <w:rFonts w:eastAsia="MS Mincho" w:cstheme="majorBidi"/>
        </w:rPr>
        <w:fldChar w:fldCharType="end"/>
      </w:r>
      <w:r w:rsidRPr="00523CE2">
        <w:rPr>
          <w:rFonts w:eastAsia="MS Mincho" w:cstheme="majorBidi"/>
          <w:spacing w:val="-3"/>
          <w:lang w:eastAsia="ja-JP"/>
        </w:rPr>
        <w:t xml:space="preserve">. </w:t>
      </w:r>
      <w:r w:rsidR="006E6A13" w:rsidRPr="00523CE2">
        <w:rPr>
          <w:rFonts w:eastAsia="MS Mincho" w:cstheme="majorBidi"/>
          <w:spacing w:val="-3"/>
          <w:lang w:eastAsia="ja-JP"/>
        </w:rPr>
        <w:t xml:space="preserve">Finally, in this experimental setup, </w:t>
      </w:r>
      <w:r w:rsidR="008008F6" w:rsidRPr="00523CE2">
        <w:rPr>
          <w:rFonts w:eastAsia="MS Mincho" w:cstheme="majorBidi"/>
          <w:spacing w:val="-3"/>
          <w:lang w:eastAsia="ja-JP"/>
        </w:rPr>
        <w:t>the produced ice must</w:t>
      </w:r>
      <w:r w:rsidR="006E6A13" w:rsidRPr="00523CE2">
        <w:rPr>
          <w:rFonts w:eastAsia="MS Mincho" w:cstheme="majorBidi"/>
          <w:spacing w:val="-3"/>
          <w:lang w:eastAsia="ja-JP"/>
        </w:rPr>
        <w:t xml:space="preserve"> sink so that it can be effectively transported through the system.</w:t>
      </w:r>
      <w:r w:rsidRPr="00523CE2">
        <w:rPr>
          <w:rFonts w:eastAsia="MS Mincho" w:cstheme="majorBidi"/>
          <w:spacing w:val="-3"/>
          <w:lang w:eastAsia="ja-JP"/>
        </w:rPr>
        <w:t xml:space="preserve"> This downward movement of ice requires the ICL to have a lower density than ice. The HFE-7100 fluid has a density of 1520 kg/m³, which is higher than the density of ice. This higher density makes it difficult, if not impossible, for the ice to descend in</w:t>
      </w:r>
      <w:r w:rsidR="008008F6" w:rsidRPr="00523CE2">
        <w:rPr>
          <w:rFonts w:eastAsia="MS Mincho" w:cstheme="majorBidi"/>
          <w:spacing w:val="-3"/>
          <w:lang w:eastAsia="ja-JP"/>
        </w:rPr>
        <w:t>to</w:t>
      </w:r>
      <w:r w:rsidRPr="00523CE2">
        <w:rPr>
          <w:rFonts w:eastAsia="MS Mincho" w:cstheme="majorBidi"/>
          <w:spacing w:val="-3"/>
          <w:lang w:eastAsia="ja-JP"/>
        </w:rPr>
        <w:t xml:space="preserve"> the freezing chamber. Conversely, the PSF-1.5 cSt Silicone Fluid has a density of 851 kg/m³, which is lower than that of ice. This lower density facilitates the practical and efficient descent of ice within the freezing chamber. Given these advantages, silicone fluid was selected for this experimental study. The PSF-1.5 cSt Silicone Fluid, a type of Polydimethylsiloxane (PDMS) silicone fluid, is marketed under various names by different companies. For this study, the silicone fluid was purchased from Clearco Products company. The thermophysical properties of the ICL are detailed in Table 2</w:t>
      </w:r>
      <w:r w:rsidR="006E6A13" w:rsidRPr="00523CE2">
        <w:rPr>
          <w:rFonts w:eastAsia="MS Mincho" w:cstheme="majorBidi"/>
          <w:spacing w:val="-3"/>
          <w:lang w:eastAsia="ja-JP"/>
        </w:rPr>
        <w:t>-1</w:t>
      </w:r>
      <w:r w:rsidRPr="00523CE2">
        <w:rPr>
          <w:rFonts w:eastAsia="MS Mincho" w:cstheme="majorBidi"/>
          <w:spacing w:val="-3"/>
          <w:lang w:eastAsia="ja-JP"/>
        </w:rPr>
        <w:t xml:space="preserve"> </w:t>
      </w:r>
      <w:r w:rsidRPr="00523CE2">
        <w:rPr>
          <w:rFonts w:eastAsia="MS Mincho" w:cstheme="majorBidi"/>
          <w:spacing w:val="-3"/>
          <w:lang w:eastAsia="ja-JP"/>
        </w:rPr>
        <w:fldChar w:fldCharType="begin" w:fldLock="1"/>
      </w:r>
      <w:r w:rsidR="00D83446" w:rsidRPr="00523CE2">
        <w:rPr>
          <w:rFonts w:eastAsia="MS Mincho" w:cstheme="majorBidi"/>
          <w:spacing w:val="-3"/>
          <w:lang w:eastAsia="ja-JP"/>
        </w:rPr>
        <w:instrText>ADDIN CSL_CITATION {"citationItems":[{"id":"ITEM-1","itemData":{"DOI":"https://www.clearcoproducts.com/pdf/volatile/NP-PSF-1_5cSt.pdf","id":"ITEM-1","issue":"215","issued":{"date-parts":[["2023"]]},"number-of-pages":"7862","title":"PSF ‐ 1.5 cSt silicone heat transfer fluid product information","type":"report"},"uris":["http://www.mendeley.com/documents/?uuid=df133d38-d06a-48b6-8c50-f1506821380b"]}],"mendeley":{"formattedCitation":"[131]","plainTextFormattedCitation":"[131]","previouslyFormattedCitation":"[132]"},"properties":{"noteIndex":0},"schema":"https://github.com/citation-style-language/schema/raw/master/csl-citation.json"}</w:instrText>
      </w:r>
      <w:r w:rsidRPr="00523CE2">
        <w:rPr>
          <w:rFonts w:eastAsia="MS Mincho" w:cstheme="majorBidi"/>
          <w:spacing w:val="-3"/>
          <w:lang w:eastAsia="ja-JP"/>
        </w:rPr>
        <w:fldChar w:fldCharType="separate"/>
      </w:r>
      <w:r w:rsidR="00D83446" w:rsidRPr="00523CE2">
        <w:rPr>
          <w:rFonts w:eastAsia="MS Mincho" w:cstheme="majorBidi"/>
          <w:noProof/>
          <w:spacing w:val="-3"/>
          <w:lang w:eastAsia="ja-JP"/>
        </w:rPr>
        <w:t>[131]</w:t>
      </w:r>
      <w:r w:rsidRPr="00523CE2">
        <w:rPr>
          <w:rFonts w:eastAsia="MS Mincho" w:cstheme="majorBidi"/>
          <w:spacing w:val="-3"/>
          <w:lang w:eastAsia="ja-JP"/>
        </w:rPr>
        <w:fldChar w:fldCharType="end"/>
      </w:r>
      <w:r w:rsidRPr="00523CE2">
        <w:rPr>
          <w:rFonts w:eastAsia="MS Mincho" w:cstheme="majorBidi"/>
          <w:spacing w:val="-3"/>
          <w:lang w:eastAsia="ja-JP"/>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35EA2" w:rsidRPr="004834D3" w14:paraId="64FF88D0" w14:textId="77777777" w:rsidTr="006E6A13">
        <w:trPr>
          <w:trHeight w:val="144"/>
          <w:jc w:val="center"/>
        </w:trPr>
        <w:tc>
          <w:tcPr>
            <w:tcW w:w="9350" w:type="dxa"/>
            <w:gridSpan w:val="2"/>
            <w:tcBorders>
              <w:bottom w:val="single" w:sz="4" w:space="0" w:color="auto"/>
            </w:tcBorders>
            <w:vAlign w:val="center"/>
          </w:tcPr>
          <w:p w14:paraId="08E219AC" w14:textId="6FD65680" w:rsidR="00335EA2" w:rsidRPr="004834D3" w:rsidRDefault="006E6A13" w:rsidP="00523CE2">
            <w:pPr>
              <w:adjustRightInd w:val="0"/>
              <w:snapToGrid w:val="0"/>
              <w:spacing w:line="480" w:lineRule="auto"/>
              <w:jc w:val="center"/>
              <w:rPr>
                <w:rFonts w:cstheme="majorBidi"/>
                <w:spacing w:val="-3"/>
                <w:lang w:eastAsia="ja-JP"/>
              </w:rPr>
            </w:pPr>
            <w:bookmarkStart w:id="25" w:name="_Toc172708774"/>
            <w:r w:rsidRPr="006E6A13">
              <w:rPr>
                <w:b/>
                <w:bCs/>
              </w:rPr>
              <w:lastRenderedPageBreak/>
              <w:t xml:space="preserve">Table </w:t>
            </w:r>
            <w:r w:rsidR="00015A16">
              <w:rPr>
                <w:b/>
                <w:bCs/>
              </w:rPr>
              <w:fldChar w:fldCharType="begin"/>
            </w:r>
            <w:r w:rsidR="00015A16">
              <w:rPr>
                <w:b/>
                <w:bCs/>
              </w:rPr>
              <w:instrText xml:space="preserve"> STYLEREF 1 \s </w:instrText>
            </w:r>
            <w:r w:rsidR="00015A16">
              <w:rPr>
                <w:b/>
                <w:bCs/>
              </w:rPr>
              <w:fldChar w:fldCharType="separate"/>
            </w:r>
            <w:r w:rsidR="00732AAC">
              <w:rPr>
                <w:b/>
                <w:bCs/>
                <w:noProof/>
                <w:cs/>
              </w:rPr>
              <w:t>‎</w:t>
            </w:r>
            <w:r w:rsidR="00732AAC">
              <w:rPr>
                <w:b/>
                <w:bCs/>
                <w:noProof/>
              </w:rPr>
              <w:t>2</w:t>
            </w:r>
            <w:r w:rsidR="00015A16">
              <w:rPr>
                <w:b/>
                <w:bCs/>
              </w:rPr>
              <w:fldChar w:fldCharType="end"/>
            </w:r>
            <w:r w:rsidR="00015A16">
              <w:rPr>
                <w:b/>
                <w:bCs/>
              </w:rPr>
              <w:noBreakHyphen/>
            </w:r>
            <w:r w:rsidR="00015A16">
              <w:rPr>
                <w:b/>
                <w:bCs/>
              </w:rPr>
              <w:fldChar w:fldCharType="begin"/>
            </w:r>
            <w:r w:rsidR="00015A16">
              <w:rPr>
                <w:b/>
                <w:bCs/>
              </w:rPr>
              <w:instrText xml:space="preserve"> SEQ Table \* ARABIC \s 1 </w:instrText>
            </w:r>
            <w:r w:rsidR="00015A16">
              <w:rPr>
                <w:b/>
                <w:bCs/>
              </w:rPr>
              <w:fldChar w:fldCharType="separate"/>
            </w:r>
            <w:r w:rsidR="00732AAC">
              <w:rPr>
                <w:b/>
                <w:bCs/>
                <w:noProof/>
              </w:rPr>
              <w:t>1</w:t>
            </w:r>
            <w:r w:rsidR="00015A16">
              <w:rPr>
                <w:b/>
                <w:bCs/>
              </w:rPr>
              <w:fldChar w:fldCharType="end"/>
            </w:r>
            <w:r w:rsidR="00335EA2" w:rsidRPr="004834D3">
              <w:rPr>
                <w:rFonts w:cstheme="majorBidi"/>
                <w:spacing w:val="-3"/>
                <w:lang w:eastAsia="ja-JP"/>
              </w:rPr>
              <w:t xml:space="preserve"> Thermophysical properties of silicone liquid (ICL) </w:t>
            </w:r>
            <w:r w:rsidR="00335EA2" w:rsidRPr="004834D3">
              <w:rPr>
                <w:rFonts w:cstheme="majorBidi"/>
                <w:spacing w:val="-3"/>
                <w:lang w:eastAsia="ja-JP"/>
              </w:rPr>
              <w:fldChar w:fldCharType="begin" w:fldLock="1"/>
            </w:r>
            <w:r w:rsidR="00D83446">
              <w:rPr>
                <w:rFonts w:cstheme="majorBidi"/>
                <w:spacing w:val="-3"/>
                <w:lang w:eastAsia="ja-JP"/>
              </w:rPr>
              <w:instrText>ADDIN CSL_CITATION {"citationItems":[{"id":"ITEM-1","itemData":{"DOI":"https://www.clearcoproducts.com/pdf/volatile/NP-PSF-1_5cSt.pdf","id":"ITEM-1","issue":"215","issued":{"date-parts":[["2023"]]},"number-of-pages":"7862","title":"PSF ‐ 1.5 cSt silicone heat transfer fluid product information","type":"report"},"uris":["http://www.mendeley.com/documents/?uuid=df133d38-d06a-48b6-8c50-f1506821380b"]}],"mendeley":{"formattedCitation":"[131]","plainTextFormattedCitation":"[131]","previouslyFormattedCitation":"[132]"},"properties":{"noteIndex":0},"schema":"https://github.com/citation-style-language/schema/raw/master/csl-citation.json"}</w:instrText>
            </w:r>
            <w:r w:rsidR="00335EA2" w:rsidRPr="004834D3">
              <w:rPr>
                <w:rFonts w:cstheme="majorBidi"/>
                <w:spacing w:val="-3"/>
                <w:lang w:eastAsia="ja-JP"/>
              </w:rPr>
              <w:fldChar w:fldCharType="separate"/>
            </w:r>
            <w:r w:rsidR="00D83446" w:rsidRPr="00D83446">
              <w:rPr>
                <w:rFonts w:cstheme="majorBidi"/>
                <w:noProof/>
                <w:spacing w:val="-3"/>
                <w:lang w:eastAsia="ja-JP"/>
              </w:rPr>
              <w:t>[131]</w:t>
            </w:r>
            <w:bookmarkEnd w:id="25"/>
            <w:r w:rsidR="00335EA2" w:rsidRPr="004834D3">
              <w:rPr>
                <w:rFonts w:cstheme="majorBidi"/>
                <w:spacing w:val="-3"/>
                <w:lang w:eastAsia="ja-JP"/>
              </w:rPr>
              <w:fldChar w:fldCharType="end"/>
            </w:r>
          </w:p>
        </w:tc>
      </w:tr>
      <w:tr w:rsidR="00335EA2" w:rsidRPr="004834D3" w14:paraId="452B85C7" w14:textId="77777777" w:rsidTr="009A4AF3">
        <w:trPr>
          <w:jc w:val="center"/>
        </w:trPr>
        <w:tc>
          <w:tcPr>
            <w:tcW w:w="4675" w:type="dxa"/>
            <w:tcBorders>
              <w:top w:val="single" w:sz="4" w:space="0" w:color="auto"/>
            </w:tcBorders>
            <w:vAlign w:val="center"/>
          </w:tcPr>
          <w:p w14:paraId="3A308FA5" w14:textId="77777777" w:rsidR="00335EA2" w:rsidRPr="004834D3" w:rsidRDefault="00335EA2" w:rsidP="00523CE2">
            <w:pPr>
              <w:adjustRightInd w:val="0"/>
              <w:snapToGrid w:val="0"/>
              <w:spacing w:before="240" w:line="480" w:lineRule="auto"/>
              <w:jc w:val="center"/>
              <w:rPr>
                <w:rFonts w:cstheme="majorBidi"/>
                <w:spacing w:val="-3"/>
                <w:lang w:eastAsia="ja-JP"/>
              </w:rPr>
            </w:pPr>
            <w:r w:rsidRPr="004834D3">
              <w:rPr>
                <w:rFonts w:cstheme="majorBidi"/>
                <w:spacing w:val="-3"/>
                <w:lang w:eastAsia="ja-JP"/>
              </w:rPr>
              <w:t>Freezing point</w:t>
            </w:r>
          </w:p>
        </w:tc>
        <w:tc>
          <w:tcPr>
            <w:tcW w:w="4675" w:type="dxa"/>
            <w:tcBorders>
              <w:top w:val="single" w:sz="4" w:space="0" w:color="auto"/>
            </w:tcBorders>
            <w:vAlign w:val="center"/>
          </w:tcPr>
          <w:p w14:paraId="74037EFC" w14:textId="77777777" w:rsidR="00335EA2" w:rsidRPr="004834D3" w:rsidRDefault="00335EA2" w:rsidP="00523CE2">
            <w:pPr>
              <w:adjustRightInd w:val="0"/>
              <w:snapToGrid w:val="0"/>
              <w:spacing w:before="240" w:line="480" w:lineRule="auto"/>
              <w:jc w:val="center"/>
              <w:rPr>
                <w:rFonts w:cstheme="majorBidi"/>
                <w:spacing w:val="-3"/>
                <w:lang w:eastAsia="ja-JP"/>
              </w:rPr>
            </w:pPr>
            <w:r w:rsidRPr="004834D3">
              <w:rPr>
                <w:rFonts w:cstheme="majorBidi"/>
                <w:spacing w:val="-3"/>
                <w:lang w:eastAsia="ja-JP"/>
              </w:rPr>
              <w:t>-70</w:t>
            </w:r>
            <w:r w:rsidRPr="004834D3">
              <w:rPr>
                <w:rFonts w:cstheme="majorBidi"/>
                <w:spacing w:val="-3"/>
                <w:vertAlign w:val="superscript"/>
                <w:lang w:eastAsia="ja-JP"/>
              </w:rPr>
              <w:t>°</w:t>
            </w:r>
            <w:r w:rsidRPr="004834D3">
              <w:rPr>
                <w:rFonts w:cstheme="majorBidi"/>
                <w:spacing w:val="-3"/>
                <w:lang w:eastAsia="ja-JP"/>
              </w:rPr>
              <w:t>C</w:t>
            </w:r>
          </w:p>
        </w:tc>
      </w:tr>
      <w:tr w:rsidR="00335EA2" w:rsidRPr="004834D3" w14:paraId="6AA52562" w14:textId="77777777" w:rsidTr="009A4AF3">
        <w:trPr>
          <w:jc w:val="center"/>
        </w:trPr>
        <w:tc>
          <w:tcPr>
            <w:tcW w:w="4675" w:type="dxa"/>
            <w:vAlign w:val="center"/>
          </w:tcPr>
          <w:p w14:paraId="31B8036D"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Specific gravity at 25</w:t>
            </w:r>
            <w:r w:rsidRPr="004834D3">
              <w:rPr>
                <w:rFonts w:cstheme="majorBidi"/>
                <w:spacing w:val="-3"/>
                <w:vertAlign w:val="superscript"/>
                <w:lang w:eastAsia="ja-JP"/>
              </w:rPr>
              <w:t>°</w:t>
            </w:r>
            <w:r w:rsidRPr="004834D3">
              <w:rPr>
                <w:rFonts w:cstheme="majorBidi"/>
                <w:spacing w:val="-3"/>
                <w:lang w:eastAsia="ja-JP"/>
              </w:rPr>
              <w:t>C</w:t>
            </w:r>
          </w:p>
        </w:tc>
        <w:tc>
          <w:tcPr>
            <w:tcW w:w="4675" w:type="dxa"/>
            <w:vAlign w:val="center"/>
          </w:tcPr>
          <w:p w14:paraId="7B684828"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0.851</w:t>
            </w:r>
          </w:p>
        </w:tc>
      </w:tr>
      <w:tr w:rsidR="00335EA2" w:rsidRPr="004834D3" w14:paraId="6186A383" w14:textId="77777777" w:rsidTr="009A4AF3">
        <w:trPr>
          <w:jc w:val="center"/>
        </w:trPr>
        <w:tc>
          <w:tcPr>
            <w:tcW w:w="4675" w:type="dxa"/>
            <w:vAlign w:val="center"/>
          </w:tcPr>
          <w:p w14:paraId="5C980E5F"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Specific heat capacity at 25</w:t>
            </w:r>
            <w:r w:rsidRPr="004834D3">
              <w:rPr>
                <w:rFonts w:cstheme="majorBidi"/>
                <w:spacing w:val="-3"/>
                <w:vertAlign w:val="superscript"/>
                <w:lang w:eastAsia="ja-JP"/>
              </w:rPr>
              <w:t>°</w:t>
            </w:r>
            <w:r w:rsidRPr="004834D3">
              <w:rPr>
                <w:rFonts w:cstheme="majorBidi"/>
                <w:spacing w:val="-3"/>
                <w:lang w:eastAsia="ja-JP"/>
              </w:rPr>
              <w:t>C</w:t>
            </w:r>
          </w:p>
        </w:tc>
        <w:tc>
          <w:tcPr>
            <w:tcW w:w="4675" w:type="dxa"/>
            <w:vAlign w:val="center"/>
          </w:tcPr>
          <w:p w14:paraId="506C3052"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1,715 J/kg·K</w:t>
            </w:r>
          </w:p>
        </w:tc>
      </w:tr>
      <w:tr w:rsidR="00335EA2" w:rsidRPr="004834D3" w14:paraId="560950BB" w14:textId="77777777" w:rsidTr="009A4AF3">
        <w:trPr>
          <w:jc w:val="center"/>
        </w:trPr>
        <w:tc>
          <w:tcPr>
            <w:tcW w:w="4675" w:type="dxa"/>
            <w:vAlign w:val="center"/>
          </w:tcPr>
          <w:p w14:paraId="053BBDBF"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Viscosity at 25</w:t>
            </w:r>
            <w:r w:rsidRPr="004834D3">
              <w:rPr>
                <w:rFonts w:cstheme="majorBidi"/>
                <w:spacing w:val="-3"/>
                <w:vertAlign w:val="superscript"/>
                <w:lang w:eastAsia="ja-JP"/>
              </w:rPr>
              <w:t>°</w:t>
            </w:r>
            <w:r w:rsidRPr="004834D3">
              <w:rPr>
                <w:rFonts w:cstheme="majorBidi"/>
                <w:spacing w:val="-3"/>
                <w:lang w:eastAsia="ja-JP"/>
              </w:rPr>
              <w:t>C</w:t>
            </w:r>
          </w:p>
        </w:tc>
        <w:tc>
          <w:tcPr>
            <w:tcW w:w="4675" w:type="dxa"/>
            <w:vAlign w:val="center"/>
          </w:tcPr>
          <w:p w14:paraId="5FEB041A"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1.5 cSt</w:t>
            </w:r>
          </w:p>
        </w:tc>
      </w:tr>
      <w:tr w:rsidR="00335EA2" w:rsidRPr="004834D3" w14:paraId="75BE63B6" w14:textId="77777777" w:rsidTr="009A4AF3">
        <w:trPr>
          <w:jc w:val="center"/>
        </w:trPr>
        <w:tc>
          <w:tcPr>
            <w:tcW w:w="4675" w:type="dxa"/>
            <w:vAlign w:val="center"/>
          </w:tcPr>
          <w:p w14:paraId="3E6AF65E"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Viscosity at -25</w:t>
            </w:r>
            <w:r w:rsidRPr="004834D3">
              <w:rPr>
                <w:rFonts w:cstheme="majorBidi"/>
                <w:spacing w:val="-3"/>
                <w:vertAlign w:val="superscript"/>
                <w:lang w:eastAsia="ja-JP"/>
              </w:rPr>
              <w:t>°</w:t>
            </w:r>
            <w:r w:rsidRPr="004834D3">
              <w:rPr>
                <w:rFonts w:cstheme="majorBidi"/>
                <w:spacing w:val="-3"/>
                <w:lang w:eastAsia="ja-JP"/>
              </w:rPr>
              <w:t>C</w:t>
            </w:r>
          </w:p>
        </w:tc>
        <w:tc>
          <w:tcPr>
            <w:tcW w:w="4675" w:type="dxa"/>
            <w:vAlign w:val="center"/>
          </w:tcPr>
          <w:p w14:paraId="287A4539"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3 cSt</w:t>
            </w:r>
          </w:p>
        </w:tc>
      </w:tr>
      <w:tr w:rsidR="00335EA2" w:rsidRPr="004834D3" w14:paraId="502C5713" w14:textId="77777777" w:rsidTr="009A4AF3">
        <w:trPr>
          <w:jc w:val="center"/>
        </w:trPr>
        <w:tc>
          <w:tcPr>
            <w:tcW w:w="4675" w:type="dxa"/>
            <w:tcBorders>
              <w:bottom w:val="single" w:sz="4" w:space="0" w:color="auto"/>
            </w:tcBorders>
            <w:vAlign w:val="center"/>
          </w:tcPr>
          <w:p w14:paraId="24042C50"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Vapor pressure 25°C</w:t>
            </w:r>
          </w:p>
        </w:tc>
        <w:tc>
          <w:tcPr>
            <w:tcW w:w="4675" w:type="dxa"/>
            <w:tcBorders>
              <w:bottom w:val="single" w:sz="4" w:space="0" w:color="auto"/>
            </w:tcBorders>
            <w:vAlign w:val="center"/>
          </w:tcPr>
          <w:p w14:paraId="4F24C1D1" w14:textId="77777777" w:rsidR="00335EA2" w:rsidRPr="004834D3" w:rsidRDefault="00335EA2" w:rsidP="00523CE2">
            <w:pPr>
              <w:adjustRightInd w:val="0"/>
              <w:snapToGrid w:val="0"/>
              <w:spacing w:line="480" w:lineRule="auto"/>
              <w:jc w:val="center"/>
              <w:rPr>
                <w:rFonts w:cstheme="majorBidi"/>
                <w:spacing w:val="-3"/>
                <w:lang w:eastAsia="ja-JP"/>
              </w:rPr>
            </w:pPr>
            <w:r w:rsidRPr="004834D3">
              <w:rPr>
                <w:rFonts w:cstheme="majorBidi"/>
                <w:spacing w:val="-3"/>
                <w:lang w:eastAsia="ja-JP"/>
              </w:rPr>
              <w:t>0.13 kPa</w:t>
            </w:r>
          </w:p>
        </w:tc>
      </w:tr>
    </w:tbl>
    <w:p w14:paraId="1E7CDED0" w14:textId="2C454F4E" w:rsidR="0003653C" w:rsidRPr="00E56137" w:rsidRDefault="00330C1A" w:rsidP="00700DBA">
      <w:pPr>
        <w:pStyle w:val="Heading3"/>
        <w:numPr>
          <w:ilvl w:val="2"/>
          <w:numId w:val="4"/>
        </w:numPr>
        <w:spacing w:before="480" w:after="0" w:line="480" w:lineRule="auto"/>
        <w:ind w:left="432" w:hanging="432"/>
        <w:rPr>
          <w:rFonts w:eastAsia="MS Mincho"/>
          <w:sz w:val="24"/>
          <w:szCs w:val="24"/>
        </w:rPr>
      </w:pPr>
      <w:bookmarkStart w:id="26" w:name="_Toc172367674"/>
      <w:r w:rsidRPr="00E56137">
        <w:rPr>
          <w:rFonts w:eastAsia="MS Mincho"/>
          <w:sz w:val="24"/>
          <w:szCs w:val="24"/>
        </w:rPr>
        <w:t xml:space="preserve">Refrigeration </w:t>
      </w:r>
      <w:r w:rsidR="00A52A44" w:rsidRPr="00E56137">
        <w:rPr>
          <w:rFonts w:eastAsia="MS Mincho"/>
          <w:sz w:val="24"/>
          <w:szCs w:val="24"/>
        </w:rPr>
        <w:t>U</w:t>
      </w:r>
      <w:r w:rsidRPr="00E56137">
        <w:rPr>
          <w:rFonts w:eastAsia="MS Mincho"/>
          <w:sz w:val="24"/>
          <w:szCs w:val="24"/>
        </w:rPr>
        <w:t>nit</w:t>
      </w:r>
      <w:bookmarkEnd w:id="26"/>
    </w:p>
    <w:p w14:paraId="5DEBF40D" w14:textId="3C2E74FE" w:rsidR="00F00925" w:rsidRDefault="0045379C" w:rsidP="006F2ADB">
      <w:pPr>
        <w:adjustRightInd w:val="0"/>
        <w:snapToGrid w:val="0"/>
        <w:spacing w:before="240" w:after="240" w:line="480" w:lineRule="auto"/>
        <w:jc w:val="both"/>
        <w:rPr>
          <w:rFonts w:eastAsia="MS Mincho" w:cstheme="majorBidi"/>
        </w:rPr>
      </w:pPr>
      <w:r w:rsidRPr="004834D3">
        <w:rPr>
          <w:rFonts w:eastAsia="MS Mincho" w:cstheme="majorBidi"/>
        </w:rPr>
        <w:t xml:space="preserve">The role of the refrigeration unit is to cool </w:t>
      </w:r>
      <w:r w:rsidR="00EF00CA" w:rsidRPr="004834D3">
        <w:rPr>
          <w:rFonts w:eastAsia="MS Mincho" w:cstheme="majorBidi"/>
        </w:rPr>
        <w:t>the ICL</w:t>
      </w:r>
      <w:r w:rsidRPr="004834D3">
        <w:rPr>
          <w:rFonts w:eastAsia="MS Mincho" w:cstheme="majorBidi"/>
        </w:rPr>
        <w:t xml:space="preserve"> to the desired temperature. This unit is composed of several components: a compressor, a condenser, an expansion valve, and an evaporator. The refrigerant used in this system is R404-A. The compressor is a two-stage low-temperature compressor, specifically the Copelametic 2DL3F20KE-TFC model. It operates within an evaporating temperature range of -18°C to -40°C and a condensing temperature range of 4°C to 60°C</w:t>
      </w:r>
      <w:r w:rsidR="00BA2358" w:rsidRPr="004834D3">
        <w:rPr>
          <w:rFonts w:eastAsia="MS Mincho" w:cstheme="majorBidi"/>
        </w:rPr>
        <w:t xml:space="preserve"> </w:t>
      </w:r>
      <w:r w:rsidR="00BA2358" w:rsidRPr="004834D3">
        <w:rPr>
          <w:rFonts w:eastAsia="MS Mincho" w:cstheme="majorBidi"/>
        </w:rPr>
        <w:fldChar w:fldCharType="begin" w:fldLock="1"/>
      </w:r>
      <w:r w:rsidR="00D83446">
        <w:rPr>
          <w:rFonts w:eastAsia="MS Mincho" w:cstheme="majorBidi"/>
        </w:rPr>
        <w:instrText>ADDIN CSL_CITATION {"citationItems":[{"id":"ITEM-1","itemData":{"author":[{"dropping-particle":"","family":"Copeland","given":"","non-dropping-particle":"","parse-names":false,"suffix":""}],"id":"ITEM-1","issued":{"date-parts":[["2010"]]},"page":"1-11","title":"Copelametic ® Two-Stage Compressors Application and Service Instructions","type":"article"},"uris":["http://www.mendeley.com/documents/?uuid=41feb155-7d8a-4250-aa1f-2bad077a9e0d"]}],"mendeley":{"formattedCitation":"[136]","plainTextFormattedCitation":"[136]","previouslyFormattedCitation":"[137]"},"properties":{"noteIndex":0},"schema":"https://github.com/citation-style-language/schema/raw/master/csl-citation.json"}</w:instrText>
      </w:r>
      <w:r w:rsidR="00BA2358" w:rsidRPr="004834D3">
        <w:rPr>
          <w:rFonts w:eastAsia="MS Mincho" w:cstheme="majorBidi"/>
        </w:rPr>
        <w:fldChar w:fldCharType="separate"/>
      </w:r>
      <w:r w:rsidR="00D83446" w:rsidRPr="00D83446">
        <w:rPr>
          <w:rFonts w:eastAsia="MS Mincho" w:cstheme="majorBidi"/>
          <w:noProof/>
        </w:rPr>
        <w:t>[136]</w:t>
      </w:r>
      <w:r w:rsidR="00BA2358" w:rsidRPr="004834D3">
        <w:rPr>
          <w:rFonts w:eastAsia="MS Mincho" w:cstheme="majorBidi"/>
        </w:rPr>
        <w:fldChar w:fldCharType="end"/>
      </w:r>
      <w:r w:rsidRPr="004834D3">
        <w:rPr>
          <w:rFonts w:eastAsia="MS Mincho" w:cstheme="majorBidi"/>
        </w:rPr>
        <w:t xml:space="preserve">. In the current experimental study, the evaporating temperature is maintained between -20°C to -30°C, depending on the required temperature of the ICL. The condensing temperature varies from 30°C to 40°C, influenced by the ambient temperature and the condenser's cooling efficiency.  The nominal power of the compressor under these working conditions ranges from 3.7 kW to 4.8 kW. </w:t>
      </w:r>
    </w:p>
    <w:p w14:paraId="667634AE" w14:textId="1291895F" w:rsidR="0045379C" w:rsidRPr="004834D3" w:rsidRDefault="00D0453A" w:rsidP="006F2ADB">
      <w:pPr>
        <w:adjustRightInd w:val="0"/>
        <w:snapToGrid w:val="0"/>
        <w:spacing w:before="240" w:after="240" w:line="480" w:lineRule="auto"/>
        <w:ind w:firstLine="720"/>
        <w:jc w:val="both"/>
        <w:rPr>
          <w:rFonts w:eastAsia="MS Mincho" w:cstheme="majorBidi"/>
        </w:rPr>
      </w:pPr>
      <w:r w:rsidRPr="004834D3">
        <w:rPr>
          <w:rFonts w:eastAsia="MS Mincho" w:cstheme="majorBidi"/>
        </w:rPr>
        <w:t>The evaporator compartment of the refrigeration unit is a Westermeyer DX5-1 horizontal shell-and-tube heat exchanger</w:t>
      </w:r>
      <w:r w:rsidR="00616A23">
        <w:rPr>
          <w:rFonts w:eastAsia="MS Mincho" w:cstheme="majorBidi"/>
        </w:rPr>
        <w:t xml:space="preserve">, shown </w:t>
      </w:r>
      <w:r w:rsidR="008008F6">
        <w:rPr>
          <w:rFonts w:eastAsia="MS Mincho" w:cstheme="majorBidi"/>
        </w:rPr>
        <w:t xml:space="preserve">in </w:t>
      </w:r>
      <w:r w:rsidR="00616A23">
        <w:rPr>
          <w:rFonts w:eastAsia="MS Mincho" w:cstheme="majorBidi"/>
        </w:rPr>
        <w:t>Fig. 2-2.</w:t>
      </w:r>
      <w:r w:rsidRPr="004834D3">
        <w:rPr>
          <w:rFonts w:eastAsia="MS Mincho" w:cstheme="majorBidi"/>
        </w:rPr>
        <w:t xml:space="preserve"> The shell is constructed from steel and the tubes are made of copper. To enhance the cooling effect, the evaporator is equipped with baffles. </w:t>
      </w:r>
      <w:r w:rsidR="000D748F" w:rsidRPr="004834D3">
        <w:rPr>
          <w:rFonts w:eastAsia="MS Mincho" w:cstheme="majorBidi"/>
        </w:rPr>
        <w:t xml:space="preserve">In the </w:t>
      </w:r>
      <w:r w:rsidR="000D748F" w:rsidRPr="004834D3">
        <w:rPr>
          <w:rFonts w:eastAsia="MS Mincho" w:cstheme="majorBidi"/>
        </w:rPr>
        <w:lastRenderedPageBreak/>
        <w:t xml:space="preserve">heat exchanger, the refrigerant R-404A flows through the tube side, while the ICL flows through the shell side, arranged in a counterflow configuration. </w:t>
      </w:r>
      <w:r w:rsidRPr="004834D3">
        <w:rPr>
          <w:rFonts w:eastAsia="MS Mincho" w:cstheme="majorBidi"/>
        </w:rPr>
        <w:t>The entire outer surface is wrapped in 2 cm of insulation to ensure maximum temperature retention. Additionally, the surface is powder-coated to provide enhanced corrosion resistance</w:t>
      </w:r>
      <w:r w:rsidR="00883787" w:rsidRPr="004834D3">
        <w:rPr>
          <w:rFonts w:eastAsia="MS Mincho" w:cstheme="majorBidi"/>
        </w:rPr>
        <w:t xml:space="preserve"> </w:t>
      </w:r>
      <w:r w:rsidR="00883787" w:rsidRPr="004834D3">
        <w:rPr>
          <w:rFonts w:eastAsia="MS Mincho" w:cstheme="majorBidi"/>
        </w:rPr>
        <w:fldChar w:fldCharType="begin" w:fldLock="1"/>
      </w:r>
      <w:r w:rsidR="00D83446">
        <w:rPr>
          <w:rFonts w:eastAsia="MS Mincho" w:cstheme="majorBidi"/>
        </w:rPr>
        <w:instrText>ADDIN CSL_CITATION {"citationItems":[{"id":"ITEM-1","itemData":{"author":[{"dropping-particle":"","family":"Westermeyer Industries Inc.","given":"","non-dropping-particle":"","parse-names":false,"suffix":""}],"id":"ITEM-1","issued":{"date-parts":[["2018"]]},"page":"114","publisher":"Westermeyer Industries Inc.","title":"Product Catalog: Components for the refrigeration and air conditioning industry","type":"article"},"uris":["http://www.mendeley.com/documents/?uuid=fedfb0e7-ef83-4e28-90dc-8be0ce2a6190"]}],"mendeley":{"formattedCitation":"[137]","plainTextFormattedCitation":"[137]","previouslyFormattedCitation":"[138]"},"properties":{"noteIndex":0},"schema":"https://github.com/citation-style-language/schema/raw/master/csl-citation.json"}</w:instrText>
      </w:r>
      <w:r w:rsidR="00883787" w:rsidRPr="004834D3">
        <w:rPr>
          <w:rFonts w:eastAsia="MS Mincho" w:cstheme="majorBidi"/>
        </w:rPr>
        <w:fldChar w:fldCharType="separate"/>
      </w:r>
      <w:r w:rsidR="00D83446" w:rsidRPr="00D83446">
        <w:rPr>
          <w:rFonts w:eastAsia="MS Mincho" w:cstheme="majorBidi"/>
          <w:noProof/>
        </w:rPr>
        <w:t>[137]</w:t>
      </w:r>
      <w:r w:rsidR="00883787" w:rsidRPr="004834D3">
        <w:rPr>
          <w:rFonts w:eastAsia="MS Mincho" w:cstheme="majorBidi"/>
        </w:rPr>
        <w:fldChar w:fldCharType="end"/>
      </w:r>
      <w:r w:rsidRPr="004834D3">
        <w:rPr>
          <w:rFonts w:eastAsia="MS Mincho" w:cstheme="majorBidi"/>
        </w:rPr>
        <w:t xml:space="preserve">. This heat exchanger measures 0.9 m in length and has an internal diameter of 0.1 m. The evaporator has a nominal cooling capacity of 6.1 tons, which is equivalent to 21 kW. </w:t>
      </w:r>
      <w:r w:rsidR="000D748F" w:rsidRPr="004834D3">
        <w:rPr>
          <w:rFonts w:eastAsia="MS Mincho" w:cstheme="majorBidi"/>
        </w:rPr>
        <w:t xml:space="preserve">The cooling capacity of the refrigeration system was regulated by adjusting the electronic expansion valve opening via a LabVIEW graphical user interface, allowing precise control to achieve the desired cooling temperature. During operation, the refrigerant flow rate and temperatures at both the inlet and outlet of the evaporator and condenser were continuously monitored and recorded. </w:t>
      </w:r>
    </w:p>
    <w:p w14:paraId="23C07B19" w14:textId="04BBDDE7" w:rsidR="00CC011F" w:rsidRDefault="00CC011F" w:rsidP="006F2ADB">
      <w:pPr>
        <w:adjustRightInd w:val="0"/>
        <w:snapToGrid w:val="0"/>
        <w:spacing w:before="240" w:after="240" w:line="480" w:lineRule="auto"/>
        <w:ind w:firstLine="720"/>
        <w:jc w:val="both"/>
        <w:rPr>
          <w:rFonts w:eastAsia="MS Mincho" w:cstheme="majorBidi"/>
        </w:rPr>
      </w:pPr>
      <w:r w:rsidRPr="004834D3">
        <w:rPr>
          <w:rFonts w:eastAsia="MS Mincho" w:cstheme="majorBidi"/>
        </w:rPr>
        <w:t>The condenser of the refrigeration system is constructed from a 4.5</w:t>
      </w:r>
      <w:r w:rsidR="00A47ECC">
        <w:rPr>
          <w:rFonts w:eastAsia="MS Mincho" w:cstheme="majorBidi"/>
        </w:rPr>
        <w:t xml:space="preserve"> m</w:t>
      </w:r>
      <w:r w:rsidRPr="004834D3">
        <w:rPr>
          <w:rFonts w:eastAsia="MS Mincho" w:cstheme="majorBidi"/>
        </w:rPr>
        <w:t xml:space="preserve"> copper tube with an inner diameter of </w:t>
      </w:r>
      <w:r w:rsidR="00A47ECC">
        <w:rPr>
          <w:rFonts w:eastAsia="MS Mincho" w:cstheme="majorBidi"/>
        </w:rPr>
        <w:t>1</w:t>
      </w:r>
      <w:r w:rsidRPr="004834D3">
        <w:rPr>
          <w:rFonts w:eastAsia="MS Mincho" w:cstheme="majorBidi"/>
        </w:rPr>
        <w:t xml:space="preserve"> </w:t>
      </w:r>
      <w:r w:rsidR="00A47ECC">
        <w:rPr>
          <w:rFonts w:eastAsia="MS Mincho" w:cstheme="majorBidi"/>
        </w:rPr>
        <w:t>c</w:t>
      </w:r>
      <w:r w:rsidRPr="004834D3">
        <w:rPr>
          <w:rFonts w:eastAsia="MS Mincho" w:cstheme="majorBidi"/>
        </w:rPr>
        <w:t>m. This tube is coiled into a length of 0.5 m, forming nine loops, and is submerged in a water tank. To dissipate the excess heat, cold water is introduced into the tank, and heated water is expelled. While the flow rate and temperature of the incoming water were not measured during the condenser cooling process, the temperatures at the inlet and outlet of the condenser were continuously monitored. This monitoring ensured that the temperatures remained within the operational range of the compressor.</w:t>
      </w:r>
    </w:p>
    <w:p w14:paraId="2A979564" w14:textId="77777777" w:rsidR="009F3E5E" w:rsidRPr="004834D3" w:rsidRDefault="009F3E5E" w:rsidP="009F3E5E">
      <w:pPr>
        <w:adjustRightInd w:val="0"/>
        <w:snapToGrid w:val="0"/>
        <w:spacing w:before="240" w:after="240" w:line="480" w:lineRule="auto"/>
        <w:ind w:firstLine="720"/>
        <w:jc w:val="both"/>
        <w:rPr>
          <w:rFonts w:eastAsia="MS Mincho"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9"/>
      </w:tblGrid>
      <w:tr w:rsidR="00561BBC" w:rsidRPr="004834D3" w14:paraId="75974DA9" w14:textId="77777777" w:rsidTr="00E51B90">
        <w:tc>
          <w:tcPr>
            <w:tcW w:w="9239" w:type="dxa"/>
          </w:tcPr>
          <w:p w14:paraId="241C87ED" w14:textId="77777777" w:rsidR="00561BBC" w:rsidRPr="004834D3" w:rsidRDefault="00561BBC" w:rsidP="006F2ADB">
            <w:pPr>
              <w:adjustRightInd w:val="0"/>
              <w:snapToGrid w:val="0"/>
              <w:spacing w:line="480" w:lineRule="auto"/>
              <w:jc w:val="center"/>
              <w:rPr>
                <w:rFonts w:cstheme="majorBidi"/>
              </w:rPr>
            </w:pPr>
            <w:r w:rsidRPr="004834D3">
              <w:rPr>
                <w:rFonts w:cstheme="majorBidi"/>
                <w:noProof/>
              </w:rPr>
              <w:lastRenderedPageBreak/>
              <w:drawing>
                <wp:inline distT="0" distB="0" distL="0" distR="0" wp14:anchorId="3D997C0F" wp14:editId="5A98603B">
                  <wp:extent cx="5729605" cy="1524000"/>
                  <wp:effectExtent l="0" t="0" r="0" b="0"/>
                  <wp:docPr id="1233502163" name="Picture 123350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729605" cy="1524000"/>
                          </a:xfrm>
                          <a:prstGeom prst="rect">
                            <a:avLst/>
                          </a:prstGeom>
                          <a:noFill/>
                          <a:ln>
                            <a:noFill/>
                          </a:ln>
                        </pic:spPr>
                      </pic:pic>
                    </a:graphicData>
                  </a:graphic>
                </wp:inline>
              </w:drawing>
            </w:r>
          </w:p>
        </w:tc>
      </w:tr>
      <w:tr w:rsidR="00561BBC" w:rsidRPr="004834D3" w14:paraId="21209143" w14:textId="77777777" w:rsidTr="00E51B90">
        <w:tc>
          <w:tcPr>
            <w:tcW w:w="9239" w:type="dxa"/>
          </w:tcPr>
          <w:p w14:paraId="488B3FEF" w14:textId="2B9ABBD7" w:rsidR="00561BBC" w:rsidRPr="00B73824" w:rsidRDefault="00F00925" w:rsidP="006F2ADB">
            <w:pPr>
              <w:pStyle w:val="Caption"/>
              <w:spacing w:before="0" w:after="0" w:line="480" w:lineRule="auto"/>
              <w:jc w:val="center"/>
            </w:pPr>
            <w:bookmarkStart w:id="27" w:name="_Toc168778544"/>
            <w:bookmarkStart w:id="28" w:name="_Toc172708810"/>
            <w:r w:rsidRPr="00F00925">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2</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2</w:t>
            </w:r>
            <w:r w:rsidR="00996526">
              <w:rPr>
                <w:b/>
                <w:bCs/>
              </w:rPr>
              <w:fldChar w:fldCharType="end"/>
            </w:r>
            <w:r w:rsidR="00561BBC" w:rsidRPr="004834D3">
              <w:rPr>
                <w:rFonts w:cstheme="majorBidi"/>
              </w:rPr>
              <w:t xml:space="preserve"> The shell-and-tube heat exchanger and the ICL and refrigerant (R404-A) inlets and outlets</w:t>
            </w:r>
            <w:bookmarkEnd w:id="27"/>
            <w:r>
              <w:rPr>
                <w:rFonts w:cstheme="majorBidi"/>
              </w:rPr>
              <w:t>.</w:t>
            </w:r>
            <w:bookmarkEnd w:id="28"/>
          </w:p>
        </w:tc>
      </w:tr>
    </w:tbl>
    <w:p w14:paraId="5D2270BF" w14:textId="6154118E" w:rsidR="00295FA4" w:rsidRPr="00E56137" w:rsidRDefault="009104EF" w:rsidP="00700DBA">
      <w:pPr>
        <w:pStyle w:val="Heading3"/>
        <w:numPr>
          <w:ilvl w:val="2"/>
          <w:numId w:val="4"/>
        </w:numPr>
        <w:spacing w:before="480" w:after="0" w:line="480" w:lineRule="auto"/>
        <w:ind w:left="432" w:hanging="432"/>
        <w:rPr>
          <w:rFonts w:eastAsia="MS Mincho"/>
          <w:sz w:val="24"/>
          <w:szCs w:val="24"/>
        </w:rPr>
      </w:pPr>
      <w:bookmarkStart w:id="29" w:name="_Toc172367675"/>
      <w:r w:rsidRPr="00E56137">
        <w:rPr>
          <w:rFonts w:eastAsia="MS Mincho"/>
          <w:sz w:val="24"/>
          <w:szCs w:val="24"/>
        </w:rPr>
        <w:t xml:space="preserve">Brine </w:t>
      </w:r>
      <w:r w:rsidR="00252A39" w:rsidRPr="00E56137">
        <w:rPr>
          <w:rFonts w:eastAsia="MS Mincho"/>
          <w:sz w:val="24"/>
          <w:szCs w:val="24"/>
        </w:rPr>
        <w:t>P</w:t>
      </w:r>
      <w:r w:rsidRPr="00E56137">
        <w:rPr>
          <w:rFonts w:eastAsia="MS Mincho"/>
          <w:sz w:val="24"/>
          <w:szCs w:val="24"/>
        </w:rPr>
        <w:t>reparation</w:t>
      </w:r>
      <w:bookmarkEnd w:id="29"/>
    </w:p>
    <w:p w14:paraId="70ED62CB" w14:textId="134FE76F" w:rsidR="00A47ECC" w:rsidRDefault="000D4D58" w:rsidP="006F2ADB">
      <w:pPr>
        <w:adjustRightInd w:val="0"/>
        <w:snapToGrid w:val="0"/>
        <w:spacing w:before="240" w:after="240" w:line="480" w:lineRule="auto"/>
        <w:jc w:val="both"/>
        <w:rPr>
          <w:rFonts w:eastAsia="MS Mincho" w:cstheme="majorBidi"/>
        </w:rPr>
      </w:pPr>
      <w:r w:rsidRPr="004834D3">
        <w:rPr>
          <w:rFonts w:eastAsia="MS Mincho" w:cstheme="majorBidi"/>
        </w:rPr>
        <w:t>The first step in the desalination unit involves preparing the brine with the desired salinity. For this experimental study, brine was prepared by gradually adding regular table salt to tap water, which initially had a TDS level of approximately 250 ppm. The salt was added incrementally, with thorough mixing to ensure uniformity. The TDS of the resulting feed brine was measured using a Hanna Instruments HI2300 TDS meter. This device measures electrical conductivity (EC), TDS, sodium chloride (NaCl), and temperature. The HI2300 can measure TDS levels ranging from 0 g/L to 400 g/L, with a resolution that varies from 0.001 ppm to 100 ppm depending on the solution's TDS. The accuracy of the device is within 1% of the reading. Additionally, it measures temperature within a range of -20°C to 120°C, with a resolution of 0.1°C and an accuracy of 0.4°C. Salt was continuously added and mixed until the desired TDS level was achieved, as confirmed by the HI2300 instrument.</w:t>
      </w:r>
    </w:p>
    <w:p w14:paraId="38DB2DCF" w14:textId="062F1843" w:rsidR="00D30DEE" w:rsidRPr="004834D3" w:rsidRDefault="00694306" w:rsidP="006F2ADB">
      <w:pPr>
        <w:adjustRightInd w:val="0"/>
        <w:snapToGrid w:val="0"/>
        <w:spacing w:before="240" w:after="240" w:line="480" w:lineRule="auto"/>
        <w:ind w:firstLine="720"/>
        <w:jc w:val="both"/>
        <w:rPr>
          <w:rFonts w:eastAsia="MS Mincho" w:cstheme="majorBidi"/>
        </w:rPr>
      </w:pPr>
      <w:r w:rsidRPr="004834D3">
        <w:rPr>
          <w:rFonts w:eastAsia="MS Mincho" w:cstheme="majorBidi"/>
        </w:rPr>
        <w:t>The elemental composition of table salt was thoroughly analyzed using Scanning Electron Microscopy (SEM) for high-resolution imaging and Energy Dispersive X-ray Spectroscopy (EDX) for detailed elemental analysis. The SEM analysis was conducted with the Thermo Quattro S field-</w:t>
      </w:r>
      <w:r w:rsidRPr="004834D3">
        <w:rPr>
          <w:rFonts w:eastAsia="MS Mincho" w:cstheme="majorBidi"/>
        </w:rPr>
        <w:lastRenderedPageBreak/>
        <w:t xml:space="preserve">emission environmental Scanning Electron Microscope (FE-ESEM) at the Samuel Roberts Noble Microscopy Laboratory (SRNML) at the University of Oklahoma. A detailed and colorful image of the solid salt obtained from this microscope is displayed in Fig. </w:t>
      </w:r>
      <w:r w:rsidR="00A47ECC">
        <w:rPr>
          <w:rFonts w:eastAsia="MS Mincho" w:cstheme="majorBidi"/>
        </w:rPr>
        <w:t>2-3</w:t>
      </w:r>
      <w:r w:rsidRPr="004834D3">
        <w:rPr>
          <w:rFonts w:eastAsia="MS Mincho" w:cstheme="majorBidi"/>
        </w:rPr>
        <w:t xml:space="preserve">. The EDX analysis provided a comprehensive assessment of the average elemental composition across the five regions highlighted in Fig. </w:t>
      </w:r>
      <w:r w:rsidR="00A47ECC">
        <w:rPr>
          <w:rFonts w:eastAsia="MS Mincho" w:cstheme="majorBidi"/>
        </w:rPr>
        <w:t>2-3</w:t>
      </w:r>
      <w:r w:rsidRPr="004834D3">
        <w:rPr>
          <w:rFonts w:eastAsia="MS Mincho" w:cstheme="majorBidi"/>
        </w:rPr>
        <w:t xml:space="preserve">, with the results summarized in Table </w:t>
      </w:r>
      <w:r w:rsidR="00A47ECC">
        <w:rPr>
          <w:rFonts w:eastAsia="MS Mincho" w:cstheme="majorBidi"/>
        </w:rPr>
        <w:t>2-1</w:t>
      </w:r>
      <w:r w:rsidRPr="004834D3">
        <w:rPr>
          <w:rFonts w:eastAsia="MS Mincho" w:cstheme="majorBidi"/>
        </w:rPr>
        <w:t xml:space="preserve">. The data </w:t>
      </w:r>
      <w:r w:rsidR="00A47ECC" w:rsidRPr="004834D3">
        <w:rPr>
          <w:rFonts w:eastAsia="MS Mincho" w:cstheme="majorBidi"/>
        </w:rPr>
        <w:t>indicates</w:t>
      </w:r>
      <w:r w:rsidRPr="004834D3">
        <w:rPr>
          <w:rFonts w:eastAsia="MS Mincho" w:cstheme="majorBidi"/>
        </w:rPr>
        <w:t xml:space="preserve"> that while trace amounts of various elements such as Carbon (C), Oxygen (O), and Molybdenum (Mo) are present in the salt sample, sodium chloride (NaCl) constitutes the majority, accounting for nearly 96% of the total mass. This high concentration of NaCl is consistent with the expected composition of table salt, showing the accuracy and reliability of the SEM-EDX analytical methods used in this study</w:t>
      </w:r>
      <w:r w:rsidR="00A47ECC">
        <w:rPr>
          <w:rFonts w:eastAsia="MS Mincho"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32C7D" w:rsidRPr="004834D3" w14:paraId="1CE75231" w14:textId="77777777" w:rsidTr="00A47ECC">
        <w:tc>
          <w:tcPr>
            <w:tcW w:w="9350" w:type="dxa"/>
          </w:tcPr>
          <w:p w14:paraId="28854CFD" w14:textId="30BA4560" w:rsidR="00432C7D" w:rsidRPr="004834D3" w:rsidRDefault="00432C7D" w:rsidP="006F2ADB">
            <w:pPr>
              <w:adjustRightInd w:val="0"/>
              <w:snapToGrid w:val="0"/>
              <w:spacing w:before="240" w:after="240" w:line="480" w:lineRule="auto"/>
              <w:jc w:val="both"/>
              <w:rPr>
                <w:rFonts w:eastAsia="MS Mincho" w:cstheme="majorBidi"/>
              </w:rPr>
            </w:pPr>
            <w:r w:rsidRPr="004834D3">
              <w:rPr>
                <w:rFonts w:cstheme="majorBidi"/>
                <w:noProof/>
                <w:kern w:val="0"/>
              </w:rPr>
              <w:drawing>
                <wp:anchor distT="0" distB="0" distL="114300" distR="114300" simplePos="0" relativeHeight="251663360" behindDoc="0" locked="0" layoutInCell="1" allowOverlap="1" wp14:anchorId="2A74FF84" wp14:editId="04575E4F">
                  <wp:simplePos x="987748" y="919290"/>
                  <wp:positionH relativeFrom="margin">
                    <wp:align>center</wp:align>
                  </wp:positionH>
                  <wp:positionV relativeFrom="margin">
                    <wp:align>center</wp:align>
                  </wp:positionV>
                  <wp:extent cx="3860198" cy="2743200"/>
                  <wp:effectExtent l="0" t="0" r="6985" b="0"/>
                  <wp:wrapSquare wrapText="bothSides"/>
                  <wp:docPr id="213848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860198"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32C7D" w:rsidRPr="004834D3" w14:paraId="151914B7" w14:textId="77777777" w:rsidTr="00A47ECC">
        <w:tc>
          <w:tcPr>
            <w:tcW w:w="9350" w:type="dxa"/>
          </w:tcPr>
          <w:p w14:paraId="7148E8D5" w14:textId="07C44675" w:rsidR="00432C7D" w:rsidRPr="00252A39" w:rsidRDefault="00A47ECC" w:rsidP="006F2ADB">
            <w:pPr>
              <w:keepNext/>
              <w:adjustRightInd w:val="0"/>
              <w:snapToGrid w:val="0"/>
              <w:spacing w:before="240" w:after="240" w:line="480" w:lineRule="auto"/>
              <w:jc w:val="center"/>
              <w:rPr>
                <w:rFonts w:eastAsia="MS Mincho" w:cstheme="majorBidi"/>
              </w:rPr>
            </w:pPr>
            <w:bookmarkStart w:id="30" w:name="_Toc168778545"/>
            <w:bookmarkStart w:id="31" w:name="_Toc172708811"/>
            <w:r w:rsidRPr="00A47ECC">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2</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3</w:t>
            </w:r>
            <w:r w:rsidR="00996526">
              <w:rPr>
                <w:b/>
                <w:bCs/>
              </w:rPr>
              <w:fldChar w:fldCharType="end"/>
            </w:r>
            <w:r w:rsidR="00252A39" w:rsidRPr="00252A39">
              <w:rPr>
                <w:rFonts w:cstheme="majorBidi"/>
              </w:rPr>
              <w:t xml:space="preserve"> Scanning electron microscopy image of salt crystals</w:t>
            </w:r>
            <w:bookmarkEnd w:id="30"/>
            <w:r>
              <w:rPr>
                <w:rFonts w:cstheme="majorBidi"/>
              </w:rPr>
              <w:t>.</w:t>
            </w:r>
            <w:bookmarkEnd w:id="31"/>
          </w:p>
        </w:tc>
      </w:tr>
    </w:tbl>
    <w:p w14:paraId="39BA4D37" w14:textId="77777777" w:rsidR="00A47ECC" w:rsidRDefault="00A47ECC" w:rsidP="00A47ECC"/>
    <w:p w14:paraId="6B4512DF" w14:textId="77777777" w:rsidR="009F3E5E" w:rsidRDefault="009F3E5E" w:rsidP="00A47ECC"/>
    <w:p w14:paraId="6200953F" w14:textId="77777777" w:rsidR="00A47ECC" w:rsidRPr="00A47ECC" w:rsidRDefault="00A47ECC" w:rsidP="00A47ECC"/>
    <w:tbl>
      <w:tblPr>
        <w:tblStyle w:val="TableGrid"/>
        <w:tblW w:w="9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3"/>
        <w:gridCol w:w="4622"/>
      </w:tblGrid>
      <w:tr w:rsidR="00223915" w:rsidRPr="004834D3" w14:paraId="7DD72C5E" w14:textId="77777777" w:rsidTr="00A47ECC">
        <w:trPr>
          <w:trHeight w:val="288"/>
        </w:trPr>
        <w:tc>
          <w:tcPr>
            <w:tcW w:w="9245" w:type="dxa"/>
            <w:gridSpan w:val="2"/>
            <w:tcBorders>
              <w:bottom w:val="single" w:sz="4" w:space="0" w:color="auto"/>
            </w:tcBorders>
          </w:tcPr>
          <w:p w14:paraId="19C035A8" w14:textId="574F1167" w:rsidR="00223915" w:rsidRPr="00252A39" w:rsidRDefault="00252A39" w:rsidP="006F2ADB">
            <w:pPr>
              <w:spacing w:line="480" w:lineRule="auto"/>
              <w:jc w:val="center"/>
              <w:rPr>
                <w:rFonts w:cstheme="majorBidi"/>
              </w:rPr>
            </w:pPr>
            <w:bookmarkStart w:id="32" w:name="_Toc172708775"/>
            <w:r w:rsidRPr="00A47ECC">
              <w:rPr>
                <w:rFonts w:cstheme="majorBidi"/>
                <w:b/>
                <w:bCs/>
              </w:rPr>
              <w:lastRenderedPageBreak/>
              <w:t xml:space="preserve">Table </w:t>
            </w:r>
            <w:r w:rsidR="00015A16">
              <w:rPr>
                <w:rFonts w:cstheme="majorBidi"/>
                <w:b/>
                <w:bCs/>
              </w:rPr>
              <w:fldChar w:fldCharType="begin"/>
            </w:r>
            <w:r w:rsidR="00015A16">
              <w:rPr>
                <w:rFonts w:cstheme="majorBidi"/>
                <w:b/>
                <w:bCs/>
              </w:rPr>
              <w:instrText xml:space="preserve"> STYLEREF 1 \s </w:instrText>
            </w:r>
            <w:r w:rsidR="00015A16">
              <w:rPr>
                <w:rFonts w:cstheme="majorBidi"/>
                <w:b/>
                <w:bCs/>
              </w:rPr>
              <w:fldChar w:fldCharType="separate"/>
            </w:r>
            <w:r w:rsidR="00732AAC">
              <w:rPr>
                <w:rFonts w:cstheme="majorBidi"/>
                <w:b/>
                <w:bCs/>
                <w:noProof/>
                <w:cs/>
              </w:rPr>
              <w:t>‎</w:t>
            </w:r>
            <w:r w:rsidR="00732AAC">
              <w:rPr>
                <w:rFonts w:cstheme="majorBidi"/>
                <w:b/>
                <w:bCs/>
                <w:noProof/>
              </w:rPr>
              <w:t>2</w:t>
            </w:r>
            <w:r w:rsidR="00015A16">
              <w:rPr>
                <w:rFonts w:cstheme="majorBidi"/>
                <w:b/>
                <w:bCs/>
              </w:rPr>
              <w:fldChar w:fldCharType="end"/>
            </w:r>
            <w:r w:rsidR="00015A16">
              <w:rPr>
                <w:rFonts w:cstheme="majorBidi"/>
                <w:b/>
                <w:bCs/>
              </w:rPr>
              <w:noBreakHyphen/>
            </w:r>
            <w:r w:rsidR="00015A16">
              <w:rPr>
                <w:rFonts w:cstheme="majorBidi"/>
                <w:b/>
                <w:bCs/>
              </w:rPr>
              <w:fldChar w:fldCharType="begin"/>
            </w:r>
            <w:r w:rsidR="00015A16">
              <w:rPr>
                <w:rFonts w:cstheme="majorBidi"/>
                <w:b/>
                <w:bCs/>
              </w:rPr>
              <w:instrText xml:space="preserve"> SEQ Table \* ARABIC \s 1 </w:instrText>
            </w:r>
            <w:r w:rsidR="00015A16">
              <w:rPr>
                <w:rFonts w:cstheme="majorBidi"/>
                <w:b/>
                <w:bCs/>
              </w:rPr>
              <w:fldChar w:fldCharType="separate"/>
            </w:r>
            <w:r w:rsidR="00732AAC">
              <w:rPr>
                <w:rFonts w:cstheme="majorBidi"/>
                <w:b/>
                <w:bCs/>
                <w:noProof/>
              </w:rPr>
              <w:t>2</w:t>
            </w:r>
            <w:r w:rsidR="00015A16">
              <w:rPr>
                <w:rFonts w:cstheme="majorBidi"/>
                <w:b/>
                <w:bCs/>
              </w:rPr>
              <w:fldChar w:fldCharType="end"/>
            </w:r>
            <w:r w:rsidRPr="00252A39">
              <w:rPr>
                <w:rFonts w:cstheme="majorBidi"/>
              </w:rPr>
              <w:t xml:space="preserve"> </w:t>
            </w:r>
            <w:r w:rsidR="00223915" w:rsidRPr="00252A39">
              <w:rPr>
                <w:rFonts w:cstheme="majorBidi"/>
              </w:rPr>
              <w:t>T</w:t>
            </w:r>
            <w:r w:rsidR="007076A4" w:rsidRPr="00252A39">
              <w:rPr>
                <w:rFonts w:cstheme="majorBidi"/>
              </w:rPr>
              <w:t>he</w:t>
            </w:r>
            <w:r w:rsidR="00223915" w:rsidRPr="00252A39">
              <w:rPr>
                <w:rFonts w:cstheme="majorBidi"/>
              </w:rPr>
              <w:t xml:space="preserve"> EDX analysis of the salt</w:t>
            </w:r>
            <w:r w:rsidR="00A47ECC">
              <w:rPr>
                <w:rFonts w:cstheme="majorBidi"/>
              </w:rPr>
              <w:t>.</w:t>
            </w:r>
            <w:bookmarkEnd w:id="32"/>
          </w:p>
        </w:tc>
      </w:tr>
      <w:tr w:rsidR="00223915" w:rsidRPr="004834D3" w14:paraId="71F0C069" w14:textId="77777777" w:rsidTr="00A47ECC">
        <w:trPr>
          <w:trHeight w:val="288"/>
        </w:trPr>
        <w:tc>
          <w:tcPr>
            <w:tcW w:w="4623" w:type="dxa"/>
            <w:tcBorders>
              <w:top w:val="single" w:sz="4" w:space="0" w:color="auto"/>
              <w:bottom w:val="single" w:sz="4" w:space="0" w:color="auto"/>
            </w:tcBorders>
          </w:tcPr>
          <w:p w14:paraId="42CE1725" w14:textId="77777777" w:rsidR="00223915" w:rsidRPr="004834D3" w:rsidRDefault="00223915" w:rsidP="006F2ADB">
            <w:pPr>
              <w:spacing w:before="240" w:line="480" w:lineRule="auto"/>
              <w:jc w:val="center"/>
              <w:rPr>
                <w:rFonts w:cstheme="majorBidi"/>
                <w:b/>
                <w:bCs/>
              </w:rPr>
            </w:pPr>
            <w:r w:rsidRPr="004834D3">
              <w:rPr>
                <w:rFonts w:cstheme="majorBidi"/>
                <w:b/>
                <w:bCs/>
              </w:rPr>
              <w:t>Component</w:t>
            </w:r>
          </w:p>
        </w:tc>
        <w:tc>
          <w:tcPr>
            <w:tcW w:w="4622" w:type="dxa"/>
            <w:tcBorders>
              <w:top w:val="single" w:sz="4" w:space="0" w:color="auto"/>
              <w:left w:val="nil"/>
              <w:bottom w:val="single" w:sz="4" w:space="0" w:color="auto"/>
            </w:tcBorders>
          </w:tcPr>
          <w:p w14:paraId="775AD02A" w14:textId="77777777" w:rsidR="00223915" w:rsidRPr="004834D3" w:rsidRDefault="00223915" w:rsidP="006F2ADB">
            <w:pPr>
              <w:spacing w:before="240" w:line="480" w:lineRule="auto"/>
              <w:jc w:val="center"/>
              <w:rPr>
                <w:rFonts w:cstheme="majorBidi"/>
                <w:b/>
                <w:bCs/>
              </w:rPr>
            </w:pPr>
            <w:r w:rsidRPr="004834D3">
              <w:rPr>
                <w:rFonts w:cstheme="majorBidi"/>
                <w:b/>
                <w:bCs/>
              </w:rPr>
              <w:t>Weight percentage</w:t>
            </w:r>
          </w:p>
        </w:tc>
      </w:tr>
      <w:tr w:rsidR="00223915" w:rsidRPr="004834D3" w14:paraId="5B8A4F5B" w14:textId="77777777" w:rsidTr="00A47ECC">
        <w:trPr>
          <w:trHeight w:val="288"/>
        </w:trPr>
        <w:tc>
          <w:tcPr>
            <w:tcW w:w="4623" w:type="dxa"/>
            <w:tcBorders>
              <w:top w:val="single" w:sz="4" w:space="0" w:color="auto"/>
            </w:tcBorders>
          </w:tcPr>
          <w:p w14:paraId="3C125E60" w14:textId="77777777" w:rsidR="00223915" w:rsidRPr="004834D3" w:rsidRDefault="00223915" w:rsidP="002A0243">
            <w:pPr>
              <w:spacing w:before="240" w:line="480" w:lineRule="auto"/>
              <w:jc w:val="center"/>
              <w:rPr>
                <w:rFonts w:cstheme="majorBidi"/>
              </w:rPr>
            </w:pPr>
            <w:r w:rsidRPr="004834D3">
              <w:rPr>
                <w:rFonts w:cstheme="majorBidi"/>
              </w:rPr>
              <w:t>C</w:t>
            </w:r>
          </w:p>
        </w:tc>
        <w:tc>
          <w:tcPr>
            <w:tcW w:w="4622" w:type="dxa"/>
            <w:tcBorders>
              <w:top w:val="single" w:sz="4" w:space="0" w:color="auto"/>
              <w:left w:val="nil"/>
            </w:tcBorders>
          </w:tcPr>
          <w:p w14:paraId="27BB67D0" w14:textId="77777777" w:rsidR="00223915" w:rsidRPr="004834D3" w:rsidRDefault="00223915" w:rsidP="002A0243">
            <w:pPr>
              <w:spacing w:before="240" w:line="480" w:lineRule="auto"/>
              <w:jc w:val="center"/>
              <w:rPr>
                <w:rFonts w:cstheme="majorBidi"/>
              </w:rPr>
            </w:pPr>
            <w:r w:rsidRPr="004834D3">
              <w:rPr>
                <w:rFonts w:cstheme="majorBidi"/>
              </w:rPr>
              <w:t>2.6 %</w:t>
            </w:r>
          </w:p>
        </w:tc>
      </w:tr>
      <w:tr w:rsidR="00223915" w:rsidRPr="004834D3" w14:paraId="1220BC32" w14:textId="77777777" w:rsidTr="009A4AF3">
        <w:trPr>
          <w:trHeight w:val="288"/>
        </w:trPr>
        <w:tc>
          <w:tcPr>
            <w:tcW w:w="4623" w:type="dxa"/>
          </w:tcPr>
          <w:p w14:paraId="64134A1F" w14:textId="77777777" w:rsidR="00223915" w:rsidRPr="004834D3" w:rsidRDefault="00223915" w:rsidP="006F2ADB">
            <w:pPr>
              <w:spacing w:line="480" w:lineRule="auto"/>
              <w:jc w:val="center"/>
              <w:rPr>
                <w:rFonts w:cstheme="majorBidi"/>
              </w:rPr>
            </w:pPr>
            <w:r w:rsidRPr="004834D3">
              <w:rPr>
                <w:rFonts w:cstheme="majorBidi"/>
              </w:rPr>
              <w:t>O</w:t>
            </w:r>
          </w:p>
        </w:tc>
        <w:tc>
          <w:tcPr>
            <w:tcW w:w="4622" w:type="dxa"/>
            <w:tcBorders>
              <w:left w:val="nil"/>
            </w:tcBorders>
          </w:tcPr>
          <w:p w14:paraId="530F6EF6" w14:textId="77777777" w:rsidR="00223915" w:rsidRPr="004834D3" w:rsidRDefault="00223915" w:rsidP="006F2ADB">
            <w:pPr>
              <w:spacing w:line="480" w:lineRule="auto"/>
              <w:jc w:val="center"/>
              <w:rPr>
                <w:rFonts w:cstheme="majorBidi"/>
              </w:rPr>
            </w:pPr>
            <w:r w:rsidRPr="004834D3">
              <w:rPr>
                <w:rFonts w:cstheme="majorBidi"/>
              </w:rPr>
              <w:t>1.4 %</w:t>
            </w:r>
          </w:p>
        </w:tc>
      </w:tr>
      <w:tr w:rsidR="00223915" w:rsidRPr="004834D3" w14:paraId="0A6FAE31" w14:textId="77777777" w:rsidTr="009A4AF3">
        <w:trPr>
          <w:trHeight w:val="288"/>
        </w:trPr>
        <w:tc>
          <w:tcPr>
            <w:tcW w:w="4623" w:type="dxa"/>
          </w:tcPr>
          <w:p w14:paraId="0CE08210" w14:textId="77777777" w:rsidR="00223915" w:rsidRPr="004834D3" w:rsidRDefault="00223915" w:rsidP="006F2ADB">
            <w:pPr>
              <w:spacing w:line="480" w:lineRule="auto"/>
              <w:jc w:val="center"/>
              <w:rPr>
                <w:rFonts w:cstheme="majorBidi"/>
              </w:rPr>
            </w:pPr>
            <w:r w:rsidRPr="004834D3">
              <w:rPr>
                <w:rFonts w:cstheme="majorBidi"/>
              </w:rPr>
              <w:t>Na</w:t>
            </w:r>
          </w:p>
        </w:tc>
        <w:tc>
          <w:tcPr>
            <w:tcW w:w="4622" w:type="dxa"/>
            <w:tcBorders>
              <w:left w:val="nil"/>
            </w:tcBorders>
          </w:tcPr>
          <w:p w14:paraId="1BEA669F" w14:textId="77777777" w:rsidR="00223915" w:rsidRPr="004834D3" w:rsidRDefault="00223915" w:rsidP="006F2ADB">
            <w:pPr>
              <w:spacing w:line="480" w:lineRule="auto"/>
              <w:jc w:val="center"/>
              <w:rPr>
                <w:rFonts w:cstheme="majorBidi"/>
              </w:rPr>
            </w:pPr>
            <w:r w:rsidRPr="004834D3">
              <w:rPr>
                <w:rFonts w:cstheme="majorBidi"/>
              </w:rPr>
              <w:t>37.4 %</w:t>
            </w:r>
          </w:p>
        </w:tc>
      </w:tr>
      <w:tr w:rsidR="00223915" w:rsidRPr="004834D3" w14:paraId="5E7E2176" w14:textId="77777777" w:rsidTr="009A4AF3">
        <w:trPr>
          <w:trHeight w:val="288"/>
        </w:trPr>
        <w:tc>
          <w:tcPr>
            <w:tcW w:w="4623" w:type="dxa"/>
          </w:tcPr>
          <w:p w14:paraId="797A4BC3" w14:textId="77777777" w:rsidR="00223915" w:rsidRPr="004834D3" w:rsidRDefault="00223915" w:rsidP="006F2ADB">
            <w:pPr>
              <w:spacing w:line="480" w:lineRule="auto"/>
              <w:jc w:val="center"/>
              <w:rPr>
                <w:rFonts w:cstheme="majorBidi"/>
              </w:rPr>
            </w:pPr>
            <w:r w:rsidRPr="004834D3">
              <w:rPr>
                <w:rFonts w:cstheme="majorBidi"/>
              </w:rPr>
              <w:t>Cl</w:t>
            </w:r>
          </w:p>
        </w:tc>
        <w:tc>
          <w:tcPr>
            <w:tcW w:w="4622" w:type="dxa"/>
            <w:tcBorders>
              <w:left w:val="nil"/>
            </w:tcBorders>
          </w:tcPr>
          <w:p w14:paraId="63B9805B" w14:textId="77777777" w:rsidR="00223915" w:rsidRPr="004834D3" w:rsidRDefault="00223915" w:rsidP="006F2ADB">
            <w:pPr>
              <w:spacing w:line="480" w:lineRule="auto"/>
              <w:jc w:val="center"/>
              <w:rPr>
                <w:rFonts w:cstheme="majorBidi"/>
              </w:rPr>
            </w:pPr>
            <w:r w:rsidRPr="004834D3">
              <w:rPr>
                <w:rFonts w:cstheme="majorBidi"/>
              </w:rPr>
              <w:t xml:space="preserve"> 58.5 %</w:t>
            </w:r>
          </w:p>
        </w:tc>
      </w:tr>
      <w:tr w:rsidR="00223915" w:rsidRPr="004834D3" w14:paraId="1F41BF0B" w14:textId="77777777" w:rsidTr="009A4AF3">
        <w:trPr>
          <w:trHeight w:val="288"/>
        </w:trPr>
        <w:tc>
          <w:tcPr>
            <w:tcW w:w="4623" w:type="dxa"/>
            <w:tcBorders>
              <w:bottom w:val="single" w:sz="4" w:space="0" w:color="auto"/>
            </w:tcBorders>
          </w:tcPr>
          <w:p w14:paraId="27D6961E" w14:textId="77777777" w:rsidR="00223915" w:rsidRPr="004834D3" w:rsidRDefault="00223915" w:rsidP="006F2ADB">
            <w:pPr>
              <w:spacing w:line="480" w:lineRule="auto"/>
              <w:jc w:val="center"/>
              <w:rPr>
                <w:rFonts w:cstheme="majorBidi"/>
              </w:rPr>
            </w:pPr>
            <w:r w:rsidRPr="004834D3">
              <w:rPr>
                <w:rFonts w:cstheme="majorBidi"/>
              </w:rPr>
              <w:t>Mo</w:t>
            </w:r>
          </w:p>
        </w:tc>
        <w:tc>
          <w:tcPr>
            <w:tcW w:w="4622" w:type="dxa"/>
            <w:tcBorders>
              <w:left w:val="nil"/>
              <w:bottom w:val="single" w:sz="4" w:space="0" w:color="auto"/>
            </w:tcBorders>
          </w:tcPr>
          <w:p w14:paraId="6E49C61A" w14:textId="77777777" w:rsidR="00223915" w:rsidRPr="004834D3" w:rsidRDefault="00223915" w:rsidP="006F2ADB">
            <w:pPr>
              <w:spacing w:line="480" w:lineRule="auto"/>
              <w:jc w:val="center"/>
              <w:rPr>
                <w:rFonts w:cstheme="majorBidi"/>
              </w:rPr>
            </w:pPr>
            <w:r w:rsidRPr="004834D3">
              <w:rPr>
                <w:rFonts w:cstheme="majorBidi"/>
              </w:rPr>
              <w:t xml:space="preserve"> 0.1 %</w:t>
            </w:r>
          </w:p>
        </w:tc>
      </w:tr>
    </w:tbl>
    <w:p w14:paraId="354029CA" w14:textId="405C2FD3" w:rsidR="004B169D" w:rsidRPr="00E56137" w:rsidRDefault="00BC1101" w:rsidP="00700DBA">
      <w:pPr>
        <w:pStyle w:val="Heading3"/>
        <w:numPr>
          <w:ilvl w:val="2"/>
          <w:numId w:val="4"/>
        </w:numPr>
        <w:spacing w:before="480" w:after="0" w:line="480" w:lineRule="auto"/>
        <w:ind w:left="432" w:hanging="432"/>
        <w:rPr>
          <w:rFonts w:eastAsia="MS Mincho"/>
          <w:sz w:val="24"/>
          <w:szCs w:val="24"/>
        </w:rPr>
      </w:pPr>
      <w:bookmarkStart w:id="33" w:name="_Toc172367676"/>
      <w:r w:rsidRPr="00E56137">
        <w:rPr>
          <w:rFonts w:eastAsia="MS Mincho"/>
          <w:sz w:val="24"/>
          <w:szCs w:val="24"/>
        </w:rPr>
        <w:t xml:space="preserve">Brine </w:t>
      </w:r>
      <w:r w:rsidR="006B6950" w:rsidRPr="00E56137">
        <w:rPr>
          <w:rFonts w:eastAsia="MS Mincho"/>
          <w:sz w:val="24"/>
          <w:szCs w:val="24"/>
        </w:rPr>
        <w:t>I</w:t>
      </w:r>
      <w:r w:rsidRPr="00E56137">
        <w:rPr>
          <w:rFonts w:eastAsia="MS Mincho"/>
          <w:sz w:val="24"/>
          <w:szCs w:val="24"/>
        </w:rPr>
        <w:t>njection</w:t>
      </w:r>
      <w:bookmarkEnd w:id="33"/>
    </w:p>
    <w:p w14:paraId="2EADD62A" w14:textId="26C9A084" w:rsidR="00B115A1" w:rsidRPr="004834D3" w:rsidRDefault="00B115A1" w:rsidP="006F2ADB">
      <w:pPr>
        <w:adjustRightInd w:val="0"/>
        <w:snapToGrid w:val="0"/>
        <w:spacing w:before="240" w:after="240" w:line="480" w:lineRule="auto"/>
        <w:jc w:val="both"/>
        <w:rPr>
          <w:rFonts w:eastAsia="MS Mincho" w:cstheme="majorBidi"/>
        </w:rPr>
      </w:pPr>
      <w:r w:rsidRPr="004834D3">
        <w:rPr>
          <w:rFonts w:eastAsia="MS Mincho" w:cstheme="majorBidi"/>
        </w:rPr>
        <w:t>After preparing the brine, the solution is transferred to the brine tank (1) for subsequent injection into the freezing chamber (3). Throughout all tests, the feed brine was maintained at room temperature (approximately 20°C)</w:t>
      </w:r>
      <w:r w:rsidR="008008F6">
        <w:rPr>
          <w:rFonts w:eastAsia="MS Mincho" w:cstheme="majorBidi"/>
        </w:rPr>
        <w:t>,</w:t>
      </w:r>
      <w:r w:rsidRPr="004834D3">
        <w:rPr>
          <w:rFonts w:eastAsia="MS Mincho" w:cstheme="majorBidi"/>
        </w:rPr>
        <w:t xml:space="preserve"> and the flow rate was kept constant at 0.13 kg/min. The brine was pumped from the brine tank and injected into the cold ICL in the freezing chamber via a nozzle (2). This process utilized a stainless-steel, corrosion-resistant centrifugal pump from Utilitech, rated at 60 W. The nozzle tip was positioned above the ICL level in the freezing chamber, producing droplets ranging in size from 50 to 100 micrometers. The small size of these brine droplets enhances heat transfer by increasing the contact surface area between the brine and the cold ICL. However, during the injection process, droplet coalescence can occur before crystallization, leading to the formation of larger ice particles. </w:t>
      </w:r>
    </w:p>
    <w:p w14:paraId="6CDEEBB4" w14:textId="2B1CE926" w:rsidR="00B115A1" w:rsidRPr="00E56137" w:rsidRDefault="00980574" w:rsidP="00700DBA">
      <w:pPr>
        <w:pStyle w:val="Heading3"/>
        <w:numPr>
          <w:ilvl w:val="2"/>
          <w:numId w:val="4"/>
        </w:numPr>
        <w:spacing w:before="360" w:after="0" w:line="480" w:lineRule="auto"/>
        <w:ind w:left="432" w:hanging="432"/>
        <w:rPr>
          <w:rFonts w:eastAsia="MS Mincho"/>
          <w:sz w:val="24"/>
          <w:szCs w:val="24"/>
        </w:rPr>
      </w:pPr>
      <w:bookmarkStart w:id="34" w:name="_Toc172367677"/>
      <w:r w:rsidRPr="00E56137">
        <w:rPr>
          <w:rFonts w:eastAsia="MS Mincho"/>
          <w:sz w:val="24"/>
          <w:szCs w:val="24"/>
        </w:rPr>
        <w:lastRenderedPageBreak/>
        <w:t>Crystallization</w:t>
      </w:r>
      <w:bookmarkEnd w:id="34"/>
    </w:p>
    <w:p w14:paraId="61B6F3DD" w14:textId="201FBB0D" w:rsidR="00C76FA6" w:rsidRPr="004834D3" w:rsidRDefault="00C76FA6" w:rsidP="006F2ADB">
      <w:pPr>
        <w:adjustRightInd w:val="0"/>
        <w:snapToGrid w:val="0"/>
        <w:spacing w:before="240" w:after="240" w:line="480" w:lineRule="auto"/>
        <w:jc w:val="both"/>
        <w:rPr>
          <w:rFonts w:eastAsia="MS Mincho" w:cstheme="majorBidi"/>
          <w:spacing w:val="-3"/>
          <w:lang w:eastAsia="ja-JP"/>
        </w:rPr>
      </w:pPr>
      <w:r w:rsidRPr="004834D3">
        <w:rPr>
          <w:rFonts w:eastAsia="MS Mincho" w:cstheme="majorBidi"/>
          <w:spacing w:val="-3"/>
          <w:lang w:eastAsia="ja-JP"/>
        </w:rPr>
        <w:t xml:space="preserve">The brine is injected into the freezing chamber, which is filled with cold ICL. The ICL is pumped from the ICL tank (8) to </w:t>
      </w:r>
      <w:r w:rsidR="00A47ECC">
        <w:rPr>
          <w:rFonts w:eastAsia="MS Mincho" w:cstheme="majorBidi"/>
          <w:spacing w:val="-3"/>
          <w:lang w:eastAsia="ja-JP"/>
        </w:rPr>
        <w:t>the</w:t>
      </w:r>
      <w:r w:rsidRPr="004834D3">
        <w:rPr>
          <w:rFonts w:eastAsia="MS Mincho" w:cstheme="majorBidi"/>
          <w:spacing w:val="-3"/>
          <w:lang w:eastAsia="ja-JP"/>
        </w:rPr>
        <w:t xml:space="preserve"> shell and tube heat exchanger (10) and then enters the freezing chamber (3). The flow rate of the ICL is regulated by a pump equipped with a variable frequency drive (VFD). This pump is a three-phase, low-temperature, stainless-steel, corrosion-resistant model from Weg, rated at 2.2 kW. To ensure precise control of the ICL flow rate, an Emerson Micro Motion Coriolis mass flow meter (11) is installed downstream of the heat exchanger. This flow meter, with an accuracy of ±0.1% of the reading, measures the mass flow rate of the ICL. Additionally, the flow meter continuously monitors the temperature of the ICL, ensuring minimal variation in the ICL inlet temperature. </w:t>
      </w:r>
    </w:p>
    <w:p w14:paraId="5EC92822" w14:textId="76CA6859" w:rsidR="00C76FA6" w:rsidRPr="004834D3" w:rsidRDefault="00C76FA6" w:rsidP="006F2ADB">
      <w:pPr>
        <w:adjustRightInd w:val="0"/>
        <w:snapToGrid w:val="0"/>
        <w:spacing w:before="240" w:after="240" w:line="480" w:lineRule="auto"/>
        <w:ind w:firstLine="720"/>
        <w:jc w:val="both"/>
        <w:rPr>
          <w:rFonts w:eastAsia="MS Mincho" w:cstheme="majorBidi"/>
          <w:spacing w:val="-3"/>
          <w:lang w:eastAsia="ja-JP"/>
        </w:rPr>
      </w:pPr>
      <w:r w:rsidRPr="004834D3">
        <w:rPr>
          <w:rFonts w:eastAsia="MS Mincho" w:cstheme="majorBidi"/>
          <w:spacing w:val="-3"/>
          <w:lang w:eastAsia="ja-JP"/>
        </w:rPr>
        <w:t xml:space="preserve">The freezing chamber was constructed from a 1-meter-long polycarbonate cylindrical tube with an inner diameter of 10 cm and a wall thickness of 0.5 cm. Surrounding the upper section of this inner cylinder, a second polycarbonate cylindrical tube with a height of 70 cm and an inner diameter of 12 cm was placed, creating an annular space between the two cylinders. This annular space was evacuated to form a vacuum. The double-wall design around the upper section of the freezing chamber served multiple purposes. Firstly, it prevented condensation on the outer surface of the freezing chamber, thereby enhancing visual access to the freezing process. Secondly, it reduced heat gain, contributing to the thermal efficiency of the system. </w:t>
      </w:r>
    </w:p>
    <w:p w14:paraId="64CAE039" w14:textId="5BAF6A64" w:rsidR="00C76FA6" w:rsidRPr="004834D3" w:rsidRDefault="00C76FA6" w:rsidP="006F2ADB">
      <w:pPr>
        <w:adjustRightInd w:val="0"/>
        <w:snapToGrid w:val="0"/>
        <w:spacing w:before="240" w:after="240" w:line="480" w:lineRule="auto"/>
        <w:ind w:firstLine="720"/>
        <w:jc w:val="both"/>
        <w:rPr>
          <w:rFonts w:eastAsia="MS Mincho" w:cstheme="majorBidi"/>
          <w:spacing w:val="-3"/>
          <w:lang w:eastAsia="ja-JP"/>
        </w:rPr>
      </w:pPr>
      <w:r w:rsidRPr="004834D3">
        <w:rPr>
          <w:rFonts w:eastAsia="MS Mincho" w:cstheme="majorBidi"/>
          <w:spacing w:val="-3"/>
          <w:lang w:eastAsia="ja-JP"/>
        </w:rPr>
        <w:t xml:space="preserve">As previously mentioned, feed brine is injected from the top of the freezing chamber, where ice crystals begin to form. Due to their higher density compared to the ICL, the ice crystals descend within the freezing chamber. During the crystallization process, </w:t>
      </w:r>
      <w:r w:rsidR="008008F6">
        <w:rPr>
          <w:rFonts w:eastAsia="MS Mincho" w:cstheme="majorBidi"/>
          <w:spacing w:val="-3"/>
          <w:lang w:eastAsia="ja-JP"/>
        </w:rPr>
        <w:t xml:space="preserve">the </w:t>
      </w:r>
      <w:r w:rsidRPr="004834D3">
        <w:rPr>
          <w:rFonts w:eastAsia="MS Mincho" w:cstheme="majorBidi"/>
          <w:spacing w:val="-3"/>
          <w:lang w:eastAsia="ja-JP"/>
        </w:rPr>
        <w:t xml:space="preserve">coalescence of brine droplets or ice crystals can occur. To prevent ice agglomeration and clogging, a rotary ice grinder device (4) is </w:t>
      </w:r>
      <w:r w:rsidRPr="004834D3">
        <w:rPr>
          <w:rFonts w:eastAsia="MS Mincho" w:cstheme="majorBidi"/>
          <w:spacing w:val="-3"/>
          <w:lang w:eastAsia="ja-JP"/>
        </w:rPr>
        <w:lastRenderedPageBreak/>
        <w:t>positioned at the bottom of the freezing chamber. This device is essential for crushing larger chunks of ice that may form. Additionally, the ice grinder enhances the mixing and heat transfer between the brine droplets and the ICL by creating a swirling motion within the freezing chamber. This improved circulation not only prevents blockages but also ensures a</w:t>
      </w:r>
      <w:r w:rsidR="006B5896" w:rsidRPr="004834D3">
        <w:rPr>
          <w:rFonts w:eastAsia="MS Mincho" w:cstheme="majorBidi"/>
          <w:spacing w:val="-3"/>
          <w:lang w:eastAsia="ja-JP"/>
        </w:rPr>
        <w:t xml:space="preserve"> smoother transition of the slurry,</w:t>
      </w:r>
      <w:r w:rsidRPr="004834D3">
        <w:rPr>
          <w:rFonts w:eastAsia="MS Mincho" w:cstheme="majorBidi"/>
          <w:spacing w:val="-3"/>
          <w:lang w:eastAsia="ja-JP"/>
        </w:rPr>
        <w:t xml:space="preserve"> </w:t>
      </w:r>
      <w:r w:rsidR="008008F6">
        <w:rPr>
          <w:rFonts w:eastAsia="MS Mincho" w:cstheme="majorBidi"/>
          <w:spacing w:val="-3"/>
          <w:lang w:eastAsia="ja-JP"/>
        </w:rPr>
        <w:t xml:space="preserve">a </w:t>
      </w:r>
      <w:r w:rsidRPr="004834D3">
        <w:rPr>
          <w:rFonts w:eastAsia="MS Mincho" w:cstheme="majorBidi"/>
          <w:spacing w:val="-3"/>
          <w:lang w:eastAsia="ja-JP"/>
        </w:rPr>
        <w:t>more uniform temperature distribution</w:t>
      </w:r>
      <w:r w:rsidR="006B5896" w:rsidRPr="004834D3">
        <w:rPr>
          <w:rFonts w:eastAsia="MS Mincho" w:cstheme="majorBidi"/>
          <w:spacing w:val="-3"/>
          <w:lang w:eastAsia="ja-JP"/>
        </w:rPr>
        <w:t>,</w:t>
      </w:r>
      <w:r w:rsidRPr="004834D3">
        <w:rPr>
          <w:rFonts w:eastAsia="MS Mincho" w:cstheme="majorBidi"/>
          <w:spacing w:val="-3"/>
          <w:lang w:eastAsia="ja-JP"/>
        </w:rPr>
        <w:t xml:space="preserve"> and </w:t>
      </w:r>
      <w:r w:rsidR="008008F6">
        <w:rPr>
          <w:rFonts w:eastAsia="MS Mincho" w:cstheme="majorBidi"/>
          <w:spacing w:val="-3"/>
          <w:lang w:eastAsia="ja-JP"/>
        </w:rPr>
        <w:t xml:space="preserve">a </w:t>
      </w:r>
      <w:r w:rsidRPr="004834D3">
        <w:rPr>
          <w:rFonts w:eastAsia="MS Mincho" w:cstheme="majorBidi"/>
          <w:spacing w:val="-3"/>
          <w:lang w:eastAsia="ja-JP"/>
        </w:rPr>
        <w:t xml:space="preserve">more efficient crystallization process. </w:t>
      </w:r>
    </w:p>
    <w:p w14:paraId="5765510C" w14:textId="26124B6C" w:rsidR="00B115A1" w:rsidRPr="00E56137" w:rsidRDefault="0024084A" w:rsidP="00700DBA">
      <w:pPr>
        <w:pStyle w:val="Heading3"/>
        <w:numPr>
          <w:ilvl w:val="2"/>
          <w:numId w:val="4"/>
        </w:numPr>
        <w:spacing w:before="360" w:after="0" w:line="480" w:lineRule="auto"/>
        <w:ind w:left="432" w:hanging="432"/>
        <w:rPr>
          <w:rFonts w:eastAsia="MS Mincho"/>
          <w:sz w:val="24"/>
          <w:szCs w:val="24"/>
        </w:rPr>
      </w:pPr>
      <w:bookmarkStart w:id="35" w:name="_Toc172367678"/>
      <w:r w:rsidRPr="00E56137">
        <w:rPr>
          <w:rFonts w:eastAsia="MS Mincho"/>
          <w:sz w:val="24"/>
          <w:szCs w:val="24"/>
        </w:rPr>
        <w:t xml:space="preserve">Slurry </w:t>
      </w:r>
      <w:r w:rsidR="006B6950" w:rsidRPr="00E56137">
        <w:rPr>
          <w:rFonts w:eastAsia="MS Mincho"/>
          <w:sz w:val="24"/>
          <w:szCs w:val="24"/>
        </w:rPr>
        <w:t>S</w:t>
      </w:r>
      <w:r w:rsidRPr="00E56137">
        <w:rPr>
          <w:rFonts w:eastAsia="MS Mincho"/>
          <w:sz w:val="24"/>
          <w:szCs w:val="24"/>
        </w:rPr>
        <w:t>eparation</w:t>
      </w:r>
      <w:bookmarkEnd w:id="35"/>
    </w:p>
    <w:p w14:paraId="62A8DD37" w14:textId="52BB5280" w:rsidR="009376DC" w:rsidRPr="004834D3" w:rsidRDefault="009376DC" w:rsidP="006F2ADB">
      <w:pPr>
        <w:adjustRightInd w:val="0"/>
        <w:snapToGrid w:val="0"/>
        <w:spacing w:before="240" w:after="240" w:line="480" w:lineRule="auto"/>
        <w:jc w:val="both"/>
        <w:rPr>
          <w:rFonts w:eastAsia="MS Mincho" w:cstheme="majorBidi"/>
        </w:rPr>
      </w:pPr>
      <w:r w:rsidRPr="004834D3">
        <w:rPr>
          <w:rFonts w:eastAsia="MS Mincho" w:cstheme="majorBidi"/>
        </w:rPr>
        <w:t xml:space="preserve">The mixture of ice crystals, unfrozen concentrated brine, and ICL exits the ice grinder and requires ice separation. Several methods were tested for this purpose, including a simple metal filter separator, a rotary separation device, and filter bag separation. The metal mesh filter separator consists of a rectangular metal surface that prevents ice particles from passing through while allowing the liquid to flow freely. Although this method is straightforward, it has several drawbacks. The proximity of the produced ice to ambient temperatures reduces the ice production rate due to ice melting. Additionally, collecting ice from the flat surface of the metal filter can be challenging, often leading to significant ice waste. </w:t>
      </w:r>
    </w:p>
    <w:p w14:paraId="6A320FF1" w14:textId="74C8BF29" w:rsidR="009A18A9" w:rsidRDefault="009376DC" w:rsidP="002A0243">
      <w:pPr>
        <w:adjustRightInd w:val="0"/>
        <w:snapToGrid w:val="0"/>
        <w:spacing w:before="240" w:after="0" w:line="480" w:lineRule="auto"/>
        <w:ind w:firstLine="720"/>
        <w:jc w:val="both"/>
        <w:rPr>
          <w:rFonts w:eastAsia="MS Mincho" w:cstheme="majorBidi"/>
        </w:rPr>
      </w:pPr>
      <w:r w:rsidRPr="004834D3">
        <w:rPr>
          <w:rFonts w:eastAsia="MS Mincho" w:cstheme="majorBidi"/>
        </w:rPr>
        <w:t xml:space="preserve">The continuously operative rotary separator is designed to efficiently separate ice from the liquid ICL and unfrozen concentrated brine. It features an inner filter tube with a mesh wall that rotates within an outer housing. The mesh wall, made from mesh fabric, allows liquids to pass through while retaining solid particles. As the slurry is fed into the inlet of the inner filter tube, the rotating action facilitates the separation process. The liquid, including ICL and unfrozen concentrated brine, drains through the mesh wall and is collected by the outer housing, which directs it into a settling tank. The solid ice particles, which are larger than the mesh size, are retained within the inner filter tube and transported to an ice tank. The entire separator is mounted </w:t>
      </w:r>
      <w:r w:rsidRPr="004834D3">
        <w:rPr>
          <w:rFonts w:eastAsia="MS Mincho" w:cstheme="majorBidi"/>
        </w:rPr>
        <w:lastRenderedPageBreak/>
        <w:t>on an inclined setup to aid the efficient movement of ice through the system. Additionally, a DC motor rotates the outer filter tube, with adjustable rotational speed to optimize the separation process.</w:t>
      </w:r>
      <w:r w:rsidR="00DE01F5" w:rsidRPr="004834D3">
        <w:rPr>
          <w:rFonts w:eastAsia="MS Mincho" w:cstheme="majorBidi"/>
        </w:rPr>
        <w:t xml:space="preserve"> </w:t>
      </w:r>
      <w:r w:rsidR="00647755">
        <w:rPr>
          <w:rFonts w:eastAsia="MS Mincho" w:cstheme="majorBidi"/>
        </w:rPr>
        <w:t xml:space="preserve">The schematic and actual setup of the rotary separator are shown in Fig. 2-4. </w:t>
      </w:r>
      <w:r w:rsidR="00DE01F5" w:rsidRPr="004834D3">
        <w:rPr>
          <w:rFonts w:eastAsia="MS Mincho" w:cstheme="majorBidi"/>
        </w:rPr>
        <w:t>While this method can operate continuously, it faces challenges due to ice melting caused by the proximity of the ice to ambient temperatures. To mitigate this issue, combining the continuous rotary separator with a continuous ice washing or ice separation process in a controlled cold environment could enhance its efficiency, providing a continuous ice production unit. However, implementing such an integrated solution was beyond the scope of the current experimental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47755" w14:paraId="366E0A08" w14:textId="77777777" w:rsidTr="00647755">
        <w:tc>
          <w:tcPr>
            <w:tcW w:w="9350" w:type="dxa"/>
          </w:tcPr>
          <w:p w14:paraId="046F21BD" w14:textId="0A88DF87" w:rsidR="00647755" w:rsidRDefault="00647755" w:rsidP="002A0243">
            <w:pPr>
              <w:adjustRightInd w:val="0"/>
              <w:snapToGrid w:val="0"/>
              <w:spacing w:line="480" w:lineRule="auto"/>
              <w:jc w:val="both"/>
              <w:rPr>
                <w:rFonts w:eastAsia="MS Mincho" w:cstheme="majorBidi"/>
              </w:rPr>
            </w:pPr>
            <w:r w:rsidRPr="00647755">
              <w:rPr>
                <w:rFonts w:eastAsia="MS Mincho" w:cstheme="majorBidi"/>
                <w:noProof/>
              </w:rPr>
              <mc:AlternateContent>
                <mc:Choice Requires="wps">
                  <w:drawing>
                    <wp:anchor distT="45720" distB="45720" distL="114300" distR="114300" simplePos="0" relativeHeight="251685888" behindDoc="0" locked="0" layoutInCell="1" allowOverlap="1" wp14:anchorId="4258E3A4" wp14:editId="0B7CD8E4">
                      <wp:simplePos x="0" y="0"/>
                      <wp:positionH relativeFrom="column">
                        <wp:posOffset>5465445</wp:posOffset>
                      </wp:positionH>
                      <wp:positionV relativeFrom="paragraph">
                        <wp:posOffset>0</wp:posOffset>
                      </wp:positionV>
                      <wp:extent cx="390525" cy="1404620"/>
                      <wp:effectExtent l="0" t="0" r="9525" b="0"/>
                      <wp:wrapSquare wrapText="bothSides"/>
                      <wp:docPr id="1606641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4620"/>
                              </a:xfrm>
                              <a:prstGeom prst="rect">
                                <a:avLst/>
                              </a:prstGeom>
                              <a:solidFill>
                                <a:srgbClr val="FFFFFF"/>
                              </a:solidFill>
                              <a:ln w="9525">
                                <a:noFill/>
                                <a:miter lim="800000"/>
                                <a:headEnd/>
                                <a:tailEnd/>
                              </a:ln>
                            </wps:spPr>
                            <wps:txbx>
                              <w:txbxContent>
                                <w:p w14:paraId="11A985FD" w14:textId="58089980" w:rsidR="00647755" w:rsidRDefault="00647755">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58E3A4" id="_x0000_s1028" type="#_x0000_t202" style="position:absolute;left:0;text-align:left;margin-left:430.35pt;margin-top:0;width:30.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" stroked="f">
                      <v:textbox style="mso-fit-shape-to-text:t">
                        <w:txbxContent>
                          <w:p w14:paraId="11A985FD" w14:textId="58089980" w:rsidR="00647755" w:rsidRDefault="00647755">
                            <w:r>
                              <w:t>(a)</w:t>
                            </w:r>
                          </w:p>
                        </w:txbxContent>
                      </v:textbox>
                      <w10:wrap type="square"/>
                    </v:shape>
                  </w:pict>
                </mc:Fallback>
              </mc:AlternateContent>
            </w:r>
            <w:r w:rsidRPr="00647755">
              <w:rPr>
                <w:rFonts w:eastAsia="MS Mincho" w:cstheme="majorBidi"/>
                <w:noProof/>
              </w:rPr>
              <w:drawing>
                <wp:anchor distT="0" distB="0" distL="114300" distR="114300" simplePos="0" relativeHeight="251683840" behindDoc="0" locked="0" layoutInCell="1" allowOverlap="1" wp14:anchorId="41067A3B" wp14:editId="358B9BF7">
                  <wp:simplePos x="987748" y="919290"/>
                  <wp:positionH relativeFrom="margin">
                    <wp:align>center</wp:align>
                  </wp:positionH>
                  <wp:positionV relativeFrom="margin">
                    <wp:align>center</wp:align>
                  </wp:positionV>
                  <wp:extent cx="4564049" cy="2560320"/>
                  <wp:effectExtent l="0" t="0" r="8255" b="0"/>
                  <wp:wrapSquare wrapText="bothSides"/>
                  <wp:docPr id="1789040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564049"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47755" w14:paraId="71F0E84B" w14:textId="77777777" w:rsidTr="00647755">
        <w:tc>
          <w:tcPr>
            <w:tcW w:w="9350" w:type="dxa"/>
          </w:tcPr>
          <w:p w14:paraId="36839B7D" w14:textId="3FF3EAA0" w:rsidR="00647755" w:rsidRDefault="00647755" w:rsidP="002A0243">
            <w:pPr>
              <w:adjustRightInd w:val="0"/>
              <w:snapToGrid w:val="0"/>
              <w:spacing w:line="480" w:lineRule="auto"/>
              <w:jc w:val="center"/>
              <w:rPr>
                <w:rFonts w:eastAsia="MS Mincho" w:cstheme="majorBidi"/>
              </w:rPr>
            </w:pPr>
            <w:r w:rsidRPr="00647755">
              <w:rPr>
                <w:rFonts w:eastAsia="MS Mincho" w:cstheme="majorBidi"/>
                <w:noProof/>
              </w:rPr>
              <mc:AlternateContent>
                <mc:Choice Requires="wps">
                  <w:drawing>
                    <wp:anchor distT="45720" distB="45720" distL="114300" distR="114300" simplePos="0" relativeHeight="251687936" behindDoc="0" locked="0" layoutInCell="1" allowOverlap="1" wp14:anchorId="70E0367F" wp14:editId="79FBCC0A">
                      <wp:simplePos x="0" y="0"/>
                      <wp:positionH relativeFrom="column">
                        <wp:posOffset>5465700</wp:posOffset>
                      </wp:positionH>
                      <wp:positionV relativeFrom="paragraph">
                        <wp:posOffset>13970</wp:posOffset>
                      </wp:positionV>
                      <wp:extent cx="390525" cy="1404620"/>
                      <wp:effectExtent l="0" t="0" r="9525" b="0"/>
                      <wp:wrapSquare wrapText="bothSides"/>
                      <wp:docPr id="1544275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4620"/>
                              </a:xfrm>
                              <a:prstGeom prst="rect">
                                <a:avLst/>
                              </a:prstGeom>
                              <a:solidFill>
                                <a:srgbClr val="FFFFFF"/>
                              </a:solidFill>
                              <a:ln w="9525">
                                <a:noFill/>
                                <a:miter lim="800000"/>
                                <a:headEnd/>
                                <a:tailEnd/>
                              </a:ln>
                            </wps:spPr>
                            <wps:txbx>
                              <w:txbxContent>
                                <w:p w14:paraId="3D5ADFC7" w14:textId="73BD3364" w:rsidR="00647755" w:rsidRDefault="00647755">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E0367F" id="_x0000_s1029" type="#_x0000_t202" style="position:absolute;left:0;text-align:left;margin-left:430.35pt;margin-top:1.1pt;width:30.7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" stroked="f">
                      <v:textbox style="mso-fit-shape-to-text:t">
                        <w:txbxContent>
                          <w:p w14:paraId="3D5ADFC7" w14:textId="73BD3364" w:rsidR="00647755" w:rsidRDefault="00647755">
                            <w:r>
                              <w:t>(b)</w:t>
                            </w:r>
                          </w:p>
                        </w:txbxContent>
                      </v:textbox>
                      <w10:wrap type="square"/>
                    </v:shape>
                  </w:pict>
                </mc:Fallback>
              </mc:AlternateContent>
            </w:r>
            <w:r w:rsidRPr="00647755">
              <w:rPr>
                <w:rFonts w:eastAsia="MS Mincho" w:cstheme="majorBidi"/>
                <w:noProof/>
              </w:rPr>
              <w:drawing>
                <wp:inline distT="0" distB="0" distL="0" distR="0" wp14:anchorId="7A54D669" wp14:editId="2E0CBCE9">
                  <wp:extent cx="2671680" cy="2194560"/>
                  <wp:effectExtent l="0" t="0" r="0" b="0"/>
                  <wp:docPr id="3" name="Picture 2">
                    <a:extLst xmlns:a="http://schemas.openxmlformats.org/drawingml/2006/main">
                      <a:ext uri="{FF2B5EF4-FFF2-40B4-BE49-F238E27FC236}">
                        <a16:creationId xmlns:a16="http://schemas.microsoft.com/office/drawing/2014/main" id="{F071A1C4-6793-E97F-02EB-EAA09CD37F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071A1C4-6793-E97F-02EB-EAA09CD37F31}"/>
                              </a:ext>
                            </a:extLst>
                          </pic:cNvPr>
                          <pic:cNvPicPr>
                            <a:picLocks noChangeAspect="1"/>
                          </pic:cNvPicPr>
                        </pic:nvPicPr>
                        <pic:blipFill rotWithShape="1">
                          <a:blip r:embed="rId20">
                            <a:extLst>
                              <a:ext uri="{28A0092B-C50C-407E-A947-70E740481C1C}">
                                <a14:useLocalDpi xmlns:a14="http://schemas.microsoft.com/office/drawing/2010/main"/>
                              </a:ext>
                            </a:extLst>
                          </a:blip>
                          <a:srcRect/>
                          <a:stretch/>
                        </pic:blipFill>
                        <pic:spPr>
                          <a:xfrm>
                            <a:off x="0" y="0"/>
                            <a:ext cx="2671680" cy="2194560"/>
                          </a:xfrm>
                          <a:prstGeom prst="rect">
                            <a:avLst/>
                          </a:prstGeom>
                        </pic:spPr>
                      </pic:pic>
                    </a:graphicData>
                  </a:graphic>
                </wp:inline>
              </w:drawing>
            </w:r>
          </w:p>
        </w:tc>
      </w:tr>
      <w:tr w:rsidR="00647755" w14:paraId="6E0235E7" w14:textId="77777777" w:rsidTr="00647755">
        <w:tc>
          <w:tcPr>
            <w:tcW w:w="9350" w:type="dxa"/>
          </w:tcPr>
          <w:p w14:paraId="762113D1" w14:textId="47EA3010" w:rsidR="00647755" w:rsidRPr="00647755" w:rsidRDefault="00647755" w:rsidP="002A0243">
            <w:pPr>
              <w:pStyle w:val="Caption"/>
              <w:spacing w:before="0" w:after="0" w:line="480" w:lineRule="auto"/>
              <w:jc w:val="center"/>
              <w:rPr>
                <w:rFonts w:eastAsia="MS Mincho" w:cstheme="majorBidi"/>
              </w:rPr>
            </w:pPr>
            <w:bookmarkStart w:id="36" w:name="_Toc172708812"/>
            <w:r w:rsidRPr="00647755">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2</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4</w:t>
            </w:r>
            <w:r w:rsidR="00996526">
              <w:rPr>
                <w:b/>
                <w:bCs/>
              </w:rPr>
              <w:fldChar w:fldCharType="end"/>
            </w:r>
            <w:r>
              <w:t xml:space="preserve"> </w:t>
            </w:r>
            <w:r>
              <w:rPr>
                <w:rFonts w:eastAsia="MS Mincho" w:cstheme="majorBidi"/>
              </w:rPr>
              <w:t xml:space="preserve">The (a) schematic </w:t>
            </w:r>
            <w:r w:rsidR="003B0130">
              <w:rPr>
                <w:rFonts w:eastAsia="MS Mincho" w:cstheme="majorBidi"/>
              </w:rPr>
              <w:fldChar w:fldCharType="begin" w:fldLock="1"/>
            </w:r>
            <w:r w:rsidR="00D83446">
              <w:rPr>
                <w:rFonts w:eastAsia="MS Mincho" w:cstheme="majorBidi"/>
              </w:rPr>
              <w:instrText>ADDIN CSL_CITATION {"citationItems":[{"id":"ITEM-1","itemData":{"author":[{"dropping-particle":"","family":"Shabgard","given":"Hamidreza","non-dropping-particle":"","parse-names":false,"suffix":""},{"dropping-particle":"","family":"Parthasarathy","given":"Ramkumar","non-dropping-particle":"","parse-names":false,"suffix":""},{"dropping-particle":"","family":"Cai","given":"Jie","non-dropping-particle":"","parse-names":false,"suffix":""},{"dropping-particle":"","family":"Kaviani","given":"Reza","non-dropping-particle":"","parse-names":false,"suffix":""},{"dropping-particle":"","family":"Elhefny","given":"Aly","non-dropping-particle":"","parse-names":false,"suffix":""}],"id":"ITEM-1","issued":{"date-parts":[["2022"]]},"note":"US Patent App. 17/750,113","publisher":"Google Patents","title":"Apparatus and method for continuous separation of solid particles from solid-liquid slurries","type":"article"},"uris":["http://www.mendeley.com/documents/?uuid=7f0e6165-c63c-4958-8916-f87aee90a532"]}],"mendeley":{"formattedCitation":"[138]","plainTextFormattedCitation":"[138]","previouslyFormattedCitation":"[139]"},"properties":{"noteIndex":0},"schema":"https://github.com/citation-style-language/schema/raw/master/csl-citation.json"}</w:instrText>
            </w:r>
            <w:r w:rsidR="003B0130">
              <w:rPr>
                <w:rFonts w:eastAsia="MS Mincho" w:cstheme="majorBidi"/>
              </w:rPr>
              <w:fldChar w:fldCharType="separate"/>
            </w:r>
            <w:r w:rsidR="00D83446" w:rsidRPr="00D83446">
              <w:rPr>
                <w:rFonts w:eastAsia="MS Mincho" w:cstheme="majorBidi"/>
                <w:noProof/>
              </w:rPr>
              <w:t>[138]</w:t>
            </w:r>
            <w:r w:rsidR="003B0130">
              <w:rPr>
                <w:rFonts w:eastAsia="MS Mincho" w:cstheme="majorBidi"/>
              </w:rPr>
              <w:fldChar w:fldCharType="end"/>
            </w:r>
            <w:r>
              <w:rPr>
                <w:rFonts w:eastAsia="MS Mincho" w:cstheme="majorBidi"/>
              </w:rPr>
              <w:t xml:space="preserve"> and (b) actual rotary separator.</w:t>
            </w:r>
            <w:bookmarkEnd w:id="36"/>
          </w:p>
        </w:tc>
      </w:tr>
    </w:tbl>
    <w:p w14:paraId="1118062F" w14:textId="627BD31C" w:rsidR="0040265C" w:rsidRPr="004834D3" w:rsidRDefault="00FA1857" w:rsidP="000378BC">
      <w:pPr>
        <w:adjustRightInd w:val="0"/>
        <w:snapToGrid w:val="0"/>
        <w:spacing w:before="240" w:after="240" w:line="480" w:lineRule="auto"/>
        <w:ind w:firstLine="720"/>
        <w:jc w:val="both"/>
        <w:rPr>
          <w:rFonts w:eastAsia="MS Mincho" w:cstheme="majorBidi"/>
        </w:rPr>
      </w:pPr>
      <w:r w:rsidRPr="004834D3">
        <w:rPr>
          <w:rFonts w:eastAsia="MS Mincho" w:cstheme="majorBidi"/>
        </w:rPr>
        <w:lastRenderedPageBreak/>
        <w:t>The third method for separating ice from the slurry involves using a filter bag separator</w:t>
      </w:r>
      <w:r w:rsidR="00335EA2">
        <w:rPr>
          <w:rFonts w:eastAsia="MS Mincho" w:cstheme="majorBidi"/>
        </w:rPr>
        <w:t xml:space="preserve"> (5)</w:t>
      </w:r>
      <w:r w:rsidRPr="004834D3">
        <w:rPr>
          <w:rFonts w:eastAsia="MS Mincho" w:cstheme="majorBidi"/>
        </w:rPr>
        <w:t>. In this approach, a filter bag is placed inside a settling tank</w:t>
      </w:r>
      <w:r w:rsidR="00335EA2">
        <w:rPr>
          <w:rFonts w:eastAsia="MS Mincho" w:cstheme="majorBidi"/>
        </w:rPr>
        <w:t xml:space="preserve"> (6)</w:t>
      </w:r>
      <w:r w:rsidRPr="004834D3">
        <w:rPr>
          <w:rFonts w:eastAsia="MS Mincho" w:cstheme="majorBidi"/>
        </w:rPr>
        <w:t xml:space="preserve">, and the slurry exiting the ice grinder is directed into the filter bag through a hose. The filter bag, made of nylon plastic with a very fine mesh, allows the liquid to pass through while trapping the ice particles. As the liquid passes through the bag, it enters the settling tank, while the ice particles accumulate within the filter bag. Because the filter bag is submerged in the cold ICL within the settling tank, ice melting is minimized. Consequently, this method proves to be highly effective for slurry separation and employed in this experimental study. </w:t>
      </w:r>
    </w:p>
    <w:p w14:paraId="71071B6A" w14:textId="435ED554" w:rsidR="00FA1857" w:rsidRPr="004834D3" w:rsidRDefault="00EC0B18" w:rsidP="000378BC">
      <w:pPr>
        <w:adjustRightInd w:val="0"/>
        <w:snapToGrid w:val="0"/>
        <w:spacing w:before="240" w:after="240" w:line="480" w:lineRule="auto"/>
        <w:ind w:firstLine="720"/>
        <w:jc w:val="both"/>
        <w:rPr>
          <w:rFonts w:eastAsia="MS Mincho" w:cstheme="majorBidi"/>
        </w:rPr>
      </w:pPr>
      <w:r w:rsidRPr="004834D3">
        <w:rPr>
          <w:rFonts w:eastAsia="MS Mincho" w:cstheme="majorBidi"/>
        </w:rPr>
        <w:t>The liquid mixture passing through the filter bag is pumped to the first ICL-brine separation filter (7). This filter relies on the density difference between the concentrated brine and the ICL to achieve separation. The concentrated brine, being denser, settles at the bottom of the filter, while the dewatered ICL passes through to the main ICL tank. The separated brine is collected at the bottom of the filter and is gradually discharged through a discharge valve. The pump used in this process is a single-phase, low-temperature, stainless-steel, corrosion-resistant model from Weg, rated at 0.7 kW. The flow rate of the liquid out of the settling tank is controlled by adjusting the pump speed with a variable voltage transformer. To ensure complete separation of ICL and brine, a second ICL-brine separation filter (9) is placed after the main ICL tank and before the heat exchanger. This additional filter provides an extra layer of separation, ensuring that any remaining brine is effectively removed before the ICL is recirculated back into the system.</w:t>
      </w:r>
    </w:p>
    <w:p w14:paraId="4628EC88" w14:textId="168EF183" w:rsidR="00570C99" w:rsidRPr="004834D3" w:rsidRDefault="00570C99" w:rsidP="000378BC">
      <w:pPr>
        <w:adjustRightInd w:val="0"/>
        <w:snapToGrid w:val="0"/>
        <w:spacing w:before="240" w:after="240" w:line="480" w:lineRule="auto"/>
        <w:ind w:firstLine="720"/>
        <w:jc w:val="both"/>
        <w:rPr>
          <w:rFonts w:eastAsia="MS Mincho" w:cstheme="majorBidi"/>
        </w:rPr>
      </w:pPr>
      <w:r w:rsidRPr="004834D3">
        <w:rPr>
          <w:rFonts w:eastAsia="MS Mincho" w:cstheme="majorBidi"/>
        </w:rPr>
        <w:t xml:space="preserve">It is important to note that in this experimental study, the hoses, connections, and valves are intentionally left uninsulated to allow for visual monitoring of the ICL and slurry transitions. This design choice enables rapid detection of any potential ICL leaks, facilitates easy observation of ice formation and crystal growth, and allows for the visual tracking of any unfrozen concentrated </w:t>
      </w:r>
      <w:r w:rsidRPr="004834D3">
        <w:rPr>
          <w:rFonts w:eastAsia="MS Mincho" w:cstheme="majorBidi"/>
        </w:rPr>
        <w:lastRenderedPageBreak/>
        <w:t>brine mixing with the ICL. However, this lack of insulation does have its drawbacks. The uninsulated components are prone to condensation on their outer surfaces, which increase</w:t>
      </w:r>
      <w:r w:rsidR="00335EA2">
        <w:rPr>
          <w:rFonts w:eastAsia="MS Mincho" w:cstheme="majorBidi"/>
        </w:rPr>
        <w:t>s</w:t>
      </w:r>
      <w:r w:rsidRPr="004834D3">
        <w:rPr>
          <w:rFonts w:eastAsia="MS Mincho" w:cstheme="majorBidi"/>
        </w:rPr>
        <w:t xml:space="preserve"> the energy consumption of the desalination setup. </w:t>
      </w:r>
    </w:p>
    <w:p w14:paraId="4C84921F" w14:textId="7BC76483" w:rsidR="00F547DD" w:rsidRPr="00E56137" w:rsidRDefault="00F547DD" w:rsidP="00700DBA">
      <w:pPr>
        <w:pStyle w:val="Heading3"/>
        <w:numPr>
          <w:ilvl w:val="2"/>
          <w:numId w:val="4"/>
        </w:numPr>
        <w:spacing w:before="360" w:after="0" w:line="480" w:lineRule="auto"/>
        <w:ind w:left="432" w:hanging="432"/>
        <w:rPr>
          <w:rFonts w:eastAsia="MS Mincho"/>
          <w:sz w:val="24"/>
          <w:szCs w:val="24"/>
          <w:lang w:eastAsia="ja-JP"/>
        </w:rPr>
      </w:pPr>
      <w:bookmarkStart w:id="37" w:name="_Toc172367679"/>
      <w:r w:rsidRPr="00E56137">
        <w:rPr>
          <w:rFonts w:eastAsia="MS Mincho"/>
          <w:sz w:val="24"/>
          <w:szCs w:val="24"/>
          <w:lang w:eastAsia="ja-JP"/>
        </w:rPr>
        <w:t xml:space="preserve">Ice </w:t>
      </w:r>
      <w:r w:rsidR="00F94D2A" w:rsidRPr="00E56137">
        <w:rPr>
          <w:rFonts w:eastAsia="MS Mincho"/>
          <w:sz w:val="24"/>
          <w:szCs w:val="24"/>
          <w:lang w:eastAsia="ja-JP"/>
        </w:rPr>
        <w:t>S</w:t>
      </w:r>
      <w:r w:rsidRPr="00E56137">
        <w:rPr>
          <w:rFonts w:eastAsia="MS Mincho"/>
          <w:sz w:val="24"/>
          <w:szCs w:val="24"/>
          <w:lang w:eastAsia="ja-JP"/>
        </w:rPr>
        <w:t>eparation</w:t>
      </w:r>
      <w:r w:rsidR="002E7554" w:rsidRPr="00E56137">
        <w:rPr>
          <w:rFonts w:eastAsia="MS Mincho"/>
          <w:sz w:val="24"/>
          <w:szCs w:val="24"/>
          <w:lang w:eastAsia="ja-JP"/>
        </w:rPr>
        <w:t xml:space="preserve"> </w:t>
      </w:r>
      <w:r w:rsidR="006E6A13" w:rsidRPr="00E56137">
        <w:rPr>
          <w:rFonts w:eastAsia="MS Mincho"/>
          <w:sz w:val="24"/>
          <w:szCs w:val="24"/>
          <w:lang w:eastAsia="ja-JP"/>
        </w:rPr>
        <w:t>&amp;</w:t>
      </w:r>
      <w:r w:rsidR="002E7554" w:rsidRPr="00E56137">
        <w:rPr>
          <w:rFonts w:eastAsia="MS Mincho"/>
          <w:sz w:val="24"/>
          <w:szCs w:val="24"/>
          <w:lang w:eastAsia="ja-JP"/>
        </w:rPr>
        <w:t xml:space="preserve"> </w:t>
      </w:r>
      <w:r w:rsidR="00F94D2A" w:rsidRPr="00E56137">
        <w:rPr>
          <w:rFonts w:eastAsia="MS Mincho"/>
          <w:sz w:val="24"/>
          <w:szCs w:val="24"/>
          <w:lang w:eastAsia="ja-JP"/>
        </w:rPr>
        <w:t>M</w:t>
      </w:r>
      <w:r w:rsidR="002E7554" w:rsidRPr="00E56137">
        <w:rPr>
          <w:rFonts w:eastAsia="MS Mincho"/>
          <w:sz w:val="24"/>
          <w:szCs w:val="24"/>
          <w:lang w:eastAsia="ja-JP"/>
        </w:rPr>
        <w:t>elting</w:t>
      </w:r>
      <w:bookmarkEnd w:id="37"/>
    </w:p>
    <w:p w14:paraId="7EF92EC5" w14:textId="54F9A438" w:rsidR="00345C1E" w:rsidRPr="004834D3" w:rsidRDefault="00345C1E" w:rsidP="000378BC">
      <w:pPr>
        <w:adjustRightInd w:val="0"/>
        <w:snapToGrid w:val="0"/>
        <w:spacing w:before="240" w:after="240" w:line="480" w:lineRule="auto"/>
        <w:jc w:val="both"/>
        <w:rPr>
          <w:rFonts w:eastAsia="MS Mincho" w:cstheme="majorBidi"/>
          <w:spacing w:val="-3"/>
          <w:lang w:eastAsia="ja-JP"/>
        </w:rPr>
      </w:pPr>
      <w:r w:rsidRPr="004834D3">
        <w:rPr>
          <w:rFonts w:eastAsia="MS Mincho" w:cstheme="majorBidi"/>
          <w:spacing w:val="-3"/>
          <w:lang w:eastAsia="ja-JP"/>
        </w:rPr>
        <w:t>During the partial freezing of the feed brine inside the freezing chamber, the concentration of the unfrozen brine increases as the salt is repelled from the forming ice crystals. Some of this brine adheres to the surface of the ice crystals or becomes trapped within them. Additionally, although the collected ice is predominantly solid, some amount of ICL can also attach to the ice crystals. Thus, the ice separation step is crucial in the freeze desalination process to achieve low</w:t>
      </w:r>
      <w:r w:rsidR="008008F6">
        <w:rPr>
          <w:rFonts w:eastAsia="MS Mincho" w:cstheme="majorBidi"/>
          <w:spacing w:val="-3"/>
          <w:lang w:eastAsia="ja-JP"/>
        </w:rPr>
        <w:t>-</w:t>
      </w:r>
      <w:r w:rsidRPr="004834D3">
        <w:rPr>
          <w:rFonts w:eastAsia="MS Mincho" w:cstheme="majorBidi"/>
          <w:spacing w:val="-3"/>
          <w:lang w:eastAsia="ja-JP"/>
        </w:rPr>
        <w:t>salinity treated water.  As mentioned in the slurry separation section, the produced ice is collected in a filter bag submerged inside the settling tank. The separated ice, which contains residual concentrated brine and ICL, is referred to as “wet ice” in subsequent discussions. To achieve effective brine rejection while maintaining high ice production, various liquid rejection and ice</w:t>
      </w:r>
      <w:r w:rsidR="008008F6">
        <w:rPr>
          <w:rFonts w:eastAsia="MS Mincho" w:cstheme="majorBidi"/>
          <w:spacing w:val="-3"/>
          <w:lang w:eastAsia="ja-JP"/>
        </w:rPr>
        <w:t>-</w:t>
      </w:r>
      <w:r w:rsidRPr="004834D3">
        <w:rPr>
          <w:rFonts w:eastAsia="MS Mincho" w:cstheme="majorBidi"/>
          <w:spacing w:val="-3"/>
          <w:lang w:eastAsia="ja-JP"/>
        </w:rPr>
        <w:t xml:space="preserve">washing methods were tested, including wash columns, ice pressing, and centrifugal separation. After evaluating these methods, centrifugal separation was chosen as the most effective technique for separating brine and ICL from the wet ice. This method demonstrated significant performance in brine rejection without requiring additional external washing water. </w:t>
      </w:r>
    </w:p>
    <w:p w14:paraId="441CA2DD" w14:textId="183BE2A6" w:rsidR="00CC445E" w:rsidRDefault="005D17F4" w:rsidP="000378BC">
      <w:pPr>
        <w:adjustRightInd w:val="0"/>
        <w:snapToGrid w:val="0"/>
        <w:spacing w:before="240" w:after="240" w:line="480" w:lineRule="auto"/>
        <w:ind w:firstLine="720"/>
        <w:jc w:val="both"/>
        <w:rPr>
          <w:rFonts w:eastAsia="MS Mincho" w:cstheme="majorBidi"/>
          <w:spacing w:val="-3"/>
        </w:rPr>
      </w:pPr>
      <w:r w:rsidRPr="004834D3">
        <w:rPr>
          <w:rFonts w:eastAsia="MS Mincho" w:cstheme="majorBidi"/>
          <w:spacing w:val="-3"/>
        </w:rPr>
        <w:t xml:space="preserve">The collected wet ice is placed inside a centrifugal device known as a spin dryer. The spin dryer is a cylindrical container with a metal inner surface and small holes on its walls. Once the wet ice is loaded, the spin dryer rotates at a high speed of 3200 rpm, effectively expelling the remaining liquid from the ice through centrifugal force. The duration of the spinning process determines the amount of liquid removed, resulting in drained ice with significantly reduced liquid content. The </w:t>
      </w:r>
      <w:r w:rsidRPr="004834D3">
        <w:rPr>
          <w:rFonts w:eastAsia="MS Mincho" w:cstheme="majorBidi"/>
          <w:spacing w:val="-3"/>
        </w:rPr>
        <w:lastRenderedPageBreak/>
        <w:t xml:space="preserve">expelled liquid, which consists of both ICL and unfrozen concentrated brine, can be efficiently separated through gravitational separation due to the density difference between the two. The density of the unfrozen brine is 30% to 35% greater than that of the ICL. This separation process is further facilitated by the immiscibility of the ICL and brine, as well as the low viscosity of the ICL. To ensure the ice remains below its melting point during centrifugation, the spin dryer is placed inside a freezer maintained at around -10°C. After the centrifugation process, the drained ice is retrieved from the spin dryer. Its mass and TDS are then measured after melting the ice at room temperature. </w:t>
      </w:r>
    </w:p>
    <w:p w14:paraId="3226F2B2"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0111AAEB"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263FE492"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37D10E24"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1B6CEB00"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5CD15B33"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208B6B45"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4BB889B0"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5C3FC7A9"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36F9D97E" w14:textId="77777777" w:rsidR="00906B36" w:rsidRDefault="00906B36" w:rsidP="000378BC">
      <w:pPr>
        <w:adjustRightInd w:val="0"/>
        <w:snapToGrid w:val="0"/>
        <w:spacing w:before="240" w:after="240" w:line="480" w:lineRule="auto"/>
        <w:ind w:firstLine="720"/>
        <w:jc w:val="both"/>
        <w:rPr>
          <w:rFonts w:eastAsia="MS Mincho" w:cstheme="majorBidi"/>
          <w:spacing w:val="-3"/>
        </w:rPr>
      </w:pPr>
    </w:p>
    <w:p w14:paraId="178944D4" w14:textId="77777777" w:rsidR="00906B36" w:rsidRPr="004834D3" w:rsidRDefault="00906B36" w:rsidP="000378BC">
      <w:pPr>
        <w:adjustRightInd w:val="0"/>
        <w:snapToGrid w:val="0"/>
        <w:spacing w:before="240" w:after="240" w:line="480" w:lineRule="auto"/>
        <w:ind w:firstLine="720"/>
        <w:jc w:val="both"/>
        <w:rPr>
          <w:rFonts w:eastAsia="MS Mincho" w:cstheme="majorBidi"/>
          <w:spacing w:val="-3"/>
        </w:rPr>
      </w:pPr>
    </w:p>
    <w:p w14:paraId="3AB7F621" w14:textId="78DEB6FD" w:rsidR="001C34A1" w:rsidRPr="00906B36" w:rsidRDefault="001C34A1" w:rsidP="00700DBA">
      <w:pPr>
        <w:pStyle w:val="Heading1"/>
        <w:numPr>
          <w:ilvl w:val="0"/>
          <w:numId w:val="4"/>
        </w:numPr>
        <w:spacing w:before="0" w:after="0" w:line="480" w:lineRule="auto"/>
        <w:ind w:left="288" w:hanging="288"/>
        <w:rPr>
          <w:rFonts w:eastAsia="MS Mincho"/>
          <w:spacing w:val="-3"/>
          <w:sz w:val="28"/>
          <w:szCs w:val="28"/>
          <w:lang w:eastAsia="ja-JP"/>
        </w:rPr>
      </w:pPr>
      <w:bookmarkStart w:id="38" w:name="_Toc172367680"/>
      <w:r w:rsidRPr="00906B36">
        <w:rPr>
          <w:rFonts w:eastAsia="MS Mincho"/>
          <w:sz w:val="28"/>
          <w:szCs w:val="28"/>
          <w:lang w:eastAsia="ja-JP"/>
        </w:rPr>
        <w:lastRenderedPageBreak/>
        <w:t xml:space="preserve">Theoretical </w:t>
      </w:r>
      <w:r w:rsidR="00F94D2A" w:rsidRPr="00906B36">
        <w:rPr>
          <w:rFonts w:eastAsia="MS Mincho"/>
          <w:sz w:val="28"/>
          <w:szCs w:val="28"/>
          <w:lang w:eastAsia="ja-JP"/>
        </w:rPr>
        <w:t>A</w:t>
      </w:r>
      <w:r w:rsidRPr="00906B36">
        <w:rPr>
          <w:rFonts w:eastAsia="MS Mincho"/>
          <w:sz w:val="28"/>
          <w:szCs w:val="28"/>
          <w:lang w:eastAsia="ja-JP"/>
        </w:rPr>
        <w:t xml:space="preserve">nalysis </w:t>
      </w:r>
      <w:r w:rsidR="002A0243">
        <w:rPr>
          <w:rFonts w:eastAsia="MS Mincho"/>
          <w:sz w:val="28"/>
          <w:szCs w:val="28"/>
          <w:lang w:eastAsia="ja-JP"/>
        </w:rPr>
        <w:t>of the Developed Freez</w:t>
      </w:r>
      <w:r w:rsidR="00F02B8D">
        <w:rPr>
          <w:rFonts w:eastAsia="MS Mincho"/>
          <w:sz w:val="28"/>
          <w:szCs w:val="28"/>
          <w:lang w:eastAsia="ja-JP"/>
        </w:rPr>
        <w:t>e</w:t>
      </w:r>
      <w:r w:rsidR="002A0243">
        <w:rPr>
          <w:rFonts w:eastAsia="MS Mincho"/>
          <w:sz w:val="28"/>
          <w:szCs w:val="28"/>
          <w:lang w:eastAsia="ja-JP"/>
        </w:rPr>
        <w:t xml:space="preserve"> Desalination System</w:t>
      </w:r>
      <w:r w:rsidR="00C37648">
        <w:rPr>
          <w:rStyle w:val="FootnoteReference"/>
          <w:rFonts w:eastAsia="MS Mincho"/>
          <w:sz w:val="28"/>
          <w:szCs w:val="28"/>
          <w:lang w:eastAsia="ja-JP"/>
        </w:rPr>
        <w:footnoteReference w:id="2"/>
      </w:r>
      <w:bookmarkEnd w:id="38"/>
    </w:p>
    <w:p w14:paraId="71B647C9" w14:textId="13ACDDE5" w:rsidR="00D90C3D" w:rsidRDefault="00D90C3D" w:rsidP="00030877">
      <w:pPr>
        <w:adjustRightInd w:val="0"/>
        <w:snapToGrid w:val="0"/>
        <w:spacing w:before="240" w:after="240" w:line="480" w:lineRule="auto"/>
        <w:jc w:val="both"/>
        <w:rPr>
          <w:rFonts w:cstheme="majorBidi"/>
        </w:rPr>
      </w:pPr>
      <w:r w:rsidRPr="00D90C3D">
        <w:rPr>
          <w:rFonts w:cstheme="majorBidi"/>
        </w:rPr>
        <w:t xml:space="preserve">To effectively correlate the experimental results with a theoretical framework, this </w:t>
      </w:r>
      <w:r w:rsidR="002A0243">
        <w:rPr>
          <w:rFonts w:cstheme="majorBidi"/>
        </w:rPr>
        <w:t>chapter</w:t>
      </w:r>
      <w:r w:rsidRPr="00D90C3D">
        <w:rPr>
          <w:rFonts w:cstheme="majorBidi"/>
        </w:rPr>
        <w:t xml:space="preserve"> </w:t>
      </w:r>
      <w:r>
        <w:rPr>
          <w:rFonts w:cstheme="majorBidi"/>
        </w:rPr>
        <w:t>provides</w:t>
      </w:r>
      <w:r w:rsidRPr="00D90C3D">
        <w:rPr>
          <w:rFonts w:cstheme="majorBidi"/>
        </w:rPr>
        <w:t xml:space="preserve"> an analysis of the feed brine crystallization and ice production processes. </w:t>
      </w:r>
      <w:r>
        <w:rPr>
          <w:rFonts w:cstheme="majorBidi"/>
        </w:rPr>
        <w:t xml:space="preserve">This </w:t>
      </w:r>
      <w:r w:rsidR="002A0243">
        <w:rPr>
          <w:rFonts w:cstheme="majorBidi"/>
        </w:rPr>
        <w:t>chapter</w:t>
      </w:r>
      <w:r>
        <w:rPr>
          <w:rFonts w:cstheme="majorBidi"/>
        </w:rPr>
        <w:t xml:space="preserve"> begins by</w:t>
      </w:r>
      <w:r w:rsidRPr="00D90C3D">
        <w:rPr>
          <w:rFonts w:cstheme="majorBidi"/>
        </w:rPr>
        <w:t xml:space="preserve"> providing a detailed description of the brine crystallization process</w:t>
      </w:r>
      <w:r>
        <w:rPr>
          <w:rFonts w:cstheme="majorBidi"/>
        </w:rPr>
        <w:t xml:space="preserve">. </w:t>
      </w:r>
      <w:r w:rsidRPr="00D90C3D">
        <w:rPr>
          <w:rFonts w:cstheme="majorBidi"/>
        </w:rPr>
        <w:t>Subsequently, the established theoretical model</w:t>
      </w:r>
      <w:r>
        <w:rPr>
          <w:rFonts w:cstheme="majorBidi"/>
        </w:rPr>
        <w:t xml:space="preserve"> is introduced and explained</w:t>
      </w:r>
      <w:r w:rsidRPr="00D90C3D">
        <w:rPr>
          <w:rFonts w:cstheme="majorBidi"/>
        </w:rPr>
        <w:t xml:space="preserve">, which is based on an energy balance analysis conducted specifically within the freezing chamber of the experimental setup. </w:t>
      </w:r>
      <w:r w:rsidR="00704938" w:rsidRPr="00704938">
        <w:rPr>
          <w:rFonts w:cstheme="majorBidi"/>
        </w:rPr>
        <w:t xml:space="preserve">The </w:t>
      </w:r>
      <w:r w:rsidR="00704938">
        <w:rPr>
          <w:rFonts w:cstheme="majorBidi"/>
        </w:rPr>
        <w:t xml:space="preserve">developed </w:t>
      </w:r>
      <w:r w:rsidR="00704938" w:rsidRPr="00704938">
        <w:rPr>
          <w:rFonts w:cstheme="majorBidi"/>
        </w:rPr>
        <w:t xml:space="preserve">model incorporates a set of assumptions and integrates </w:t>
      </w:r>
      <w:r w:rsidR="00704938">
        <w:rPr>
          <w:rFonts w:cstheme="majorBidi"/>
        </w:rPr>
        <w:t>some</w:t>
      </w:r>
      <w:r w:rsidR="00704938" w:rsidRPr="00704938">
        <w:rPr>
          <w:rFonts w:cstheme="majorBidi"/>
        </w:rPr>
        <w:t xml:space="preserve"> findings from the experimental </w:t>
      </w:r>
      <w:r w:rsidR="00704938">
        <w:rPr>
          <w:rFonts w:cstheme="majorBidi"/>
        </w:rPr>
        <w:t>findings</w:t>
      </w:r>
      <w:r w:rsidR="00704938" w:rsidRPr="00704938">
        <w:rPr>
          <w:rFonts w:cstheme="majorBidi"/>
        </w:rPr>
        <w:t xml:space="preserve"> to effectively predict the rate of ice production under various operating conditions. </w:t>
      </w:r>
    </w:p>
    <w:p w14:paraId="326F8F37" w14:textId="45CA31A1" w:rsidR="00D90C3D" w:rsidRPr="00EA2D6B" w:rsidRDefault="00D90C3D" w:rsidP="00700DBA">
      <w:pPr>
        <w:pStyle w:val="Heading2"/>
        <w:numPr>
          <w:ilvl w:val="1"/>
          <w:numId w:val="4"/>
        </w:numPr>
        <w:spacing w:before="360" w:after="0" w:line="480" w:lineRule="auto"/>
        <w:ind w:left="432" w:hanging="432"/>
        <w:rPr>
          <w:sz w:val="24"/>
          <w:szCs w:val="24"/>
        </w:rPr>
      </w:pPr>
      <w:bookmarkStart w:id="39" w:name="_Toc172367681"/>
      <w:r w:rsidRPr="00EA2D6B">
        <w:rPr>
          <w:sz w:val="24"/>
          <w:szCs w:val="24"/>
        </w:rPr>
        <w:t xml:space="preserve">Brine </w:t>
      </w:r>
      <w:r w:rsidR="00F02B8D">
        <w:rPr>
          <w:sz w:val="24"/>
          <w:szCs w:val="24"/>
        </w:rPr>
        <w:t>Freezing</w:t>
      </w:r>
      <w:r w:rsidRPr="00EA2D6B">
        <w:rPr>
          <w:sz w:val="24"/>
          <w:szCs w:val="24"/>
        </w:rPr>
        <w:t xml:space="preserve"> Process</w:t>
      </w:r>
      <w:bookmarkEnd w:id="39"/>
    </w:p>
    <w:p w14:paraId="0B563168" w14:textId="61E6BADA" w:rsidR="001E52A7" w:rsidRPr="004834D3" w:rsidRDefault="001E52A7" w:rsidP="00030877">
      <w:pPr>
        <w:adjustRightInd w:val="0"/>
        <w:snapToGrid w:val="0"/>
        <w:spacing w:before="240" w:after="240" w:line="480" w:lineRule="auto"/>
        <w:jc w:val="both"/>
        <w:rPr>
          <w:rFonts w:cstheme="majorBidi"/>
        </w:rPr>
      </w:pPr>
      <w:r w:rsidRPr="004834D3">
        <w:rPr>
          <w:rFonts w:cstheme="majorBidi"/>
        </w:rPr>
        <w:t xml:space="preserve">Before studying the theoretical analysis of the energy balance during crystallization, it is essential to understand the brine freezing process. When the feed brine is sprayed into the cold ICL, the temperature of the brine droplets decreases until it reaches the freezing temperature corresponding to the TDS of the feed brine. The phase diagram of a basic binary salt-water solution, as shown in Fig. </w:t>
      </w:r>
      <w:r w:rsidR="002A0243">
        <w:rPr>
          <w:rFonts w:cstheme="majorBidi"/>
        </w:rPr>
        <w:t>3</w:t>
      </w:r>
      <w:r w:rsidR="00CB6985">
        <w:rPr>
          <w:rFonts w:cstheme="majorBidi"/>
        </w:rPr>
        <w:t>-</w:t>
      </w:r>
      <w:r w:rsidR="002A0243">
        <w:rPr>
          <w:rFonts w:cstheme="majorBidi"/>
        </w:rPr>
        <w:t>1</w:t>
      </w:r>
      <w:r w:rsidRPr="004834D3">
        <w:rPr>
          <w:rFonts w:cstheme="majorBidi"/>
        </w:rPr>
        <w:t xml:space="preserve">, illustrates this process. Starting at point "A," which represents the initial condition of the feed brine with a certain salinity, the cooling process does not affect the brine's salinity until the temperature reaches the ice line at point "B" (also known as the liquidus line). Upon further cooling, water is partially removed from the solution in the form of ice, increasing the salinity of the remaining unfrozen brine along the ice line. As the temperature continues to decrease, both the quantity of ice and the salinity of the remaining brine increase. Eventually, further cooling brings </w:t>
      </w:r>
      <w:r w:rsidRPr="004834D3">
        <w:rPr>
          <w:rFonts w:cstheme="majorBidi"/>
        </w:rPr>
        <w:lastRenderedPageBreak/>
        <w:t xml:space="preserve">the solution to the eutectic point "C" </w:t>
      </w:r>
      <w:r w:rsidRPr="004834D3">
        <w:rPr>
          <w:rFonts w:cstheme="majorBidi"/>
        </w:rPr>
        <w:fldChar w:fldCharType="begin" w:fldLock="1"/>
      </w:r>
      <w:r w:rsidR="00D83446">
        <w:rPr>
          <w:rFonts w:cstheme="majorBidi"/>
        </w:rPr>
        <w:instrText>ADDIN CSL_CITATION {"citationItems":[{"id":"ITEM-1","itemData":{"author":[{"dropping-particle":"","family":"Verbeek","given":"Bruno","non-dropping-particle":"","parse-names":false,"suffix":""}],"id":"ITEM-1","issued":{"date-parts":[["2011"]]},"publisher":"Technical University of Delf","title":"Eutectic Freeze Crystallization on Sodium Chloride: Analysis of a full experimental cycle","type":"thesis"},"uris":["http://www.mendeley.com/documents/?uuid=8490e82a-17e9-401b-a029-a1b722655e3e"]}],"mendeley":{"formattedCitation":"[139]","plainTextFormattedCitation":"[139]","previouslyFormattedCitation":"[140]"},"properties":{"noteIndex":0},"schema":"https://github.com/citation-style-language/schema/raw/master/csl-citation.json"}</w:instrText>
      </w:r>
      <w:r w:rsidRPr="004834D3">
        <w:rPr>
          <w:rFonts w:cstheme="majorBidi"/>
        </w:rPr>
        <w:fldChar w:fldCharType="separate"/>
      </w:r>
      <w:r w:rsidR="00D83446" w:rsidRPr="00D83446">
        <w:rPr>
          <w:rFonts w:cstheme="majorBidi"/>
          <w:noProof/>
        </w:rPr>
        <w:t>[139]</w:t>
      </w:r>
      <w:r w:rsidRPr="004834D3">
        <w:rPr>
          <w:rFonts w:cstheme="majorBidi"/>
        </w:rPr>
        <w:fldChar w:fldCharType="end"/>
      </w:r>
      <w:r w:rsidRPr="004834D3">
        <w:rPr>
          <w:rFonts w:cstheme="majorBidi"/>
        </w:rPr>
        <w:t xml:space="preserve">. At temperatures lower than the eutectic point, the solution reaches a state where salt-hydrate and ice form simultaneously, leaving no liquid phase remaining </w:t>
      </w:r>
      <w:r w:rsidRPr="004834D3">
        <w:rPr>
          <w:rFonts w:cstheme="majorBidi"/>
        </w:rPr>
        <w:fldChar w:fldCharType="begin" w:fldLock="1"/>
      </w:r>
      <w:r w:rsidR="00D83446">
        <w:rPr>
          <w:rFonts w:cstheme="majorBidi"/>
        </w:rPr>
        <w:instrText>ADDIN CSL_CITATION {"citationItems":[{"id":"ITEM-1","itemData":{"DOI":"10.1016/j.watres.2022.119389","ISSN":"0043-1354","author":[{"dropping-particle":"","family":"Janajreh","given":"Isam","non-dropping-particle":"","parse-names":false,"suffix":""},{"dropping-particle":"","family":"Zhang","given":"Hongtao","non-dropping-particle":"","parse-names":false,"suffix":""},{"dropping-particle":"","family":"Kadi","given":"Khadije","non-dropping-particle":"El","parse-names":false,"suffix":""},{"dropping-particle":"","family":"Ghaffour","given":"Noreddine","non-dropping-particle":"","parse-names":false,"suffix":""}],"container-title":"Water Research","id":"ITEM-1","issue":"June 2022","issued":{"date-parts":[["2023"]]},"page":"119389","publisher":"Elsevier Ltd","title":"Freeze desalination : Current research development and future prospects","type":"article-journal","volume":"229"},"uris":["http://www.mendeley.com/documents/?uuid=e8751c65-b452-4cb2-91a8-417c9c0b50b3"]}],"mendeley":{"formattedCitation":"[112]","plainTextFormattedCitation":"[112]","previouslyFormattedCitation":"[113]"},"properties":{"noteIndex":0},"schema":"https://github.com/citation-style-language/schema/raw/master/csl-citation.json"}</w:instrText>
      </w:r>
      <w:r w:rsidRPr="004834D3">
        <w:rPr>
          <w:rFonts w:cstheme="majorBidi"/>
        </w:rPr>
        <w:fldChar w:fldCharType="separate"/>
      </w:r>
      <w:r w:rsidR="00D83446" w:rsidRPr="00D83446">
        <w:rPr>
          <w:rFonts w:cstheme="majorBidi"/>
          <w:noProof/>
        </w:rPr>
        <w:t>[112]</w:t>
      </w:r>
      <w:r w:rsidRPr="004834D3">
        <w:rPr>
          <w:rFonts w:cstheme="majorBidi"/>
        </w:rPr>
        <w:fldChar w:fldCharType="end"/>
      </w:r>
      <w:r w:rsidRPr="004834D3">
        <w:rPr>
          <w:rFonts w:cstheme="majorBid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1C34A1" w:rsidRPr="004834D3" w14:paraId="4A1855AD" w14:textId="77777777" w:rsidTr="009A4AF3">
        <w:tc>
          <w:tcPr>
            <w:tcW w:w="9029" w:type="dxa"/>
          </w:tcPr>
          <w:p w14:paraId="0B54AA5D" w14:textId="77777777" w:rsidR="001C34A1" w:rsidRPr="004834D3" w:rsidRDefault="001C34A1" w:rsidP="00906B36">
            <w:pPr>
              <w:spacing w:line="480" w:lineRule="auto"/>
              <w:jc w:val="center"/>
              <w:rPr>
                <w:rFonts w:cstheme="majorBidi"/>
                <w:b/>
                <w:bCs/>
              </w:rPr>
            </w:pPr>
            <w:r w:rsidRPr="004834D3">
              <w:rPr>
                <w:rFonts w:cstheme="majorBidi"/>
                <w:noProof/>
              </w:rPr>
              <w:drawing>
                <wp:inline distT="0" distB="0" distL="0" distR="0" wp14:anchorId="7F5889D9" wp14:editId="2786DADA">
                  <wp:extent cx="4091913" cy="2743200"/>
                  <wp:effectExtent l="0" t="0" r="4445" b="0"/>
                  <wp:docPr id="812997758" name="Picture 812997758" descr="A diagram of a sol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97758" name="Picture 812997758" descr="A diagram of a soluti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4091913" cy="2743200"/>
                          </a:xfrm>
                          <a:prstGeom prst="rect">
                            <a:avLst/>
                          </a:prstGeom>
                          <a:noFill/>
                          <a:ln>
                            <a:noFill/>
                          </a:ln>
                        </pic:spPr>
                      </pic:pic>
                    </a:graphicData>
                  </a:graphic>
                </wp:inline>
              </w:drawing>
            </w:r>
          </w:p>
        </w:tc>
      </w:tr>
      <w:tr w:rsidR="001C34A1" w:rsidRPr="004834D3" w14:paraId="48857C39" w14:textId="77777777" w:rsidTr="009A4AF3">
        <w:tc>
          <w:tcPr>
            <w:tcW w:w="9029" w:type="dxa"/>
          </w:tcPr>
          <w:p w14:paraId="229BA7EA" w14:textId="788A3919" w:rsidR="001C34A1" w:rsidRPr="00CB6985" w:rsidRDefault="00CB6985" w:rsidP="00906B36">
            <w:pPr>
              <w:pStyle w:val="Caption"/>
              <w:spacing w:before="0" w:after="0" w:line="480" w:lineRule="auto"/>
              <w:jc w:val="center"/>
            </w:pPr>
            <w:bookmarkStart w:id="40" w:name="_Toc172708813"/>
            <w:r w:rsidRPr="00CB6985">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3</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1</w:t>
            </w:r>
            <w:r w:rsidR="00996526">
              <w:rPr>
                <w:b/>
                <w:bCs/>
              </w:rPr>
              <w:fldChar w:fldCharType="end"/>
            </w:r>
            <w:r w:rsidR="001C34A1" w:rsidRPr="004834D3">
              <w:rPr>
                <w:rFonts w:cstheme="majorBidi"/>
              </w:rPr>
              <w:t xml:space="preserve"> Phase diagram of a binary salt-water solution </w:t>
            </w:r>
            <w:r w:rsidR="001C34A1" w:rsidRPr="004834D3">
              <w:rPr>
                <w:rFonts w:cstheme="majorBidi"/>
              </w:rPr>
              <w:fldChar w:fldCharType="begin" w:fldLock="1"/>
            </w:r>
            <w:r w:rsidR="00D83446">
              <w:rPr>
                <w:rFonts w:cstheme="majorBidi"/>
              </w:rPr>
              <w:instrText>ADDIN CSL_CITATION {"citationItems":[{"id":"ITEM-1","itemData":{"ISBN":"9789090227290","abstract":"1. In heat flow calculations of crystallization on a cold surface [Pronk, P. et al.; Chemical Engineering Science, 2006, 61, p.4354-4362; Mershmann, A.; Crystallization Technology Handbook, 2001], it is frequently assumed that all heat of crystallization is transferred to the cold side which is not necessarily true (Chapter 7). 2. The Raman spectra presented in the work of Freeman et al. [Freeman J.J.; Wang, A.; Jolliff B.L.; 38th Lunar and Planetary Science Conference, 2007, No. 1338, p.1197] are not those of MgSO 4 .11H 2 O (Meridianiite) as they claim, but are spectra of crystal samples which have already been dehydrated into a magnesium sulfate with a lower hydrate content (Chapter 5-6). 3. It is surprising that no care was ever given since 1837 [Fritzsche, C.J.; Poggendorff's Annalen, 1837, 42, 577-580] to determine the exact phase diagram of MgSO 4 aqueous solution nor to determining the crystal structure of the magnesium sulfate phase formed at lower temperatures, despite the fact that the solution has been used in many crystallization applications as the model solution. [e.g.: Hogenboom, D.L.; Kargel, J.S.; Ganasan, J.P.; Lee, L.; Icarus. 1995, 115, 258-277] (Chapter 5). 4. It is easier to make nano-crystals from supercritical CO 2 [Jung, J.; Perrut, M.; J. Supercrit. Fluids, 2001, 20, 3, 179-219] than by arrested precipitation from solution. 5. Putting CO 2 underground is not a sustainable solution to our energy problem. 6. It is surprising, even paradoxical, that results in highly prestigious journals are not necessarily more reliable than those in second-tier journals. 7. The Turkish saying 'the mirror of a person is his work, not his word' is not true when working in a group! 'Talking skills' mostly overcome the 'working skills'. 8. In modern world more intelligent women dedicate themselves to their career rather than to having more children. Due to the changing priorities of women, our society is under the threat of a decrease in the number of intelligent people. 9. Effective valorization and high level scientific research can reinforce each other. 10. The moneys spent on subsidies for \"biofuels\" would better be spent on purchasing and preserving rain forests. These propositions are considered opposable and defendable as such have been approved by the supervisor, Prof. Dr. G. J. Witkamp.","author":[{"dropping-particle":"","family":"Genceli","given":"Fatma Elif","non-dropping-particle":"","parse-names":false,"suffix":""}],"id":"ITEM-1","issued":{"date-parts":[["2008"]]},"publisher":"Technical University of Delf","title":"Scaling-Up Eutectic Freeze Crystallization","type":"thesis"},"uris":["http://www.mendeley.com/documents/?uuid=882d11f9-3e64-441f-9012-5effce291b66"]}],"mendeley":{"formattedCitation":"[140]","plainTextFormattedCitation":"[140]","previouslyFormattedCitation":"[141]"},"properties":{"noteIndex":0},"schema":"https://github.com/citation-style-language/schema/raw/master/csl-citation.json"}</w:instrText>
            </w:r>
            <w:r w:rsidR="001C34A1" w:rsidRPr="004834D3">
              <w:rPr>
                <w:rFonts w:cstheme="majorBidi"/>
              </w:rPr>
              <w:fldChar w:fldCharType="separate"/>
            </w:r>
            <w:r w:rsidR="00D83446" w:rsidRPr="00D83446">
              <w:rPr>
                <w:rFonts w:cstheme="majorBidi"/>
                <w:noProof/>
              </w:rPr>
              <w:t>[140]</w:t>
            </w:r>
            <w:r w:rsidR="001C34A1" w:rsidRPr="004834D3">
              <w:rPr>
                <w:rFonts w:cstheme="majorBidi"/>
              </w:rPr>
              <w:fldChar w:fldCharType="end"/>
            </w:r>
            <w:r>
              <w:rPr>
                <w:rFonts w:cstheme="majorBidi"/>
              </w:rPr>
              <w:t>.</w:t>
            </w:r>
            <w:bookmarkEnd w:id="40"/>
          </w:p>
        </w:tc>
      </w:tr>
    </w:tbl>
    <w:p w14:paraId="2A00B143" w14:textId="46D336A7" w:rsidR="00704938" w:rsidRPr="00EA2D6B" w:rsidRDefault="00AF7E5C" w:rsidP="00700DBA">
      <w:pPr>
        <w:pStyle w:val="Heading2"/>
        <w:numPr>
          <w:ilvl w:val="1"/>
          <w:numId w:val="4"/>
        </w:numPr>
        <w:spacing w:before="360" w:after="0" w:line="480" w:lineRule="auto"/>
        <w:ind w:left="432" w:hanging="432"/>
        <w:rPr>
          <w:sz w:val="24"/>
          <w:szCs w:val="24"/>
        </w:rPr>
      </w:pPr>
      <w:bookmarkStart w:id="41" w:name="_Toc172367682"/>
      <w:r w:rsidRPr="00EA2D6B">
        <w:rPr>
          <w:sz w:val="24"/>
          <w:szCs w:val="24"/>
        </w:rPr>
        <w:t>Energy Balance Study</w:t>
      </w:r>
      <w:bookmarkEnd w:id="41"/>
    </w:p>
    <w:p w14:paraId="79268332" w14:textId="7986082F" w:rsidR="0092077D" w:rsidRPr="004834D3" w:rsidRDefault="0092077D" w:rsidP="00030877">
      <w:pPr>
        <w:spacing w:before="240" w:after="240" w:line="480" w:lineRule="auto"/>
        <w:jc w:val="both"/>
        <w:rPr>
          <w:rFonts w:cstheme="majorBidi"/>
        </w:rPr>
      </w:pPr>
      <w:r w:rsidRPr="004834D3">
        <w:rPr>
          <w:rFonts w:cstheme="majorBidi"/>
        </w:rPr>
        <w:t xml:space="preserve">The objective of the theoretical study is to determine the </w:t>
      </w:r>
      <w:r w:rsidR="003B39B8">
        <w:rPr>
          <w:rFonts w:cstheme="majorBidi"/>
        </w:rPr>
        <w:t>recovery ratio</w:t>
      </w:r>
      <w:r w:rsidRPr="004834D3">
        <w:rPr>
          <w:rFonts w:cstheme="majorBidi"/>
        </w:rPr>
        <w:t xml:space="preserve"> based on the thermophysical properties of the feed brine and ICL, as well as their respective flow rates and temperatures. To achieve this, the energy balance within the freezing chamber during the crystallization process must be solved. Figure </w:t>
      </w:r>
      <w:r w:rsidR="002A0243">
        <w:rPr>
          <w:rFonts w:cstheme="majorBidi"/>
        </w:rPr>
        <w:t>3</w:t>
      </w:r>
      <w:r w:rsidR="00CB6985">
        <w:rPr>
          <w:rFonts w:cstheme="majorBidi"/>
        </w:rPr>
        <w:t>-</w:t>
      </w:r>
      <w:r w:rsidR="002A0243">
        <w:rPr>
          <w:rFonts w:cstheme="majorBidi"/>
        </w:rPr>
        <w:t>2</w:t>
      </w:r>
      <w:r w:rsidRPr="004834D3">
        <w:rPr>
          <w:rFonts w:cstheme="majorBidi"/>
        </w:rPr>
        <w:t xml:space="preserve"> illustrates the inlet and outlet streams of the freezing chamber. The inputs include the feed brine and cold ICL, while the outputs consist of ice, unfrozen concentrated brine, and ICL. In addition to </w:t>
      </w:r>
      <w:r w:rsidR="003B39B8">
        <w:rPr>
          <w:rFonts w:cstheme="majorBidi"/>
        </w:rPr>
        <w:t>the input and output streams</w:t>
      </w:r>
      <w:r w:rsidRPr="004834D3">
        <w:rPr>
          <w:rFonts w:cstheme="majorBidi"/>
        </w:rPr>
        <w:t xml:space="preserve">, heat transfer with the ambient environment also affects the freezing chamber and must be accounted for in the energy balance.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1C34A1" w:rsidRPr="004834D3" w14:paraId="63C28B7E" w14:textId="77777777" w:rsidTr="0092077D">
        <w:tc>
          <w:tcPr>
            <w:tcW w:w="9360" w:type="dxa"/>
            <w:vAlign w:val="center"/>
          </w:tcPr>
          <w:p w14:paraId="1E2DF2A6" w14:textId="77777777" w:rsidR="001C34A1" w:rsidRPr="004834D3" w:rsidRDefault="001C34A1" w:rsidP="00030877">
            <w:pPr>
              <w:spacing w:line="480" w:lineRule="auto"/>
              <w:jc w:val="center"/>
              <w:rPr>
                <w:rFonts w:cstheme="majorBidi"/>
              </w:rPr>
            </w:pPr>
            <w:r w:rsidRPr="004834D3">
              <w:rPr>
                <w:rFonts w:cstheme="majorBidi"/>
                <w:noProof/>
              </w:rPr>
              <w:lastRenderedPageBreak/>
              <w:drawing>
                <wp:inline distT="0" distB="0" distL="0" distR="0" wp14:anchorId="4E347F0C" wp14:editId="69750D25">
                  <wp:extent cx="5245243" cy="2286000"/>
                  <wp:effectExtent l="0" t="0" r="0" b="0"/>
                  <wp:docPr id="1567334187" name="Picture 156733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5245243" cy="2286000"/>
                          </a:xfrm>
                          <a:prstGeom prst="rect">
                            <a:avLst/>
                          </a:prstGeom>
                          <a:noFill/>
                          <a:ln>
                            <a:noFill/>
                          </a:ln>
                        </pic:spPr>
                      </pic:pic>
                    </a:graphicData>
                  </a:graphic>
                </wp:inline>
              </w:drawing>
            </w:r>
          </w:p>
        </w:tc>
      </w:tr>
      <w:tr w:rsidR="001C34A1" w:rsidRPr="004834D3" w14:paraId="54F3A8E5" w14:textId="77777777" w:rsidTr="0092077D">
        <w:tc>
          <w:tcPr>
            <w:tcW w:w="9360" w:type="dxa"/>
          </w:tcPr>
          <w:p w14:paraId="396E3BAA" w14:textId="3BF87B71" w:rsidR="001C34A1" w:rsidRPr="00CB6985" w:rsidRDefault="00CB6985" w:rsidP="00030877">
            <w:pPr>
              <w:pStyle w:val="Caption"/>
              <w:spacing w:before="0" w:after="0" w:line="480" w:lineRule="auto"/>
              <w:jc w:val="center"/>
            </w:pPr>
            <w:bookmarkStart w:id="42" w:name="_Toc172708814"/>
            <w:r w:rsidRPr="00CB6985">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3</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2</w:t>
            </w:r>
            <w:r w:rsidR="00996526">
              <w:rPr>
                <w:b/>
                <w:bCs/>
              </w:rPr>
              <w:fldChar w:fldCharType="end"/>
            </w:r>
            <w:r w:rsidR="001C34A1" w:rsidRPr="004834D3">
              <w:rPr>
                <w:rFonts w:cstheme="majorBidi"/>
              </w:rPr>
              <w:t xml:space="preserve"> Freezing chamber inlet and outlet streams</w:t>
            </w:r>
            <w:r>
              <w:rPr>
                <w:rFonts w:cstheme="majorBidi"/>
              </w:rPr>
              <w:t>.</w:t>
            </w:r>
            <w:bookmarkEnd w:id="42"/>
          </w:p>
        </w:tc>
      </w:tr>
    </w:tbl>
    <w:p w14:paraId="0A1DD8D6" w14:textId="3C7561A6" w:rsidR="00BA59C1" w:rsidRPr="004834D3" w:rsidRDefault="00BA59C1" w:rsidP="00030877">
      <w:pPr>
        <w:spacing w:before="240" w:after="240" w:line="480" w:lineRule="auto"/>
        <w:ind w:firstLine="720"/>
        <w:jc w:val="both"/>
        <w:rPr>
          <w:rFonts w:cstheme="majorBidi"/>
        </w:rPr>
      </w:pPr>
      <w:r w:rsidRPr="004834D3">
        <w:rPr>
          <w:rFonts w:cstheme="majorBidi"/>
        </w:rPr>
        <w:t>To solve the energy balance during the crystallization process, several assumptions need to be made:</w:t>
      </w:r>
    </w:p>
    <w:p w14:paraId="6CB26B81" w14:textId="341FBFBF" w:rsidR="001C34A1" w:rsidRPr="004834D3" w:rsidRDefault="001C34A1" w:rsidP="00700DBA">
      <w:pPr>
        <w:pStyle w:val="ListParagraph"/>
        <w:numPr>
          <w:ilvl w:val="0"/>
          <w:numId w:val="1"/>
        </w:numPr>
        <w:spacing w:before="240" w:after="240" w:line="480" w:lineRule="auto"/>
        <w:jc w:val="both"/>
        <w:rPr>
          <w:rFonts w:cstheme="majorBidi"/>
        </w:rPr>
      </w:pPr>
      <w:r w:rsidRPr="004834D3">
        <w:rPr>
          <w:rFonts w:cstheme="majorBidi"/>
        </w:rPr>
        <w:t>The mixture in the freezing chamber is well mixed and all components, namely, ice, unfrozen concentrated brine, and ICL leave the freezing chamber at the same temperature.</w:t>
      </w:r>
    </w:p>
    <w:p w14:paraId="13D31B0B" w14:textId="77777777" w:rsidR="001C34A1" w:rsidRPr="004834D3" w:rsidRDefault="001C34A1" w:rsidP="00700DBA">
      <w:pPr>
        <w:pStyle w:val="ListParagraph"/>
        <w:numPr>
          <w:ilvl w:val="0"/>
          <w:numId w:val="1"/>
        </w:numPr>
        <w:spacing w:before="240" w:after="240" w:line="480" w:lineRule="auto"/>
        <w:jc w:val="both"/>
        <w:rPr>
          <w:rFonts w:cstheme="majorBidi"/>
        </w:rPr>
      </w:pPr>
      <w:r w:rsidRPr="004834D3">
        <w:rPr>
          <w:rFonts w:cstheme="majorBidi"/>
        </w:rPr>
        <w:t>The specific heat and density of the ICL are constant.</w:t>
      </w:r>
    </w:p>
    <w:p w14:paraId="24C12D1F" w14:textId="77777777" w:rsidR="001C34A1" w:rsidRPr="004834D3" w:rsidRDefault="001C34A1" w:rsidP="00700DBA">
      <w:pPr>
        <w:pStyle w:val="ListParagraph"/>
        <w:numPr>
          <w:ilvl w:val="0"/>
          <w:numId w:val="1"/>
        </w:numPr>
        <w:spacing w:before="240" w:after="240" w:line="480" w:lineRule="auto"/>
        <w:jc w:val="both"/>
        <w:rPr>
          <w:rFonts w:cstheme="majorBidi"/>
        </w:rPr>
      </w:pPr>
      <w:r w:rsidRPr="004834D3">
        <w:rPr>
          <w:rFonts w:cstheme="majorBidi"/>
        </w:rPr>
        <w:t>The salt is pure sodium chloride.</w:t>
      </w:r>
    </w:p>
    <w:p w14:paraId="7FFA433A" w14:textId="3411C3CB" w:rsidR="00BC2853" w:rsidRPr="004834D3" w:rsidRDefault="002342C1" w:rsidP="00030877">
      <w:pPr>
        <w:spacing w:before="240" w:after="240" w:line="480" w:lineRule="auto"/>
        <w:ind w:firstLine="720"/>
        <w:jc w:val="both"/>
        <w:rPr>
          <w:rFonts w:cstheme="majorBidi"/>
        </w:rPr>
      </w:pPr>
      <w:r w:rsidRPr="004834D3">
        <w:rPr>
          <w:rFonts w:cstheme="majorBidi"/>
        </w:rPr>
        <w:t xml:space="preserve">Among these assumptions, the first one is the most crucial and simplifying assumption. It asserts that the outlet mixture has sufficient time to reach a steady state, maintaining a constant temperature for all exiting components. Although the energy balance is focused on the freezing chamber, the mixture at the chamber outlet can be extended to the outlet mixture immediately before the slurry separation without introducing any additional assumptions or modifications. This extension can further </w:t>
      </w:r>
      <w:r w:rsidR="00BC2853" w:rsidRPr="004834D3">
        <w:rPr>
          <w:rFonts w:cstheme="majorBidi"/>
        </w:rPr>
        <w:t>support</w:t>
      </w:r>
      <w:r w:rsidRPr="004834D3">
        <w:rPr>
          <w:rFonts w:cstheme="majorBidi"/>
        </w:rPr>
        <w:t xml:space="preserve"> the constant temperature assumption at the exiting stream. This assumption also implies that the outlet mixture temperature is equal to the freezing temperature of the concentrated brine, as depicted in Fig. </w:t>
      </w:r>
      <w:r w:rsidR="002A0243">
        <w:rPr>
          <w:rFonts w:cstheme="majorBidi"/>
        </w:rPr>
        <w:t>3</w:t>
      </w:r>
      <w:r w:rsidR="003B39B8">
        <w:rPr>
          <w:rFonts w:cstheme="majorBidi"/>
        </w:rPr>
        <w:t>-</w:t>
      </w:r>
      <w:r w:rsidR="002A0243">
        <w:rPr>
          <w:rFonts w:cstheme="majorBidi"/>
        </w:rPr>
        <w:t>1</w:t>
      </w:r>
      <w:r w:rsidRPr="004834D3">
        <w:rPr>
          <w:rFonts w:cstheme="majorBidi"/>
        </w:rPr>
        <w:t xml:space="preserve">. </w:t>
      </w:r>
    </w:p>
    <w:p w14:paraId="359DA4EA" w14:textId="6EA3AB83" w:rsidR="007A0D13" w:rsidRPr="007A0D13" w:rsidRDefault="0092077D" w:rsidP="00030877">
      <w:pPr>
        <w:spacing w:before="240" w:after="240" w:line="480" w:lineRule="auto"/>
        <w:ind w:firstLine="720"/>
        <w:jc w:val="both"/>
        <w:rPr>
          <w:rFonts w:cstheme="majorBidi"/>
        </w:rPr>
      </w:pPr>
      <w:r w:rsidRPr="004834D3">
        <w:rPr>
          <w:rFonts w:cstheme="majorBidi"/>
        </w:rPr>
        <w:lastRenderedPageBreak/>
        <w:t xml:space="preserve">By applying the conservation of energy, the energy entering the chamber through the feed brine and ICL must equal the energy leaving through the ice, unfrozen brine, and ICL, plus any heat gained from the ambient. </w:t>
      </w:r>
      <w:r w:rsidR="001C34A1" w:rsidRPr="004834D3">
        <w:rPr>
          <w:rFonts w:cstheme="majorBidi"/>
        </w:rPr>
        <w:t>The energy balance for the freezing chamber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4"/>
        <w:gridCol w:w="536"/>
      </w:tblGrid>
      <w:tr w:rsidR="001C34A1" w:rsidRPr="004834D3" w14:paraId="17E3315D" w14:textId="77777777" w:rsidTr="007A0D13">
        <w:tc>
          <w:tcPr>
            <w:tcW w:w="8864" w:type="dxa"/>
            <w:vAlign w:val="center"/>
          </w:tcPr>
          <w:p w14:paraId="10B34E1A" w14:textId="77777777" w:rsidR="001C34A1"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ICL</m:t>
                    </m:r>
                  </m:sub>
                </m:sSub>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ICL</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out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m:t>
                        </m:r>
                      </m:sub>
                    </m:sSub>
                  </m:e>
                </m:d>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sSub>
                  <m:sSubPr>
                    <m:ctrlPr>
                      <w:rPr>
                        <w:rFonts w:ascii="Cambria Math" w:hAnsi="Cambria Math" w:cstheme="majorBidi"/>
                        <w:i/>
                      </w:rPr>
                    </m:ctrlPr>
                  </m:sSubPr>
                  <m:e>
                    <m:r>
                      <w:rPr>
                        <w:rFonts w:ascii="Cambria Math" w:hAnsi="Cambria Math" w:cstheme="majorBidi"/>
                      </w:rPr>
                      <m:t xml:space="preserve"> c</m:t>
                    </m:r>
                  </m:e>
                  <m:sub>
                    <m:r>
                      <m:rPr>
                        <m:sty m:val="p"/>
                      </m:rPr>
                      <w:rPr>
                        <w:rFonts w:ascii="Cambria Math" w:hAnsi="Cambria Math" w:cstheme="majorBidi"/>
                      </w:rPr>
                      <m:t>avg</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fb</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out</m:t>
                        </m:r>
                      </m:sub>
                    </m:sSub>
                  </m:e>
                </m:d>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ice</m:t>
                    </m:r>
                  </m:sub>
                </m:sSub>
                <m:sSub>
                  <m:sSubPr>
                    <m:ctrlPr>
                      <w:rPr>
                        <w:rFonts w:ascii="Cambria Math" w:hAnsi="Cambria Math" w:cstheme="majorBidi"/>
                        <w:i/>
                      </w:rPr>
                    </m:ctrlPr>
                  </m:sSubPr>
                  <m:e>
                    <m:r>
                      <w:rPr>
                        <w:rFonts w:ascii="Cambria Math" w:hAnsi="Cambria Math" w:cstheme="majorBidi"/>
                      </w:rPr>
                      <m:t>h</m:t>
                    </m:r>
                  </m:e>
                  <m:sub>
                    <m:r>
                      <m:rPr>
                        <m:sty m:val="p"/>
                      </m:rPr>
                      <w:rPr>
                        <w:rFonts w:ascii="Cambria Math" w:hAnsi="Cambria Math" w:cstheme="majorBidi"/>
                      </w:rPr>
                      <m:t>sl</m:t>
                    </m:r>
                  </m:sub>
                </m:sSub>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m:rPr>
                        <m:sty m:val="p"/>
                      </m:rPr>
                      <w:rPr>
                        <w:rFonts w:ascii="Cambria Math" w:hAnsi="Cambria Math" w:cstheme="majorBidi"/>
                      </w:rPr>
                      <m:t>gain</m:t>
                    </m:r>
                  </m:sub>
                </m:sSub>
              </m:oMath>
            </m:oMathPara>
          </w:p>
        </w:tc>
        <w:tc>
          <w:tcPr>
            <w:tcW w:w="496" w:type="dxa"/>
            <w:vAlign w:val="center"/>
          </w:tcPr>
          <w:p w14:paraId="49C7FA89" w14:textId="1304E563"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1</w:t>
            </w:r>
            <w:r>
              <w:rPr>
                <w:noProof/>
              </w:rPr>
              <w:fldChar w:fldCharType="end"/>
            </w:r>
          </w:p>
        </w:tc>
      </w:tr>
    </w:tbl>
    <w:p w14:paraId="173F8FF5" w14:textId="443F6A82" w:rsidR="0086695F" w:rsidRPr="0086695F" w:rsidRDefault="001C34A1" w:rsidP="00030877">
      <w:pPr>
        <w:spacing w:before="240" w:after="240" w:line="480" w:lineRule="auto"/>
        <w:jc w:val="both"/>
        <w:rPr>
          <w:rFonts w:cstheme="majorBidi"/>
        </w:rPr>
      </w:pPr>
      <w:r w:rsidRPr="004834D3">
        <w:rPr>
          <w:rFonts w:cstheme="majorBidi"/>
        </w:rPr>
        <w:t xml:space="preserve">where </w:t>
      </w:r>
      <m:oMath>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m</m:t>
                </m:r>
              </m:e>
            </m:acc>
          </m:e>
          <m:sub>
            <m:r>
              <m:rPr>
                <m:sty m:val="p"/>
              </m:rPr>
              <w:rPr>
                <w:rFonts w:ascii="Cambria Math" w:hAnsi="Cambria Math" w:cstheme="majorBidi"/>
              </w:rPr>
              <m:t>ICL</m:t>
            </m:r>
          </m:sub>
        </m:sSub>
      </m:oMath>
      <w:r w:rsidRPr="004834D3">
        <w:rPr>
          <w:rFonts w:cstheme="majorBidi"/>
        </w:rPr>
        <w:t xml:space="preserve">, </w:t>
      </w:r>
      <m:oMath>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m</m:t>
                </m:r>
              </m:e>
            </m:acc>
          </m:e>
          <m:sub>
            <m:r>
              <m:rPr>
                <m:sty m:val="p"/>
              </m:rPr>
              <w:rPr>
                <w:rFonts w:ascii="Cambria Math" w:hAnsi="Cambria Math" w:cstheme="majorBidi"/>
              </w:rPr>
              <m:t>fb</m:t>
            </m:r>
          </m:sub>
        </m:sSub>
      </m:oMath>
      <w:r w:rsidRPr="004834D3">
        <w:rPr>
          <w:rFonts w:cstheme="majorBidi"/>
        </w:rPr>
        <w:t xml:space="preserve">, and </w:t>
      </w:r>
      <m:oMath>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m</m:t>
                </m:r>
              </m:e>
            </m:acc>
          </m:e>
          <m:sub>
            <m:r>
              <m:rPr>
                <m:sty m:val="p"/>
              </m:rPr>
              <w:rPr>
                <w:rFonts w:ascii="Cambria Math" w:hAnsi="Cambria Math" w:cstheme="majorBidi"/>
              </w:rPr>
              <m:t>ice</m:t>
            </m:r>
          </m:sub>
        </m:sSub>
      </m:oMath>
      <w:r w:rsidRPr="004834D3">
        <w:rPr>
          <w:rFonts w:cstheme="majorBidi"/>
        </w:rPr>
        <w:t xml:space="preserve"> are the mass flow rates of ICL, feed brine, and generated ice, respectively,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ICL</m:t>
            </m:r>
          </m:sub>
        </m:sSub>
      </m:oMath>
      <w:r w:rsidRPr="004834D3">
        <w:rPr>
          <w:rFonts w:cstheme="majorBidi"/>
        </w:rPr>
        <w:t xml:space="preserve"> and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avg</m:t>
            </m:r>
          </m:sub>
        </m:sSub>
      </m:oMath>
      <w:r w:rsidRPr="004834D3">
        <w:rPr>
          <w:rFonts w:cstheme="majorBidi"/>
        </w:rPr>
        <w:t xml:space="preserve"> are the specific heat of the ICL, and the mass-averaged specific heat of the ice-brine mixture, respectively, and </w:t>
      </w:r>
      <m:oMath>
        <m:sSub>
          <m:sSubPr>
            <m:ctrlPr>
              <w:rPr>
                <w:rFonts w:ascii="Cambria Math" w:hAnsi="Cambria Math" w:cstheme="majorBidi"/>
              </w:rPr>
            </m:ctrlPr>
          </m:sSubPr>
          <m:e>
            <m:r>
              <w:rPr>
                <w:rFonts w:ascii="Cambria Math" w:hAnsi="Cambria Math" w:cstheme="majorBidi"/>
              </w:rPr>
              <m:t>h</m:t>
            </m:r>
          </m:e>
          <m:sub>
            <m:r>
              <m:rPr>
                <m:sty m:val="p"/>
              </m:rPr>
              <w:rPr>
                <w:rFonts w:ascii="Cambria Math" w:hAnsi="Cambria Math" w:cstheme="majorBidi"/>
              </w:rPr>
              <m:t>sl</m:t>
            </m:r>
          </m:sub>
        </m:sSub>
      </m:oMath>
      <w:r w:rsidRPr="004834D3">
        <w:rPr>
          <w:rFonts w:cstheme="majorBidi"/>
        </w:rPr>
        <w:t xml:space="preserve"> is the latent heat of fusion of ice. Also, in Eq. </w:t>
      </w:r>
      <w:r w:rsidR="001020E3">
        <w:rPr>
          <w:rFonts w:cstheme="majorBidi"/>
        </w:rPr>
        <w:t>3</w:t>
      </w:r>
      <w:r w:rsidR="0086695F">
        <w:rPr>
          <w:rFonts w:cstheme="majorBidi"/>
        </w:rPr>
        <w:t>-1</w:t>
      </w:r>
      <w:r w:rsidRPr="004834D3">
        <w:rPr>
          <w:rFonts w:cstheme="majorBidi"/>
        </w:rPr>
        <w:t xml:space="preserve">, </w:t>
      </w:r>
      <m:oMath>
        <m:sSub>
          <m:sSubPr>
            <m:ctrlPr>
              <w:rPr>
                <w:rFonts w:ascii="Cambria Math" w:hAnsi="Cambria Math" w:cstheme="majorBidi"/>
              </w:rPr>
            </m:ctrlPr>
          </m:sSubPr>
          <m:e>
            <m:r>
              <w:rPr>
                <w:rFonts w:ascii="Cambria Math" w:hAnsi="Cambria Math" w:cstheme="majorBidi"/>
              </w:rPr>
              <m:t>T</m:t>
            </m:r>
          </m:e>
          <m:sub>
            <m:r>
              <w:rPr>
                <w:rFonts w:ascii="Cambria Math" w:hAnsi="Cambria Math" w:cstheme="majorBidi"/>
              </w:rPr>
              <m:t xml:space="preserve"> </m:t>
            </m:r>
            <m:r>
              <m:rPr>
                <m:sty m:val="p"/>
              </m:rPr>
              <w:rPr>
                <w:rFonts w:ascii="Cambria Math" w:hAnsi="Cambria Math" w:cstheme="majorBidi"/>
              </w:rPr>
              <m:t>ICL</m:t>
            </m:r>
          </m:sub>
        </m:sSub>
      </m:oMath>
      <w:r w:rsidRPr="004834D3">
        <w:rPr>
          <w:rFonts w:cstheme="majorBidi"/>
        </w:rPr>
        <w:t xml:space="preserve">, </w:t>
      </w:r>
      <m:oMath>
        <m:sSub>
          <m:sSubPr>
            <m:ctrlPr>
              <w:rPr>
                <w:rFonts w:ascii="Cambria Math" w:hAnsi="Cambria Math" w:cstheme="majorBidi"/>
              </w:rPr>
            </m:ctrlPr>
          </m:sSubPr>
          <m:e>
            <m:r>
              <w:rPr>
                <w:rFonts w:ascii="Cambria Math" w:hAnsi="Cambria Math" w:cstheme="majorBidi"/>
              </w:rPr>
              <m:t>T</m:t>
            </m:r>
          </m:e>
          <m:sub>
            <m:r>
              <m:rPr>
                <m:sty m:val="p"/>
              </m:rPr>
              <w:rPr>
                <w:rFonts w:ascii="Cambria Math" w:hAnsi="Cambria Math" w:cstheme="majorBidi"/>
              </w:rPr>
              <m:t>fb</m:t>
            </m:r>
          </m:sub>
        </m:sSub>
      </m:oMath>
      <w:r w:rsidRPr="004834D3">
        <w:rPr>
          <w:rFonts w:cstheme="majorBidi"/>
        </w:rPr>
        <w:t xml:space="preserve">, and </w:t>
      </w:r>
      <m:oMath>
        <m:sSub>
          <m:sSubPr>
            <m:ctrlPr>
              <w:rPr>
                <w:rFonts w:ascii="Cambria Math" w:hAnsi="Cambria Math" w:cstheme="majorBidi"/>
              </w:rPr>
            </m:ctrlPr>
          </m:sSubPr>
          <m:e>
            <m:r>
              <w:rPr>
                <w:rFonts w:ascii="Cambria Math" w:hAnsi="Cambria Math" w:cstheme="majorBidi"/>
              </w:rPr>
              <m:t>T</m:t>
            </m:r>
          </m:e>
          <m:sub>
            <m:r>
              <m:rPr>
                <m:sty m:val="p"/>
              </m:rPr>
              <w:rPr>
                <w:rFonts w:ascii="Cambria Math" w:hAnsi="Cambria Math" w:cstheme="majorBidi"/>
              </w:rPr>
              <m:t>out</m:t>
            </m:r>
          </m:sub>
        </m:sSub>
      </m:oMath>
      <w:r w:rsidRPr="004834D3">
        <w:rPr>
          <w:rFonts w:cstheme="majorBidi"/>
        </w:rPr>
        <w:t xml:space="preserve"> are the temperature of the inlet ICL, the feed brine, and the outlet mixture, respectively, and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m:rPr>
                <m:sty m:val="p"/>
              </m:rPr>
              <w:rPr>
                <w:rFonts w:ascii="Cambria Math" w:hAnsi="Cambria Math" w:cstheme="majorBidi"/>
              </w:rPr>
              <m:t>gain</m:t>
            </m:r>
          </m:sub>
        </m:sSub>
      </m:oMath>
      <w:r w:rsidRPr="004834D3">
        <w:rPr>
          <w:rFonts w:cstheme="majorBidi"/>
        </w:rPr>
        <w:t xml:space="preserve"> is the heat gain from the ambient to the freezing chamber due to imperfect insulation.</w:t>
      </w:r>
      <w:r w:rsidR="00616A23">
        <w:rPr>
          <w:rFonts w:cstheme="majorBidi"/>
        </w:rPr>
        <w:t xml:space="preserve"> </w:t>
      </w:r>
      <w:r w:rsidRPr="004834D3">
        <w:rPr>
          <w:rFonts w:cstheme="majorBidi"/>
        </w:rPr>
        <w:t>The mass-averaged specific heat of the ice-brine mixture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2052"/>
      </w:tblGrid>
      <w:tr w:rsidR="001C34A1" w:rsidRPr="004834D3" w14:paraId="0C1ACD68" w14:textId="77777777" w:rsidTr="00CB6985">
        <w:tc>
          <w:tcPr>
            <w:tcW w:w="7308" w:type="dxa"/>
            <w:vAlign w:val="center"/>
          </w:tcPr>
          <w:p w14:paraId="4491B791" w14:textId="77777777" w:rsidR="001C34A1"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avg</m:t>
                    </m:r>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fb</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ice</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ice</m:t>
                        </m:r>
                      </m:sub>
                    </m:sSub>
                    <m:r>
                      <w:rPr>
                        <w:rFonts w:ascii="Cambria Math" w:hAnsi="Cambria Math" w:cstheme="majorBidi"/>
                      </w:rPr>
                      <m:t>+</m:t>
                    </m:r>
                    <m:d>
                      <m:dPr>
                        <m:ctrlPr>
                          <w:rPr>
                            <w:rFonts w:ascii="Cambria Math" w:hAnsi="Cambria Math" w:cstheme="majorBidi"/>
                            <w:i/>
                          </w:rPr>
                        </m:ctrlPr>
                      </m:dPr>
                      <m:e>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ice</m:t>
                            </m:r>
                          </m:sub>
                        </m:sSub>
                      </m:e>
                    </m:d>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cb</m:t>
                        </m:r>
                      </m:sub>
                    </m:sSub>
                  </m:num>
                  <m:den>
                    <m:r>
                      <w:rPr>
                        <w:rFonts w:ascii="Cambria Math" w:hAnsi="Cambria Math" w:cstheme="majorBidi"/>
                      </w:rPr>
                      <m:t xml:space="preserve">2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den>
                </m:f>
              </m:oMath>
            </m:oMathPara>
          </w:p>
        </w:tc>
        <w:tc>
          <w:tcPr>
            <w:tcW w:w="2052" w:type="dxa"/>
            <w:vAlign w:val="center"/>
          </w:tcPr>
          <w:p w14:paraId="253C0F11" w14:textId="2D0809D0"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2</w:t>
            </w:r>
            <w:r>
              <w:rPr>
                <w:noProof/>
              </w:rPr>
              <w:fldChar w:fldCharType="end"/>
            </w:r>
          </w:p>
        </w:tc>
      </w:tr>
    </w:tbl>
    <w:p w14:paraId="7BD7CF84" w14:textId="42A30282" w:rsidR="0086695F" w:rsidRPr="0086695F" w:rsidRDefault="001C34A1" w:rsidP="00030877">
      <w:pPr>
        <w:spacing w:before="240" w:after="240" w:line="480" w:lineRule="auto"/>
        <w:jc w:val="both"/>
        <w:rPr>
          <w:rFonts w:cstheme="majorBidi"/>
        </w:rPr>
      </w:pPr>
      <w:r w:rsidRPr="004834D3">
        <w:rPr>
          <w:rFonts w:cstheme="majorBidi"/>
        </w:rPr>
        <w:t xml:space="preserve">where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fb</m:t>
            </m:r>
          </m:sub>
        </m:sSub>
      </m:oMath>
      <w:r w:rsidRPr="004834D3">
        <w:rPr>
          <w:rFonts w:cstheme="majorBidi"/>
        </w:rPr>
        <w:t xml:space="preserve">,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ice</m:t>
            </m:r>
          </m:sub>
        </m:sSub>
      </m:oMath>
      <w:r w:rsidRPr="004834D3">
        <w:rPr>
          <w:rFonts w:cstheme="majorBidi"/>
        </w:rPr>
        <w:t xml:space="preserve">, and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cb</m:t>
            </m:r>
          </m:sub>
        </m:sSub>
      </m:oMath>
      <w:r w:rsidRPr="004834D3">
        <w:rPr>
          <w:rFonts w:cstheme="majorBidi"/>
        </w:rPr>
        <w:t xml:space="preserve"> are the specific heat of the feed brine, produced ice, and concentrated brine, respectively. The recovery ratio is defined as the mass flow rate of the produced ice to that of the feed brine: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18"/>
        <w:gridCol w:w="642"/>
      </w:tblGrid>
      <w:tr w:rsidR="001C34A1" w:rsidRPr="004834D3" w14:paraId="54F01EFD" w14:textId="77777777" w:rsidTr="0086695F">
        <w:tc>
          <w:tcPr>
            <w:tcW w:w="8718" w:type="dxa"/>
          </w:tcPr>
          <w:p w14:paraId="1B560967" w14:textId="77777777" w:rsidR="001C34A1" w:rsidRPr="004834D3" w:rsidRDefault="001C34A1" w:rsidP="00030877">
            <w:pPr>
              <w:spacing w:before="240" w:after="240" w:line="480" w:lineRule="auto"/>
              <w:jc w:val="both"/>
              <w:rPr>
                <w:rFonts w:cstheme="majorBidi"/>
              </w:rPr>
            </w:pPr>
            <m:oMathPara>
              <m:oMathParaPr>
                <m:jc m:val="left"/>
              </m:oMathParaPr>
              <m:oMath>
                <m:r>
                  <w:rPr>
                    <w:rFonts w:ascii="Cambria Math" w:hAnsi="Cambria Math" w:cstheme="majorBidi"/>
                  </w:rPr>
                  <m:t>R=</m:t>
                </m:r>
                <m:f>
                  <m:fPr>
                    <m:ctrlPr>
                      <w:rPr>
                        <w:rFonts w:ascii="Cambria Math" w:hAnsi="Cambria Math" w:cstheme="majorBidi"/>
                        <w:i/>
                      </w:rPr>
                    </m:ctrlPr>
                  </m:fPr>
                  <m:num>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ice</m:t>
                        </m:r>
                      </m:sub>
                    </m:sSub>
                  </m:num>
                  <m:den>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den>
                </m:f>
              </m:oMath>
            </m:oMathPara>
          </w:p>
        </w:tc>
        <w:tc>
          <w:tcPr>
            <w:tcW w:w="642" w:type="dxa"/>
          </w:tcPr>
          <w:p w14:paraId="4EB37083" w14:textId="26F7A7BC"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3</w:t>
            </w:r>
            <w:r>
              <w:rPr>
                <w:noProof/>
              </w:rPr>
              <w:fldChar w:fldCharType="end"/>
            </w:r>
          </w:p>
        </w:tc>
      </w:tr>
    </w:tbl>
    <w:p w14:paraId="151505FE" w14:textId="4A958319" w:rsidR="0086695F" w:rsidRPr="0086695F" w:rsidRDefault="001C34A1" w:rsidP="00030877">
      <w:pPr>
        <w:spacing w:before="240" w:after="240" w:line="480" w:lineRule="auto"/>
        <w:ind w:firstLine="720"/>
        <w:jc w:val="both"/>
        <w:rPr>
          <w:rFonts w:cstheme="majorBidi"/>
        </w:rPr>
      </w:pPr>
      <w:r w:rsidRPr="004834D3">
        <w:rPr>
          <w:rFonts w:cstheme="majorBidi"/>
        </w:rPr>
        <w:t xml:space="preserve">Equations </w:t>
      </w:r>
      <w:r w:rsidR="001020E3">
        <w:rPr>
          <w:rFonts w:cstheme="majorBidi"/>
        </w:rPr>
        <w:t>3</w:t>
      </w:r>
      <w:r w:rsidR="0086695F">
        <w:rPr>
          <w:rFonts w:cstheme="majorBidi"/>
        </w:rPr>
        <w:t>-1</w:t>
      </w:r>
      <w:r w:rsidRPr="004834D3">
        <w:rPr>
          <w:rFonts w:cstheme="majorBidi"/>
        </w:rPr>
        <w:t xml:space="preserve"> and </w:t>
      </w:r>
      <w:r w:rsidR="001020E3">
        <w:rPr>
          <w:rFonts w:cstheme="majorBidi"/>
        </w:rPr>
        <w:t>3</w:t>
      </w:r>
      <w:r w:rsidR="0086695F">
        <w:rPr>
          <w:rFonts w:cstheme="majorBidi"/>
        </w:rPr>
        <w:t>-2</w:t>
      </w:r>
      <w:r w:rsidRPr="004834D3">
        <w:rPr>
          <w:rFonts w:cstheme="majorBidi"/>
        </w:rPr>
        <w:t xml:space="preserve"> can be rewritten using the recovery ratio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8"/>
        <w:gridCol w:w="1248"/>
        <w:gridCol w:w="804"/>
      </w:tblGrid>
      <w:tr w:rsidR="001C34A1" w:rsidRPr="004834D3" w14:paraId="42555E40" w14:textId="77777777" w:rsidTr="00CB6985">
        <w:tc>
          <w:tcPr>
            <w:tcW w:w="8556" w:type="dxa"/>
            <w:gridSpan w:val="2"/>
          </w:tcPr>
          <w:p w14:paraId="61E03264" w14:textId="77777777" w:rsidR="001C34A1"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ICL</m:t>
                    </m:r>
                  </m:sub>
                </m:sSub>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ICL</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out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m:t>
                        </m:r>
                      </m:sub>
                    </m:sSub>
                  </m:e>
                </m:d>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avg</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fb</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out</m:t>
                            </m:r>
                          </m:sub>
                        </m:sSub>
                      </m:e>
                    </m:d>
                    <m:r>
                      <w:rPr>
                        <w:rFonts w:ascii="Cambria Math" w:hAnsi="Cambria Math" w:cstheme="majorBidi"/>
                      </w:rPr>
                      <m:t>+R</m:t>
                    </m:r>
                    <m:sSub>
                      <m:sSubPr>
                        <m:ctrlPr>
                          <w:rPr>
                            <w:rFonts w:ascii="Cambria Math" w:hAnsi="Cambria Math" w:cstheme="majorBidi"/>
                            <w:i/>
                          </w:rPr>
                        </m:ctrlPr>
                      </m:sSubPr>
                      <m:e>
                        <m:r>
                          <w:rPr>
                            <w:rFonts w:ascii="Cambria Math" w:hAnsi="Cambria Math" w:cstheme="majorBidi"/>
                          </w:rPr>
                          <m:t>h</m:t>
                        </m:r>
                      </m:e>
                      <m:sub>
                        <m:r>
                          <m:rPr>
                            <m:sty m:val="p"/>
                          </m:rPr>
                          <w:rPr>
                            <w:rFonts w:ascii="Cambria Math" w:hAnsi="Cambria Math" w:cstheme="majorBidi"/>
                          </w:rPr>
                          <m:t>sl</m:t>
                        </m:r>
                      </m:sub>
                    </m:sSub>
                  </m:e>
                </m:d>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m:rPr>
                        <m:sty m:val="p"/>
                      </m:rPr>
                      <w:rPr>
                        <w:rFonts w:ascii="Cambria Math" w:hAnsi="Cambria Math" w:cstheme="majorBidi"/>
                      </w:rPr>
                      <m:t>gain</m:t>
                    </m:r>
                  </m:sub>
                </m:sSub>
              </m:oMath>
            </m:oMathPara>
          </w:p>
        </w:tc>
        <w:tc>
          <w:tcPr>
            <w:tcW w:w="804" w:type="dxa"/>
          </w:tcPr>
          <w:p w14:paraId="70FA0316" w14:textId="51CE496F"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4</w:t>
            </w:r>
            <w:r>
              <w:rPr>
                <w:noProof/>
              </w:rPr>
              <w:fldChar w:fldCharType="end"/>
            </w:r>
          </w:p>
        </w:tc>
      </w:tr>
      <w:tr w:rsidR="001C34A1" w:rsidRPr="004834D3" w14:paraId="0626F817" w14:textId="77777777" w:rsidTr="00CB6985">
        <w:tc>
          <w:tcPr>
            <w:tcW w:w="7308" w:type="dxa"/>
          </w:tcPr>
          <w:p w14:paraId="600D8F72" w14:textId="77777777" w:rsidR="001C34A1"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avg</m:t>
                    </m:r>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den>
                </m:f>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fb</m:t>
                        </m:r>
                      </m:sub>
                    </m:sSub>
                    <m:r>
                      <w:rPr>
                        <w:rFonts w:ascii="Cambria Math" w:hAnsi="Cambria Math" w:cstheme="majorBidi"/>
                      </w:rPr>
                      <m:t xml:space="preserve">+R </m:t>
                    </m:r>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ice</m:t>
                        </m:r>
                      </m:sub>
                    </m:sSub>
                    <m:r>
                      <w:rPr>
                        <w:rFonts w:ascii="Cambria Math" w:hAnsi="Cambria Math" w:cstheme="majorBidi"/>
                      </w:rPr>
                      <m:t>+</m:t>
                    </m:r>
                    <m:d>
                      <m:dPr>
                        <m:ctrlPr>
                          <w:rPr>
                            <w:rFonts w:ascii="Cambria Math" w:hAnsi="Cambria Math" w:cstheme="majorBidi"/>
                            <w:i/>
                          </w:rPr>
                        </m:ctrlPr>
                      </m:dPr>
                      <m:e>
                        <m:r>
                          <w:rPr>
                            <w:rFonts w:ascii="Cambria Math" w:hAnsi="Cambria Math" w:cstheme="majorBidi"/>
                          </w:rPr>
                          <m:t>1-R</m:t>
                        </m:r>
                      </m:e>
                    </m:d>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cb</m:t>
                        </m:r>
                      </m:sub>
                    </m:sSub>
                  </m:e>
                </m:d>
              </m:oMath>
            </m:oMathPara>
          </w:p>
        </w:tc>
        <w:tc>
          <w:tcPr>
            <w:tcW w:w="2052" w:type="dxa"/>
            <w:gridSpan w:val="2"/>
          </w:tcPr>
          <w:p w14:paraId="0344EC39" w14:textId="4A089534" w:rsidR="001C34A1" w:rsidRPr="004834D3" w:rsidRDefault="000B1B64" w:rsidP="00030877">
            <w:pPr>
              <w:pStyle w:val="Caption"/>
              <w:spacing w:after="240" w:line="480" w:lineRule="auto"/>
              <w:jc w:val="right"/>
              <w:rPr>
                <w:rFonts w:cstheme="majorBidi"/>
              </w:rPr>
            </w:pPr>
            <w:r>
              <w:rPr>
                <w:rFonts w:cstheme="majorBidi"/>
              </w:rPr>
              <w:fldChar w:fldCharType="begin"/>
            </w:r>
            <w:r>
              <w:rPr>
                <w:rFonts w:cstheme="majorBidi"/>
              </w:rPr>
              <w:instrText xml:space="preserve"> STYLEREF 1 \s </w:instrText>
            </w:r>
            <w:r>
              <w:rPr>
                <w:rFonts w:cstheme="majorBidi"/>
              </w:rPr>
              <w:fldChar w:fldCharType="separate"/>
            </w:r>
            <w:r w:rsidR="00732AAC">
              <w:rPr>
                <w:rFonts w:cstheme="majorBidi"/>
                <w:noProof/>
                <w:cs/>
              </w:rPr>
              <w:t>‎</w:t>
            </w:r>
            <w:r w:rsidR="00732AAC">
              <w:rPr>
                <w:rFonts w:cstheme="majorBidi"/>
                <w:noProof/>
              </w:rPr>
              <w:t>3</w:t>
            </w:r>
            <w:r>
              <w:rPr>
                <w:rFonts w:cstheme="majorBidi"/>
              </w:rPr>
              <w:fldChar w:fldCharType="end"/>
            </w:r>
            <w:r>
              <w:rPr>
                <w:rFonts w:cstheme="majorBidi"/>
              </w:rPr>
              <w:noBreakHyphen/>
            </w:r>
            <w:r>
              <w:rPr>
                <w:rFonts w:cstheme="majorBidi"/>
              </w:rPr>
              <w:fldChar w:fldCharType="begin"/>
            </w:r>
            <w:r>
              <w:rPr>
                <w:rFonts w:cstheme="majorBidi"/>
              </w:rPr>
              <w:instrText xml:space="preserve"> SEQ Equation \* ARABIC \s 1 </w:instrText>
            </w:r>
            <w:r>
              <w:rPr>
                <w:rFonts w:cstheme="majorBidi"/>
              </w:rPr>
              <w:fldChar w:fldCharType="separate"/>
            </w:r>
            <w:r w:rsidR="00732AAC">
              <w:rPr>
                <w:rFonts w:cstheme="majorBidi"/>
                <w:noProof/>
              </w:rPr>
              <w:t>5</w:t>
            </w:r>
            <w:r>
              <w:rPr>
                <w:rFonts w:cstheme="majorBidi"/>
              </w:rPr>
              <w:fldChar w:fldCharType="end"/>
            </w:r>
          </w:p>
        </w:tc>
      </w:tr>
    </w:tbl>
    <w:p w14:paraId="2BAE4D6D" w14:textId="05E1FDCB" w:rsidR="00E650E1" w:rsidRDefault="00C31A0F" w:rsidP="00030877">
      <w:pPr>
        <w:tabs>
          <w:tab w:val="left" w:pos="-720"/>
        </w:tabs>
        <w:suppressAutoHyphens/>
        <w:adjustRightInd w:val="0"/>
        <w:snapToGrid w:val="0"/>
        <w:spacing w:before="240" w:after="240" w:line="480" w:lineRule="auto"/>
        <w:ind w:firstLine="360"/>
        <w:jc w:val="both"/>
        <w:rPr>
          <w:rFonts w:cstheme="majorBidi"/>
        </w:rPr>
      </w:pPr>
      <w:r>
        <w:rPr>
          <w:rFonts w:cstheme="majorBidi"/>
        </w:rPr>
        <w:tab/>
      </w:r>
      <w:r w:rsidR="003D71C4" w:rsidRPr="004834D3">
        <w:rPr>
          <w:rFonts w:cstheme="majorBidi"/>
        </w:rPr>
        <w:t xml:space="preserve">Based on the second assumption, the thermophysical properties of the ICL, such as density and specific heat, are considered constant. The mass flow rates of both the injected brine and the flowing ICL are measured and known in this study. In contrast, the thermophysical properties of the exiting concentrated brine, including density and specific heat, vary according to its concentration. As crystallization occurs, the concentration of the unfrozen brine increases gradually, leading to continuous variation in the latent heat of fusion of the remaining brine. This increase in concentration also results in a continuous decrease in the brine's freezing point. Therefore, it is necessary to define these properties as functions of brine salinity. The variations in these properties as functions of brine salinity are described by the equations presented in Table </w:t>
      </w:r>
      <w:r w:rsidR="00E650E1">
        <w:rPr>
          <w:rFonts w:cstheme="majorBidi"/>
        </w:rPr>
        <w:t>2-</w:t>
      </w:r>
      <w:r w:rsidR="003D71C4" w:rsidRPr="004834D3">
        <w:rPr>
          <w:rFonts w:cstheme="majorBidi"/>
        </w:rPr>
        <w:t xml:space="preserve">3, where </w:t>
      </w:r>
      <m:oMath>
        <m:r>
          <w:rPr>
            <w:rFonts w:ascii="Cambria Math" w:hAnsi="Cambria Math" w:cstheme="majorBidi"/>
          </w:rPr>
          <m:t>S</m:t>
        </m:r>
      </m:oMath>
      <w:r w:rsidR="003D71C4" w:rsidRPr="004834D3">
        <w:rPr>
          <w:rFonts w:cstheme="majorBidi"/>
        </w:rPr>
        <w:t xml:space="preserve"> denotes the salinity in grams of salts per kilogram of brine</w:t>
      </w:r>
      <w:r w:rsidR="003D71C4" w:rsidRPr="004834D3">
        <w:rPr>
          <w:rFonts w:cstheme="majorBidi"/>
          <w:i/>
        </w:rPr>
        <w:t xml:space="preserve"> </w:t>
      </w:r>
      <m:oMath>
        <m:r>
          <w:rPr>
            <w:rFonts w:ascii="Cambria Math" w:hAnsi="Cambria Math" w:cstheme="majorBidi"/>
          </w:rPr>
          <m:t>S=</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b</m:t>
            </m:r>
          </m:sub>
        </m:sSub>
      </m:oMath>
      <w:r w:rsidR="003D71C4" w:rsidRPr="004834D3">
        <w:rPr>
          <w:rFonts w:eastAsiaTheme="minorEastAsia" w:cstheme="majorBidi"/>
          <w:i/>
        </w:rPr>
        <w:t xml:space="preserve"> </w:t>
      </w:r>
      <w:r w:rsidR="003D71C4" w:rsidRPr="004834D3">
        <w:rPr>
          <w:rFonts w:eastAsiaTheme="minorEastAsia" w:cstheme="majorBidi"/>
          <w:iCs/>
        </w:rPr>
        <w:t>(g/kg)</w:t>
      </w:r>
      <w:r w:rsidR="003D71C4" w:rsidRPr="004834D3">
        <w:rPr>
          <w:rFonts w:cstheme="majorBidi"/>
        </w:rPr>
        <w:t>. Although these properties are derived for aqueous sodium chloride, they can be applied with acceptable accuracy to this study since sodium chloride constitutes about 96% of the salt used.</w:t>
      </w:r>
    </w:p>
    <w:p w14:paraId="4BF0EADA" w14:textId="77777777" w:rsidR="00030877" w:rsidRDefault="00030877" w:rsidP="00030877">
      <w:pPr>
        <w:tabs>
          <w:tab w:val="left" w:pos="-720"/>
        </w:tabs>
        <w:suppressAutoHyphens/>
        <w:adjustRightInd w:val="0"/>
        <w:snapToGrid w:val="0"/>
        <w:spacing w:before="240" w:after="240" w:line="480" w:lineRule="auto"/>
        <w:ind w:firstLine="360"/>
        <w:jc w:val="both"/>
        <w:rPr>
          <w:rFonts w:cstheme="majorBidi"/>
        </w:rPr>
      </w:pPr>
    </w:p>
    <w:p w14:paraId="4E8189F1" w14:textId="77777777" w:rsidR="00030877" w:rsidRDefault="00030877" w:rsidP="00030877">
      <w:pPr>
        <w:tabs>
          <w:tab w:val="left" w:pos="-720"/>
        </w:tabs>
        <w:suppressAutoHyphens/>
        <w:adjustRightInd w:val="0"/>
        <w:snapToGrid w:val="0"/>
        <w:spacing w:before="240" w:after="240" w:line="480" w:lineRule="auto"/>
        <w:ind w:firstLine="360"/>
        <w:jc w:val="both"/>
        <w:rPr>
          <w:rFonts w:cstheme="majorBidi"/>
        </w:rPr>
      </w:pPr>
    </w:p>
    <w:p w14:paraId="3CAB6289" w14:textId="77777777" w:rsidR="00030877" w:rsidRPr="00E650E1" w:rsidRDefault="00030877" w:rsidP="00030877">
      <w:pPr>
        <w:tabs>
          <w:tab w:val="left" w:pos="-720"/>
        </w:tabs>
        <w:suppressAutoHyphens/>
        <w:adjustRightInd w:val="0"/>
        <w:snapToGrid w:val="0"/>
        <w:spacing w:before="240" w:after="240" w:line="480" w:lineRule="auto"/>
        <w:ind w:firstLine="360"/>
        <w:jc w:val="both"/>
        <w:rPr>
          <w:rFonts w:cstheme="majorBidi"/>
        </w:rPr>
      </w:pPr>
    </w:p>
    <w:tbl>
      <w:tblPr>
        <w:tblStyle w:val="TableGrid"/>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058"/>
      </w:tblGrid>
      <w:tr w:rsidR="001C34A1" w:rsidRPr="004834D3" w14:paraId="783B2D29" w14:textId="77777777" w:rsidTr="00A70838">
        <w:trPr>
          <w:jc w:val="center"/>
        </w:trPr>
        <w:tc>
          <w:tcPr>
            <w:tcW w:w="9468" w:type="dxa"/>
            <w:gridSpan w:val="2"/>
            <w:tcBorders>
              <w:bottom w:val="single" w:sz="4" w:space="0" w:color="auto"/>
            </w:tcBorders>
            <w:shd w:val="clear" w:color="auto" w:fill="FFFFFF" w:themeFill="background1"/>
          </w:tcPr>
          <w:p w14:paraId="758130D4" w14:textId="343AB435" w:rsidR="001C34A1" w:rsidRPr="004834D3" w:rsidRDefault="00E650E1" w:rsidP="00030877">
            <w:pPr>
              <w:spacing w:line="480" w:lineRule="auto"/>
              <w:jc w:val="center"/>
              <w:rPr>
                <w:rFonts w:cstheme="majorBidi"/>
              </w:rPr>
            </w:pPr>
            <w:bookmarkStart w:id="43" w:name="_Toc172708776"/>
            <w:r w:rsidRPr="00E650E1">
              <w:rPr>
                <w:b/>
                <w:bCs/>
              </w:rPr>
              <w:lastRenderedPageBreak/>
              <w:t xml:space="preserve">Table </w:t>
            </w:r>
            <w:r w:rsidR="00015A16">
              <w:rPr>
                <w:b/>
                <w:bCs/>
              </w:rPr>
              <w:fldChar w:fldCharType="begin"/>
            </w:r>
            <w:r w:rsidR="00015A16">
              <w:rPr>
                <w:b/>
                <w:bCs/>
              </w:rPr>
              <w:instrText xml:space="preserve"> STYLEREF 1 \s </w:instrText>
            </w:r>
            <w:r w:rsidR="00015A16">
              <w:rPr>
                <w:b/>
                <w:bCs/>
              </w:rPr>
              <w:fldChar w:fldCharType="separate"/>
            </w:r>
            <w:r w:rsidR="00732AAC">
              <w:rPr>
                <w:b/>
                <w:bCs/>
                <w:noProof/>
                <w:cs/>
              </w:rPr>
              <w:t>‎</w:t>
            </w:r>
            <w:r w:rsidR="00732AAC">
              <w:rPr>
                <w:b/>
                <w:bCs/>
                <w:noProof/>
              </w:rPr>
              <w:t>3</w:t>
            </w:r>
            <w:r w:rsidR="00015A16">
              <w:rPr>
                <w:b/>
                <w:bCs/>
              </w:rPr>
              <w:fldChar w:fldCharType="end"/>
            </w:r>
            <w:r w:rsidR="00015A16">
              <w:rPr>
                <w:b/>
                <w:bCs/>
              </w:rPr>
              <w:noBreakHyphen/>
            </w:r>
            <w:r w:rsidR="00015A16">
              <w:rPr>
                <w:b/>
                <w:bCs/>
              </w:rPr>
              <w:fldChar w:fldCharType="begin"/>
            </w:r>
            <w:r w:rsidR="00015A16">
              <w:rPr>
                <w:b/>
                <w:bCs/>
              </w:rPr>
              <w:instrText xml:space="preserve"> SEQ Table \* ARABIC \s 1 </w:instrText>
            </w:r>
            <w:r w:rsidR="00015A16">
              <w:rPr>
                <w:b/>
                <w:bCs/>
              </w:rPr>
              <w:fldChar w:fldCharType="separate"/>
            </w:r>
            <w:r w:rsidR="00732AAC">
              <w:rPr>
                <w:b/>
                <w:bCs/>
                <w:noProof/>
              </w:rPr>
              <w:t>1</w:t>
            </w:r>
            <w:r w:rsidR="00015A16">
              <w:rPr>
                <w:b/>
                <w:bCs/>
              </w:rPr>
              <w:fldChar w:fldCharType="end"/>
            </w:r>
            <w:r w:rsidR="001C34A1" w:rsidRPr="004834D3">
              <w:rPr>
                <w:rFonts w:cstheme="majorBidi"/>
              </w:rPr>
              <w:t xml:space="preserve"> Thermophysical properties of aqueous </w:t>
            </w:r>
            <w:r w:rsidR="001C34A1" w:rsidRPr="004834D3">
              <w:rPr>
                <w:rFonts w:cstheme="majorBidi"/>
                <w:shd w:val="clear" w:color="auto" w:fill="FFFFFF" w:themeFill="background1"/>
              </w:rPr>
              <w:t>sodium chloride</w:t>
            </w:r>
            <w:r w:rsidR="001C34A1" w:rsidRPr="004834D3">
              <w:rPr>
                <w:rFonts w:cstheme="majorBidi"/>
              </w:rPr>
              <w:t xml:space="preserve"> as a function of salinity </w:t>
            </w:r>
            <w:r w:rsidR="001C34A1" w:rsidRPr="004834D3">
              <w:rPr>
                <w:rFonts w:cstheme="majorBidi"/>
                <w:i/>
                <w:iCs/>
              </w:rPr>
              <w:t>S</w:t>
            </w:r>
            <w:r w:rsidR="001C34A1" w:rsidRPr="004834D3">
              <w:rPr>
                <w:rFonts w:cstheme="majorBidi"/>
              </w:rPr>
              <w:t xml:space="preserve"> (g/kg) </w:t>
            </w:r>
            <w:r w:rsidR="001C34A1" w:rsidRPr="004834D3">
              <w:rPr>
                <w:rFonts w:cstheme="majorBidi"/>
              </w:rPr>
              <w:fldChar w:fldCharType="begin" w:fldLock="1"/>
            </w:r>
            <w:r w:rsidR="00D83446">
              <w:rPr>
                <w:rFonts w:cstheme="majorBidi"/>
              </w:rPr>
              <w:instrText>ADDIN CSL_CITATION {"citationItems":[{"id":"ITEM-1","itemData":{"DOI":"10.1016/j.molliq.2018.03.126","ISSN":"01677322","abstract":"Molecular dynamics simulations have been performed on an aqueous solution of TIP4P/2005 water and NaCl using the direct coexistence technique to determine the equilibrium line ice/NaCl solution and the freezing point depression of water in presence of NaCl at different salt concentrations below the eutectic point. We used large samples in order to avoid finite size effects and to minimize the error on the determination of the freezing temperature. Our results are in excellent agreement with the experimental freezing point depression showing that the set of parameters used in this work for the water and NaCl is a very good choice to reproduce the thermodynamic properties of the water/NaCl system with molecular dynamics simulations.","author":[{"dropping-particle":"","family":"Conde","given":"M. M.","non-dropping-particle":"","parse-names":false,"suffix":""},{"dropping-particle":"","family":"Rovere","given":"M.","non-dropping-particle":"","parse-names":false,"suffix":""},{"dropping-particle":"","family":"Gallo","given":"P.","non-dropping-particle":"","parse-names":false,"suffix":""}],"container-title":"Journal of Molecular Liquids","id":"ITEM-1","issued":{"date-parts":[["2018"]]},"page":"513-519","publisher":"Elsevier B.V","title":"Molecular dynamics simulations of freezing-point depression of TIP4P/2005 water in solution with NaCl","type":"article-journal","volume":"261"},"uris":["http://www.mendeley.com/documents/?uuid=a1e3eadd-1327-4c16-a52f-b2b4c7f75c45"]},{"id":"ITEM-2","itemData":{"DOI":"10.1016/j.ijrefrig.2008.07.010","ISSN":"01407007","abstract":"A calculation method to define the latent heat of fusion of ice in aqueous solution in the situation of the variation in the ice packing factor being infinitesimal is proposed. The calculation of the latent heat considers the effects of dilution and freezing-point depression, and the latent heat was calculated for five actual solutions, ethanol, ethylene glycol, propylene glycol, NaCl and NaNO3 solutions. Additionally, experiments in which ice was added to the five solutions were conducted to compare with the results of the calculations. Differential scanning calorimetry analysis was performed and the measurements and calculated values compared with respect to the specific enthalpy of the ice/solution mixture. Finally, since the values obtained by the measurements and calculations are in good agreement, the calculating method proposed in this study has proven to be adequate. © 2008 Elsevier Ltd and IIR.","author":[{"dropping-particle":"","family":"Kumano","given":"Hiroyuki","non-dropping-particle":"","parse-names":false,"suffix":""},{"dropping-particle":"","family":"Asaoka","given":"Tatsunori","non-dropping-particle":"","parse-names":false,"suffix":""},{"dropping-particle":"","family":"Saito","given":"Akio","non-dropping-particle":"","parse-names":false,"suffix":""},{"dropping-particle":"","family":"Okawa","given":"Seiji","non-dropping-particle":"","parse-names":false,"suffix":""}],"container-title":"International Journal of Refrigeration","id":"ITEM-2","issue":"1","issued":{"date-parts":[["2009"]]},"page":"175-182","publisher":"Elsevier Ltd and IIR","title":"Formulation of the latent heat of fusion of ice in aqueous solution","type":"article-journal","volume":"32"},"uris":["http://www.mendeley.com/documents/?uuid=4c44c6c3-744e-4886-bfb9-5f27b8452097"]},{"id":"ITEM-3","itemData":{"DOI":"10.1016/j.csite.2021.101189","ISSN":"2214157X","abstract":"Freezing desalination (FD) is an attractive water treatment process with relatively low energy consumption and simple maintenance. In this work, indirect brine crystallization experiments are conducted to investigate the salinity gradient in the formed ice by freezing brine under different conditions and evaluate the effects of these conditions on freezing time and heat transfer. These experiments demonstrate salinity gradient reaching 60% reduction in axisymmetric tray of 20 cm diameter in the first 5% formed ice. The 1st principle heat balance model is developed to predict the freezing time and heat transfer. It was validated experimentally and the discrepancies are less than 5%. Sensitivity analysis based on the develop model were conducted to assess system parameters including the brine initial temperatures, freezing source temperatures and subcooling temperatures. Results reveal that the freezing time increases linearly with initial fluid and subcooling temperatures, but decreases exponentially with cooling source temperature. Freezing source temperature plays a significant role on the freezing time. Additionally, multistage-freezing desalination procedures show that potable water can be obtained from 35 g/L solution brine after four successive freezing steps at 5% ice yield in each freezing.","author":[{"dropping-particle":"","family":"Zhang","given":"Hongtao","non-dropping-particle":"","parse-names":false,"suffix":""},{"dropping-particle":"","family":"Janajreh","given":"Isam","non-dropping-particle":"","parse-names":false,"suffix":""},{"dropping-particle":"","family":"Hassan Ali","given":"Mohamed I.","non-dropping-particle":"","parse-names":false,"suffix":""},{"dropping-particle":"","family":"Askar","given":"Khalid","non-dropping-particle":"","parse-names":false,"suffix":""}],"container-title":"Case Studies in Thermal Engineering","id":"ITEM-3","issued":{"date-parts":[["2021"]]},"page":"101189","publisher":"Elsevier Ltd","title":"Freezing desalination: Heat and mass validated modeling and experimental parametric analyses","type":"article-journal","volume":"26"},"uris":["http://www.mendeley.com/documents/?uuid=1b4258e5-599d-45c2-9ef3-6960d068ab11"]}],"mendeley":{"formattedCitation":"[141–143]","plainTextFormattedCitation":"[141–143]","previouslyFormattedCitation":"[142–144]"},"properties":{"noteIndex":0},"schema":"https://github.com/citation-style-language/schema/raw/master/csl-citation.json"}</w:instrText>
            </w:r>
            <w:r w:rsidR="001C34A1" w:rsidRPr="004834D3">
              <w:rPr>
                <w:rFonts w:cstheme="majorBidi"/>
              </w:rPr>
              <w:fldChar w:fldCharType="separate"/>
            </w:r>
            <w:r w:rsidR="00D83446" w:rsidRPr="00D83446">
              <w:rPr>
                <w:rFonts w:cstheme="majorBidi"/>
                <w:noProof/>
              </w:rPr>
              <w:t>[141–143]</w:t>
            </w:r>
            <w:bookmarkEnd w:id="43"/>
            <w:r w:rsidR="001C34A1" w:rsidRPr="004834D3">
              <w:rPr>
                <w:rFonts w:cstheme="majorBidi"/>
              </w:rPr>
              <w:fldChar w:fldCharType="end"/>
            </w:r>
          </w:p>
        </w:tc>
      </w:tr>
      <w:tr w:rsidR="001C34A1" w:rsidRPr="004834D3" w14:paraId="02AB6CB7" w14:textId="77777777" w:rsidTr="00A70838">
        <w:trPr>
          <w:jc w:val="center"/>
        </w:trPr>
        <w:tc>
          <w:tcPr>
            <w:tcW w:w="4410" w:type="dxa"/>
            <w:tcBorders>
              <w:top w:val="single" w:sz="4" w:space="0" w:color="auto"/>
              <w:bottom w:val="single" w:sz="4" w:space="0" w:color="auto"/>
            </w:tcBorders>
            <w:vAlign w:val="center"/>
          </w:tcPr>
          <w:p w14:paraId="114074F5" w14:textId="77777777" w:rsidR="001C34A1" w:rsidRPr="004834D3" w:rsidRDefault="001C34A1" w:rsidP="00030877">
            <w:pPr>
              <w:spacing w:before="240" w:line="480" w:lineRule="auto"/>
              <w:jc w:val="center"/>
              <w:rPr>
                <w:rFonts w:cstheme="majorBidi"/>
                <w:b/>
                <w:bCs/>
              </w:rPr>
            </w:pPr>
            <w:r w:rsidRPr="004834D3">
              <w:rPr>
                <w:rFonts w:cstheme="majorBidi"/>
                <w:b/>
                <w:bCs/>
              </w:rPr>
              <w:t>Property</w:t>
            </w:r>
          </w:p>
        </w:tc>
        <w:tc>
          <w:tcPr>
            <w:tcW w:w="5058" w:type="dxa"/>
            <w:tcBorders>
              <w:top w:val="single" w:sz="4" w:space="0" w:color="auto"/>
              <w:bottom w:val="single" w:sz="4" w:space="0" w:color="auto"/>
            </w:tcBorders>
            <w:vAlign w:val="center"/>
          </w:tcPr>
          <w:p w14:paraId="70D3A69B" w14:textId="77777777" w:rsidR="001C34A1" w:rsidRPr="004834D3" w:rsidRDefault="001C34A1" w:rsidP="00030877">
            <w:pPr>
              <w:spacing w:before="240" w:line="480" w:lineRule="auto"/>
              <w:jc w:val="center"/>
              <w:rPr>
                <w:rFonts w:cstheme="majorBidi"/>
                <w:b/>
                <w:bCs/>
              </w:rPr>
            </w:pPr>
            <w:r w:rsidRPr="004834D3">
              <w:rPr>
                <w:rFonts w:cstheme="majorBidi"/>
                <w:b/>
                <w:bCs/>
              </w:rPr>
              <w:t>Equation</w:t>
            </w:r>
          </w:p>
        </w:tc>
      </w:tr>
      <w:tr w:rsidR="001C34A1" w:rsidRPr="004834D3" w14:paraId="468E19ED" w14:textId="77777777" w:rsidTr="00A70838">
        <w:trPr>
          <w:jc w:val="center"/>
        </w:trPr>
        <w:tc>
          <w:tcPr>
            <w:tcW w:w="4410" w:type="dxa"/>
            <w:tcBorders>
              <w:top w:val="single" w:sz="4" w:space="0" w:color="auto"/>
            </w:tcBorders>
            <w:vAlign w:val="center"/>
          </w:tcPr>
          <w:p w14:paraId="05766B3F" w14:textId="77777777" w:rsidR="001C34A1" w:rsidRPr="004834D3" w:rsidRDefault="001C34A1" w:rsidP="00030877">
            <w:pPr>
              <w:spacing w:before="240" w:line="480" w:lineRule="auto"/>
              <w:jc w:val="center"/>
              <w:rPr>
                <w:rFonts w:cstheme="majorBidi"/>
              </w:rPr>
            </w:pPr>
            <w:r w:rsidRPr="004834D3">
              <w:rPr>
                <w:rFonts w:cstheme="majorBidi"/>
              </w:rPr>
              <w:t>Density (</w:t>
            </w:r>
            <m:oMath>
              <m:r>
                <m:rPr>
                  <m:sty m:val="p"/>
                </m:rPr>
                <w:rPr>
                  <w:rFonts w:ascii="Cambria Math" w:hAnsi="Cambria Math" w:cstheme="majorBidi"/>
                </w:rPr>
                <m:t>kg/</m:t>
              </m:r>
              <m:sSup>
                <m:sSupPr>
                  <m:ctrlPr>
                    <w:rPr>
                      <w:rFonts w:ascii="Cambria Math" w:hAnsi="Cambria Math" w:cstheme="majorBidi"/>
                    </w:rPr>
                  </m:ctrlPr>
                </m:sSupPr>
                <m:e>
                  <m:r>
                    <m:rPr>
                      <m:sty m:val="p"/>
                    </m:rPr>
                    <w:rPr>
                      <w:rFonts w:ascii="Cambria Math" w:hAnsi="Cambria Math" w:cstheme="majorBidi"/>
                    </w:rPr>
                    <m:t>m</m:t>
                  </m:r>
                </m:e>
                <m:sup>
                  <m:r>
                    <m:rPr>
                      <m:sty m:val="p"/>
                    </m:rPr>
                    <w:rPr>
                      <w:rFonts w:ascii="Cambria Math" w:hAnsi="Cambria Math" w:cstheme="majorBidi"/>
                    </w:rPr>
                    <m:t>3</m:t>
                  </m:r>
                </m:sup>
              </m:sSup>
            </m:oMath>
            <w:r w:rsidRPr="004834D3">
              <w:rPr>
                <w:rFonts w:cstheme="majorBidi"/>
              </w:rPr>
              <w:t>)</w:t>
            </w:r>
          </w:p>
        </w:tc>
        <w:tc>
          <w:tcPr>
            <w:tcW w:w="5058" w:type="dxa"/>
            <w:tcBorders>
              <w:top w:val="single" w:sz="4" w:space="0" w:color="auto"/>
            </w:tcBorders>
            <w:vAlign w:val="center"/>
          </w:tcPr>
          <w:p w14:paraId="2AFCFD4C" w14:textId="77777777" w:rsidR="001C34A1" w:rsidRPr="008008F6" w:rsidRDefault="00000000" w:rsidP="00030877">
            <w:pPr>
              <w:spacing w:before="240" w:line="480" w:lineRule="auto"/>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b</m:t>
                    </m:r>
                  </m:sub>
                </m:sSub>
                <m:r>
                  <w:rPr>
                    <w:rFonts w:ascii="Cambria Math" w:hAnsi="Cambria Math" w:cstheme="majorBidi"/>
                  </w:rPr>
                  <m:t>=S+997</m:t>
                </m:r>
              </m:oMath>
            </m:oMathPara>
          </w:p>
        </w:tc>
      </w:tr>
      <w:tr w:rsidR="001C34A1" w:rsidRPr="004834D3" w14:paraId="705C5542" w14:textId="77777777" w:rsidTr="00754998">
        <w:trPr>
          <w:jc w:val="center"/>
        </w:trPr>
        <w:tc>
          <w:tcPr>
            <w:tcW w:w="4410" w:type="dxa"/>
            <w:vAlign w:val="center"/>
          </w:tcPr>
          <w:p w14:paraId="54857512" w14:textId="77777777" w:rsidR="001C34A1" w:rsidRPr="004834D3" w:rsidRDefault="001C34A1" w:rsidP="00030877">
            <w:pPr>
              <w:spacing w:line="480" w:lineRule="auto"/>
              <w:jc w:val="center"/>
              <w:rPr>
                <w:rFonts w:cstheme="majorBidi"/>
              </w:rPr>
            </w:pPr>
            <w:r w:rsidRPr="004834D3">
              <w:rPr>
                <w:rFonts w:cstheme="majorBidi"/>
              </w:rPr>
              <w:t>Specific heat capacity (</w:t>
            </w:r>
            <m:oMath>
              <m:r>
                <m:rPr>
                  <m:sty m:val="p"/>
                </m:rPr>
                <w:rPr>
                  <w:rFonts w:ascii="Cambria Math" w:hAnsi="Cambria Math" w:cstheme="majorBidi"/>
                </w:rPr>
                <m:t>kJ/kg·K</m:t>
              </m:r>
            </m:oMath>
            <w:r w:rsidRPr="004834D3">
              <w:rPr>
                <w:rFonts w:cstheme="majorBidi"/>
              </w:rPr>
              <w:t>)</w:t>
            </w:r>
          </w:p>
        </w:tc>
        <w:tc>
          <w:tcPr>
            <w:tcW w:w="5058" w:type="dxa"/>
            <w:vAlign w:val="center"/>
          </w:tcPr>
          <w:p w14:paraId="1EE91F23" w14:textId="77777777" w:rsidR="001C34A1" w:rsidRPr="008008F6" w:rsidRDefault="00000000" w:rsidP="00030877">
            <w:pPr>
              <w:spacing w:line="480" w:lineRule="auto"/>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b</m:t>
                    </m:r>
                  </m:sub>
                </m:sSub>
                <m:r>
                  <w:rPr>
                    <w:rFonts w:ascii="Cambria Math" w:hAnsi="Cambria Math" w:cstheme="majorBidi"/>
                  </w:rPr>
                  <m:t>=-0.0007232 S+4.178</m:t>
                </m:r>
              </m:oMath>
            </m:oMathPara>
          </w:p>
        </w:tc>
      </w:tr>
      <w:tr w:rsidR="001C34A1" w:rsidRPr="004834D3" w14:paraId="38876415" w14:textId="77777777" w:rsidTr="00754998">
        <w:trPr>
          <w:jc w:val="center"/>
        </w:trPr>
        <w:tc>
          <w:tcPr>
            <w:tcW w:w="4410" w:type="dxa"/>
            <w:vAlign w:val="center"/>
          </w:tcPr>
          <w:p w14:paraId="213FB320" w14:textId="77777777" w:rsidR="001C34A1" w:rsidRPr="004834D3" w:rsidRDefault="001C34A1" w:rsidP="00030877">
            <w:pPr>
              <w:spacing w:line="480" w:lineRule="auto"/>
              <w:jc w:val="center"/>
              <w:rPr>
                <w:rFonts w:cstheme="majorBidi"/>
              </w:rPr>
            </w:pPr>
            <w:r w:rsidRPr="004834D3">
              <w:rPr>
                <w:rFonts w:cstheme="majorBidi"/>
              </w:rPr>
              <w:t>Latent heat of fusion (</w:t>
            </w:r>
            <m:oMath>
              <m:r>
                <m:rPr>
                  <m:sty m:val="p"/>
                </m:rPr>
                <w:rPr>
                  <w:rFonts w:ascii="Cambria Math" w:hAnsi="Cambria Math" w:cstheme="majorBidi"/>
                </w:rPr>
                <m:t>kJ/kg</m:t>
              </m:r>
            </m:oMath>
            <w:r w:rsidRPr="004834D3">
              <w:rPr>
                <w:rFonts w:cstheme="majorBidi"/>
              </w:rPr>
              <w:t>)</w:t>
            </w:r>
          </w:p>
        </w:tc>
        <w:tc>
          <w:tcPr>
            <w:tcW w:w="5058" w:type="dxa"/>
            <w:vAlign w:val="center"/>
          </w:tcPr>
          <w:p w14:paraId="23C786B4" w14:textId="77777777" w:rsidR="001C34A1" w:rsidRPr="008008F6" w:rsidRDefault="00000000" w:rsidP="00030877">
            <w:pPr>
              <w:spacing w:line="480" w:lineRule="auto"/>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h</m:t>
                    </m:r>
                  </m:e>
                  <m:sub>
                    <m:r>
                      <m:rPr>
                        <m:sty m:val="p"/>
                      </m:rPr>
                      <w:rPr>
                        <w:rFonts w:ascii="Cambria Math" w:hAnsi="Cambria Math" w:cstheme="majorBidi"/>
                      </w:rPr>
                      <m:t>sl</m:t>
                    </m:r>
                  </m:sub>
                </m:sSub>
                <m:r>
                  <w:rPr>
                    <w:rFonts w:ascii="Cambria Math" w:hAnsi="Cambria Math" w:cstheme="majorBidi"/>
                  </w:rPr>
                  <m:t xml:space="preserve">=-0.0003 </m:t>
                </m:r>
                <m:sSup>
                  <m:sSupPr>
                    <m:ctrlPr>
                      <w:rPr>
                        <w:rFonts w:ascii="Cambria Math" w:hAnsi="Cambria Math" w:cstheme="majorBidi"/>
                        <w:i/>
                      </w:rPr>
                    </m:ctrlPr>
                  </m:sSupPr>
                  <m:e>
                    <m:r>
                      <w:rPr>
                        <w:rFonts w:ascii="Cambria Math" w:hAnsi="Cambria Math" w:cstheme="majorBidi"/>
                      </w:rPr>
                      <m:t>S</m:t>
                    </m:r>
                  </m:e>
                  <m:sup>
                    <m:r>
                      <w:rPr>
                        <w:rFonts w:ascii="Cambria Math" w:hAnsi="Cambria Math" w:cstheme="majorBidi"/>
                      </w:rPr>
                      <m:t>2</m:t>
                    </m:r>
                  </m:sup>
                </m:sSup>
                <m:r>
                  <w:rPr>
                    <w:rFonts w:ascii="Cambria Math" w:hAnsi="Cambria Math" w:cstheme="majorBidi"/>
                  </w:rPr>
                  <m:t>-0.074 S+333</m:t>
                </m:r>
              </m:oMath>
            </m:oMathPara>
          </w:p>
        </w:tc>
      </w:tr>
      <w:tr w:rsidR="001C34A1" w:rsidRPr="004834D3" w14:paraId="1273FAE1" w14:textId="77777777" w:rsidTr="00754998">
        <w:trPr>
          <w:jc w:val="center"/>
        </w:trPr>
        <w:tc>
          <w:tcPr>
            <w:tcW w:w="4410" w:type="dxa"/>
            <w:tcBorders>
              <w:bottom w:val="single" w:sz="4" w:space="0" w:color="auto"/>
            </w:tcBorders>
            <w:vAlign w:val="center"/>
          </w:tcPr>
          <w:p w14:paraId="3D17586A" w14:textId="77777777" w:rsidR="001C34A1" w:rsidRPr="004834D3" w:rsidRDefault="001C34A1" w:rsidP="00030877">
            <w:pPr>
              <w:spacing w:line="480" w:lineRule="auto"/>
              <w:jc w:val="center"/>
              <w:rPr>
                <w:rFonts w:cstheme="majorBidi"/>
              </w:rPr>
            </w:pPr>
            <w:r w:rsidRPr="004834D3">
              <w:rPr>
                <w:rFonts w:cstheme="majorBidi"/>
              </w:rPr>
              <w:t>Freezing temperature (°C)</w:t>
            </w:r>
          </w:p>
        </w:tc>
        <w:tc>
          <w:tcPr>
            <w:tcW w:w="5058" w:type="dxa"/>
            <w:tcBorders>
              <w:bottom w:val="single" w:sz="4" w:space="0" w:color="auto"/>
            </w:tcBorders>
            <w:vAlign w:val="center"/>
          </w:tcPr>
          <w:p w14:paraId="43A7ABBB" w14:textId="77777777" w:rsidR="001C34A1" w:rsidRPr="008008F6" w:rsidRDefault="00000000" w:rsidP="00030877">
            <w:pPr>
              <w:spacing w:line="480" w:lineRule="auto"/>
              <w:rPr>
                <w:rFonts w:cstheme="majorBidi"/>
              </w:rPr>
            </w:pPr>
            <m:oMathPara>
              <m:oMathParaPr>
                <m:jc m:val="center"/>
              </m:oMathParaPr>
              <m:oMath>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fr</m:t>
                    </m:r>
                    <m:r>
                      <w:rPr>
                        <w:rFonts w:ascii="Cambria Math" w:hAnsi="Cambria Math" w:cstheme="majorBidi"/>
                      </w:rPr>
                      <m:t>z</m:t>
                    </m:r>
                  </m:sub>
                </m:sSub>
                <m:r>
                  <w:rPr>
                    <w:rFonts w:ascii="Cambria Math" w:hAnsi="Cambria Math" w:cstheme="majorBidi"/>
                  </w:rPr>
                  <m:t>=-0.0002</m:t>
                </m:r>
                <m:sSup>
                  <m:sSupPr>
                    <m:ctrlPr>
                      <w:rPr>
                        <w:rFonts w:ascii="Cambria Math" w:hAnsi="Cambria Math" w:cstheme="majorBidi"/>
                        <w:i/>
                      </w:rPr>
                    </m:ctrlPr>
                  </m:sSupPr>
                  <m:e>
                    <m:r>
                      <w:rPr>
                        <w:rFonts w:ascii="Cambria Math" w:hAnsi="Cambria Math" w:cstheme="majorBidi"/>
                      </w:rPr>
                      <m:t xml:space="preserve"> S</m:t>
                    </m:r>
                  </m:e>
                  <m:sup>
                    <m:r>
                      <w:rPr>
                        <w:rFonts w:ascii="Cambria Math" w:hAnsi="Cambria Math" w:cstheme="majorBidi"/>
                      </w:rPr>
                      <m:t>2</m:t>
                    </m:r>
                  </m:sup>
                </m:sSup>
                <m:r>
                  <w:rPr>
                    <w:rFonts w:ascii="Cambria Math" w:hAnsi="Cambria Math" w:cstheme="majorBidi"/>
                  </w:rPr>
                  <m:t>-0.043 S</m:t>
                </m:r>
              </m:oMath>
            </m:oMathPara>
          </w:p>
        </w:tc>
      </w:tr>
    </w:tbl>
    <w:p w14:paraId="09CA93AC" w14:textId="64095C80" w:rsidR="00E650E1" w:rsidRPr="00E650E1" w:rsidRDefault="008008F6" w:rsidP="00030877">
      <w:pPr>
        <w:spacing w:before="360" w:after="240" w:line="480" w:lineRule="auto"/>
        <w:ind w:firstLine="720"/>
        <w:jc w:val="both"/>
        <w:rPr>
          <w:rFonts w:cstheme="majorBidi"/>
        </w:rPr>
      </w:pPr>
      <w:r>
        <w:rPr>
          <w:rFonts w:cstheme="majorBidi"/>
        </w:rPr>
        <w:t>T</w:t>
      </w:r>
      <w:r w:rsidR="00E747C6" w:rsidRPr="004834D3">
        <w:rPr>
          <w:rFonts w:cstheme="majorBidi"/>
        </w:rPr>
        <w:t xml:space="preserve">o solve Eq. </w:t>
      </w:r>
      <w:r w:rsidR="001020E3">
        <w:rPr>
          <w:rFonts w:cstheme="majorBidi"/>
        </w:rPr>
        <w:t>3</w:t>
      </w:r>
      <w:r w:rsidR="00E650E1">
        <w:rPr>
          <w:rFonts w:cstheme="majorBidi"/>
        </w:rPr>
        <w:t>-</w:t>
      </w:r>
      <w:r w:rsidR="00E747C6" w:rsidRPr="004834D3">
        <w:rPr>
          <w:rFonts w:cstheme="majorBidi"/>
        </w:rPr>
        <w:t xml:space="preserve">4, all parameters are known except for the recovery ratio and the outlet temperature. According to the second assumption, the outlet temperature of the slurry solution is equal to the freezing temperature of the unfrozen concentrated brine. The freezing temperature of the brine is provided by the fourth equation in Table </w:t>
      </w:r>
      <w:r w:rsidR="001020E3">
        <w:rPr>
          <w:rFonts w:cstheme="majorBidi"/>
        </w:rPr>
        <w:t>3</w:t>
      </w:r>
      <w:r w:rsidR="00E650E1">
        <w:rPr>
          <w:rFonts w:cstheme="majorBidi"/>
        </w:rPr>
        <w:t>-</w:t>
      </w:r>
      <w:r w:rsidR="001020E3">
        <w:rPr>
          <w:rFonts w:cstheme="majorBidi"/>
        </w:rPr>
        <w:t>1</w:t>
      </w:r>
      <w:r w:rsidR="00E747C6" w:rsidRPr="004834D3">
        <w:rPr>
          <w:rFonts w:cstheme="majorBidi"/>
        </w:rPr>
        <w:t xml:space="preserve">, which depends on the salinity of the concentrated brine. Therefore, it is necessary to calculate the salinity of the concentrated brine based on the known parameters. </w:t>
      </w:r>
      <w:r w:rsidR="00C1706A" w:rsidRPr="004834D3">
        <w:rPr>
          <w:rFonts w:cstheme="majorBidi"/>
        </w:rPr>
        <w:t xml:space="preserve">The salinity of the exiting unfrozen concentrated brine can be expressed as a function of the feed brine salinity, the recovery ratio, and the efficiency of the desalination process. In freeze desalination, efficiency is typically measured using a metric known as the desalination rate </w:t>
      </w:r>
      <w:r w:rsidR="00C1706A" w:rsidRPr="004834D3">
        <w:rPr>
          <w:rFonts w:cstheme="majorBidi"/>
        </w:rPr>
        <w:fldChar w:fldCharType="begin" w:fldLock="1"/>
      </w:r>
      <w:r w:rsidR="00D83446">
        <w:rPr>
          <w:rFonts w:cstheme="majorBidi"/>
        </w:rPr>
        <w:instrText>ADDIN CSL_CITATION {"citationItems":[{"id":"ITEM-1","itemData":{"DOI":"10.1016/j.desal.2017.04.002","ISSN":"00119164","abstract":"In receiving terminal, liquid natural gas (LNG) needs to be re-gasified by the ambient heat generally supplied by seawater. Unfortunately, a great amount of LNG cold energy is wasted during this process, resulting in energy inefficiency and environmental implications. Seawater freezing desalination (SFD) should be an effective way to use cold energy of LNG in terms of energy match and operation cost. According to the properties of LNG, this work aims to develop a direct contact type ice generator, which integrating some special designs such as jacketed cylinder, nozzle arrangement and gas floatation, in order to improve heat transfer and phase separation in the SFD process. Through dynamic analysis on refrigerant atomization, the changes in speed and diameter of refrigerant droplet are obtained. The analysis results are helpful to further improve the design and operation of ice generator. In addition, the work also experimentally investigated the effects of some predominate factors on determining overall performance of ice generator, comprehensively considering ice generation and desalination. The experimental results could be significant for the SFD project by using cold energy of LNG.","author":[{"dropping-particle":"","family":"Xie","given":"Chungang","non-dropping-particle":"","parse-names":false,"suffix":""},{"dropping-particle":"","family":"Zhang","given":"Lingpin","non-dropping-particle":"","parse-names":false,"suffix":""},{"dropping-particle":"","family":"Liu","given":"Yanhui","non-dropping-particle":"","parse-names":false,"suffix":""},{"dropping-particle":"","family":"Lv","given":"Qingchun","non-dropping-particle":"","parse-names":false,"suffix":""},{"dropping-particle":"","family":"Ruan","given":"Guoling","non-dropping-particle":"","parse-names":false,"suffix":""},{"dropping-particle":"","family":"Hosseini","given":"Seyed Saeid","non-dropping-particle":"","parse-names":false,"suffix":""}],"container-title":"Desalination","id":"ITEM-1","issued":{"date-parts":[["2018"]]},"page":"293-300","publisher":"Elsevier","title":"A direct contact type ice generator for seawater freezing desalination using LNG cold energy","type":"article-journal","volume":"435"},"uris":["http://www.mendeley.com/documents/?uuid=599dd073-80f0-43bb-af1b-1cec45815590"]},{"id":"ITEM-2","itemData":{"DOI":"10.1016/j.desal.2018.02.015","ISSN":"00119164","abstract":"Block and falling film freeze concentration are two technologies that separate water by freezing, with the potential to desalinate seawater. In this study, the integration of two freeze concentration techniques as an alternative to obtain potable water was analysed. Water with 0.5%–8% NaCl was freeze-concentrated by the falling film technique. The ice from each stage was fractionally thawed to recover the solids retained in the ice. The diluted fractions of the thawing stage were freeze-concentrated using the block technique to increase water purity. Falling film freeze concentration was effective to separate the salt from the solution, even at high salt concentrations. Block freeze concentration was effective to increase the water purity until drinkable water was obtained. A multistage process with the integration of these techniques was proposed to obtain 74% of the amount of the initial solution at 0.05% of salt, and 26% at 13.4% of salt. With this process, a salt removal efficiency of 98.5% was achieved. The energy consumption was analysed. The integration of these techniques results in water that meets the requirements for drinkable water and demonstrates the technical feasibility of the process.","author":[{"dropping-particle":"","family":"Zambrano","given":"A.","non-dropping-particle":"","parse-names":false,"suffix":""},{"dropping-particle":"","family":"Ruiz","given":"Y.","non-dropping-particle":"","parse-names":false,"suffix":""},{"dropping-particle":"","family":"Hernández","given":"E.","non-dropping-particle":"","parse-names":false,"suffix":""},{"dropping-particle":"","family":"Raventós","given":"M.","non-dropping-particle":"","parse-names":false,"suffix":""},{"dropping-particle":"","family":"Moreno","given":"F. L.","non-dropping-particle":"","parse-names":false,"suffix":""}],"container-title":"Desalination","id":"ITEM-2","issue":"January","issued":{"date-parts":[["2018"]]},"page":"56-62","publisher":"Elsevier","title":"Freeze desalination by the integration of falling film and block freeze-concentration techniques","type":"article-journal","volume":"436"},"uris":["http://www.mendeley.com/documents/?uuid=077f645b-a5d0-4f8c-b9d4-0ed5f3c133e7"]},{"id":"ITEM-3","itemData":{"DOI":"10.1016/j.desal.2010.04.018","ISSN":"00119164","abstract":"In my study, the unidirectional-freezing method that ice growth layered from top to bottom was employed to investigate the controlling factors on the quality of ice. The method of crushing ice and centrifugation (CIAC) was introduced, trying to further improve the quality of ice. The results showed that the quality of ice was mainly influenced by controlling factors. The desalination rate positively correlated with freezing temperature and amount of seed ice; while negatively correlated with freezing rate, the solid fraction, solution concentration and the surface area of the freezing container. The initial temperature of solution had no effect on the quality of ice. CIAC based on the traditional freezing-concentration method further improved the quality of ice by breaking the \"ice-salt pocket\" and releasing the brine. Because crushing ice can lead to the breakage of this structure and the release of brine, while centrifugation accelerated the process, and further improved the quality of ice, especially for the ice with a higher TDS concentration. Within the concentration scope of brackish water samples (1320 ppm to 8350 ppm), the freezing method could remove 57.88%-48.38% of TDS, while the method of the CIAC could further remove 30.91%-47.28% of the TDS (with the similar solid fraction (Fs)), and thus greatly improved the quality of ice. © 2010 Elsevier B.V. All rights reserved.","author":[{"dropping-particle":"","family":"Luo","given":"Cong Shuang","non-dropping-particle":"","parse-names":false,"suffix":""},{"dropping-particle":"","family":"Chen","given":"Wen Wu","non-dropping-particle":"","parse-names":false,"suffix":""},{"dropping-particle":"","family":"Han","given":"Wen Feng","non-dropping-particle":"","parse-names":false,"suffix":""}],"container-title":"Desalination","id":"ITEM-3","issue":"1-3","issued":{"date-parts":[["2010"]]},"page":"231-238","publisher":"Elsevier B.V.","title":"Experimental study on factors affecting the quality of ice crystal during the freezing concentration for the brackish water","type":"article-journal","volume":"260"},"uris":["http://www.mendeley.com/documents/?uuid=f15931e1-6cb2-4f0c-a623-059312a9c29f"]},{"id":"ITEM-4","itemData":{"DOI":"10.1016/j.desal.2020.114378","ISSN":"00119164","abstract":"Access to potable water with standard quality is an inevitable component of human's lives. Freeze desalination, by consuming lower energy compared to other techniques, relies on the exertion of a cold source which is then accompanied by simultaneous rejection of impurities from water. Regarding this, a numerical study on freeze desalination in a hollow cylinder is carried out to determine the effects of the design variables such as heat flux, hydraulic diameter, initial salt concentration, and freezing time on the ice mass, ice salinity, ice generation speed, and Nusselt number on the cold surface of the inner tube. Results show that increasing the value of heat flux from −250 [Formula presented] to −1000 [Formula presented] imposes 3.9 times faster ice generation speed while decreasing the desalination rate by 22%. In opposite, increasing the hydraulic diameter from 2 to 8 cm, reduces the ice generation speed by 41% but improves its quality by 23.5%. Also, ice production and salinity would both increase with the freezing time which imposes a limit for freezing duration. Multi-objective optimization and artificial neural network with the purpose of obtaining the highest ice mass with lowest salinity are employed. Finally, multistage freeze desalination is explored to reach WHO standards.","author":[{"dropping-particle":"","family":"Eghtesad","given":"Amirsaman","non-dropping-particle":"","parse-names":false,"suffix":""},{"dropping-particle":"","family":"Salakhi","given":"Mehdi","non-dropping-particle":"","parse-names":false,"suffix":""},{"dropping-particle":"","family":"Afshin","given":"Hossein","non-dropping-particle":"","parse-names":false,"suffix":""},{"dropping-particle":"","family":"Hannani","given":"Siamak Kazemzadeh","non-dropping-particle":"","parse-names":false,"suffix":""}],"container-title":"Desalination","id":"ITEM-4","issue":"February","issued":{"date-parts":[["2020"]]},"page":"114378","publisher":"Elsevier","title":"Numerical investigation and optimization of indirect freeze desalination","type":"article-journal","volume":"481"},"uris":["http://www.mendeley.com/documents/?uuid=0a5cdfbe-be6c-4fdd-b943-7a620309484d"]}],"mendeley":{"formattedCitation":"[87,116,144,145]","plainTextFormattedCitation":"[87,116,144,145]","previouslyFormattedCitation":"[88,117,145,146]"},"properties":{"noteIndex":0},"schema":"https://github.com/citation-style-language/schema/raw/master/csl-citation.json"}</w:instrText>
      </w:r>
      <w:r w:rsidR="00C1706A" w:rsidRPr="004834D3">
        <w:rPr>
          <w:rFonts w:cstheme="majorBidi"/>
        </w:rPr>
        <w:fldChar w:fldCharType="separate"/>
      </w:r>
      <w:r w:rsidR="00D83446" w:rsidRPr="00D83446">
        <w:rPr>
          <w:rFonts w:cstheme="majorBidi"/>
          <w:noProof/>
        </w:rPr>
        <w:t>[87,116,144,145]</w:t>
      </w:r>
      <w:r w:rsidR="00C1706A" w:rsidRPr="004834D3">
        <w:rPr>
          <w:rFonts w:cstheme="majorBidi"/>
        </w:rPr>
        <w:fldChar w:fldCharType="end"/>
      </w:r>
      <w:r w:rsidR="00C1706A" w:rsidRPr="004834D3">
        <w:rPr>
          <w:rFonts w:cstheme="majorBidi"/>
        </w:rPr>
        <w:t xml:space="preserve">. This rate is defined as the ratio of the mass of salt present in the rejected unfrozen concentrated brine to the mass of salt in the feed brine. The desalination rate reflects the system's ability to minimize salt carryover into the produced 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185"/>
        <w:gridCol w:w="1175"/>
      </w:tblGrid>
      <w:tr w:rsidR="001C34A1" w:rsidRPr="004834D3" w14:paraId="4F9D3928" w14:textId="77777777" w:rsidTr="00CB6985">
        <w:tc>
          <w:tcPr>
            <w:tcW w:w="8185" w:type="dxa"/>
            <w:shd w:val="clear" w:color="auto" w:fill="FFFFFF" w:themeFill="background1"/>
            <w:vAlign w:val="center"/>
          </w:tcPr>
          <w:p w14:paraId="036C4206" w14:textId="77777777" w:rsidR="001C34A1" w:rsidRPr="004834D3" w:rsidRDefault="001C34A1" w:rsidP="00030877">
            <w:pPr>
              <w:spacing w:before="240" w:after="240" w:line="480" w:lineRule="auto"/>
              <w:jc w:val="right"/>
              <w:rPr>
                <w:rFonts w:cstheme="majorBidi"/>
              </w:rPr>
            </w:pPr>
            <m:oMathPara>
              <m:oMathParaPr>
                <m:jc m:val="left"/>
              </m:oMathParaPr>
              <m:oMath>
                <m:r>
                  <w:rPr>
                    <w:rFonts w:ascii="Cambria Math" w:hAnsi="Cambria Math" w:cstheme="majorBidi"/>
                  </w:rPr>
                  <m:t>η=</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cb</m:t>
                        </m:r>
                      </m:sub>
                    </m:sSub>
                  </m:num>
                  <m:den>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fb</m:t>
                        </m:r>
                      </m:sub>
                    </m:sSub>
                  </m:den>
                </m:f>
                <m:r>
                  <w:rPr>
                    <w:rFonts w:ascii="Cambria Math" w:hAnsi="Cambria Math" w:cstheme="majorBidi"/>
                  </w:rPr>
                  <m:t>=1-R</m:t>
                </m:r>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Cs/>
                              </w:rPr>
                            </m:ctrlPr>
                          </m:sSubPr>
                          <m:e>
                            <m:r>
                              <w:rPr>
                                <w:rFonts w:ascii="Cambria Math" w:hAnsi="Cambria Math" w:cstheme="majorBidi"/>
                              </w:rPr>
                              <m:t>S</m:t>
                            </m:r>
                          </m:e>
                          <m:sub>
                            <m:r>
                              <m:rPr>
                                <m:sty m:val="p"/>
                              </m:rPr>
                              <w:rPr>
                                <w:rFonts w:ascii="Cambria Math" w:hAnsi="Cambria Math" w:cstheme="majorBidi"/>
                              </w:rPr>
                              <m:t>ice</m:t>
                            </m:r>
                          </m:sub>
                        </m:sSub>
                      </m:num>
                      <m:den>
                        <m:sSub>
                          <m:sSubPr>
                            <m:ctrlPr>
                              <w:rPr>
                                <w:rFonts w:ascii="Cambria Math" w:hAnsi="Cambria Math" w:cstheme="majorBidi"/>
                                <w:i/>
                                <w:iCs/>
                              </w:rPr>
                            </m:ctrlPr>
                          </m:sSubPr>
                          <m:e>
                            <m:r>
                              <w:rPr>
                                <w:rFonts w:ascii="Cambria Math" w:hAnsi="Cambria Math" w:cstheme="majorBidi"/>
                              </w:rPr>
                              <m:t>S</m:t>
                            </m:r>
                          </m:e>
                          <m:sub>
                            <m:r>
                              <m:rPr>
                                <m:sty m:val="p"/>
                              </m:rPr>
                              <w:rPr>
                                <w:rFonts w:ascii="Cambria Math" w:hAnsi="Cambria Math" w:cstheme="majorBidi"/>
                              </w:rPr>
                              <m:t>fb</m:t>
                            </m:r>
                          </m:sub>
                        </m:sSub>
                      </m:den>
                    </m:f>
                  </m:e>
                </m:d>
              </m:oMath>
            </m:oMathPara>
          </w:p>
        </w:tc>
        <w:tc>
          <w:tcPr>
            <w:tcW w:w="1175" w:type="dxa"/>
            <w:shd w:val="clear" w:color="auto" w:fill="FFFFFF" w:themeFill="background1"/>
            <w:vAlign w:val="center"/>
          </w:tcPr>
          <w:p w14:paraId="6B2D9AEC" w14:textId="78ABC5AA"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6</w:t>
            </w:r>
            <w:r>
              <w:rPr>
                <w:noProof/>
              </w:rPr>
              <w:fldChar w:fldCharType="end"/>
            </w:r>
          </w:p>
        </w:tc>
      </w:tr>
    </w:tbl>
    <w:p w14:paraId="1EA5BC94" w14:textId="54CBB421" w:rsidR="00C1706A" w:rsidRPr="004834D3" w:rsidRDefault="001C34A1" w:rsidP="00030877">
      <w:pPr>
        <w:spacing w:before="240" w:after="240" w:line="480" w:lineRule="auto"/>
        <w:jc w:val="both"/>
        <w:rPr>
          <w:rFonts w:cstheme="majorBidi"/>
        </w:rPr>
      </w:pPr>
      <w:r w:rsidRPr="004834D3">
        <w:rPr>
          <w:rFonts w:cstheme="majorBidi"/>
        </w:rPr>
        <w:lastRenderedPageBreak/>
        <w:t xml:space="preserve">where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cb</m:t>
            </m:r>
          </m:sub>
        </m:sSub>
      </m:oMath>
      <w:r w:rsidRPr="004834D3">
        <w:rPr>
          <w:rFonts w:cstheme="majorBidi"/>
        </w:rPr>
        <w:t xml:space="preserve"> and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fb</m:t>
            </m:r>
          </m:sub>
        </m:sSub>
      </m:oMath>
      <w:r w:rsidRPr="004834D3">
        <w:rPr>
          <w:rFonts w:cstheme="majorBidi"/>
        </w:rPr>
        <w:t xml:space="preserve"> are the mass of salt in the concentrated brine and feed brine, and </w:t>
      </w:r>
      <m:oMath>
        <m:sSub>
          <m:sSubPr>
            <m:ctrlPr>
              <w:rPr>
                <w:rFonts w:ascii="Cambria Math" w:hAnsi="Cambria Math" w:cstheme="majorBidi"/>
                <w:iCs/>
              </w:rPr>
            </m:ctrlPr>
          </m:sSubPr>
          <m:e>
            <m:r>
              <w:rPr>
                <w:rFonts w:ascii="Cambria Math" w:hAnsi="Cambria Math" w:cstheme="majorBidi"/>
              </w:rPr>
              <m:t>S</m:t>
            </m:r>
          </m:e>
          <m:sub>
            <m:r>
              <m:rPr>
                <m:sty m:val="p"/>
              </m:rPr>
              <w:rPr>
                <w:rFonts w:ascii="Cambria Math" w:hAnsi="Cambria Math" w:cstheme="majorBidi"/>
              </w:rPr>
              <m:t>ice</m:t>
            </m:r>
          </m:sub>
        </m:sSub>
      </m:oMath>
      <w:r w:rsidRPr="004834D3">
        <w:rPr>
          <w:rFonts w:cstheme="majorBidi"/>
        </w:rPr>
        <w:t xml:space="preserve"> and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fb</m:t>
            </m:r>
          </m:sub>
        </m:sSub>
      </m:oMath>
      <w:r w:rsidRPr="004834D3">
        <w:rPr>
          <w:rFonts w:cstheme="majorBidi"/>
        </w:rPr>
        <w:t xml:space="preserve"> are the salinities of the melted produced ice and feed brine, respectively. </w:t>
      </w:r>
    </w:p>
    <w:p w14:paraId="02C49215" w14:textId="38BD6D90" w:rsidR="00E650E1" w:rsidRPr="00E650E1" w:rsidRDefault="001B43EC" w:rsidP="00030877">
      <w:pPr>
        <w:spacing w:before="240" w:after="240" w:line="480" w:lineRule="auto"/>
        <w:ind w:firstLine="720"/>
        <w:jc w:val="both"/>
        <w:rPr>
          <w:rFonts w:cstheme="majorBidi"/>
        </w:rPr>
      </w:pPr>
      <w:r w:rsidRPr="004834D3">
        <w:rPr>
          <w:rFonts w:cstheme="majorBidi"/>
        </w:rPr>
        <w:t>In this experimental study, the salinity of various solutions, including feed brine, concentrated brine, and produced ice, is measured using a TDS meter. Therefore, the salinity of a solution (</w:t>
      </w:r>
      <m:oMath>
        <m:r>
          <w:rPr>
            <w:rFonts w:ascii="Cambria Math" w:hAnsi="Cambria Math" w:cstheme="majorBidi"/>
          </w:rPr>
          <m:t>S</m:t>
        </m:r>
      </m:oMath>
      <w:r w:rsidRPr="004834D3">
        <w:rPr>
          <w:rFonts w:cstheme="majorBidi"/>
        </w:rPr>
        <w:t>), defined as the mass of dissolved salts over the mass of the solution, needs to be converted to TDS. For solutions where all dissolved solids are salts, the relationship between salinity and TDS is</w:t>
      </w:r>
      <w:r w:rsidR="00E650E1">
        <w:rPr>
          <w:rFonts w:cstheme="majorBidi"/>
        </w:rPr>
        <w:t xml:space="preserve"> </w:t>
      </w:r>
      <w:r w:rsidRPr="004834D3">
        <w:rPr>
          <w:rFonts w:cstheme="majorBidi"/>
        </w:rPr>
        <w:t xml:space="preserve">given by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b</m:t>
            </m:r>
          </m:sub>
        </m:sSub>
        <m:r>
          <w:rPr>
            <w:rFonts w:ascii="Cambria Math" w:hAnsi="Cambria Math" w:cstheme="majorBidi"/>
          </w:rPr>
          <m:t>=</m:t>
        </m:r>
        <m:sSub>
          <m:sSubPr>
            <m:ctrlPr>
              <w:rPr>
                <w:rFonts w:ascii="Cambria Math" w:hAnsi="Cambria Math" w:cstheme="majorBidi"/>
                <w:i/>
              </w:rPr>
            </m:ctrlPr>
          </m:sSubPr>
          <m:e>
            <m:r>
              <m:rPr>
                <m:sty m:val="p"/>
              </m:rPr>
              <w:rPr>
                <w:rFonts w:ascii="Cambria Math" w:hAnsi="Cambria Math" w:cstheme="majorBidi"/>
              </w:rPr>
              <m:t>TDS</m:t>
            </m:r>
          </m:e>
          <m:sub>
            <m:r>
              <w:rPr>
                <w:rFonts w:ascii="Cambria Math" w:hAnsi="Cambria Math" w:cstheme="majorBidi"/>
              </w:rPr>
              <m:t>b</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b</m:t>
            </m:r>
          </m:sub>
        </m:sSub>
      </m:oMath>
      <w:r w:rsidRPr="004834D3">
        <w:rPr>
          <w:rFonts w:cstheme="majorBidi"/>
        </w:rPr>
        <w:t>. Given that salts make up approximately 96% of the dissolved mass in this study, the same conversion can be applied. Consequently, the desalination rate in terms of TDS can be expressed as follows: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185"/>
        <w:gridCol w:w="1175"/>
      </w:tblGrid>
      <w:tr w:rsidR="001C34A1" w:rsidRPr="004834D3" w14:paraId="0538B1AB" w14:textId="77777777" w:rsidTr="00CB6985">
        <w:tc>
          <w:tcPr>
            <w:tcW w:w="8185" w:type="dxa"/>
            <w:shd w:val="clear" w:color="auto" w:fill="FFFFFF" w:themeFill="background1"/>
            <w:vAlign w:val="center"/>
          </w:tcPr>
          <w:p w14:paraId="5CD1A16B" w14:textId="77777777" w:rsidR="001C34A1" w:rsidRPr="004834D3" w:rsidRDefault="001C34A1" w:rsidP="00030877">
            <w:pPr>
              <w:spacing w:before="240" w:after="240" w:line="480" w:lineRule="auto"/>
              <w:jc w:val="right"/>
              <w:rPr>
                <w:rFonts w:cstheme="majorBidi"/>
              </w:rPr>
            </w:pPr>
            <m:oMathPara>
              <m:oMathParaPr>
                <m:jc m:val="left"/>
              </m:oMathParaPr>
              <m:oMath>
                <m:r>
                  <w:rPr>
                    <w:rFonts w:ascii="Cambria Math" w:hAnsi="Cambria Math" w:cstheme="majorBidi"/>
                  </w:rPr>
                  <m:t>η=1-R</m:t>
                </m:r>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Cs/>
                              </w:rPr>
                            </m:ctrlPr>
                          </m:sSubPr>
                          <m:e>
                            <m:r>
                              <w:rPr>
                                <w:rFonts w:ascii="Cambria Math" w:hAnsi="Cambria Math" w:cstheme="majorBidi"/>
                              </w:rPr>
                              <m:t>ρ</m:t>
                            </m:r>
                          </m:e>
                          <m:sub>
                            <m:r>
                              <m:rPr>
                                <m:sty m:val="p"/>
                              </m:rPr>
                              <w:rPr>
                                <w:rFonts w:ascii="Cambria Math" w:hAnsi="Cambria Math" w:cstheme="majorBidi"/>
                              </w:rPr>
                              <m:t>fb</m:t>
                            </m:r>
                          </m:sub>
                        </m:sSub>
                      </m:num>
                      <m:den>
                        <m:sSub>
                          <m:sSubPr>
                            <m:ctrlPr>
                              <w:rPr>
                                <w:rFonts w:ascii="Cambria Math" w:hAnsi="Cambria Math" w:cstheme="majorBidi"/>
                                <w:i/>
                              </w:rPr>
                            </m:ctrlPr>
                          </m:sSubPr>
                          <m:e>
                            <m:r>
                              <w:rPr>
                                <w:rFonts w:ascii="Cambria Math" w:hAnsi="Cambria Math" w:cstheme="majorBidi"/>
                              </w:rPr>
                              <m:t>ρ</m:t>
                            </m:r>
                          </m:e>
                          <m:sub>
                            <m:r>
                              <m:rPr>
                                <m:sty m:val="p"/>
                              </m:rPr>
                              <w:rPr>
                                <w:rFonts w:ascii="Cambria Math" w:hAnsi="Cambria Math" w:cstheme="majorBidi"/>
                              </w:rPr>
                              <m:t>ice</m:t>
                            </m:r>
                          </m:sub>
                        </m:sSub>
                      </m:den>
                    </m:f>
                  </m:e>
                </m:d>
                <m:d>
                  <m:dPr>
                    <m:ctrlPr>
                      <w:rPr>
                        <w:rFonts w:ascii="Cambria Math" w:hAnsi="Cambria Math" w:cstheme="majorBidi"/>
                        <w:i/>
                      </w:rPr>
                    </m:ctrlPr>
                  </m:dPr>
                  <m:e>
                    <m:f>
                      <m:fPr>
                        <m:ctrlPr>
                          <w:rPr>
                            <w:rFonts w:ascii="Cambria Math" w:hAnsi="Cambria Math" w:cstheme="majorBidi"/>
                            <w:i/>
                          </w:rPr>
                        </m:ctrlPr>
                      </m:fPr>
                      <m:num>
                        <m:sSub>
                          <m:sSubPr>
                            <m:ctrlPr>
                              <w:rPr>
                                <w:rFonts w:ascii="Cambria Math" w:hAnsi="Cambria Math" w:cstheme="majorBidi"/>
                                <w:iCs/>
                              </w:rPr>
                            </m:ctrlPr>
                          </m:sSubPr>
                          <m:e>
                            <m:r>
                              <m:rPr>
                                <m:sty m:val="p"/>
                              </m:rPr>
                              <w:rPr>
                                <w:rFonts w:ascii="Cambria Math" w:hAnsi="Cambria Math" w:cstheme="majorBidi"/>
                              </w:rPr>
                              <m:t>TDS</m:t>
                            </m:r>
                          </m:e>
                          <m:sub>
                            <m:r>
                              <m:rPr>
                                <m:sty m:val="p"/>
                              </m:rPr>
                              <w:rPr>
                                <w:rFonts w:ascii="Cambria Math" w:hAnsi="Cambria Math" w:cstheme="majorBidi"/>
                              </w:rPr>
                              <m:t>ice</m:t>
                            </m:r>
                          </m:sub>
                        </m:sSub>
                      </m:num>
                      <m:den>
                        <m:sSub>
                          <m:sSubPr>
                            <m:ctrlPr>
                              <w:rPr>
                                <w:rFonts w:ascii="Cambria Math" w:hAnsi="Cambria Math" w:cstheme="majorBidi"/>
                                <w:i/>
                                <w:iCs/>
                              </w:rPr>
                            </m:ctrlPr>
                          </m:sSubPr>
                          <m:e>
                            <m:r>
                              <m:rPr>
                                <m:sty m:val="p"/>
                              </m:rPr>
                              <w:rPr>
                                <w:rFonts w:ascii="Cambria Math" w:hAnsi="Cambria Math" w:cstheme="majorBidi"/>
                              </w:rPr>
                              <m:t>TDS</m:t>
                            </m:r>
                          </m:e>
                          <m:sub>
                            <m:r>
                              <m:rPr>
                                <m:sty m:val="p"/>
                              </m:rPr>
                              <w:rPr>
                                <w:rFonts w:ascii="Cambria Math" w:hAnsi="Cambria Math" w:cstheme="majorBidi"/>
                              </w:rPr>
                              <m:t>fb</m:t>
                            </m:r>
                          </m:sub>
                        </m:sSub>
                      </m:den>
                    </m:f>
                  </m:e>
                </m:d>
              </m:oMath>
            </m:oMathPara>
          </w:p>
        </w:tc>
        <w:tc>
          <w:tcPr>
            <w:tcW w:w="1175" w:type="dxa"/>
            <w:shd w:val="clear" w:color="auto" w:fill="FFFFFF" w:themeFill="background1"/>
            <w:vAlign w:val="center"/>
          </w:tcPr>
          <w:p w14:paraId="712A7789" w14:textId="06D9397F"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7</w:t>
            </w:r>
            <w:r>
              <w:rPr>
                <w:noProof/>
              </w:rPr>
              <w:fldChar w:fldCharType="end"/>
            </w:r>
          </w:p>
        </w:tc>
      </w:tr>
    </w:tbl>
    <w:p w14:paraId="32D3D188" w14:textId="1E95CD88" w:rsidR="00E650E1" w:rsidRPr="00E650E1" w:rsidRDefault="00E650E1" w:rsidP="00030877">
      <w:pPr>
        <w:spacing w:before="240" w:after="240" w:line="480" w:lineRule="auto"/>
        <w:ind w:firstLine="720"/>
        <w:jc w:val="both"/>
        <w:rPr>
          <w:rFonts w:cstheme="majorBidi"/>
        </w:rPr>
      </w:pPr>
      <w:r w:rsidRPr="00E650E1">
        <w:rPr>
          <w:rFonts w:cstheme="majorBidi"/>
        </w:rPr>
        <w:t xml:space="preserve">Using the </w:t>
      </w:r>
      <w:r>
        <w:rPr>
          <w:rFonts w:cstheme="majorBidi"/>
        </w:rPr>
        <w:t>first</w:t>
      </w:r>
      <w:r w:rsidRPr="00E650E1">
        <w:rPr>
          <w:rFonts w:cstheme="majorBidi"/>
        </w:rPr>
        <w:t xml:space="preserve"> equation listed in Table </w:t>
      </w:r>
      <w:r>
        <w:rPr>
          <w:rFonts w:cstheme="majorBidi"/>
        </w:rPr>
        <w:t>2-</w:t>
      </w:r>
      <w:r w:rsidRPr="00E650E1">
        <w:rPr>
          <w:rFonts w:cstheme="majorBidi"/>
        </w:rPr>
        <w:t>3, the density of the brine can be formulated based on its TDS.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B43EC" w:rsidRPr="004834D3" w14:paraId="2AE5A755" w14:textId="77777777" w:rsidTr="00E650E1">
        <w:tc>
          <w:tcPr>
            <w:tcW w:w="4675" w:type="dxa"/>
          </w:tcPr>
          <w:p w14:paraId="453F95D8" w14:textId="7DD6AAFB" w:rsidR="001B43EC"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ρ</m:t>
                    </m:r>
                  </m:e>
                  <m:sub>
                    <m:r>
                      <w:rPr>
                        <w:rFonts w:ascii="Cambria Math" w:hAnsi="Cambria Math" w:cstheme="majorBidi"/>
                      </w:rPr>
                      <m:t>b</m:t>
                    </m:r>
                  </m:sub>
                </m:sSub>
                <m:r>
                  <w:rPr>
                    <w:rFonts w:ascii="Cambria Math" w:hAnsi="Cambria Math" w:cstheme="majorBidi"/>
                  </w:rPr>
                  <m:t>=</m:t>
                </m:r>
                <m:r>
                  <m:rPr>
                    <m:sty m:val="p"/>
                  </m:rPr>
                  <w:rPr>
                    <w:rFonts w:ascii="Cambria Math" w:hAnsi="Cambria Math" w:cstheme="majorBidi"/>
                  </w:rPr>
                  <m:t>498.5+</m:t>
                </m:r>
                <m:rad>
                  <m:radPr>
                    <m:degHide m:val="1"/>
                    <m:ctrlPr>
                      <w:rPr>
                        <w:rFonts w:ascii="Cambria Math" w:eastAsia="MS Mincho" w:hAnsi="Cambria Math" w:cstheme="majorBidi"/>
                        <w:iCs/>
                      </w:rPr>
                    </m:ctrlPr>
                  </m:radPr>
                  <m:deg/>
                  <m:e>
                    <m:sSup>
                      <m:sSupPr>
                        <m:ctrlPr>
                          <w:rPr>
                            <w:rFonts w:ascii="Cambria Math" w:eastAsia="MS Mincho" w:hAnsi="Cambria Math" w:cstheme="majorBidi"/>
                            <w:i/>
                            <w:iCs/>
                          </w:rPr>
                        </m:ctrlPr>
                      </m:sSupPr>
                      <m:e>
                        <m:r>
                          <w:rPr>
                            <w:rFonts w:ascii="Cambria Math" w:hAnsi="Cambria Math" w:cstheme="majorBidi"/>
                          </w:rPr>
                          <m:t>498.5</m:t>
                        </m:r>
                        <m:ctrlPr>
                          <w:rPr>
                            <w:rFonts w:ascii="Cambria Math" w:hAnsi="Cambria Math" w:cstheme="majorBidi"/>
                            <w:i/>
                            <w:iCs/>
                          </w:rPr>
                        </m:ctrlPr>
                      </m:e>
                      <m:sup>
                        <m:r>
                          <w:rPr>
                            <w:rFonts w:ascii="Cambria Math" w:hAnsi="Cambria Math" w:cstheme="majorBidi"/>
                          </w:rPr>
                          <m:t>2</m:t>
                        </m:r>
                      </m:sup>
                    </m:sSup>
                    <m: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TDS</m:t>
                        </m:r>
                        <m:ctrlPr>
                          <w:rPr>
                            <w:rFonts w:ascii="Cambria Math" w:hAnsi="Cambria Math" w:cstheme="majorBidi"/>
                            <w:i/>
                          </w:rPr>
                        </m:ctrlPr>
                      </m:e>
                      <m:sub>
                        <m:r>
                          <m:rPr>
                            <m:sty m:val="p"/>
                          </m:rPr>
                          <w:rPr>
                            <w:rFonts w:ascii="Cambria Math" w:hAnsi="Cambria Math" w:cstheme="majorBidi"/>
                          </w:rPr>
                          <m:t>b</m:t>
                        </m:r>
                      </m:sub>
                    </m:sSub>
                  </m:e>
                </m:rad>
              </m:oMath>
            </m:oMathPara>
          </w:p>
        </w:tc>
        <w:tc>
          <w:tcPr>
            <w:tcW w:w="4675" w:type="dxa"/>
          </w:tcPr>
          <w:p w14:paraId="3364538A" w14:textId="5D837A70" w:rsidR="001B43EC"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8</w:t>
            </w:r>
            <w:r>
              <w:rPr>
                <w:noProof/>
              </w:rPr>
              <w:fldChar w:fldCharType="end"/>
            </w:r>
          </w:p>
        </w:tc>
      </w:tr>
    </w:tbl>
    <w:p w14:paraId="471F0C60" w14:textId="4FC0CB13" w:rsidR="00F870FF" w:rsidRPr="00F870FF" w:rsidRDefault="00F870FF" w:rsidP="00030877">
      <w:pPr>
        <w:spacing w:before="240" w:after="240" w:line="480" w:lineRule="auto"/>
        <w:ind w:firstLine="720"/>
        <w:jc w:val="both"/>
        <w:rPr>
          <w:rFonts w:cstheme="majorBidi"/>
        </w:rPr>
      </w:pPr>
      <w:r w:rsidRPr="00F870FF">
        <w:rPr>
          <w:rFonts w:cstheme="majorBidi"/>
        </w:rPr>
        <w:t xml:space="preserve">The outlet temperature of the freezing chamber </w:t>
      </w:r>
      <w:r>
        <w:rPr>
          <w:rFonts w:cstheme="majorBidi"/>
        </w:rPr>
        <w:t>corresponds to</w:t>
      </w:r>
      <w:r w:rsidRPr="00F870FF">
        <w:rPr>
          <w:rFonts w:cstheme="majorBidi"/>
        </w:rPr>
        <w:t xml:space="preserve"> the freezing temperature of the concentrated brine at the outlet, which depends on the salinity of the concentrated brine, denoted as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cb</m:t>
            </m:r>
          </m:sub>
        </m:sSub>
      </m:oMath>
      <w:r w:rsidRPr="00F870FF">
        <w:rPr>
          <w:rFonts w:cstheme="majorBidi"/>
        </w:rPr>
        <w:t>. This salinity can be calculated based on the salinity of the feed brine, the desalination rate, and the recovery ratio,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185"/>
        <w:gridCol w:w="1175"/>
      </w:tblGrid>
      <w:tr w:rsidR="001C34A1" w:rsidRPr="004834D3" w14:paraId="72A1147C" w14:textId="77777777" w:rsidTr="00E650E1">
        <w:tc>
          <w:tcPr>
            <w:tcW w:w="8185" w:type="dxa"/>
            <w:shd w:val="clear" w:color="auto" w:fill="FFFFFF" w:themeFill="background1"/>
            <w:vAlign w:val="center"/>
          </w:tcPr>
          <w:p w14:paraId="2A94EAA3" w14:textId="77777777" w:rsidR="001C34A1" w:rsidRPr="004834D3" w:rsidRDefault="00000000" w:rsidP="00030877">
            <w:pPr>
              <w:spacing w:before="240" w:after="240" w:line="480" w:lineRule="auto"/>
              <w:jc w:val="right"/>
              <w:rPr>
                <w:rFonts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cb</m:t>
                    </m:r>
                  </m:sub>
                </m:sSub>
                <m:r>
                  <w:rPr>
                    <w:rFonts w:ascii="Cambria Math" w:hAnsi="Cambria Math" w:cstheme="majorBidi"/>
                  </w:rPr>
                  <m:t>=η</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fb</m:t>
                        </m:r>
                      </m:sub>
                    </m:sSub>
                    <m:r>
                      <w:rPr>
                        <w:rFonts w:ascii="Cambria Math" w:hAnsi="Cambria Math" w:cstheme="majorBidi"/>
                      </w:rPr>
                      <m:t xml:space="preserve"> </m:t>
                    </m:r>
                  </m:num>
                  <m:den>
                    <m:r>
                      <w:rPr>
                        <w:rFonts w:ascii="Cambria Math" w:hAnsi="Cambria Math" w:cstheme="majorBidi"/>
                      </w:rPr>
                      <m:t>1- R</m:t>
                    </m:r>
                  </m:den>
                </m:f>
              </m:oMath>
            </m:oMathPara>
          </w:p>
        </w:tc>
        <w:tc>
          <w:tcPr>
            <w:tcW w:w="1175" w:type="dxa"/>
            <w:shd w:val="clear" w:color="auto" w:fill="FFFFFF" w:themeFill="background1"/>
            <w:vAlign w:val="center"/>
          </w:tcPr>
          <w:p w14:paraId="2DFA33C7" w14:textId="610B8198"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9</w:t>
            </w:r>
            <w:r>
              <w:rPr>
                <w:noProof/>
              </w:rPr>
              <w:fldChar w:fldCharType="end"/>
            </w:r>
          </w:p>
        </w:tc>
      </w:tr>
    </w:tbl>
    <w:p w14:paraId="67CB3886" w14:textId="3D45C62F" w:rsidR="00990523" w:rsidRDefault="00990523" w:rsidP="00030877">
      <w:pPr>
        <w:spacing w:before="240" w:after="240" w:line="480" w:lineRule="auto"/>
        <w:ind w:firstLine="720"/>
        <w:jc w:val="both"/>
        <w:rPr>
          <w:rFonts w:cstheme="majorBidi"/>
        </w:rPr>
      </w:pPr>
      <w:r w:rsidRPr="00990523">
        <w:rPr>
          <w:rFonts w:cstheme="majorBidi"/>
        </w:rPr>
        <w:t xml:space="preserve">The outlet temperature of the freezing chamber, </w:t>
      </w:r>
      <w:r w:rsidRPr="004834D3">
        <w:rPr>
          <w:rFonts w:cstheme="majorBidi"/>
        </w:rPr>
        <w:t>(in °C)</w:t>
      </w:r>
      <w:r w:rsidRPr="00990523">
        <w:rPr>
          <w:rFonts w:cstheme="majorBidi"/>
        </w:rPr>
        <w:t>, is determined by the salinity of the concentrated brine (expressed in grams of salt per kilogram of brine) using Eq</w:t>
      </w:r>
      <w:r>
        <w:rPr>
          <w:rFonts w:cstheme="majorBidi"/>
        </w:rPr>
        <w:t>.</w:t>
      </w:r>
      <w:r w:rsidRPr="00990523">
        <w:rPr>
          <w:rFonts w:cstheme="majorBidi"/>
        </w:rPr>
        <w:t xml:space="preserve"> </w:t>
      </w:r>
      <w:r w:rsidR="001020E3">
        <w:rPr>
          <w:rFonts w:cstheme="majorBidi"/>
        </w:rPr>
        <w:t>3</w:t>
      </w:r>
      <w:r w:rsidRPr="00990523">
        <w:rPr>
          <w:rFonts w:cstheme="majorBidi"/>
        </w:rPr>
        <w:t xml:space="preserve">-9 and the fourth equation listed in Table </w:t>
      </w:r>
      <w:r w:rsidR="001020E3">
        <w:rPr>
          <w:rFonts w:cstheme="majorBidi"/>
        </w:rPr>
        <w:t>3</w:t>
      </w:r>
      <w:r>
        <w:rPr>
          <w:rFonts w:cstheme="majorBidi"/>
        </w:rPr>
        <w:t>-</w:t>
      </w:r>
      <w:r w:rsidR="001020E3">
        <w:rPr>
          <w:rFonts w:cstheme="majorBidi"/>
        </w:rPr>
        <w:t>1</w:t>
      </w:r>
      <w:r w:rsidRPr="00990523">
        <w:rPr>
          <w:rFonts w:cstheme="majorBidi"/>
        </w:rPr>
        <w:t>. By incorporating the outlet temperature as a function of the inlet brine salinity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cb</m:t>
            </m:r>
          </m:sub>
        </m:sSub>
      </m:oMath>
      <w:r w:rsidRPr="00990523">
        <w:rPr>
          <w:rFonts w:cstheme="majorBidi"/>
        </w:rPr>
        <w:t>), along with the recovery ratio</w:t>
      </w:r>
      <w:r>
        <w:rPr>
          <w:rFonts w:cstheme="majorBidi"/>
        </w:rPr>
        <w:t xml:space="preserve"> (</w:t>
      </w:r>
      <m:oMath>
        <m:r>
          <w:rPr>
            <w:rFonts w:ascii="Cambria Math" w:hAnsi="Cambria Math" w:cstheme="majorBidi"/>
          </w:rPr>
          <m:t>R</m:t>
        </m:r>
      </m:oMath>
      <w:r>
        <w:rPr>
          <w:rFonts w:cstheme="majorBidi"/>
        </w:rPr>
        <w:t>)</w:t>
      </w:r>
      <w:r w:rsidRPr="00990523">
        <w:rPr>
          <w:rFonts w:cstheme="majorBidi"/>
        </w:rPr>
        <w:t xml:space="preserve"> and the desalination rate (</w:t>
      </w:r>
      <m:oMath>
        <m:r>
          <w:rPr>
            <w:rFonts w:ascii="Cambria Math" w:hAnsi="Cambria Math" w:cstheme="majorBidi"/>
          </w:rPr>
          <m:t>η</m:t>
        </m:r>
      </m:oMath>
      <w:r w:rsidRPr="00990523">
        <w:rPr>
          <w:rFonts w:cstheme="majorBidi"/>
        </w:rPr>
        <w:t>) into Eq</w:t>
      </w:r>
      <w:r>
        <w:rPr>
          <w:rFonts w:cstheme="majorBidi"/>
        </w:rPr>
        <w:t>.</w:t>
      </w:r>
      <w:r w:rsidRPr="00990523">
        <w:rPr>
          <w:rFonts w:cstheme="majorBidi"/>
        </w:rPr>
        <w:t xml:space="preserve"> </w:t>
      </w:r>
      <w:r w:rsidR="001020E3">
        <w:rPr>
          <w:rFonts w:cstheme="majorBidi"/>
        </w:rPr>
        <w:t>3</w:t>
      </w:r>
      <w:r w:rsidRPr="00990523">
        <w:rPr>
          <w:rFonts w:cstheme="majorBidi"/>
        </w:rPr>
        <w:t xml:space="preserve">-4, the resulting formula contains two </w:t>
      </w:r>
      <w:r>
        <w:rPr>
          <w:rFonts w:cstheme="majorBidi"/>
        </w:rPr>
        <w:t xml:space="preserve">unknown </w:t>
      </w:r>
      <w:r w:rsidRPr="00990523">
        <w:rPr>
          <w:rFonts w:cstheme="majorBidi"/>
        </w:rPr>
        <w:t xml:space="preserve">variables: the recovery ratio and the desalination rate. The desalination rate in the freeze desalination process is largely influenced by the effectiveness of brine rejection during the centrifugal separation </w:t>
      </w:r>
      <w:r>
        <w:rPr>
          <w:rFonts w:cstheme="majorBidi"/>
        </w:rPr>
        <w:t>process</w:t>
      </w:r>
      <w:r w:rsidRPr="00990523">
        <w:rPr>
          <w:rFonts w:cstheme="majorBidi"/>
        </w:rPr>
        <w:t xml:space="preserve">. Experimental results indicate that the desalination rate typically ranges from 0.9 to 0.99. Consequently, for this theoretical analysis, an average desalination rate of 0.95 is assumed. </w:t>
      </w:r>
      <w:r>
        <w:rPr>
          <w:rFonts w:cstheme="majorBidi"/>
        </w:rPr>
        <w:t>It should be noted that f</w:t>
      </w:r>
      <w:r w:rsidRPr="00990523">
        <w:rPr>
          <w:rFonts w:cstheme="majorBidi"/>
        </w:rPr>
        <w:t>urther analysis of variations in the desalination rate, from 0.9 to 0.99, reveals that these changes have a negligible impact on the recovery ratio.</w:t>
      </w:r>
    </w:p>
    <w:p w14:paraId="1498F5E7" w14:textId="5F5B48EA" w:rsidR="00990523" w:rsidRPr="004834D3" w:rsidRDefault="0044175C" w:rsidP="00030877">
      <w:pPr>
        <w:spacing w:before="240" w:after="240" w:line="480" w:lineRule="auto"/>
        <w:ind w:firstLine="720"/>
        <w:jc w:val="both"/>
        <w:rPr>
          <w:rFonts w:cstheme="majorBidi"/>
        </w:rPr>
      </w:pPr>
      <w:r w:rsidRPr="0044175C">
        <w:rPr>
          <w:rFonts w:cstheme="majorBidi"/>
        </w:rPr>
        <w:t xml:space="preserve">The heat gain during the freezing process was measured through experimental methods. To accomplish this, the ICL was circulated through the system at the same flow rate and temperature as it would be with brine injection, but without injecting any brine. Once </w:t>
      </w:r>
      <w:r w:rsidR="008008F6">
        <w:rPr>
          <w:rFonts w:cstheme="majorBidi"/>
        </w:rPr>
        <w:t xml:space="preserve">a </w:t>
      </w:r>
      <w:r w:rsidRPr="0044175C">
        <w:rPr>
          <w:rFonts w:cstheme="majorBidi"/>
        </w:rPr>
        <w:t>steady state was achieved, the temperature differential of the ICL across the freezing chamber was recorded. This temperature difference was then utilized to calculate the heat gain: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625"/>
      </w:tblGrid>
      <w:tr w:rsidR="001C34A1" w:rsidRPr="004834D3" w14:paraId="192CAF07" w14:textId="77777777" w:rsidTr="0044175C">
        <w:tc>
          <w:tcPr>
            <w:tcW w:w="4735" w:type="dxa"/>
          </w:tcPr>
          <w:p w14:paraId="7B628833" w14:textId="77777777" w:rsidR="001C34A1" w:rsidRPr="004834D3" w:rsidRDefault="00000000" w:rsidP="00030877">
            <w:pPr>
              <w:spacing w:before="240" w:after="240" w:line="480" w:lineRule="auto"/>
              <w:jc w:val="both"/>
              <w:rPr>
                <w:rFonts w:cstheme="majorBidi"/>
              </w:rPr>
            </w:pPr>
            <m:oMathPara>
              <m:oMathParaPr>
                <m:jc m:val="left"/>
              </m:oMathParaP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Q</m:t>
                        </m:r>
                      </m:e>
                    </m:acc>
                  </m:e>
                  <m:sub>
                    <m:r>
                      <m:rPr>
                        <m:sty m:val="p"/>
                      </m:rPr>
                      <w:rPr>
                        <w:rFonts w:ascii="Cambria Math" w:hAnsi="Cambria Math" w:cstheme="majorBidi"/>
                      </w:rPr>
                      <m:t>gain</m:t>
                    </m:r>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ICL</m:t>
                    </m:r>
                  </m:sub>
                </m:sSub>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ICL</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 out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m:t>
                        </m:r>
                      </m:sub>
                    </m:sSub>
                  </m:e>
                </m:d>
              </m:oMath>
            </m:oMathPara>
          </w:p>
        </w:tc>
        <w:tc>
          <w:tcPr>
            <w:tcW w:w="4625" w:type="dxa"/>
          </w:tcPr>
          <w:p w14:paraId="0E100F6E" w14:textId="7625BA6E" w:rsidR="001C34A1" w:rsidRPr="004834D3" w:rsidRDefault="000B1B64" w:rsidP="00030877">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3</w:t>
            </w:r>
            <w:r>
              <w:fldChar w:fldCharType="end"/>
            </w:r>
            <w:r>
              <w:noBreakHyphen/>
            </w:r>
            <w:r>
              <w:fldChar w:fldCharType="begin"/>
            </w:r>
            <w:r>
              <w:instrText xml:space="preserve"> SEQ Equation \* ARABIC \s 1 </w:instrText>
            </w:r>
            <w:r>
              <w:fldChar w:fldCharType="separate"/>
            </w:r>
            <w:r w:rsidR="00732AAC">
              <w:rPr>
                <w:noProof/>
              </w:rPr>
              <w:t>10</w:t>
            </w:r>
            <w:r>
              <w:rPr>
                <w:noProof/>
              </w:rPr>
              <w:fldChar w:fldCharType="end"/>
            </w:r>
          </w:p>
        </w:tc>
      </w:tr>
    </w:tbl>
    <w:p w14:paraId="10038049" w14:textId="6947C022" w:rsidR="0044175C" w:rsidRDefault="0044175C" w:rsidP="009E2A41">
      <w:pPr>
        <w:spacing w:before="240" w:after="240" w:line="480" w:lineRule="auto"/>
        <w:jc w:val="both"/>
        <w:rPr>
          <w:rFonts w:eastAsia="MS Mincho" w:cstheme="majorBidi"/>
          <w:spacing w:val="-3"/>
        </w:rPr>
      </w:pPr>
      <w:r w:rsidRPr="004834D3">
        <w:rPr>
          <w:rFonts w:cstheme="majorBidi"/>
        </w:rPr>
        <w:lastRenderedPageBreak/>
        <w:t xml:space="preserve">where </w:t>
      </w:r>
      <m:oMath>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ICL,out</m:t>
            </m:r>
          </m:sub>
        </m:sSub>
      </m:oMath>
      <w:r>
        <w:rPr>
          <w:rFonts w:eastAsiaTheme="minorEastAsia" w:cstheme="majorBidi"/>
        </w:rPr>
        <w:t xml:space="preserve"> </w:t>
      </w:r>
      <w:r w:rsidRPr="0044175C">
        <w:rPr>
          <w:rFonts w:eastAsia="MS Mincho" w:cstheme="majorBidi"/>
          <w:spacing w:val="-3"/>
        </w:rPr>
        <w:t xml:space="preserve">represents the temperature of the ICL as it exits the freezing chamber without brine injection. After conducting multiple measurements, it was determined that the average temperature increase of the ICL was approximately 1°C at an ICL flow rate of 5 </w:t>
      </w:r>
      <w:r w:rsidRPr="00261867">
        <w:rPr>
          <w:rFonts w:eastAsia="MS Mincho" w:cstheme="majorBidi"/>
          <w:spacing w:val="-3"/>
        </w:rPr>
        <w:t xml:space="preserve">kg/min. </w:t>
      </w:r>
      <w:r w:rsidR="00042EDD" w:rsidRPr="00261867">
        <w:rPr>
          <w:rFonts w:eastAsia="MS Mincho" w:cstheme="majorBidi"/>
          <w:spacing w:val="-3"/>
        </w:rPr>
        <w:t>Using the measured ICL temperature rise, the heat gain was calculated to be between 140 W to 160 W.</w:t>
      </w:r>
      <w:r w:rsidR="00042EDD">
        <w:rPr>
          <w:rFonts w:eastAsia="MS Mincho" w:cstheme="majorBidi"/>
          <w:spacing w:val="-3"/>
        </w:rPr>
        <w:t xml:space="preserve"> </w:t>
      </w:r>
      <w:r w:rsidRPr="0044175C">
        <w:rPr>
          <w:rFonts w:eastAsia="MS Mincho" w:cstheme="majorBidi"/>
          <w:spacing w:val="-3"/>
        </w:rPr>
        <w:t xml:space="preserve">Once the heat gain is </w:t>
      </w:r>
      <w:r>
        <w:rPr>
          <w:rFonts w:eastAsia="MS Mincho" w:cstheme="majorBidi"/>
          <w:spacing w:val="-3"/>
        </w:rPr>
        <w:t>calculated</w:t>
      </w:r>
      <w:r w:rsidRPr="0044175C">
        <w:rPr>
          <w:rFonts w:eastAsia="MS Mincho" w:cstheme="majorBidi"/>
          <w:spacing w:val="-3"/>
        </w:rPr>
        <w:t>, for any specified values of</w:t>
      </w:r>
      <w:r>
        <w:rPr>
          <w:rFonts w:eastAsia="MS Mincho" w:cstheme="majorBidi"/>
          <w:spacing w:val="-3"/>
        </w:rPr>
        <w:t xml:space="preserve"> </w:t>
      </w:r>
      <m:oMath>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ICL</m:t>
            </m:r>
          </m:sub>
        </m:sSub>
      </m:oMath>
      <w:r w:rsidRPr="004834D3">
        <w:rPr>
          <w:rFonts w:eastAsia="MS Mincho" w:cstheme="majorBidi"/>
        </w:rPr>
        <w:t>,</w:t>
      </w:r>
      <w:r w:rsidRPr="004834D3">
        <w:rPr>
          <w:rFonts w:eastAsia="MS Mincho" w:cstheme="majorBidi"/>
          <w:spacing w:val="-3"/>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ICL</m:t>
            </m:r>
          </m:sub>
        </m:sSub>
      </m:oMath>
      <w:r w:rsidRPr="004834D3">
        <w:rPr>
          <w:rFonts w:eastAsia="MS Mincho" w:cstheme="majorBidi"/>
        </w:rPr>
        <w:t>,</w:t>
      </w:r>
      <w:r w:rsidRPr="004834D3">
        <w:rPr>
          <w:rFonts w:cstheme="majorBidi"/>
          <w:i/>
        </w:rPr>
        <w:t xml:space="preserve"> </w:t>
      </w:r>
      <m:oMath>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fb</m:t>
            </m:r>
          </m:sub>
        </m:sSub>
      </m:oMath>
      <w:r w:rsidRPr="004834D3">
        <w:rPr>
          <w:rFonts w:eastAsia="MS Mincho" w:cstheme="majorBidi"/>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oMath>
      <w:r w:rsidRPr="004834D3">
        <w:rPr>
          <w:rFonts w:eastAsia="MS Mincho" w:cstheme="majorBidi"/>
        </w:rPr>
        <w:t xml:space="preserve">, and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fb</m:t>
            </m:r>
          </m:sub>
        </m:sSub>
      </m:oMath>
      <w:r w:rsidRPr="0044175C">
        <w:rPr>
          <w:rFonts w:eastAsia="MS Mincho" w:cstheme="majorBidi"/>
          <w:spacing w:val="-3"/>
        </w:rPr>
        <w:t>, the recovery ratio (</w:t>
      </w:r>
      <m:oMath>
        <m:r>
          <w:rPr>
            <w:rFonts w:ascii="Cambria Math" w:eastAsia="MS Mincho" w:hAnsi="Cambria Math" w:cstheme="majorBidi"/>
            <w:spacing w:val="-3"/>
          </w:rPr>
          <m:t>R</m:t>
        </m:r>
      </m:oMath>
      <w:r w:rsidRPr="0044175C">
        <w:rPr>
          <w:rFonts w:eastAsia="MS Mincho" w:cstheme="majorBidi"/>
          <w:spacing w:val="-3"/>
        </w:rPr>
        <w:t>), the outlet temperature</w:t>
      </w:r>
      <w:r>
        <w:rPr>
          <w:rFonts w:eastAsia="MS Mincho" w:cstheme="majorBidi"/>
          <w:spacing w:val="-3"/>
        </w:rPr>
        <w:t xml:space="preserve">, </w:t>
      </w:r>
      <m:oMath>
        <m:sSub>
          <m:sSubPr>
            <m:ctrlPr>
              <w:rPr>
                <w:rFonts w:ascii="Cambria Math" w:hAnsi="Cambria Math" w:cstheme="majorBidi"/>
                <w:i/>
              </w:rPr>
            </m:ctrlPr>
          </m:sSubPr>
          <m:e>
            <m:r>
              <w:rPr>
                <w:rFonts w:ascii="Cambria Math" w:hAnsi="Cambria Math" w:cstheme="majorBidi"/>
              </w:rPr>
              <m:t>T</m:t>
            </m:r>
          </m:e>
          <m:sub>
            <m:r>
              <m:rPr>
                <m:sty m:val="p"/>
              </m:rPr>
              <w:rPr>
                <w:rFonts w:ascii="Cambria Math" w:hAnsi="Cambria Math" w:cstheme="majorBidi"/>
              </w:rPr>
              <m:t>out</m:t>
            </m:r>
          </m:sub>
        </m:sSub>
      </m:oMath>
      <w:r w:rsidRPr="0044175C">
        <w:rPr>
          <w:rFonts w:eastAsia="MS Mincho" w:cstheme="majorBidi"/>
          <w:spacing w:val="-3"/>
        </w:rPr>
        <w:t>, and the salinity of the concentrated brine</w:t>
      </w:r>
      <w:r>
        <w:rPr>
          <w:rFonts w:eastAsia="MS Mincho" w:cstheme="majorBidi"/>
          <w:spacing w:val="-3"/>
        </w:rPr>
        <w:t>,</w:t>
      </w:r>
      <w:r w:rsidRPr="0044175C">
        <w:rPr>
          <w:rFonts w:ascii="Cambria Math" w:hAnsi="Cambria Math" w:cstheme="majorBidi"/>
          <w:i/>
        </w:rPr>
        <w:t xml:space="preserve"> </w:t>
      </w:r>
      <m:oMath>
        <m:sSub>
          <m:sSubPr>
            <m:ctrlPr>
              <w:rPr>
                <w:rFonts w:ascii="Cambria Math" w:hAnsi="Cambria Math" w:cstheme="majorBidi"/>
                <w:i/>
              </w:rPr>
            </m:ctrlPr>
          </m:sSubPr>
          <m:e>
            <m:r>
              <w:rPr>
                <w:rFonts w:ascii="Cambria Math" w:hAnsi="Cambria Math" w:cstheme="majorBidi"/>
              </w:rPr>
              <m:t>S</m:t>
            </m:r>
          </m:e>
          <m:sub>
            <m:r>
              <m:rPr>
                <m:sty m:val="p"/>
              </m:rPr>
              <w:rPr>
                <w:rFonts w:ascii="Cambria Math" w:hAnsi="Cambria Math" w:cstheme="majorBidi"/>
              </w:rPr>
              <m:t>cb</m:t>
            </m:r>
          </m:sub>
        </m:sSub>
      </m:oMath>
      <w:r>
        <w:rPr>
          <w:rFonts w:eastAsia="MS Mincho" w:cstheme="majorBidi"/>
          <w:spacing w:val="-3"/>
        </w:rPr>
        <w:t xml:space="preserve">, </w:t>
      </w:r>
      <w:r w:rsidRPr="0044175C">
        <w:rPr>
          <w:rFonts w:eastAsia="MS Mincho" w:cstheme="majorBidi"/>
          <w:spacing w:val="-3"/>
        </w:rPr>
        <w:t>can be calculated using Eq</w:t>
      </w:r>
      <w:r>
        <w:rPr>
          <w:rFonts w:eastAsia="MS Mincho" w:cstheme="majorBidi"/>
          <w:spacing w:val="-3"/>
        </w:rPr>
        <w:t>s.</w:t>
      </w:r>
      <w:r w:rsidRPr="0044175C">
        <w:rPr>
          <w:rFonts w:eastAsia="MS Mincho" w:cstheme="majorBidi"/>
          <w:spacing w:val="-3"/>
        </w:rPr>
        <w:t xml:space="preserve"> </w:t>
      </w:r>
      <w:r w:rsidR="001020E3">
        <w:rPr>
          <w:rFonts w:eastAsia="MS Mincho" w:cstheme="majorBidi"/>
          <w:spacing w:val="-3"/>
        </w:rPr>
        <w:t>3</w:t>
      </w:r>
      <w:r w:rsidRPr="0044175C">
        <w:rPr>
          <w:rFonts w:eastAsia="MS Mincho" w:cstheme="majorBidi"/>
          <w:spacing w:val="-3"/>
        </w:rPr>
        <w:t xml:space="preserve">-4, </w:t>
      </w:r>
      <w:r w:rsidR="001020E3">
        <w:rPr>
          <w:rFonts w:eastAsia="MS Mincho" w:cstheme="majorBidi"/>
          <w:spacing w:val="-3"/>
        </w:rPr>
        <w:t>3</w:t>
      </w:r>
      <w:r w:rsidRPr="0044175C">
        <w:rPr>
          <w:rFonts w:eastAsia="MS Mincho" w:cstheme="majorBidi"/>
          <w:spacing w:val="-3"/>
        </w:rPr>
        <w:t xml:space="preserve">-5, </w:t>
      </w:r>
      <w:r w:rsidR="001020E3">
        <w:rPr>
          <w:rFonts w:eastAsia="MS Mincho" w:cstheme="majorBidi"/>
          <w:spacing w:val="-3"/>
        </w:rPr>
        <w:t>3</w:t>
      </w:r>
      <w:r w:rsidRPr="0044175C">
        <w:rPr>
          <w:rFonts w:eastAsia="MS Mincho" w:cstheme="majorBidi"/>
          <w:spacing w:val="-3"/>
        </w:rPr>
        <w:t xml:space="preserve">-9, and those outlined in Table </w:t>
      </w:r>
      <w:r w:rsidR="001020E3">
        <w:rPr>
          <w:rFonts w:eastAsia="MS Mincho" w:cstheme="majorBidi"/>
          <w:spacing w:val="-3"/>
        </w:rPr>
        <w:t>3</w:t>
      </w:r>
      <w:r w:rsidRPr="0044175C">
        <w:rPr>
          <w:rFonts w:eastAsia="MS Mincho" w:cstheme="majorBidi"/>
          <w:spacing w:val="-3"/>
        </w:rPr>
        <w:t>-</w:t>
      </w:r>
      <w:r w:rsidR="001020E3">
        <w:rPr>
          <w:rFonts w:eastAsia="MS Mincho" w:cstheme="majorBidi"/>
          <w:spacing w:val="-3"/>
        </w:rPr>
        <w:t>1</w:t>
      </w:r>
      <w:r w:rsidRPr="0044175C">
        <w:rPr>
          <w:rFonts w:eastAsia="MS Mincho" w:cstheme="majorBidi"/>
          <w:spacing w:val="-3"/>
        </w:rPr>
        <w:t>.</w:t>
      </w:r>
    </w:p>
    <w:p w14:paraId="25B9796E" w14:textId="77777777" w:rsidR="00F17EFE" w:rsidRDefault="00F17EFE" w:rsidP="0044175C">
      <w:pPr>
        <w:spacing w:before="100" w:beforeAutospacing="1" w:after="100" w:afterAutospacing="1" w:line="360" w:lineRule="auto"/>
        <w:jc w:val="both"/>
        <w:rPr>
          <w:rFonts w:eastAsia="MS Mincho" w:cstheme="majorBidi"/>
          <w:spacing w:val="-3"/>
        </w:rPr>
      </w:pPr>
    </w:p>
    <w:p w14:paraId="435E73DC" w14:textId="77777777" w:rsidR="00F17EFE" w:rsidRDefault="00F17EFE" w:rsidP="0044175C">
      <w:pPr>
        <w:spacing w:before="100" w:beforeAutospacing="1" w:after="100" w:afterAutospacing="1" w:line="360" w:lineRule="auto"/>
        <w:jc w:val="both"/>
        <w:rPr>
          <w:rFonts w:eastAsia="MS Mincho" w:cstheme="majorBidi"/>
          <w:spacing w:val="-3"/>
        </w:rPr>
      </w:pPr>
    </w:p>
    <w:p w14:paraId="1717984B" w14:textId="77777777" w:rsidR="00F17EFE" w:rsidRDefault="00F17EFE" w:rsidP="0044175C">
      <w:pPr>
        <w:spacing w:before="100" w:beforeAutospacing="1" w:after="100" w:afterAutospacing="1" w:line="360" w:lineRule="auto"/>
        <w:jc w:val="both"/>
        <w:rPr>
          <w:rFonts w:eastAsia="MS Mincho" w:cstheme="majorBidi"/>
          <w:spacing w:val="-3"/>
        </w:rPr>
      </w:pPr>
    </w:p>
    <w:p w14:paraId="59D8272A" w14:textId="77777777" w:rsidR="00F17EFE" w:rsidRDefault="00F17EFE" w:rsidP="0044175C">
      <w:pPr>
        <w:spacing w:before="100" w:beforeAutospacing="1" w:after="100" w:afterAutospacing="1" w:line="360" w:lineRule="auto"/>
        <w:jc w:val="both"/>
        <w:rPr>
          <w:rFonts w:eastAsia="MS Mincho" w:cstheme="majorBidi"/>
          <w:spacing w:val="-3"/>
        </w:rPr>
      </w:pPr>
    </w:p>
    <w:p w14:paraId="07B75A0F" w14:textId="77777777" w:rsidR="00F17EFE" w:rsidRDefault="00F17EFE" w:rsidP="0044175C">
      <w:pPr>
        <w:spacing w:before="100" w:beforeAutospacing="1" w:after="100" w:afterAutospacing="1" w:line="360" w:lineRule="auto"/>
        <w:jc w:val="both"/>
        <w:rPr>
          <w:rFonts w:eastAsia="MS Mincho" w:cstheme="majorBidi"/>
          <w:spacing w:val="-3"/>
        </w:rPr>
      </w:pPr>
    </w:p>
    <w:p w14:paraId="310B2B11" w14:textId="77777777" w:rsidR="00F17EFE" w:rsidRDefault="00F17EFE" w:rsidP="0044175C">
      <w:pPr>
        <w:spacing w:before="100" w:beforeAutospacing="1" w:after="100" w:afterAutospacing="1" w:line="360" w:lineRule="auto"/>
        <w:jc w:val="both"/>
        <w:rPr>
          <w:rFonts w:eastAsia="MS Mincho" w:cstheme="majorBidi"/>
          <w:spacing w:val="-3"/>
        </w:rPr>
      </w:pPr>
    </w:p>
    <w:p w14:paraId="4A1E8484" w14:textId="77777777" w:rsidR="00717A46" w:rsidRDefault="00717A46" w:rsidP="0044175C">
      <w:pPr>
        <w:spacing w:before="100" w:beforeAutospacing="1" w:after="100" w:afterAutospacing="1" w:line="360" w:lineRule="auto"/>
        <w:jc w:val="both"/>
        <w:rPr>
          <w:rFonts w:eastAsia="MS Mincho" w:cstheme="majorBidi"/>
          <w:spacing w:val="-3"/>
        </w:rPr>
      </w:pPr>
    </w:p>
    <w:p w14:paraId="03835C5A" w14:textId="77777777" w:rsidR="00717A46" w:rsidRDefault="00717A46" w:rsidP="0044175C">
      <w:pPr>
        <w:spacing w:before="100" w:beforeAutospacing="1" w:after="100" w:afterAutospacing="1" w:line="360" w:lineRule="auto"/>
        <w:jc w:val="both"/>
        <w:rPr>
          <w:rFonts w:eastAsia="MS Mincho" w:cstheme="majorBidi"/>
          <w:spacing w:val="-3"/>
        </w:rPr>
      </w:pPr>
    </w:p>
    <w:p w14:paraId="3952C3CF" w14:textId="77777777" w:rsidR="00717A46" w:rsidRDefault="00717A46" w:rsidP="0044175C">
      <w:pPr>
        <w:spacing w:before="100" w:beforeAutospacing="1" w:after="100" w:afterAutospacing="1" w:line="360" w:lineRule="auto"/>
        <w:jc w:val="both"/>
        <w:rPr>
          <w:rFonts w:eastAsia="MS Mincho" w:cstheme="majorBidi"/>
          <w:spacing w:val="-3"/>
        </w:rPr>
      </w:pPr>
    </w:p>
    <w:p w14:paraId="638F2C37" w14:textId="77777777" w:rsidR="00F17EFE" w:rsidRDefault="00F17EFE" w:rsidP="0044175C">
      <w:pPr>
        <w:spacing w:before="100" w:beforeAutospacing="1" w:after="100" w:afterAutospacing="1" w:line="360" w:lineRule="auto"/>
        <w:jc w:val="both"/>
        <w:rPr>
          <w:rFonts w:eastAsia="MS Mincho" w:cstheme="majorBidi"/>
          <w:spacing w:val="-3"/>
        </w:rPr>
      </w:pPr>
    </w:p>
    <w:p w14:paraId="71A44089" w14:textId="77777777" w:rsidR="00F17EFE" w:rsidRDefault="00F17EFE" w:rsidP="0044175C">
      <w:pPr>
        <w:spacing w:before="100" w:beforeAutospacing="1" w:after="100" w:afterAutospacing="1" w:line="360" w:lineRule="auto"/>
        <w:jc w:val="both"/>
        <w:rPr>
          <w:rFonts w:eastAsia="MS Mincho" w:cstheme="majorBidi"/>
          <w:spacing w:val="-3"/>
        </w:rPr>
      </w:pPr>
    </w:p>
    <w:p w14:paraId="3569C7BB" w14:textId="77777777" w:rsidR="00F17EFE" w:rsidRDefault="00F17EFE" w:rsidP="0044175C">
      <w:pPr>
        <w:spacing w:before="100" w:beforeAutospacing="1" w:after="100" w:afterAutospacing="1" w:line="360" w:lineRule="auto"/>
        <w:jc w:val="both"/>
        <w:rPr>
          <w:rFonts w:eastAsia="MS Mincho" w:cstheme="majorBidi"/>
          <w:spacing w:val="-3"/>
        </w:rPr>
      </w:pPr>
    </w:p>
    <w:p w14:paraId="08973F48" w14:textId="77777777" w:rsidR="00F17EFE" w:rsidRPr="004834D3" w:rsidRDefault="00F17EFE" w:rsidP="0044175C">
      <w:pPr>
        <w:spacing w:before="100" w:beforeAutospacing="1" w:after="100" w:afterAutospacing="1" w:line="360" w:lineRule="auto"/>
        <w:jc w:val="both"/>
        <w:rPr>
          <w:rFonts w:eastAsia="MS Mincho" w:cstheme="majorBidi"/>
          <w:spacing w:val="-3"/>
        </w:rPr>
      </w:pPr>
    </w:p>
    <w:p w14:paraId="5AF7519B" w14:textId="05FF342C" w:rsidR="003462CE" w:rsidRPr="008576B9" w:rsidRDefault="00820555" w:rsidP="00700DBA">
      <w:pPr>
        <w:pStyle w:val="Heading1"/>
        <w:numPr>
          <w:ilvl w:val="0"/>
          <w:numId w:val="4"/>
        </w:numPr>
        <w:spacing w:before="0" w:after="0" w:line="480" w:lineRule="auto"/>
        <w:ind w:left="288" w:hanging="288"/>
        <w:rPr>
          <w:rFonts w:eastAsia="MS Mincho"/>
          <w:sz w:val="28"/>
          <w:szCs w:val="28"/>
        </w:rPr>
      </w:pPr>
      <w:bookmarkStart w:id="44" w:name="_Toc172367683"/>
      <w:r w:rsidRPr="008576B9">
        <w:rPr>
          <w:rFonts w:eastAsia="MS Mincho"/>
          <w:sz w:val="28"/>
          <w:szCs w:val="28"/>
        </w:rPr>
        <w:lastRenderedPageBreak/>
        <w:t xml:space="preserve">Freeze Desalination </w:t>
      </w:r>
      <w:r w:rsidR="00AF7E5C" w:rsidRPr="008576B9">
        <w:rPr>
          <w:rFonts w:eastAsia="MS Mincho"/>
          <w:sz w:val="28"/>
          <w:szCs w:val="28"/>
        </w:rPr>
        <w:t xml:space="preserve">Experimental </w:t>
      </w:r>
      <w:r w:rsidR="0096167E">
        <w:rPr>
          <w:rFonts w:eastAsia="MS Mincho"/>
          <w:sz w:val="28"/>
          <w:szCs w:val="28"/>
        </w:rPr>
        <w:t>and</w:t>
      </w:r>
      <w:r w:rsidR="00AF7E5C" w:rsidRPr="008576B9">
        <w:rPr>
          <w:rFonts w:eastAsia="MS Mincho"/>
          <w:sz w:val="28"/>
          <w:szCs w:val="28"/>
        </w:rPr>
        <w:t xml:space="preserve"> Theoretical Results</w:t>
      </w:r>
      <w:r w:rsidR="002E4D3F" w:rsidRPr="008576B9">
        <w:rPr>
          <w:rStyle w:val="FootnoteReference"/>
          <w:sz w:val="28"/>
          <w:szCs w:val="28"/>
        </w:rPr>
        <w:footnoteReference w:id="3"/>
      </w:r>
      <w:bookmarkEnd w:id="44"/>
    </w:p>
    <w:p w14:paraId="3C752EB8" w14:textId="6869F29D" w:rsidR="002B7A73" w:rsidRPr="00BF44F1" w:rsidRDefault="00BF44F1" w:rsidP="00311950">
      <w:pPr>
        <w:tabs>
          <w:tab w:val="left" w:pos="-720"/>
        </w:tabs>
        <w:suppressAutoHyphens/>
        <w:adjustRightInd w:val="0"/>
        <w:snapToGrid w:val="0"/>
        <w:spacing w:before="240" w:after="240" w:line="480" w:lineRule="auto"/>
        <w:jc w:val="both"/>
        <w:rPr>
          <w:rFonts w:eastAsia="MS Mincho" w:cstheme="majorBidi"/>
          <w:spacing w:val="-3"/>
        </w:rPr>
      </w:pPr>
      <w:r w:rsidRPr="00BF44F1">
        <w:rPr>
          <w:rFonts w:eastAsia="MS Mincho" w:cstheme="majorBidi"/>
          <w:spacing w:val="-3"/>
        </w:rPr>
        <w:t xml:space="preserve">The primary objective of freeze desalination is to produce a low-salinity water stream from high-salinity feed brine while achieving a reasonable recovery ratio. The </w:t>
      </w:r>
      <w:r w:rsidR="00C316BF">
        <w:rPr>
          <w:rFonts w:eastAsia="MS Mincho" w:cstheme="majorBidi"/>
          <w:spacing w:val="-3"/>
        </w:rPr>
        <w:t>achievement</w:t>
      </w:r>
      <w:r w:rsidRPr="00BF44F1">
        <w:rPr>
          <w:rFonts w:eastAsia="MS Mincho" w:cstheme="majorBidi"/>
          <w:spacing w:val="-3"/>
        </w:rPr>
        <w:t xml:space="preserve"> of this process is influenced by several key parameters, including the cooling temperature, the salinity of the feed brine, and the effectiveness of the ice-brine separation. This </w:t>
      </w:r>
      <w:r w:rsidR="0043767E">
        <w:rPr>
          <w:rFonts w:eastAsia="MS Mincho" w:cstheme="majorBidi"/>
          <w:spacing w:val="-3"/>
        </w:rPr>
        <w:t>chapter</w:t>
      </w:r>
      <w:r w:rsidRPr="00BF44F1">
        <w:rPr>
          <w:rFonts w:eastAsia="MS Mincho" w:cstheme="majorBidi"/>
          <w:spacing w:val="-3"/>
        </w:rPr>
        <w:t xml:space="preserve"> explores how these factors impact the desalination process, starting with an analysis of cooling temperature </w:t>
      </w:r>
      <w:r w:rsidR="00C316BF">
        <w:rPr>
          <w:rFonts w:eastAsia="MS Mincho" w:cstheme="majorBidi"/>
          <w:spacing w:val="-3"/>
        </w:rPr>
        <w:t>effects on</w:t>
      </w:r>
      <w:r w:rsidRPr="00BF44F1">
        <w:rPr>
          <w:rFonts w:eastAsia="MS Mincho" w:cstheme="majorBidi"/>
          <w:spacing w:val="-3"/>
        </w:rPr>
        <w:t xml:space="preserve"> the recovery ratio and the quality of the ice produced. Subsequently, the impact of feed brine salinity on the process is examined, followed by an investigation into the role of centrifugation time in enhancing separation efficiency. It is important to note that throughout the experiments, the outlet temperature of the freezing chamber consistently remained above the critical temperature necessary for salt-hydrate formation. As a result, no salt-hydrates were produced, and ice was the </w:t>
      </w:r>
      <w:r w:rsidR="00C316BF">
        <w:rPr>
          <w:rFonts w:eastAsia="MS Mincho" w:cstheme="majorBidi"/>
          <w:spacing w:val="-3"/>
        </w:rPr>
        <w:t>only</w:t>
      </w:r>
      <w:r w:rsidRPr="00BF44F1">
        <w:rPr>
          <w:rFonts w:eastAsia="MS Mincho" w:cstheme="majorBidi"/>
          <w:spacing w:val="-3"/>
        </w:rPr>
        <w:t xml:space="preserve"> solid substance in the system.</w:t>
      </w:r>
    </w:p>
    <w:p w14:paraId="5C2C9046" w14:textId="5EBC9CC6" w:rsidR="00BF44F1" w:rsidRPr="00311950" w:rsidRDefault="00F02B8D" w:rsidP="00700DBA">
      <w:pPr>
        <w:pStyle w:val="Heading2"/>
        <w:numPr>
          <w:ilvl w:val="1"/>
          <w:numId w:val="4"/>
        </w:numPr>
        <w:spacing w:before="360" w:after="0" w:line="480" w:lineRule="auto"/>
        <w:ind w:left="432" w:hanging="432"/>
        <w:rPr>
          <w:rFonts w:eastAsia="MS Mincho"/>
          <w:spacing w:val="-3"/>
          <w:sz w:val="24"/>
          <w:szCs w:val="24"/>
        </w:rPr>
      </w:pPr>
      <w:bookmarkStart w:id="45" w:name="_Toc172367684"/>
      <w:r>
        <w:rPr>
          <w:sz w:val="24"/>
          <w:szCs w:val="24"/>
        </w:rPr>
        <w:t xml:space="preserve">Effect of </w:t>
      </w:r>
      <w:r w:rsidR="002B7A73" w:rsidRPr="00311950">
        <w:rPr>
          <w:sz w:val="24"/>
          <w:szCs w:val="24"/>
        </w:rPr>
        <w:t>Cooling Temperature</w:t>
      </w:r>
      <w:bookmarkEnd w:id="45"/>
    </w:p>
    <w:p w14:paraId="145B7D79" w14:textId="0083596C" w:rsidR="00BF44F1" w:rsidRPr="002842C0" w:rsidRDefault="002842C0" w:rsidP="00311950">
      <w:pPr>
        <w:spacing w:before="240" w:after="240" w:line="480" w:lineRule="auto"/>
        <w:jc w:val="both"/>
      </w:pPr>
      <w:r w:rsidRPr="002842C0">
        <w:t>One critical determin</w:t>
      </w:r>
      <w:r>
        <w:t>ing</w:t>
      </w:r>
      <w:r w:rsidRPr="002842C0">
        <w:t xml:space="preserve"> </w:t>
      </w:r>
      <w:r>
        <w:t>factor for</w:t>
      </w:r>
      <w:r w:rsidRPr="002842C0">
        <w:t xml:space="preserve"> both the recovery ratio and the quality of the treated water in freeze desalination is the cooling temperature.</w:t>
      </w:r>
      <w:r>
        <w:t xml:space="preserve"> </w:t>
      </w:r>
      <w:r w:rsidRPr="002842C0">
        <w:t xml:space="preserve">The cooling temperature refers to the </w:t>
      </w:r>
      <w:r w:rsidR="0022179F">
        <w:t xml:space="preserve">steady-state </w:t>
      </w:r>
      <w:r w:rsidRPr="002842C0">
        <w:t xml:space="preserve">temperature of the </w:t>
      </w:r>
      <w:r w:rsidR="0022179F">
        <w:t>freezing chamber</w:t>
      </w:r>
      <w:r w:rsidRPr="002842C0">
        <w:t xml:space="preserve">. More specifically, it represents the steady-state temperature </w:t>
      </w:r>
      <w:r>
        <w:t xml:space="preserve">of </w:t>
      </w:r>
      <w:r w:rsidR="008008F6">
        <w:t xml:space="preserve">the </w:t>
      </w:r>
      <w:r>
        <w:t>mixture (ICL, concentrated brine, and ice)</w:t>
      </w:r>
      <w:r w:rsidRPr="002842C0">
        <w:t xml:space="preserve"> </w:t>
      </w:r>
      <w:r>
        <w:t>at</w:t>
      </w:r>
      <w:r w:rsidRPr="002842C0">
        <w:t xml:space="preserve"> the </w:t>
      </w:r>
      <w:r>
        <w:t xml:space="preserve">outlet of the </w:t>
      </w:r>
      <w:r w:rsidRPr="002842C0">
        <w:t>freezing chamber</w:t>
      </w:r>
      <w:r>
        <w:t>.</w:t>
      </w:r>
      <w:r w:rsidR="00F307EE">
        <w:t xml:space="preserve"> </w:t>
      </w:r>
      <w:r w:rsidRPr="002842C0">
        <w:t xml:space="preserve">This section explores how various cooling temperatures influence </w:t>
      </w:r>
      <w:r>
        <w:t>the recovery ratio and produced ice salinity</w:t>
      </w:r>
      <w:r w:rsidRPr="002842C0">
        <w:t xml:space="preserve">, using a consistent feed brine </w:t>
      </w:r>
      <w:r>
        <w:t>TDS</w:t>
      </w:r>
      <w:r w:rsidRPr="002842C0">
        <w:t xml:space="preserve"> of 70,000 ppm and an </w:t>
      </w:r>
      <w:r>
        <w:t xml:space="preserve">ICL </w:t>
      </w:r>
      <w:r w:rsidRPr="002842C0">
        <w:t xml:space="preserve">mass flow rate of 5 kg/min. Both the feed brine flow rate and its temperature were maintained at 0.13 kg/min and 20°C, respectively. </w:t>
      </w:r>
      <w:r w:rsidRPr="002842C0">
        <w:lastRenderedPageBreak/>
        <w:t>Four distinct cooling temperatures were evaluated: -10°C, -14°C, -17°C, and -20°C. These temperatures were precisely controlled by adjusting the inlet ICL temperatures, which in turn w</w:t>
      </w:r>
      <w:r w:rsidR="008008F6">
        <w:t>ere</w:t>
      </w:r>
      <w:r w:rsidRPr="002842C0">
        <w:t xml:space="preserve"> regulated by modifying the refrigeration unit’s cooling power. To ensure consistent conditions, the ICL flow and brine injections were kept steady, and the cooling power </w:t>
      </w:r>
      <w:r w:rsidR="008008F6">
        <w:t xml:space="preserve">was </w:t>
      </w:r>
      <w:r w:rsidRPr="002842C0">
        <w:t xml:space="preserve">fine-tuned until the target temperature at the freezing chamber </w:t>
      </w:r>
      <w:r w:rsidR="00155D15">
        <w:t xml:space="preserve">outlet </w:t>
      </w:r>
      <w:r w:rsidRPr="002842C0">
        <w:t xml:space="preserve">was reached. </w:t>
      </w:r>
      <w:r w:rsidR="00155D15">
        <w:t>After the freezing process</w:t>
      </w:r>
      <w:r w:rsidRPr="002842C0">
        <w:t xml:space="preserve">, the collected ice underwent a </w:t>
      </w:r>
      <w:r w:rsidR="00155D15">
        <w:t xml:space="preserve">12-minute </w:t>
      </w:r>
      <w:r w:rsidRPr="002842C0">
        <w:t xml:space="preserve">centrifugation </w:t>
      </w:r>
      <w:r w:rsidR="00155D15">
        <w:t xml:space="preserve">process </w:t>
      </w:r>
      <w:r w:rsidRPr="002842C0">
        <w:t xml:space="preserve">in a spin-dryer to remove entrapped </w:t>
      </w:r>
      <w:r w:rsidR="00155D15">
        <w:t>unfrozen concentrated brine</w:t>
      </w:r>
      <w:r w:rsidRPr="002842C0">
        <w:t xml:space="preserve">. To prevent melting during this process, the spin-dryer was housed within a freezer set at approximately -10°C. Following centrifugation, the ice was extracted, melted, and analyzed for mass and TDS. </w:t>
      </w:r>
      <w:r w:rsidR="008008F6">
        <w:t>A r</w:t>
      </w:r>
      <w:r w:rsidRPr="002842C0">
        <w:t>epresentative sample</w:t>
      </w:r>
      <w:r w:rsidR="00155D15">
        <w:t xml:space="preserve"> </w:t>
      </w:r>
      <w:r w:rsidRPr="002842C0">
        <w:t xml:space="preserve">of the drained ice </w:t>
      </w:r>
      <w:r w:rsidR="00155D15">
        <w:t>is</w:t>
      </w:r>
      <w:r w:rsidRPr="002842C0">
        <w:t xml:space="preserve"> displayed in Fig. </w:t>
      </w:r>
      <w:r w:rsidR="00470F61">
        <w:t>4</w:t>
      </w:r>
      <w:r w:rsidR="0022179F">
        <w:t>-1</w:t>
      </w:r>
      <w:r w:rsidR="00155D1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9019"/>
      </w:tblGrid>
      <w:tr w:rsidR="005B1798" w:rsidRPr="005B1798" w14:paraId="663D1077" w14:textId="77777777" w:rsidTr="009A4AF3">
        <w:tc>
          <w:tcPr>
            <w:tcW w:w="9019" w:type="dxa"/>
            <w:shd w:val="clear" w:color="auto" w:fill="auto"/>
            <w:vAlign w:val="center"/>
          </w:tcPr>
          <w:p w14:paraId="647B38C0" w14:textId="77777777" w:rsidR="005B1798" w:rsidRPr="005B1798" w:rsidRDefault="005B1798" w:rsidP="00311950">
            <w:pPr>
              <w:adjustRightInd w:val="0"/>
              <w:snapToGrid w:val="0"/>
              <w:spacing w:line="480" w:lineRule="auto"/>
              <w:jc w:val="center"/>
              <w:rPr>
                <w:rFonts w:cstheme="majorBidi"/>
                <w:spacing w:val="-3"/>
              </w:rPr>
            </w:pPr>
            <w:r w:rsidRPr="005B1798">
              <w:rPr>
                <w:rFonts w:cstheme="majorBidi"/>
                <w:strike/>
                <w:noProof/>
                <w:spacing w:val="-3"/>
              </w:rPr>
              <w:drawing>
                <wp:anchor distT="0" distB="0" distL="114300" distR="114300" simplePos="0" relativeHeight="251680768" behindDoc="0" locked="0" layoutInCell="1" allowOverlap="1" wp14:anchorId="63390CDE" wp14:editId="79A5689F">
                  <wp:simplePos x="0" y="0"/>
                  <wp:positionH relativeFrom="margin">
                    <wp:align>center</wp:align>
                  </wp:positionH>
                  <wp:positionV relativeFrom="margin">
                    <wp:align>center</wp:align>
                  </wp:positionV>
                  <wp:extent cx="2624575" cy="2743200"/>
                  <wp:effectExtent l="0" t="0" r="4445" b="0"/>
                  <wp:wrapSquare wrapText="bothSides"/>
                  <wp:docPr id="812099611" name="Picture 812099611" descr="A measuring cup with white powd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99611" name="Picture 812099611" descr="A measuring cup with white powder in i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624575" cy="2743200"/>
                          </a:xfrm>
                          <a:prstGeom prst="rect">
                            <a:avLst/>
                          </a:prstGeom>
                          <a:noFill/>
                        </pic:spPr>
                      </pic:pic>
                    </a:graphicData>
                  </a:graphic>
                  <wp14:sizeRelH relativeFrom="margin">
                    <wp14:pctWidth>0</wp14:pctWidth>
                  </wp14:sizeRelH>
                  <wp14:sizeRelV relativeFrom="margin">
                    <wp14:pctHeight>0</wp14:pctHeight>
                  </wp14:sizeRelV>
                </wp:anchor>
              </w:drawing>
            </w:r>
          </w:p>
        </w:tc>
      </w:tr>
      <w:tr w:rsidR="005B1798" w:rsidRPr="005B1798" w14:paraId="4E77C122" w14:textId="77777777" w:rsidTr="009A4AF3">
        <w:tc>
          <w:tcPr>
            <w:tcW w:w="9019" w:type="dxa"/>
            <w:shd w:val="clear" w:color="auto" w:fill="auto"/>
          </w:tcPr>
          <w:p w14:paraId="4FAD8297" w14:textId="57B57630" w:rsidR="005B1798" w:rsidRPr="0022179F" w:rsidRDefault="0022179F" w:rsidP="00311950">
            <w:pPr>
              <w:pStyle w:val="Caption"/>
              <w:spacing w:after="0" w:line="480" w:lineRule="auto"/>
              <w:jc w:val="center"/>
            </w:pPr>
            <w:bookmarkStart w:id="46" w:name="_Toc172708815"/>
            <w:r w:rsidRPr="0022179F">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4</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1</w:t>
            </w:r>
            <w:r w:rsidR="00996526">
              <w:rPr>
                <w:b/>
                <w:bCs/>
                <w:szCs w:val="24"/>
              </w:rPr>
              <w:fldChar w:fldCharType="end"/>
            </w:r>
            <w:r w:rsidR="005B1798" w:rsidRPr="005B1798">
              <w:rPr>
                <w:rFonts w:cstheme="majorBidi"/>
                <w:spacing w:val="-3"/>
              </w:rPr>
              <w:t xml:space="preserve"> Produced ice after centrifugal </w:t>
            </w:r>
            <w:r w:rsidR="005B1798">
              <w:rPr>
                <w:rFonts w:cstheme="majorBidi"/>
                <w:spacing w:val="-3"/>
              </w:rPr>
              <w:t xml:space="preserve">brine </w:t>
            </w:r>
            <w:r w:rsidR="005B1798" w:rsidRPr="005B1798">
              <w:rPr>
                <w:rFonts w:cstheme="majorBidi"/>
                <w:spacing w:val="-3"/>
              </w:rPr>
              <w:t>draining</w:t>
            </w:r>
            <w:r>
              <w:rPr>
                <w:rFonts w:cstheme="majorBidi"/>
                <w:spacing w:val="-3"/>
              </w:rPr>
              <w:t>.</w:t>
            </w:r>
            <w:bookmarkEnd w:id="46"/>
          </w:p>
        </w:tc>
      </w:tr>
    </w:tbl>
    <w:p w14:paraId="53C4F1B8" w14:textId="03F13F57" w:rsidR="00BF44F1" w:rsidRPr="00EE3731" w:rsidRDefault="00C31A0F" w:rsidP="00311950">
      <w:pPr>
        <w:tabs>
          <w:tab w:val="left" w:pos="-720"/>
        </w:tabs>
        <w:suppressAutoHyphens/>
        <w:adjustRightInd w:val="0"/>
        <w:snapToGrid w:val="0"/>
        <w:spacing w:before="360" w:after="240" w:line="480" w:lineRule="auto"/>
        <w:ind w:firstLine="360"/>
        <w:jc w:val="both"/>
        <w:rPr>
          <w:rFonts w:eastAsia="MS Mincho" w:cstheme="majorBidi"/>
          <w:spacing w:val="-3"/>
        </w:rPr>
      </w:pPr>
      <w:r>
        <w:rPr>
          <w:rFonts w:eastAsia="MS Mincho" w:cstheme="majorBidi"/>
          <w:spacing w:val="-3"/>
        </w:rPr>
        <w:tab/>
      </w:r>
      <w:r w:rsidR="00EE3731" w:rsidRPr="00EE3731">
        <w:rPr>
          <w:rFonts w:eastAsia="MS Mincho" w:cstheme="majorBidi"/>
          <w:spacing w:val="-3"/>
        </w:rPr>
        <w:t xml:space="preserve">Figure </w:t>
      </w:r>
      <w:r w:rsidR="00470F61">
        <w:rPr>
          <w:rFonts w:eastAsia="MS Mincho" w:cstheme="majorBidi"/>
          <w:spacing w:val="-3"/>
        </w:rPr>
        <w:t>4</w:t>
      </w:r>
      <w:r w:rsidR="0022179F">
        <w:rPr>
          <w:rFonts w:eastAsia="MS Mincho" w:cstheme="majorBidi"/>
          <w:spacing w:val="-3"/>
        </w:rPr>
        <w:t>-2</w:t>
      </w:r>
      <w:r w:rsidR="00EE3731" w:rsidRPr="00EE3731">
        <w:rPr>
          <w:rFonts w:eastAsia="MS Mincho" w:cstheme="majorBidi"/>
          <w:spacing w:val="-3"/>
        </w:rPr>
        <w:t xml:space="preserve"> illustrates the impact of cooling temperature on the recovery ratio and TDS of the melted ice (treated water) following a centrifugation time of 12 minutes. As anticipated, lower cooling temperatures lead to higher recovery ratios. Specifically, the TDS of the treated water (TDS</w:t>
      </w:r>
      <w:r w:rsidR="00EE3731" w:rsidRPr="00EE3731">
        <w:rPr>
          <w:rFonts w:eastAsia="MS Mincho" w:cstheme="majorBidi"/>
          <w:spacing w:val="-3"/>
          <w:vertAlign w:val="subscript"/>
        </w:rPr>
        <w:t>tw</w:t>
      </w:r>
      <w:r w:rsidR="00EE3731" w:rsidRPr="00EE3731">
        <w:rPr>
          <w:rFonts w:eastAsia="MS Mincho" w:cstheme="majorBidi"/>
          <w:spacing w:val="-3"/>
        </w:rPr>
        <w:t xml:space="preserve">) </w:t>
      </w:r>
      <w:r w:rsidR="00EE3731" w:rsidRPr="00EE3731">
        <w:rPr>
          <w:rFonts w:eastAsia="MS Mincho" w:cstheme="majorBidi"/>
          <w:spacing w:val="-3"/>
        </w:rPr>
        <w:lastRenderedPageBreak/>
        <w:t xml:space="preserve">measured 3300, 2700, 2200, and 1800 ppm at cooling temperatures of -20°C, -17°C, -14°C, and -10°C, respectively. The reduction in TDS at relatively higher cooling temperatures is linked to slower ice crystallization rates, which allow more time for the ice crystals to expel the brine, resulting in purer ice. In contrast, at lower cooling temperatures, the crystallization process accelerates, capturing more brine within the ice structure. This inverse relationship between the TDS of treated water in freeze desalination systems and the temperature of the freezing process is a well-documented phenomenon, reported by several studies </w:t>
      </w:r>
      <w:r w:rsidR="00EE3731" w:rsidRPr="00EE3731">
        <w:rPr>
          <w:rFonts w:eastAsia="MS Mincho" w:cstheme="majorBidi"/>
          <w:spacing w:val="-3"/>
        </w:rPr>
        <w:fldChar w:fldCharType="begin" w:fldLock="1"/>
      </w:r>
      <w:r w:rsidR="00D83446">
        <w:rPr>
          <w:rFonts w:eastAsia="MS Mincho" w:cstheme="majorBidi"/>
          <w:spacing w:val="-3"/>
        </w:rPr>
        <w:instrText>ADDIN CSL_CITATION {"citationItems":[{"id":"ITEM-1","itemData":{"DOI":"10.1016/j.ijhydene.2017.04.176","ISSN":"03603199","abstract":"The freeze desalination method is not being used widely, since it needs refrigeration system that consumes much electricity. On the other hand, liquefied natural gas (LNG) releases a lot of cold energy during its vaporization process. Thus, combining the two processes of LNG vaporization and seawater freezing may produce freshwater in an economical and environment-friendly way. In this paper, a seawater freeze desalination prototype system is designed and manufactured. In this system, R410A is chosen as the secondary refrigerant to transfer cold energy from LNG to seawater, and a flake ice-maker is adopted to produce ice. Experiments are conducted with the prototype system, with liquid nitrogen as the cold source. The results show that the system is able to reach the designed fresh water capacity of 150 L h−1, with the converted cold energy efficiency above 2 kg (fresh water)·kg (LNG)−1. The salt removal rate of the system is about 50%, indicating that one cycle of the freeze desalination is not enough for producing drinking water. The influences of some key factors, such as refrigerant evaporating temperature, number of spraying nozzles at the water distributing disk, and seawater flowrate, on the salinity of the formed ice are also tested.","author":[{"dropping-particle":"","family":"Lin","given":"Wensheng","non-dropping-particle":"","parse-names":false,"suffix":""},{"dropping-particle":"","family":"Huang","given":"Meibin","non-dropping-particle":"","parse-names":false,"suffix":""},{"dropping-particle":"","family":"Gu","given":"Anzhong","non-dropping-particle":"","parse-names":false,"suffix":""}],"container-title":"International Journal of Hydrogen Energy","id":"ITEM-1","issue":"29","issued":{"date-parts":[["2017"]]},"page":"18691-18698","publisher":"Elsevier","title":"A seawater freeze desalination prototype system utilizing LNG cold energy","type":"article-journal","volume":"42"},"uris":["http://www.mendeley.com/documents/?uuid=3c7aaa8c-dc0a-49f9-ad68-36bac80d5a6b"]},{"id":"ITEM-2","itemData":{"DOI":"10.1016/j.seppur.2019.115748","ISSN":"18733794","abstract":"Freeze desalination as a sustainable concept to produce potable water can be a useful and an additional method to overcome the water crisis, especially with ongoing global warming in focus. Therefore, a scraped surface crystallizer in combination with a post-treatment pressing cone has been built on a laboratory scale to investigate any dependencies of ice purity and throughput on operational conditions. Furthermore, a new designed screw conveyor and an additionally installed force sensor led to a better understanding of mass flow, mass fraction and ice purity. Changing the mean coolant temperature and rotational speed of the screw showed their influences on the ability to separate brine from ice and thus on the overall efficiency of the test plant. The influence of one parameter can be compensated by adjusting another, which leaves more flexibility for the operator of such a plant. Additionally, several Nusselt correlations were checked for suitability as helpful tools to design an upscale.","author":[{"dropping-particle":"","family":"Erlbeck","given":"L.","non-dropping-particle":"","parse-names":false,"suffix":""},{"dropping-particle":"","family":"Wössner","given":"D.","non-dropping-particle":"","parse-names":false,"suffix":""},{"dropping-particle":"","family":"Schlachter","given":"K.","non-dropping-particle":"","parse-names":false,"suffix":""},{"dropping-particle":"","family":"Kunz","given":"T.","non-dropping-particle":"","parse-names":false,"suffix":""},{"dropping-particle":"","family":"Methner","given":"F. J.","non-dropping-particle":"","parse-names":false,"suffix":""},{"dropping-particle":"","family":"Rädle","given":"M.","non-dropping-particle":"","parse-names":false,"suffix":""}],"container-title":"Separation and Purification Technology","id":"ITEM-2","issue":"June","issued":{"date-parts":[["2019"]]},"page":"115748","publisher":"Elsevier","title":"Investigation of a novel scraped surface crystallizer with included ice-pressing section as new purification technology","type":"article-journal","volume":"228"},"uris":["http://www.mendeley.com/documents/?uuid=bce3f883-0042-4f79-86cd-47fa79e256dd"]},{"id":"ITEM-3","itemData":{"DOI":"10.1016/j.desal.2021.115021","ISSN":"00119164","abstract":"Freeze Desalination (FD) is considered an attractive desalination alternative due to its potentials to achieve reduced energy consumption compared to its counterparts. However, the physical parameters that affect the desalination process are not clearly understood. In this paper, novel experimental investigations are performed to identify statistically the dominant parameters to suspension freeze desalination systems without applying external magnetic field (MF), and parametrize the magnetic field effects on the desalting process and specify the influence of each parameter. Over 100 experiments were done to assess the performance of the imposed conditions on salt reduction levels. The methods include finding the marginal effects of FD parameters using Pearson's correlation coefficient, formulating empirical Equation to describe the process, and inspecting the influence of MF density, configuration, and type (i.e., AC or DC). In the absence of MF exposure, the results reveal that the cooling rate below 12 °C (R12−) is the dominant parameter with a correlation coefficient of 0.93. Whereas with MF exposure, the results do not reveal apparent positive effects; MF achieved 44.3% salt reduction compared to originally 48.7%. However, robust evaluation of each MF parameter's influence was introduced. This study offers new insights towards salt reduction enhancement in indirect FD systems.","author":[{"dropping-particle":"","family":"Abdelmoaty","given":"Hebatallah M.","non-dropping-particle":"","parse-names":false,"suffix":""},{"dropping-particle":"","family":"Mahgoub","given":"Abdelmomen U.","non-dropping-particle":"","parse-names":false,"suffix":""},{"dropping-particle":"","family":"Abdeldayem","given":"Ahmad W.","non-dropping-particle":"","parse-names":false,"suffix":""}],"container-title":"Desalination","id":"ITEM-3","issue":"December 2020","issued":{"date-parts":[["2021"]]},"page":"115021","publisher":"Elsevier B.V.","title":"Performance analysis of salt reduction levels in indirect freeze desalination system with and without magnetic field exposure","type":"article-journal","volume":"508"},"uris":["http://www.mendeley.com/documents/?uuid=9f71c779-8fd2-4402-b45a-0742b3537427"]},{"id":"ITEM-4","itemData":{"DOI":"10.1016/j.desal.2019.114233","ISSN":"00119164","abstract":"The existing methods for seawater freezing desalination include direct crystal suspension freezing and indirect progressive contact freezing (IPCF). However, freeze desalination is rarely used because of the low rates of desalination and freshwater production along with the relatively high treatment costs. In this study, we evaluated a new freeze desalination method using supercooled water dynamic ice making. The proposed method had a theoretical energy consumption of only 58% of that needed for IPCF. With gravity filtration separation of the produced ice–water mixture for 20 min or centrifugal dehydration for 1 min, a 0.5% salt content standard for freshwater and a 60% freshwater yield were attained. In addition, the method produced ice crystals with minimal impurities, after brine attached to the surface was removed through centrifugal dehydration, a 0.05% salt content standard for drinking water was achieved.","author":[{"dropping-particle":"","family":"Chen","given":"Dong","non-dropping-particle":"","parse-names":false,"suffix":""},{"dropping-particle":"","family":"Zhang","given":"Chaosheng","non-dropping-particle":"","parse-names":false,"suffix":""},{"dropping-particle":"","family":"Rong","given":"Hongwei","non-dropping-particle":"","parse-names":false,"suffix":""},{"dropping-particle":"","family":"Wei","given":"Chunhai","non-dropping-particle":"","parse-names":false,"suffix":""},{"dropping-particle":"","family":"Gou","given":"Siyu","non-dropping-particle":"","parse-names":false,"suffix":""}],"container-title":"Desalination","id":"ITEM-4","issue":"November 2019","issued":{"date-parts":[["2020"]]},"page":"114233","publisher":"Elsevier","title":"Experimental study on seawater desalination through supercooled water dynamic ice making","type":"article-journal","volume":"476"},"uris":["http://www.mendeley.com/documents/?uuid=cafac076-c2d7-4cbf-9d3f-14944e9dcc2c"]}],"mendeley":{"formattedCitation":"[95,118,120,146]","plainTextFormattedCitation":"[95,118,120,146]","previouslyFormattedCitation":"[96,119,121,147]"},"properties":{"noteIndex":0},"schema":"https://github.com/citation-style-language/schema/raw/master/csl-citation.json"}</w:instrText>
      </w:r>
      <w:r w:rsidR="00EE3731" w:rsidRPr="00EE3731">
        <w:rPr>
          <w:rFonts w:eastAsia="MS Mincho" w:cstheme="majorBidi"/>
          <w:spacing w:val="-3"/>
        </w:rPr>
        <w:fldChar w:fldCharType="separate"/>
      </w:r>
      <w:r w:rsidR="00D83446" w:rsidRPr="00D83446">
        <w:rPr>
          <w:rFonts w:eastAsia="MS Mincho" w:cstheme="majorBidi"/>
          <w:noProof/>
          <w:spacing w:val="-3"/>
        </w:rPr>
        <w:t>[95,118,120,146]</w:t>
      </w:r>
      <w:r w:rsidR="00EE3731" w:rsidRPr="00EE3731">
        <w:rPr>
          <w:rFonts w:eastAsia="MS Mincho" w:cstheme="majorBidi"/>
          <w:spacing w:val="-3"/>
        </w:rPr>
        <w:fldChar w:fldCharType="end"/>
      </w:r>
      <w:r w:rsidR="00EE3731" w:rsidRPr="00EE3731">
        <w:rPr>
          <w:rFonts w:eastAsia="MS Mincho" w:cstheme="majorBidi"/>
          <w:spacing w:val="-3"/>
        </w:rPr>
        <w:t xml:space="preserve">. Another factor contributing to lower TDS at higher cooling temperatures could be the reduced mass ratio of ice to unfrozen brine. Less ice formation at higher temperatures means a smaller increase in the concentration of the remaining brine, leading to less saline unfrozen brine being trapped within the ice. This observation implies a tradeoff in </w:t>
      </w:r>
      <w:r w:rsidR="0022179F">
        <w:rPr>
          <w:rFonts w:eastAsia="MS Mincho" w:cstheme="majorBidi"/>
          <w:spacing w:val="-3"/>
        </w:rPr>
        <w:t xml:space="preserve">freeze desalination </w:t>
      </w:r>
      <w:r w:rsidR="00EE3731" w:rsidRPr="00EE3731">
        <w:rPr>
          <w:rFonts w:eastAsia="MS Mincho" w:cstheme="majorBidi"/>
          <w:spacing w:val="-3"/>
        </w:rPr>
        <w:t>systems: while lower temperatures improve recovery ratios, they can also lead to higher TDS levels in the treated water due to increased brine entrapment.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032B82" w:rsidRPr="00032B82" w14:paraId="53B8DDB4" w14:textId="77777777" w:rsidTr="00032B82">
        <w:trPr>
          <w:jc w:val="center"/>
        </w:trPr>
        <w:tc>
          <w:tcPr>
            <w:tcW w:w="9029" w:type="dxa"/>
            <w:shd w:val="clear" w:color="auto" w:fill="auto"/>
            <w:vAlign w:val="center"/>
          </w:tcPr>
          <w:p w14:paraId="44F059FB" w14:textId="77777777" w:rsidR="00032B82" w:rsidRPr="00032B82" w:rsidRDefault="00032B82" w:rsidP="00311950">
            <w:pPr>
              <w:adjustRightInd w:val="0"/>
              <w:snapToGrid w:val="0"/>
              <w:spacing w:line="480" w:lineRule="auto"/>
              <w:jc w:val="center"/>
              <w:rPr>
                <w:rFonts w:cstheme="majorBidi"/>
                <w:b/>
                <w:bCs/>
                <w:spacing w:val="-3"/>
              </w:rPr>
            </w:pPr>
            <w:r w:rsidRPr="00032B82">
              <w:rPr>
                <w:rStyle w:val="CommentReference"/>
                <w:rFonts w:cstheme="majorBidi"/>
                <w:b/>
                <w:bCs/>
                <w:noProof/>
                <w:spacing w:val="-3"/>
                <w:sz w:val="24"/>
                <w:szCs w:val="24"/>
              </w:rPr>
              <w:drawing>
                <wp:inline distT="0" distB="0" distL="0" distR="0" wp14:anchorId="5379D7A5" wp14:editId="57AA8486">
                  <wp:extent cx="3960120" cy="2468880"/>
                  <wp:effectExtent l="0" t="0" r="2540" b="7620"/>
                  <wp:docPr id="1082951493" name="Picture 108295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3960120" cy="2468880"/>
                          </a:xfrm>
                          <a:prstGeom prst="rect">
                            <a:avLst/>
                          </a:prstGeom>
                          <a:noFill/>
                          <a:ln>
                            <a:noFill/>
                          </a:ln>
                        </pic:spPr>
                      </pic:pic>
                    </a:graphicData>
                  </a:graphic>
                </wp:inline>
              </w:drawing>
            </w:r>
            <w:r w:rsidRPr="00032B82">
              <w:rPr>
                <w:rStyle w:val="CommentReference"/>
                <w:rFonts w:cstheme="majorBidi"/>
                <w:b/>
                <w:bCs/>
                <w:spacing w:val="-3"/>
                <w:sz w:val="24"/>
                <w:szCs w:val="24"/>
              </w:rPr>
              <w:t xml:space="preserve"> </w:t>
            </w:r>
          </w:p>
        </w:tc>
      </w:tr>
      <w:tr w:rsidR="00032B82" w:rsidRPr="00032B82" w14:paraId="7FF0C9C7" w14:textId="77777777" w:rsidTr="00032B82">
        <w:trPr>
          <w:jc w:val="center"/>
        </w:trPr>
        <w:tc>
          <w:tcPr>
            <w:tcW w:w="9029" w:type="dxa"/>
            <w:shd w:val="clear" w:color="auto" w:fill="auto"/>
            <w:vAlign w:val="center"/>
          </w:tcPr>
          <w:p w14:paraId="761E3554" w14:textId="70276123" w:rsidR="00032B82" w:rsidRPr="0022179F" w:rsidRDefault="0022179F" w:rsidP="00311950">
            <w:pPr>
              <w:pStyle w:val="Caption"/>
              <w:spacing w:before="0" w:after="0" w:line="480" w:lineRule="auto"/>
              <w:jc w:val="center"/>
            </w:pPr>
            <w:bookmarkStart w:id="47" w:name="_Toc172708816"/>
            <w:r w:rsidRPr="0022179F">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4</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2</w:t>
            </w:r>
            <w:r w:rsidR="00996526">
              <w:rPr>
                <w:b/>
                <w:bCs/>
              </w:rPr>
              <w:fldChar w:fldCharType="end"/>
            </w:r>
            <w:r w:rsidR="00032B82" w:rsidRPr="00032B82">
              <w:rPr>
                <w:rFonts w:cstheme="majorBidi"/>
                <w:b/>
                <w:bCs/>
                <w:spacing w:val="-3"/>
                <w:shd w:val="clear" w:color="auto" w:fill="FFFFFF" w:themeFill="background1"/>
              </w:rPr>
              <w:t xml:space="preserve"> </w:t>
            </w:r>
            <w:r w:rsidR="00032B82" w:rsidRPr="00032B82">
              <w:rPr>
                <w:rFonts w:eastAsia="MS Mincho" w:cstheme="majorBidi"/>
                <w:spacing w:val="-3"/>
              </w:rPr>
              <w:t>Theoretical (</w:t>
            </w:r>
            <m:oMath>
              <m:sSub>
                <m:sSubPr>
                  <m:ctrlPr>
                    <w:rPr>
                      <w:rFonts w:ascii="Cambria Math" w:hAnsi="Cambria Math" w:cstheme="majorBidi"/>
                      <w:i/>
                      <w:spacing w:val="-3"/>
                      <w:shd w:val="clear" w:color="auto" w:fill="FFFFFF" w:themeFill="background1"/>
                    </w:rPr>
                  </m:ctrlPr>
                </m:sSubPr>
                <m:e>
                  <m:r>
                    <w:rPr>
                      <w:rFonts w:ascii="Cambria Math" w:hAnsi="Cambria Math" w:cstheme="majorBidi"/>
                      <w:spacing w:val="-3"/>
                      <w:shd w:val="clear" w:color="auto" w:fill="FFFFFF" w:themeFill="background1"/>
                    </w:rPr>
                    <m:t>R</m:t>
                  </m:r>
                </m:e>
                <m:sub>
                  <m:r>
                    <m:rPr>
                      <m:sty m:val="p"/>
                    </m:rPr>
                    <w:rPr>
                      <w:rFonts w:ascii="Cambria Math" w:hAnsi="Cambria Math" w:cstheme="majorBidi"/>
                      <w:spacing w:val="-3"/>
                      <w:shd w:val="clear" w:color="auto" w:fill="FFFFFF" w:themeFill="background1"/>
                    </w:rPr>
                    <m:t>th</m:t>
                  </m:r>
                </m:sub>
              </m:sSub>
            </m:oMath>
            <w:r w:rsidR="00032B82" w:rsidRPr="00032B82">
              <w:rPr>
                <w:rFonts w:eastAsia="MS Mincho" w:cstheme="majorBidi"/>
                <w:spacing w:val="-3"/>
              </w:rPr>
              <w:t>) and experimental (</w:t>
            </w:r>
            <m:oMath>
              <m:sSub>
                <m:sSubPr>
                  <m:ctrlPr>
                    <w:rPr>
                      <w:rFonts w:ascii="Cambria Math" w:hAnsi="Cambria Math" w:cstheme="majorBidi"/>
                      <w:i/>
                      <w:spacing w:val="-3"/>
                      <w:shd w:val="clear" w:color="auto" w:fill="FFFFFF" w:themeFill="background1"/>
                    </w:rPr>
                  </m:ctrlPr>
                </m:sSubPr>
                <m:e>
                  <m:r>
                    <w:rPr>
                      <w:rFonts w:ascii="Cambria Math" w:hAnsi="Cambria Math" w:cstheme="majorBidi"/>
                      <w:spacing w:val="-3"/>
                      <w:shd w:val="clear" w:color="auto" w:fill="FFFFFF" w:themeFill="background1"/>
                    </w:rPr>
                    <m:t>R</m:t>
                  </m:r>
                </m:e>
                <m:sub>
                  <m:r>
                    <m:rPr>
                      <m:sty m:val="p"/>
                    </m:rPr>
                    <w:rPr>
                      <w:rFonts w:ascii="Cambria Math" w:hAnsi="Cambria Math" w:cstheme="majorBidi"/>
                      <w:spacing w:val="-3"/>
                      <w:shd w:val="clear" w:color="auto" w:fill="FFFFFF" w:themeFill="background1"/>
                    </w:rPr>
                    <m:t>ex</m:t>
                  </m:r>
                </m:sub>
              </m:sSub>
            </m:oMath>
            <w:r w:rsidR="00032B82" w:rsidRPr="00032B82">
              <w:rPr>
                <w:rFonts w:eastAsia="MS Mincho" w:cstheme="majorBidi"/>
                <w:spacing w:val="-3"/>
              </w:rPr>
              <w:t>) recovery ratios, along with the corresponding TDS of the treated water (</w:t>
            </w:r>
            <w:r w:rsidR="00032B82" w:rsidRPr="00032B82">
              <w:rPr>
                <w:rFonts w:cstheme="majorBidi"/>
                <w:spacing w:val="-3"/>
              </w:rPr>
              <w:t>TDS</w:t>
            </w:r>
            <w:r w:rsidR="00032B82" w:rsidRPr="00032B82">
              <w:rPr>
                <w:rFonts w:cstheme="majorBidi"/>
                <w:spacing w:val="-3"/>
                <w:vertAlign w:val="subscript"/>
              </w:rPr>
              <w:t>tw</w:t>
            </w:r>
            <w:r w:rsidR="00032B82" w:rsidRPr="00032B82">
              <w:rPr>
                <w:rFonts w:eastAsia="MS Mincho" w:cstheme="majorBidi"/>
                <w:spacing w:val="-3"/>
              </w:rPr>
              <w:t xml:space="preserve">), for feed brine with a TDS of 70,000 ppm </w:t>
            </w:r>
            <w:r w:rsidR="00032B82">
              <w:rPr>
                <w:rFonts w:eastAsia="MS Mincho" w:cstheme="majorBidi"/>
                <w:spacing w:val="-3"/>
              </w:rPr>
              <w:t>and</w:t>
            </w:r>
            <w:r w:rsidR="00032B82" w:rsidRPr="00032B82">
              <w:rPr>
                <w:rFonts w:eastAsia="MS Mincho" w:cstheme="majorBidi"/>
                <w:spacing w:val="-3"/>
              </w:rPr>
              <w:t xml:space="preserve"> various cooling temperatures. The error bars </w:t>
            </w:r>
            <w:r w:rsidR="008576B9">
              <w:rPr>
                <w:rFonts w:eastAsia="MS Mincho" w:cstheme="majorBidi"/>
                <w:spacing w:val="-3"/>
              </w:rPr>
              <w:t>are</w:t>
            </w:r>
            <w:r w:rsidR="00032B82" w:rsidRPr="00032B82">
              <w:rPr>
                <w:rFonts w:eastAsia="MS Mincho" w:cstheme="majorBidi"/>
                <w:spacing w:val="-3"/>
              </w:rPr>
              <w:t xml:space="preserve"> the overall measurement uncertainty.</w:t>
            </w:r>
            <w:bookmarkEnd w:id="47"/>
          </w:p>
        </w:tc>
      </w:tr>
    </w:tbl>
    <w:p w14:paraId="7055E816" w14:textId="1BEC3207" w:rsidR="00E0681C" w:rsidRDefault="000F3F01" w:rsidP="00042EDD">
      <w:pPr>
        <w:tabs>
          <w:tab w:val="left" w:pos="-720"/>
        </w:tabs>
        <w:suppressAutoHyphens/>
        <w:adjustRightInd w:val="0"/>
        <w:snapToGrid w:val="0"/>
        <w:spacing w:after="240" w:line="480" w:lineRule="auto"/>
        <w:jc w:val="both"/>
        <w:rPr>
          <w:rFonts w:eastAsia="MS Mincho" w:cstheme="majorBidi"/>
          <w:spacing w:val="-3"/>
        </w:rPr>
      </w:pPr>
      <w:r>
        <w:rPr>
          <w:rFonts w:eastAsia="MS Mincho" w:cstheme="majorBidi"/>
          <w:spacing w:val="-3"/>
        </w:rPr>
        <w:lastRenderedPageBreak/>
        <w:tab/>
      </w:r>
      <w:r w:rsidR="00032B82" w:rsidRPr="00032B82">
        <w:rPr>
          <w:rFonts w:eastAsia="MS Mincho" w:cstheme="majorBidi"/>
          <w:spacing w:val="-3"/>
        </w:rPr>
        <w:t xml:space="preserve">Figure </w:t>
      </w:r>
      <w:r w:rsidR="00470F61">
        <w:rPr>
          <w:rFonts w:eastAsia="MS Mincho" w:cstheme="majorBidi"/>
          <w:spacing w:val="-3"/>
        </w:rPr>
        <w:t>4</w:t>
      </w:r>
      <w:r w:rsidR="0022179F">
        <w:rPr>
          <w:rFonts w:eastAsia="MS Mincho" w:cstheme="majorBidi"/>
          <w:spacing w:val="-3"/>
        </w:rPr>
        <w:t>-2</w:t>
      </w:r>
      <w:r w:rsidR="00032B82" w:rsidRPr="00032B82">
        <w:rPr>
          <w:rFonts w:eastAsia="MS Mincho" w:cstheme="majorBidi"/>
          <w:spacing w:val="-3"/>
        </w:rPr>
        <w:t xml:space="preserve"> also displays the recovery ratios determined through theoretical calculations at various cooling temperatures. It is apparent from the data that the theoretical predictions overestimate the recovery ratios when compared to the experimental outcomes. This discrepancy may arise from factors such as partial melting of ice within the filter bag, as well as ice loss that occurs during transport to the spin-dryer device and throughout the centrifugation </w:t>
      </w:r>
      <w:r w:rsidR="0022179F">
        <w:rPr>
          <w:rFonts w:eastAsia="MS Mincho" w:cstheme="majorBidi"/>
          <w:spacing w:val="-3"/>
        </w:rPr>
        <w:t xml:space="preserve">separation </w:t>
      </w:r>
      <w:r w:rsidR="00032B82" w:rsidRPr="00032B82">
        <w:rPr>
          <w:rFonts w:eastAsia="MS Mincho" w:cstheme="majorBidi"/>
          <w:spacing w:val="-3"/>
        </w:rPr>
        <w:t>process.</w:t>
      </w:r>
      <w:r w:rsidR="00042EDD">
        <w:rPr>
          <w:rFonts w:eastAsia="MS Mincho" w:cstheme="majorBidi"/>
          <w:spacing w:val="-3"/>
        </w:rPr>
        <w:t xml:space="preserve"> </w:t>
      </w:r>
    </w:p>
    <w:p w14:paraId="628879D4" w14:textId="264A93E2" w:rsidR="002842C0" w:rsidRPr="00311950" w:rsidRDefault="00F02B8D" w:rsidP="00700DBA">
      <w:pPr>
        <w:pStyle w:val="Heading2"/>
        <w:numPr>
          <w:ilvl w:val="1"/>
          <w:numId w:val="4"/>
        </w:numPr>
        <w:spacing w:before="360" w:after="0" w:line="480" w:lineRule="auto"/>
        <w:ind w:left="432" w:hanging="432"/>
        <w:rPr>
          <w:rFonts w:eastAsia="MS Mincho"/>
          <w:sz w:val="24"/>
          <w:szCs w:val="24"/>
        </w:rPr>
      </w:pPr>
      <w:bookmarkStart w:id="48" w:name="_Toc172367685"/>
      <w:r>
        <w:rPr>
          <w:rFonts w:eastAsia="MS Mincho"/>
          <w:sz w:val="24"/>
          <w:szCs w:val="24"/>
        </w:rPr>
        <w:t xml:space="preserve">Effect of </w:t>
      </w:r>
      <w:r w:rsidR="001472CF" w:rsidRPr="00311950">
        <w:rPr>
          <w:rFonts w:eastAsia="MS Mincho"/>
          <w:sz w:val="24"/>
          <w:szCs w:val="24"/>
        </w:rPr>
        <w:t>Brine Salinity</w:t>
      </w:r>
      <w:bookmarkEnd w:id="48"/>
    </w:p>
    <w:p w14:paraId="3D9C4983" w14:textId="65991D7E" w:rsidR="002842C0" w:rsidRPr="00F3026B" w:rsidRDefault="00F3026B" w:rsidP="00311950">
      <w:pPr>
        <w:tabs>
          <w:tab w:val="left" w:pos="-720"/>
        </w:tabs>
        <w:suppressAutoHyphens/>
        <w:adjustRightInd w:val="0"/>
        <w:snapToGrid w:val="0"/>
        <w:spacing w:before="240" w:after="240" w:line="480" w:lineRule="auto"/>
        <w:jc w:val="both"/>
        <w:rPr>
          <w:rFonts w:eastAsia="MS Mincho" w:cstheme="majorBidi"/>
          <w:spacing w:val="-3"/>
        </w:rPr>
      </w:pPr>
      <w:r>
        <w:rPr>
          <w:rFonts w:eastAsia="MS Mincho" w:cstheme="majorBidi"/>
          <w:spacing w:val="-3"/>
        </w:rPr>
        <w:t>The f</w:t>
      </w:r>
      <w:r w:rsidRPr="00F3026B">
        <w:rPr>
          <w:rFonts w:eastAsia="MS Mincho" w:cstheme="majorBidi"/>
          <w:spacing w:val="-3"/>
        </w:rPr>
        <w:t xml:space="preserve">eed brine salinity is another critical factor that can significantly impact both the recovery ratio and the salinity of the treated water. It is generally anticipated that lower brine salinities will result in </w:t>
      </w:r>
      <w:r w:rsidR="0022179F">
        <w:rPr>
          <w:rFonts w:eastAsia="MS Mincho" w:cstheme="majorBidi"/>
          <w:spacing w:val="-3"/>
        </w:rPr>
        <w:t xml:space="preserve">produced </w:t>
      </w:r>
      <w:r w:rsidRPr="00F3026B">
        <w:rPr>
          <w:rFonts w:eastAsia="MS Mincho" w:cstheme="majorBidi"/>
          <w:spacing w:val="-3"/>
        </w:rPr>
        <w:t xml:space="preserve">ice with reduced salinity. </w:t>
      </w:r>
      <w:r w:rsidRPr="004A69B9">
        <w:rPr>
          <w:rFonts w:eastAsia="MS Mincho" w:cstheme="majorBidi"/>
          <w:spacing w:val="-3"/>
        </w:rPr>
        <w:t>However, as will be demonstrated, the cooling temperature and recovery ratio can also significantly affect the salinity of the produced ice, often independent of the feed salinity. This se</w:t>
      </w:r>
      <w:r w:rsidRPr="00F3026B">
        <w:rPr>
          <w:rFonts w:eastAsia="MS Mincho" w:cstheme="majorBidi"/>
          <w:spacing w:val="-3"/>
        </w:rPr>
        <w:t xml:space="preserve">ction presents and compares the experimentally determined recovery ratios and treated water TDS for four different feed brine salinities: 15,000 ppm, 35,000 ppm, 70,000 ppm, and 100,000 ppm, all at a cooling temperature of -17°C. The flow rates for the ICL and feed brine were maintained at 5 kg/min and 0.13 kg/min, respectively, with the feed brine inlet temperature set at 20°C. </w:t>
      </w:r>
      <w:r w:rsidR="0022179F">
        <w:rPr>
          <w:rFonts w:eastAsia="MS Mincho" w:cstheme="majorBidi"/>
          <w:spacing w:val="-3"/>
        </w:rPr>
        <w:t>T</w:t>
      </w:r>
      <w:r w:rsidRPr="00F3026B">
        <w:rPr>
          <w:rFonts w:eastAsia="MS Mincho" w:cstheme="majorBidi"/>
          <w:spacing w:val="-3"/>
        </w:rPr>
        <w:t xml:space="preserve">he </w:t>
      </w:r>
      <w:r w:rsidR="0022179F">
        <w:rPr>
          <w:rFonts w:eastAsia="MS Mincho" w:cstheme="majorBidi"/>
          <w:spacing w:val="-3"/>
        </w:rPr>
        <w:t xml:space="preserve">produced </w:t>
      </w:r>
      <w:r w:rsidRPr="00F3026B">
        <w:rPr>
          <w:rFonts w:eastAsia="MS Mincho" w:cstheme="majorBidi"/>
          <w:spacing w:val="-3"/>
        </w:rPr>
        <w:t>ice was separated from the concentrated brine through 12 minutes of centrifugation.</w:t>
      </w:r>
    </w:p>
    <w:p w14:paraId="38F9A77D" w14:textId="074BC5AD" w:rsidR="00717A46" w:rsidRPr="004E72C8" w:rsidRDefault="00C31A0F" w:rsidP="00311950">
      <w:pPr>
        <w:tabs>
          <w:tab w:val="left" w:pos="-720"/>
        </w:tabs>
        <w:suppressAutoHyphens/>
        <w:adjustRightInd w:val="0"/>
        <w:snapToGrid w:val="0"/>
        <w:spacing w:before="240" w:after="240" w:line="480" w:lineRule="auto"/>
        <w:ind w:firstLine="360"/>
        <w:jc w:val="both"/>
        <w:rPr>
          <w:rFonts w:eastAsia="MS Mincho" w:cstheme="majorBidi"/>
          <w:spacing w:val="-3"/>
        </w:rPr>
      </w:pPr>
      <w:r>
        <w:rPr>
          <w:rFonts w:eastAsia="MS Mincho" w:cstheme="majorBidi"/>
          <w:spacing w:val="-3"/>
        </w:rPr>
        <w:tab/>
      </w:r>
      <w:r w:rsidR="004E72C8" w:rsidRPr="004E72C8">
        <w:rPr>
          <w:rFonts w:eastAsia="MS Mincho" w:cstheme="majorBidi"/>
          <w:spacing w:val="-3"/>
        </w:rPr>
        <w:t xml:space="preserve">Figure </w:t>
      </w:r>
      <w:r w:rsidR="00470F61">
        <w:rPr>
          <w:rFonts w:eastAsia="MS Mincho" w:cstheme="majorBidi"/>
          <w:spacing w:val="-3"/>
        </w:rPr>
        <w:t>4</w:t>
      </w:r>
      <w:r w:rsidR="0022179F">
        <w:rPr>
          <w:rFonts w:eastAsia="MS Mincho" w:cstheme="majorBidi"/>
          <w:spacing w:val="-3"/>
        </w:rPr>
        <w:t>-3</w:t>
      </w:r>
      <w:r w:rsidR="004E72C8" w:rsidRPr="004E72C8">
        <w:rPr>
          <w:rFonts w:eastAsia="MS Mincho" w:cstheme="majorBidi"/>
          <w:spacing w:val="-3"/>
        </w:rPr>
        <w:t xml:space="preserve"> presents both experimental and theoretical </w:t>
      </w:r>
      <w:r w:rsidR="0022179F">
        <w:rPr>
          <w:rFonts w:eastAsia="MS Mincho" w:cstheme="majorBidi"/>
          <w:spacing w:val="-3"/>
        </w:rPr>
        <w:t>results of</w:t>
      </w:r>
      <w:r w:rsidR="004E72C8" w:rsidRPr="004E72C8">
        <w:rPr>
          <w:rFonts w:eastAsia="MS Mincho" w:cstheme="majorBidi"/>
          <w:spacing w:val="-3"/>
        </w:rPr>
        <w:t xml:space="preserve"> recovery ratios and the TDS</w:t>
      </w:r>
      <w:r w:rsidR="004E72C8">
        <w:rPr>
          <w:rFonts w:eastAsia="MS Mincho" w:cstheme="majorBidi"/>
          <w:spacing w:val="-3"/>
        </w:rPr>
        <w:t xml:space="preserve"> </w:t>
      </w:r>
      <w:r w:rsidR="004E72C8" w:rsidRPr="004E72C8">
        <w:rPr>
          <w:rFonts w:eastAsia="MS Mincho" w:cstheme="majorBidi"/>
          <w:spacing w:val="-3"/>
        </w:rPr>
        <w:t xml:space="preserve">of treated water across various feed brine salinities. As anticipated, an increase in feed brine TDS led to a decrease in </w:t>
      </w:r>
      <w:r w:rsidR="008008F6">
        <w:rPr>
          <w:rFonts w:eastAsia="MS Mincho" w:cstheme="majorBidi"/>
          <w:spacing w:val="-3"/>
        </w:rPr>
        <w:t xml:space="preserve">the </w:t>
      </w:r>
      <w:r w:rsidR="004E72C8" w:rsidRPr="004E72C8">
        <w:rPr>
          <w:rFonts w:eastAsia="MS Mincho" w:cstheme="majorBidi"/>
          <w:spacing w:val="-3"/>
        </w:rPr>
        <w:t xml:space="preserve">recovery ratio. Interestingly, however, the salinity of the ice produced was lower at higher feed brine TDS levels. This initially paradoxical outcome can be explained by differences in the freezing rate. With a constant cooling temperature and feed brine flow rate, a lower salinity in the feed brine tends to produce more ice in the same period, resulting in a faster ice crystallization </w:t>
      </w:r>
      <w:r w:rsidR="004E72C8" w:rsidRPr="004E72C8">
        <w:rPr>
          <w:rFonts w:eastAsia="MS Mincho" w:cstheme="majorBidi"/>
          <w:spacing w:val="-3"/>
        </w:rPr>
        <w:lastRenderedPageBreak/>
        <w:t xml:space="preserve">rate. This rapid crystallization tends to trap more concentrated brine within the ice crystals. These micro pockets of brine are difficult to eliminate through centrifugal draining and can significantly elevate the TDS of the treated water when the ice melts. The correlation between rapid freezing rates and higher salinity in treated water has been documented in prior research </w:t>
      </w:r>
      <w:r w:rsidR="004E72C8" w:rsidRPr="004E72C8">
        <w:rPr>
          <w:rFonts w:eastAsia="MS Mincho" w:cstheme="majorBidi"/>
          <w:spacing w:val="-3"/>
        </w:rPr>
        <w:fldChar w:fldCharType="begin" w:fldLock="1"/>
      </w:r>
      <w:r w:rsidR="00D83446">
        <w:rPr>
          <w:rFonts w:eastAsia="MS Mincho" w:cstheme="majorBidi"/>
          <w:spacing w:val="-3"/>
        </w:rPr>
        <w:instrText>ADDIN CSL_CITATION {"citationItems":[{"id":"ITEM-1","itemData":{"DOI":"10.1016/j.desal.2017.04.002","ISSN":"00119164","abstract":"In receiving terminal, liquid natural gas (LNG) needs to be re-gasified by the ambient heat generally supplied by seawater. Unfortunately, a great amount of LNG cold energy is wasted during this process, resulting in energy inefficiency and environmental implications. Seawater freezing desalination (SFD) should be an effective way to use cold energy of LNG in terms of energy match and operation cost. According to the properties of LNG, this work aims to develop a direct contact type ice generator, which integrating some special designs such as jacketed cylinder, nozzle arrangement and gas floatation, in order to improve heat transfer and phase separation in the SFD process. Through dynamic analysis on refrigerant atomization, the changes in speed and diameter of refrigerant droplet are obtained. The analysis results are helpful to further improve the design and operation of ice generator. In addition, the work also experimentally investigated the effects of some predominate factors on determining overall performance of ice generator, comprehensively considering ice generation and desalination. The experimental results could be significant for the SFD project by using cold energy of LNG.","author":[{"dropping-particle":"","family":"Xie","given":"Chungang","non-dropping-particle":"","parse-names":false,"suffix":""},{"dropping-particle":"","family":"Zhang","given":"Lingpin","non-dropping-particle":"","parse-names":false,"suffix":""},{"dropping-particle":"","family":"Liu","given":"Yanhui","non-dropping-particle":"","parse-names":false,"suffix":""},{"dropping-particle":"","family":"Lv","given":"Qingchun","non-dropping-particle":"","parse-names":false,"suffix":""},{"dropping-particle":"","family":"Ruan","given":"Guoling","non-dropping-particle":"","parse-names":false,"suffix":""},{"dropping-particle":"","family":"Hosseini","given":"Seyed Saeid","non-dropping-particle":"","parse-names":false,"suffix":""}],"container-title":"Desalination","id":"ITEM-1","issued":{"date-parts":[["2018"]]},"page":"293-300","publisher":"Elsevier","title":"A direct contact type ice generator for seawater freezing desalination using LNG cold energy","type":"article-journal","volume":"435"},"uris":["http://www.mendeley.com/documents/?uuid=599dd073-80f0-43bb-af1b-1cec45815590"]},{"id":"ITEM-2","itemData":{"DOI":"10.1016/j.desal.2010.04.018","ISSN":"00119164","abstract":"In my study, the unidirectional-freezing method that ice growth layered from top to bottom was employed to investigate the controlling factors on the quality of ice. The method of crushing ice and centrifugation (CIAC) was introduced, trying to further improve the quality of ice. The results showed that the quality of ice was mainly influenced by controlling factors. The desalination rate positively correlated with freezing temperature and amount of seed ice; while negatively correlated with freezing rate, the solid fraction, solution concentration and the surface area of the freezing container. The initial temperature of solution had no effect on the quality of ice. CIAC based on the traditional freezing-concentration method further improved the quality of ice by breaking the \"ice-salt pocket\" and releasing the brine. Because crushing ice can lead to the breakage of this structure and the release of brine, while centrifugation accelerated the process, and further improved the quality of ice, especially for the ice with a higher TDS concentration. Within the concentration scope of brackish water samples (1320 ppm to 8350 ppm), the freezing method could remove 57.88%-48.38% of TDS, while the method of the CIAC could further remove 30.91%-47.28% of the TDS (with the similar solid fraction (Fs)), and thus greatly improved the quality of ice. © 2010 Elsevier B.V. All rights reserved.","author":[{"dropping-particle":"","family":"Luo","given":"Cong Shuang","non-dropping-particle":"","parse-names":false,"suffix":""},{"dropping-particle":"","family":"Chen","given":"Wen Wu","non-dropping-particle":"","parse-names":false,"suffix":""},{"dropping-particle":"","family":"Han","given":"Wen Feng","non-dropping-particle":"","parse-names":false,"suffix":""}],"container-title":"Desalination","id":"ITEM-2","issue":"1-3","issued":{"date-parts":[["2010"]]},"page":"231-238","publisher":"Elsevier B.V.","title":"Experimental study on factors affecting the quality of ice crystal during the freezing concentration for the brackish water","type":"article-journal","volume":"260"},"uris":["http://www.mendeley.com/documents/?uuid=f15931e1-6cb2-4f0c-a623-059312a9c29f"]},{"id":"ITEM-3","itemData":{"DOI":"10.1016/j.desal.2021.115077","ISSN":"00119164","abstract":"A progressive freeze concentration (PFC) process was applied to treat several waters where clean ice was generated one-dimensionally, and salt and impurities concentrate into the liquid phase. The impact of eight process parameters on salt percent removal and ice percent recovery were investigated. They were coolant temperature, stirring rate, advance speed of crystallizer, feed solution concentration, feed solution temperature, ice seeding, crystallizer material, and mixing flow pattern. The significant process parameters found were stirring rate, coolant temperature, and feed solution concentration. Temperature difference between feed solution temperature and coolant temperature is important in minimizing supercooling which has a negative effect on treatment. For example, our results showed a temperature difference of 10 °C for a feed solution temperature of 2.5 °C were needed to minimize supercooling. Salt percent removal was found to be directly related to while ice percent recovery was inversely related to the stirring rate. Treatment of an artificial seawater (salinity 35.67 g/L) and a RO brine concentrate (salinity 2600 mg/L) resulted in 51% and 70% ice percent recovery and 74% and 97.7% salt percent removal, respectively. An application of the PFC process includes brine concentrate treatment for inland desalination plants.","author":[{"dropping-particle":"","family":"Moharramzadeh","given":"Sina","non-dropping-particle":"","parse-names":false,"suffix":""},{"dropping-particle":"","family":"Ong","given":"Say Kee","non-dropping-particle":"","parse-names":false,"suffix":""},{"dropping-particle":"","family":"Alleman","given":"James","non-dropping-particle":"","parse-names":false,"suffix":""},{"dropping-particle":"","family":"Cetin","given":"Kristen S.","non-dropping-particle":"","parse-names":false,"suffix":""}],"container-title":"Desalination","id":"ITEM-3","issue":"December 2020","issued":{"date-parts":[["2021"]]},"page":"115077","publisher":"Elsevier B.V.","title":"Parametric study of the progressive freeze concentration for desalination","type":"article-journal","volume":"510"},"uris":["http://www.mendeley.com/documents/?uuid=297e33a2-d823-46d5-a5f5-42b02ebc8eb1"]}],"mendeley":{"formattedCitation":"[87,104,145]","plainTextFormattedCitation":"[87,104,145]","previouslyFormattedCitation":"[88,105,146]"},"properties":{"noteIndex":0},"schema":"https://github.com/citation-style-language/schema/raw/master/csl-citation.json"}</w:instrText>
      </w:r>
      <w:r w:rsidR="004E72C8" w:rsidRPr="004E72C8">
        <w:rPr>
          <w:rFonts w:eastAsia="MS Mincho" w:cstheme="majorBidi"/>
          <w:spacing w:val="-3"/>
        </w:rPr>
        <w:fldChar w:fldCharType="separate"/>
      </w:r>
      <w:r w:rsidR="00D83446" w:rsidRPr="00D83446">
        <w:rPr>
          <w:rFonts w:eastAsia="MS Mincho" w:cstheme="majorBidi"/>
          <w:noProof/>
          <w:spacing w:val="-3"/>
        </w:rPr>
        <w:t>[87,104,145]</w:t>
      </w:r>
      <w:r w:rsidR="004E72C8" w:rsidRPr="004E72C8">
        <w:rPr>
          <w:rFonts w:eastAsia="MS Mincho" w:cstheme="majorBidi"/>
          <w:spacing w:val="-3"/>
        </w:rPr>
        <w:fldChar w:fldCharType="end"/>
      </w:r>
      <w:r w:rsidR="004E72C8" w:rsidRPr="004E72C8">
        <w:rPr>
          <w:rFonts w:eastAsia="MS Mincho" w:cstheme="majorBidi"/>
          <w:spacing w:val="-3"/>
        </w:rPr>
        <w:t>, supporting these observations.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4E72C8" w:rsidRPr="004E72C8" w14:paraId="2FF1C67B" w14:textId="77777777" w:rsidTr="009A4AF3">
        <w:tc>
          <w:tcPr>
            <w:tcW w:w="9029" w:type="dxa"/>
            <w:vAlign w:val="center"/>
          </w:tcPr>
          <w:p w14:paraId="518D2C85" w14:textId="77777777" w:rsidR="004E72C8" w:rsidRPr="004E72C8" w:rsidRDefault="004E72C8" w:rsidP="00311950">
            <w:pPr>
              <w:adjustRightInd w:val="0"/>
              <w:snapToGrid w:val="0"/>
              <w:spacing w:line="480" w:lineRule="auto"/>
              <w:jc w:val="center"/>
              <w:rPr>
                <w:rFonts w:cstheme="majorBidi"/>
                <w:noProof/>
                <w:spacing w:val="-3"/>
              </w:rPr>
            </w:pPr>
            <w:r w:rsidRPr="004E72C8">
              <w:rPr>
                <w:rFonts w:cstheme="majorBidi"/>
                <w:noProof/>
                <w:spacing w:val="-3"/>
              </w:rPr>
              <w:drawing>
                <wp:inline distT="0" distB="0" distL="0" distR="0" wp14:anchorId="1A5B06AB" wp14:editId="35190B6E">
                  <wp:extent cx="4275147" cy="2743200"/>
                  <wp:effectExtent l="0" t="0" r="0" b="0"/>
                  <wp:docPr id="1640694976" name="Picture 164069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4275147" cy="2743200"/>
                          </a:xfrm>
                          <a:prstGeom prst="rect">
                            <a:avLst/>
                          </a:prstGeom>
                          <a:noFill/>
                          <a:ln>
                            <a:noFill/>
                          </a:ln>
                        </pic:spPr>
                      </pic:pic>
                    </a:graphicData>
                  </a:graphic>
                </wp:inline>
              </w:drawing>
            </w:r>
          </w:p>
        </w:tc>
      </w:tr>
      <w:tr w:rsidR="004E72C8" w:rsidRPr="004E72C8" w14:paraId="74D7EAE3" w14:textId="77777777" w:rsidTr="009A4AF3">
        <w:tc>
          <w:tcPr>
            <w:tcW w:w="9029" w:type="dxa"/>
            <w:vAlign w:val="center"/>
          </w:tcPr>
          <w:p w14:paraId="69582031" w14:textId="069B6192" w:rsidR="004E72C8" w:rsidRPr="0022179F" w:rsidRDefault="0022179F" w:rsidP="00311950">
            <w:pPr>
              <w:pStyle w:val="Caption"/>
              <w:spacing w:before="0" w:after="0" w:line="480" w:lineRule="auto"/>
              <w:jc w:val="center"/>
            </w:pPr>
            <w:bookmarkStart w:id="49" w:name="_Toc172708817"/>
            <w:r w:rsidRPr="0022179F">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4</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3</w:t>
            </w:r>
            <w:r w:rsidR="00996526">
              <w:rPr>
                <w:b/>
                <w:bCs/>
              </w:rPr>
              <w:fldChar w:fldCharType="end"/>
            </w:r>
            <w:r>
              <w:t xml:space="preserve"> </w:t>
            </w:r>
            <w:r w:rsidR="00403BCD" w:rsidRPr="00403BCD">
              <w:rPr>
                <w:rFonts w:eastAsia="MS Mincho" w:cstheme="majorBidi"/>
                <w:spacing w:val="-3"/>
              </w:rPr>
              <w:t>Theoretical (</w:t>
            </w:r>
            <m:oMath>
              <m:sSub>
                <m:sSubPr>
                  <m:ctrlPr>
                    <w:rPr>
                      <w:rFonts w:ascii="Cambria Math" w:hAnsi="Cambria Math" w:cstheme="majorBidi"/>
                      <w:i/>
                      <w:spacing w:val="-3"/>
                      <w:shd w:val="clear" w:color="auto" w:fill="FFFFFF" w:themeFill="background1"/>
                    </w:rPr>
                  </m:ctrlPr>
                </m:sSubPr>
                <m:e>
                  <m:r>
                    <w:rPr>
                      <w:rFonts w:ascii="Cambria Math" w:hAnsi="Cambria Math" w:cstheme="majorBidi"/>
                      <w:spacing w:val="-3"/>
                      <w:shd w:val="clear" w:color="auto" w:fill="FFFFFF" w:themeFill="background1"/>
                    </w:rPr>
                    <m:t>R</m:t>
                  </m:r>
                </m:e>
                <m:sub>
                  <m:r>
                    <m:rPr>
                      <m:sty m:val="p"/>
                    </m:rPr>
                    <w:rPr>
                      <w:rFonts w:ascii="Cambria Math" w:hAnsi="Cambria Math" w:cstheme="majorBidi"/>
                      <w:spacing w:val="-3"/>
                      <w:shd w:val="clear" w:color="auto" w:fill="FFFFFF" w:themeFill="background1"/>
                    </w:rPr>
                    <m:t>th</m:t>
                  </m:r>
                </m:sub>
              </m:sSub>
            </m:oMath>
            <w:r w:rsidR="00403BCD" w:rsidRPr="00403BCD">
              <w:rPr>
                <w:rFonts w:eastAsia="MS Mincho" w:cstheme="majorBidi"/>
                <w:spacing w:val="-3"/>
              </w:rPr>
              <w:t>) and experimental (</w:t>
            </w:r>
            <m:oMath>
              <m:sSub>
                <m:sSubPr>
                  <m:ctrlPr>
                    <w:rPr>
                      <w:rFonts w:ascii="Cambria Math" w:hAnsi="Cambria Math" w:cstheme="majorBidi"/>
                      <w:i/>
                      <w:spacing w:val="-3"/>
                      <w:shd w:val="clear" w:color="auto" w:fill="FFFFFF" w:themeFill="background1"/>
                    </w:rPr>
                  </m:ctrlPr>
                </m:sSubPr>
                <m:e>
                  <m:r>
                    <w:rPr>
                      <w:rFonts w:ascii="Cambria Math" w:hAnsi="Cambria Math" w:cstheme="majorBidi"/>
                      <w:spacing w:val="-3"/>
                      <w:shd w:val="clear" w:color="auto" w:fill="FFFFFF" w:themeFill="background1"/>
                    </w:rPr>
                    <m:t>R</m:t>
                  </m:r>
                </m:e>
                <m:sub>
                  <m:r>
                    <m:rPr>
                      <m:sty m:val="p"/>
                    </m:rPr>
                    <w:rPr>
                      <w:rFonts w:ascii="Cambria Math" w:hAnsi="Cambria Math" w:cstheme="majorBidi"/>
                      <w:spacing w:val="-3"/>
                      <w:shd w:val="clear" w:color="auto" w:fill="FFFFFF" w:themeFill="background1"/>
                    </w:rPr>
                    <m:t>ex</m:t>
                  </m:r>
                </m:sub>
              </m:sSub>
            </m:oMath>
            <w:r w:rsidR="00403BCD" w:rsidRPr="00403BCD">
              <w:rPr>
                <w:rFonts w:eastAsia="MS Mincho" w:cstheme="majorBidi"/>
                <w:spacing w:val="-3"/>
              </w:rPr>
              <w:t>) recovery ratios, along with the corresponding TDS of the treated water (</w:t>
            </w:r>
            <w:r w:rsidR="00403BCD" w:rsidRPr="00403BCD">
              <w:rPr>
                <w:rFonts w:cstheme="majorBidi"/>
                <w:spacing w:val="-3"/>
              </w:rPr>
              <w:t>TDS</w:t>
            </w:r>
            <w:r w:rsidR="00403BCD" w:rsidRPr="00403BCD">
              <w:rPr>
                <w:rFonts w:cstheme="majorBidi"/>
                <w:spacing w:val="-3"/>
                <w:vertAlign w:val="subscript"/>
              </w:rPr>
              <w:t>tw</w:t>
            </w:r>
            <w:r w:rsidR="00403BCD" w:rsidRPr="00403BCD">
              <w:rPr>
                <w:rFonts w:eastAsia="MS Mincho" w:cstheme="majorBidi"/>
                <w:spacing w:val="-3"/>
              </w:rPr>
              <w:t>), for a cooling temperature of -17°C across a range of feed brine salinities (</w:t>
            </w:r>
            <w:r w:rsidR="00403BCD" w:rsidRPr="00403BCD">
              <w:rPr>
                <w:rFonts w:cstheme="majorBidi"/>
                <w:spacing w:val="-3"/>
              </w:rPr>
              <w:t>TDS</w:t>
            </w:r>
            <w:r w:rsidR="00403BCD" w:rsidRPr="00403BCD">
              <w:rPr>
                <w:rFonts w:cstheme="majorBidi"/>
                <w:spacing w:val="-3"/>
                <w:vertAlign w:val="subscript"/>
              </w:rPr>
              <w:t>fb</w:t>
            </w:r>
            <w:r w:rsidR="00403BCD" w:rsidRPr="00403BCD">
              <w:rPr>
                <w:rFonts w:eastAsia="MS Mincho" w:cstheme="majorBidi"/>
                <w:spacing w:val="-3"/>
              </w:rPr>
              <w:t>). The error bars indicate the overall uncertainty of the measurements.</w:t>
            </w:r>
            <w:bookmarkEnd w:id="49"/>
          </w:p>
        </w:tc>
      </w:tr>
    </w:tbl>
    <w:p w14:paraId="64816265" w14:textId="7A05D5EA" w:rsidR="00BD5EAD" w:rsidRPr="00261867" w:rsidRDefault="00C31A0F" w:rsidP="009C5572">
      <w:pPr>
        <w:tabs>
          <w:tab w:val="left" w:pos="-720"/>
        </w:tabs>
        <w:suppressAutoHyphens/>
        <w:adjustRightInd w:val="0"/>
        <w:snapToGrid w:val="0"/>
        <w:spacing w:before="360" w:after="240" w:line="480" w:lineRule="auto"/>
        <w:ind w:firstLine="360"/>
        <w:jc w:val="both"/>
        <w:rPr>
          <w:rFonts w:eastAsia="MS Mincho" w:cstheme="majorBidi"/>
          <w:spacing w:val="-3"/>
        </w:rPr>
      </w:pPr>
      <w:r>
        <w:rPr>
          <w:rFonts w:eastAsia="MS Mincho" w:cstheme="majorBidi"/>
          <w:spacing w:val="-3"/>
        </w:rPr>
        <w:tab/>
      </w:r>
      <w:r w:rsidR="00F91625">
        <w:rPr>
          <w:rFonts w:eastAsia="MS Mincho" w:cstheme="majorBidi"/>
          <w:spacing w:val="-3"/>
        </w:rPr>
        <w:t>B</w:t>
      </w:r>
      <w:r w:rsidR="00F91625" w:rsidRPr="00F91625">
        <w:rPr>
          <w:rFonts w:eastAsia="MS Mincho" w:cstheme="majorBidi"/>
          <w:spacing w:val="-3"/>
        </w:rPr>
        <w:t>oth experimental and theoretical recovery ratios are found to decrease with an increase in feed brine TDS. As shown in Fig</w:t>
      </w:r>
      <w:r w:rsidR="005321EF">
        <w:rPr>
          <w:rFonts w:eastAsia="MS Mincho" w:cstheme="majorBidi"/>
          <w:spacing w:val="-3"/>
        </w:rPr>
        <w:t>.</w:t>
      </w:r>
      <w:r w:rsidR="00F91625" w:rsidRPr="00F91625">
        <w:rPr>
          <w:rFonts w:eastAsia="MS Mincho" w:cstheme="majorBidi"/>
          <w:spacing w:val="-3"/>
        </w:rPr>
        <w:t xml:space="preserve"> </w:t>
      </w:r>
      <w:r w:rsidR="00470F61">
        <w:rPr>
          <w:rFonts w:eastAsia="MS Mincho" w:cstheme="majorBidi"/>
          <w:spacing w:val="-3"/>
        </w:rPr>
        <w:t>4-</w:t>
      </w:r>
      <w:r w:rsidR="005321EF">
        <w:rPr>
          <w:rFonts w:eastAsia="MS Mincho" w:cstheme="majorBidi"/>
          <w:spacing w:val="-3"/>
        </w:rPr>
        <w:t>3</w:t>
      </w:r>
      <w:r w:rsidR="00F91625" w:rsidRPr="00F91625">
        <w:rPr>
          <w:rFonts w:eastAsia="MS Mincho" w:cstheme="majorBidi"/>
          <w:spacing w:val="-3"/>
        </w:rPr>
        <w:t xml:space="preserve">, at lower feed TDS levels, the experimental recovery ratios align more closely with the theoretical predictions. However, as the feed salinity increases, the divergence between experimental and theoretical results becomes more pronounced. This discrepancy at higher feed brine TDS levels can be explained by the increased likelihood of unintended ice melting </w:t>
      </w:r>
      <w:r w:rsidR="00F91625" w:rsidRPr="00F91625">
        <w:rPr>
          <w:rFonts w:eastAsia="MS Mincho" w:cstheme="majorBidi"/>
          <w:spacing w:val="-3"/>
        </w:rPr>
        <w:lastRenderedPageBreak/>
        <w:t>during the transport and centrifugation processes. Additionally, with higher brine TDS, the brine trapped within the ice contains higher concentrations of dissolved solids. Consequently, ice near these high-</w:t>
      </w:r>
      <w:r w:rsidR="00F91625" w:rsidRPr="00261867">
        <w:rPr>
          <w:rFonts w:eastAsia="MS Mincho" w:cstheme="majorBidi"/>
          <w:spacing w:val="-3"/>
        </w:rPr>
        <w:t>salinity brine pockets is more prone to melting during centrifugation, further impacting the recovery ratios.</w:t>
      </w:r>
      <w:r w:rsidR="00503DB5" w:rsidRPr="00261867">
        <w:rPr>
          <w:rFonts w:eastAsia="MS Mincho" w:cstheme="majorBidi"/>
          <w:spacing w:val="-3"/>
        </w:rPr>
        <w:t xml:space="preserve"> Furthermore, the prolonged freezing process for feed brine with higher salinity could be another contributing factor. When brine is injected into the cold ICL, the freezing process begins</w:t>
      </w:r>
      <w:r w:rsidR="00042EDD" w:rsidRPr="00261867">
        <w:rPr>
          <w:rFonts w:eastAsia="MS Mincho" w:cstheme="majorBidi"/>
          <w:spacing w:val="-3"/>
        </w:rPr>
        <w:t xml:space="preserve"> almost</w:t>
      </w:r>
      <w:r w:rsidR="00503DB5" w:rsidRPr="00261867">
        <w:rPr>
          <w:rFonts w:eastAsia="MS Mincho" w:cstheme="majorBidi"/>
          <w:spacing w:val="-3"/>
        </w:rPr>
        <w:t xml:space="preserve"> </w:t>
      </w:r>
      <w:r w:rsidR="00042EDD" w:rsidRPr="00261867">
        <w:rPr>
          <w:rFonts w:eastAsia="MS Mincho" w:cstheme="majorBidi"/>
          <w:spacing w:val="-3"/>
        </w:rPr>
        <w:t>instantly</w:t>
      </w:r>
      <w:r w:rsidR="00503DB5" w:rsidRPr="00261867">
        <w:rPr>
          <w:rFonts w:eastAsia="MS Mincho" w:cstheme="majorBidi"/>
          <w:spacing w:val="-3"/>
        </w:rPr>
        <w:t xml:space="preserve">. However, </w:t>
      </w:r>
      <w:r w:rsidR="00042EDD" w:rsidRPr="00261867">
        <w:rPr>
          <w:rFonts w:eastAsia="MS Mincho" w:cstheme="majorBidi"/>
          <w:spacing w:val="-3"/>
        </w:rPr>
        <w:t>the freezing continues as the brine moves through the freezing chamber</w:t>
      </w:r>
      <w:r w:rsidR="00503DB5" w:rsidRPr="00261867">
        <w:rPr>
          <w:rFonts w:eastAsia="MS Mincho" w:cstheme="majorBidi"/>
          <w:spacing w:val="-3"/>
        </w:rPr>
        <w:t xml:space="preserve">. As </w:t>
      </w:r>
      <w:r w:rsidR="00042EDD" w:rsidRPr="00261867">
        <w:rPr>
          <w:rFonts w:eastAsia="MS Mincho" w:cstheme="majorBidi"/>
          <w:spacing w:val="-3"/>
        </w:rPr>
        <w:t xml:space="preserve">more ice is created, the </w:t>
      </w:r>
      <w:r w:rsidR="00503DB5" w:rsidRPr="00261867">
        <w:rPr>
          <w:rFonts w:eastAsia="MS Mincho" w:cstheme="majorBidi"/>
          <w:spacing w:val="-3"/>
        </w:rPr>
        <w:t xml:space="preserve">salinity of the </w:t>
      </w:r>
      <w:r w:rsidR="00042EDD" w:rsidRPr="00261867">
        <w:rPr>
          <w:rFonts w:eastAsia="MS Mincho" w:cstheme="majorBidi"/>
          <w:spacing w:val="-3"/>
        </w:rPr>
        <w:t>remaining</w:t>
      </w:r>
      <w:r w:rsidR="00503DB5" w:rsidRPr="00261867">
        <w:rPr>
          <w:rFonts w:eastAsia="MS Mincho" w:cstheme="majorBidi"/>
          <w:spacing w:val="-3"/>
        </w:rPr>
        <w:t xml:space="preserve"> brine increases, </w:t>
      </w:r>
      <w:r w:rsidR="00042EDD" w:rsidRPr="00261867">
        <w:rPr>
          <w:rFonts w:eastAsia="MS Mincho" w:cstheme="majorBidi"/>
          <w:spacing w:val="-3"/>
        </w:rPr>
        <w:t>and lower temperatures are needed to maintain the freezing process</w:t>
      </w:r>
      <w:r w:rsidR="00503DB5" w:rsidRPr="00261867">
        <w:rPr>
          <w:rFonts w:eastAsia="MS Mincho" w:cstheme="majorBidi"/>
          <w:spacing w:val="-3"/>
        </w:rPr>
        <w:t xml:space="preserve">. Consequently, higher salinity brine takes longer to </w:t>
      </w:r>
      <w:r w:rsidR="00042EDD" w:rsidRPr="00261867">
        <w:rPr>
          <w:rFonts w:eastAsia="MS Mincho" w:cstheme="majorBidi"/>
          <w:spacing w:val="-3"/>
        </w:rPr>
        <w:t>achieve the freezing limit</w:t>
      </w:r>
      <w:r w:rsidR="00503DB5" w:rsidRPr="00261867">
        <w:rPr>
          <w:rFonts w:eastAsia="MS Mincho" w:cstheme="majorBidi"/>
          <w:spacing w:val="-3"/>
        </w:rPr>
        <w:t>, reducing the likelihood of reaching steady</w:t>
      </w:r>
      <w:r w:rsidR="00042EDD" w:rsidRPr="00261867">
        <w:rPr>
          <w:rFonts w:eastAsia="MS Mincho" w:cstheme="majorBidi"/>
          <w:spacing w:val="-3"/>
        </w:rPr>
        <w:t>-</w:t>
      </w:r>
      <w:r w:rsidR="00503DB5" w:rsidRPr="00261867">
        <w:rPr>
          <w:rFonts w:eastAsia="MS Mincho" w:cstheme="majorBidi"/>
          <w:spacing w:val="-3"/>
        </w:rPr>
        <w:t>state at the outlet of the freezing chamber. Therefore, the assumption of equal temperatures for all components at the outlet is not met, resulting in the ice having a higher temperature than the ICL in experiments. This leads to a lower recovery ratio in the experimental tests at higher feed brine salinities.</w:t>
      </w:r>
    </w:p>
    <w:p w14:paraId="77742A86" w14:textId="61E14F67" w:rsidR="00BD5EAD" w:rsidRPr="00261867" w:rsidRDefault="00BD5EAD" w:rsidP="008154C6">
      <w:pPr>
        <w:tabs>
          <w:tab w:val="left" w:pos="-720"/>
        </w:tabs>
        <w:suppressAutoHyphens/>
        <w:adjustRightInd w:val="0"/>
        <w:snapToGrid w:val="0"/>
        <w:spacing w:after="240" w:line="480" w:lineRule="auto"/>
        <w:jc w:val="both"/>
        <w:rPr>
          <w:rFonts w:eastAsia="MS Mincho" w:cstheme="majorBidi"/>
          <w:spacing w:val="-3"/>
        </w:rPr>
      </w:pPr>
      <w:r w:rsidRPr="00261867">
        <w:rPr>
          <w:rFonts w:eastAsia="MS Mincho" w:cstheme="majorBidi"/>
          <w:spacing w:val="-3"/>
        </w:rPr>
        <w:t xml:space="preserve">Table 4-2 presents the </w:t>
      </w:r>
      <w:r w:rsidR="00042EDD" w:rsidRPr="00261867">
        <w:rPr>
          <w:rFonts w:eastAsia="MS Mincho" w:cstheme="majorBidi"/>
          <w:spacing w:val="-3"/>
        </w:rPr>
        <w:t>estimated</w:t>
      </w:r>
      <w:r w:rsidRPr="00261867">
        <w:rPr>
          <w:rFonts w:eastAsia="MS Mincho" w:cstheme="majorBidi"/>
          <w:spacing w:val="-3"/>
        </w:rPr>
        <w:t xml:space="preserve"> values for the </w:t>
      </w:r>
      <w:r w:rsidR="00BC4763" w:rsidRPr="00261867">
        <w:rPr>
          <w:rFonts w:eastAsia="MS Mincho" w:cstheme="majorBidi"/>
          <w:spacing w:val="-3"/>
        </w:rPr>
        <w:t xml:space="preserve">sensible and latent heat </w:t>
      </w:r>
      <w:r w:rsidRPr="00261867">
        <w:rPr>
          <w:rFonts w:eastAsia="MS Mincho" w:cstheme="majorBidi"/>
          <w:spacing w:val="-3"/>
        </w:rPr>
        <w:t>components</w:t>
      </w:r>
      <w:r w:rsidR="00BC4763" w:rsidRPr="00261867">
        <w:rPr>
          <w:rFonts w:eastAsia="MS Mincho" w:cstheme="majorBidi"/>
          <w:spacing w:val="-3"/>
        </w:rPr>
        <w:t xml:space="preserve"> of the brine freezing, the heat gain during the freezing process,</w:t>
      </w:r>
      <w:r w:rsidRPr="00261867">
        <w:rPr>
          <w:rFonts w:eastAsia="MS Mincho" w:cstheme="majorBidi"/>
          <w:spacing w:val="-3"/>
        </w:rPr>
        <w:t xml:space="preserve"> and the</w:t>
      </w:r>
      <w:r w:rsidR="00BC4763" w:rsidRPr="00261867">
        <w:rPr>
          <w:rFonts w:eastAsia="MS Mincho" w:cstheme="majorBidi"/>
          <w:spacing w:val="-3"/>
        </w:rPr>
        <w:t>ir</w:t>
      </w:r>
      <w:r w:rsidRPr="00261867">
        <w:rPr>
          <w:rFonts w:eastAsia="MS Mincho" w:cstheme="majorBidi"/>
          <w:spacing w:val="-3"/>
        </w:rPr>
        <w:t xml:space="preserve"> corresponding percentages for various </w:t>
      </w:r>
      <w:r w:rsidR="00BC4763" w:rsidRPr="00261867">
        <w:rPr>
          <w:rFonts w:eastAsia="MS Mincho" w:cstheme="majorBidi"/>
          <w:spacing w:val="-3"/>
        </w:rPr>
        <w:t>feed brine salinities</w:t>
      </w:r>
      <w:r w:rsidR="008154C6" w:rsidRPr="00261867">
        <w:rPr>
          <w:rFonts w:eastAsia="MS Mincho" w:cstheme="majorBidi"/>
          <w:spacing w:val="-3"/>
        </w:rPr>
        <w:t xml:space="preserve"> and cooling temperature of -17°C</w:t>
      </w:r>
      <w:r w:rsidRPr="00261867">
        <w:rPr>
          <w:rFonts w:eastAsia="MS Mincho" w:cstheme="majorBidi"/>
          <w:spacing w:val="-3"/>
        </w:rPr>
        <w:t xml:space="preserve">. </w:t>
      </w:r>
    </w:p>
    <w:p w14:paraId="4E8C06AD" w14:textId="77777777" w:rsidR="008154C6" w:rsidRPr="00261867" w:rsidRDefault="008154C6" w:rsidP="008154C6">
      <w:pPr>
        <w:tabs>
          <w:tab w:val="left" w:pos="-720"/>
        </w:tabs>
        <w:suppressAutoHyphens/>
        <w:adjustRightInd w:val="0"/>
        <w:snapToGrid w:val="0"/>
        <w:spacing w:after="240" w:line="480" w:lineRule="auto"/>
        <w:jc w:val="both"/>
        <w:rPr>
          <w:rFonts w:eastAsia="MS Mincho" w:cstheme="majorBidi"/>
          <w:spacing w:val="-3"/>
        </w:rPr>
      </w:pPr>
    </w:p>
    <w:p w14:paraId="3F85ED65" w14:textId="77777777" w:rsidR="00834BAB" w:rsidRPr="00261867" w:rsidRDefault="00834BAB" w:rsidP="00BD5EAD">
      <w:pPr>
        <w:tabs>
          <w:tab w:val="left" w:pos="-720"/>
        </w:tabs>
        <w:suppressAutoHyphens/>
        <w:adjustRightInd w:val="0"/>
        <w:snapToGrid w:val="0"/>
        <w:spacing w:after="240" w:line="480" w:lineRule="auto"/>
        <w:jc w:val="both"/>
        <w:rPr>
          <w:rFonts w:eastAsia="MS Mincho" w:cstheme="majorBidi"/>
          <w:spacing w:val="-3"/>
        </w:rPr>
      </w:pPr>
    </w:p>
    <w:p w14:paraId="2BBD57A5" w14:textId="77777777" w:rsidR="00834BAB" w:rsidRPr="00261867" w:rsidRDefault="00834BAB" w:rsidP="00BD5EAD">
      <w:pPr>
        <w:tabs>
          <w:tab w:val="left" w:pos="-720"/>
        </w:tabs>
        <w:suppressAutoHyphens/>
        <w:adjustRightInd w:val="0"/>
        <w:snapToGrid w:val="0"/>
        <w:spacing w:after="240" w:line="480" w:lineRule="auto"/>
        <w:jc w:val="both"/>
        <w:rPr>
          <w:rFonts w:eastAsia="MS Mincho" w:cstheme="majorBidi"/>
          <w:spacing w:val="-3"/>
        </w:rPr>
      </w:pPr>
    </w:p>
    <w:p w14:paraId="12D2BF80" w14:textId="77777777" w:rsidR="00834BAB" w:rsidRPr="00261867" w:rsidRDefault="00834BAB" w:rsidP="00BD5EAD">
      <w:pPr>
        <w:tabs>
          <w:tab w:val="left" w:pos="-720"/>
        </w:tabs>
        <w:suppressAutoHyphens/>
        <w:adjustRightInd w:val="0"/>
        <w:snapToGrid w:val="0"/>
        <w:spacing w:after="240" w:line="480" w:lineRule="auto"/>
        <w:jc w:val="both"/>
        <w:rPr>
          <w:rFonts w:eastAsia="MS Mincho" w:cstheme="majorBidi"/>
          <w:spacing w:val="-3"/>
        </w:rPr>
      </w:pPr>
    </w:p>
    <w:tbl>
      <w:tblPr>
        <w:tblStyle w:val="TableGrid"/>
        <w:tblW w:w="83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1791"/>
        <w:gridCol w:w="1791"/>
        <w:gridCol w:w="1791"/>
        <w:gridCol w:w="1555"/>
      </w:tblGrid>
      <w:tr w:rsidR="00BD5EAD" w:rsidRPr="00261867" w14:paraId="406DC45A" w14:textId="77777777" w:rsidTr="00E55D9E">
        <w:trPr>
          <w:jc w:val="center"/>
        </w:trPr>
        <w:tc>
          <w:tcPr>
            <w:tcW w:w="8386" w:type="dxa"/>
            <w:gridSpan w:val="5"/>
            <w:tcBorders>
              <w:bottom w:val="single" w:sz="4" w:space="0" w:color="auto"/>
            </w:tcBorders>
          </w:tcPr>
          <w:p w14:paraId="3E9049D8" w14:textId="017BC5BC" w:rsidR="00BD5EAD" w:rsidRPr="00261867" w:rsidRDefault="00BD5EAD" w:rsidP="009A4AF3">
            <w:pPr>
              <w:tabs>
                <w:tab w:val="left" w:pos="-720"/>
              </w:tabs>
              <w:suppressAutoHyphens/>
              <w:adjustRightInd w:val="0"/>
              <w:snapToGrid w:val="0"/>
              <w:spacing w:after="240" w:line="480" w:lineRule="auto"/>
              <w:jc w:val="center"/>
              <w:rPr>
                <w:rFonts w:eastAsia="MS Mincho" w:cstheme="majorBidi"/>
                <w:spacing w:val="-3"/>
              </w:rPr>
            </w:pPr>
            <w:bookmarkStart w:id="50" w:name="_Toc172708777"/>
            <w:r w:rsidRPr="00261867">
              <w:rPr>
                <w:rFonts w:cstheme="majorBidi"/>
                <w:b/>
                <w:bCs/>
              </w:rPr>
              <w:lastRenderedPageBreak/>
              <w:t xml:space="preserve">Table </w:t>
            </w:r>
            <w:r w:rsidRPr="00261867">
              <w:rPr>
                <w:rFonts w:cstheme="majorBidi"/>
                <w:b/>
                <w:bCs/>
              </w:rPr>
              <w:fldChar w:fldCharType="begin"/>
            </w:r>
            <w:r w:rsidRPr="00261867">
              <w:rPr>
                <w:rFonts w:cstheme="majorBidi"/>
                <w:b/>
                <w:bCs/>
              </w:rPr>
              <w:instrText xml:space="preserve"> STYLEREF 1 \s </w:instrText>
            </w:r>
            <w:r w:rsidRPr="00261867">
              <w:rPr>
                <w:rFonts w:cstheme="majorBidi"/>
                <w:b/>
                <w:bCs/>
              </w:rPr>
              <w:fldChar w:fldCharType="separate"/>
            </w:r>
            <w:r w:rsidR="00732AAC">
              <w:rPr>
                <w:rFonts w:cstheme="majorBidi"/>
                <w:b/>
                <w:bCs/>
                <w:noProof/>
                <w:cs/>
              </w:rPr>
              <w:t>‎</w:t>
            </w:r>
            <w:r w:rsidR="00732AAC">
              <w:rPr>
                <w:rFonts w:cstheme="majorBidi"/>
                <w:b/>
                <w:bCs/>
                <w:noProof/>
              </w:rPr>
              <w:t>4</w:t>
            </w:r>
            <w:r w:rsidRPr="00261867">
              <w:rPr>
                <w:rFonts w:cstheme="majorBidi"/>
                <w:b/>
                <w:bCs/>
              </w:rPr>
              <w:fldChar w:fldCharType="end"/>
            </w:r>
            <w:r w:rsidRPr="00261867">
              <w:rPr>
                <w:rFonts w:cstheme="majorBidi"/>
                <w:b/>
                <w:bCs/>
              </w:rPr>
              <w:noBreakHyphen/>
            </w:r>
            <w:r w:rsidRPr="00261867">
              <w:rPr>
                <w:rFonts w:cstheme="majorBidi"/>
                <w:b/>
                <w:bCs/>
              </w:rPr>
              <w:fldChar w:fldCharType="begin"/>
            </w:r>
            <w:r w:rsidRPr="00261867">
              <w:rPr>
                <w:rFonts w:cstheme="majorBidi"/>
                <w:b/>
                <w:bCs/>
              </w:rPr>
              <w:instrText xml:space="preserve"> SEQ Table \* ARABIC \s 1 </w:instrText>
            </w:r>
            <w:r w:rsidRPr="00261867">
              <w:rPr>
                <w:rFonts w:cstheme="majorBidi"/>
                <w:b/>
                <w:bCs/>
              </w:rPr>
              <w:fldChar w:fldCharType="separate"/>
            </w:r>
            <w:r w:rsidR="00732AAC">
              <w:rPr>
                <w:rFonts w:cstheme="majorBidi"/>
                <w:b/>
                <w:bCs/>
                <w:noProof/>
              </w:rPr>
              <w:t>1</w:t>
            </w:r>
            <w:r w:rsidRPr="00261867">
              <w:rPr>
                <w:rFonts w:cstheme="majorBidi"/>
                <w:b/>
                <w:bCs/>
              </w:rPr>
              <w:fldChar w:fldCharType="end"/>
            </w:r>
            <w:r w:rsidRPr="00261867">
              <w:rPr>
                <w:rFonts w:eastAsia="MS Mincho" w:cstheme="majorBidi"/>
                <w:spacing w:val="-3"/>
              </w:rPr>
              <w:t xml:space="preserve"> </w:t>
            </w:r>
            <w:r w:rsidR="00042EDD" w:rsidRPr="00261867">
              <w:rPr>
                <w:rFonts w:eastAsia="MS Mincho" w:cstheme="majorBidi"/>
                <w:spacing w:val="-3"/>
              </w:rPr>
              <w:t>The estimated values of</w:t>
            </w:r>
            <w:r w:rsidRPr="00261867">
              <w:rPr>
                <w:rFonts w:eastAsia="MS Mincho" w:cstheme="majorBidi"/>
                <w:spacing w:val="-3"/>
              </w:rPr>
              <w:t xml:space="preserve"> sensible and latent heat components of the brine freezing and the heat gain during the freezing process</w:t>
            </w:r>
            <w:r w:rsidR="00BC4763" w:rsidRPr="00261867">
              <w:rPr>
                <w:rFonts w:eastAsia="MS Mincho" w:cstheme="majorBidi"/>
                <w:spacing w:val="-3"/>
              </w:rPr>
              <w:t xml:space="preserve"> for multiple feed brine salinities</w:t>
            </w:r>
            <w:bookmarkEnd w:id="50"/>
          </w:p>
        </w:tc>
      </w:tr>
      <w:tr w:rsidR="00BD5EAD" w:rsidRPr="00261867" w14:paraId="4CD87897" w14:textId="77777777" w:rsidTr="00E55D9E">
        <w:trPr>
          <w:jc w:val="center"/>
        </w:trPr>
        <w:tc>
          <w:tcPr>
            <w:tcW w:w="1460" w:type="dxa"/>
            <w:tcBorders>
              <w:top w:val="single" w:sz="4" w:space="0" w:color="auto"/>
              <w:bottom w:val="single" w:sz="4" w:space="0" w:color="auto"/>
            </w:tcBorders>
          </w:tcPr>
          <w:p w14:paraId="5697422D" w14:textId="77777777" w:rsidR="00E55D9E" w:rsidRPr="00261867" w:rsidRDefault="00E55D9E"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Feed brine</w:t>
            </w:r>
          </w:p>
          <w:p w14:paraId="378D64A0" w14:textId="4208188C" w:rsidR="00BD5EAD" w:rsidRPr="00261867" w:rsidRDefault="00E55D9E" w:rsidP="00E55D9E">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TDS (ppm)</w:t>
            </w:r>
          </w:p>
        </w:tc>
        <w:tc>
          <w:tcPr>
            <w:tcW w:w="1791" w:type="dxa"/>
            <w:tcBorders>
              <w:top w:val="single" w:sz="4" w:space="0" w:color="auto"/>
              <w:bottom w:val="single" w:sz="4" w:space="0" w:color="auto"/>
            </w:tcBorders>
          </w:tcPr>
          <w:p w14:paraId="465A1934" w14:textId="77777777"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Sensible heat</w:t>
            </w:r>
          </w:p>
          <w:p w14:paraId="0985B9E2" w14:textId="589F375A"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component (</w:t>
            </w:r>
            <w:r w:rsidR="00834BAB" w:rsidRPr="00261867">
              <w:rPr>
                <w:rFonts w:eastAsia="MS Mincho" w:cstheme="majorBidi"/>
                <w:b/>
                <w:bCs/>
                <w:spacing w:val="-3"/>
              </w:rPr>
              <w:t>W</w:t>
            </w:r>
            <w:r w:rsidRPr="00261867">
              <w:rPr>
                <w:rFonts w:eastAsia="MS Mincho" w:cstheme="majorBidi"/>
                <w:b/>
                <w:bCs/>
                <w:spacing w:val="-3"/>
              </w:rPr>
              <w:t>)</w:t>
            </w:r>
          </w:p>
        </w:tc>
        <w:tc>
          <w:tcPr>
            <w:tcW w:w="1791" w:type="dxa"/>
            <w:tcBorders>
              <w:top w:val="single" w:sz="4" w:space="0" w:color="auto"/>
              <w:bottom w:val="single" w:sz="4" w:space="0" w:color="auto"/>
            </w:tcBorders>
          </w:tcPr>
          <w:p w14:paraId="6A38CC58" w14:textId="77777777"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Latent heat</w:t>
            </w:r>
          </w:p>
          <w:p w14:paraId="2004437B" w14:textId="0C0CAFF7"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component (</w:t>
            </w:r>
            <w:r w:rsidR="00834BAB" w:rsidRPr="00261867">
              <w:rPr>
                <w:rFonts w:eastAsia="MS Mincho" w:cstheme="majorBidi"/>
                <w:b/>
                <w:bCs/>
                <w:spacing w:val="-3"/>
              </w:rPr>
              <w:t>W</w:t>
            </w:r>
            <w:r w:rsidRPr="00261867">
              <w:rPr>
                <w:rFonts w:eastAsia="MS Mincho" w:cstheme="majorBidi"/>
                <w:b/>
                <w:bCs/>
                <w:spacing w:val="-3"/>
              </w:rPr>
              <w:t>)</w:t>
            </w:r>
          </w:p>
        </w:tc>
        <w:tc>
          <w:tcPr>
            <w:tcW w:w="1791" w:type="dxa"/>
            <w:tcBorders>
              <w:top w:val="single" w:sz="4" w:space="0" w:color="auto"/>
              <w:bottom w:val="single" w:sz="4" w:space="0" w:color="auto"/>
            </w:tcBorders>
          </w:tcPr>
          <w:p w14:paraId="5E9D94A8" w14:textId="77777777"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Heat gain</w:t>
            </w:r>
          </w:p>
          <w:p w14:paraId="5E5CDC1A" w14:textId="743A380C"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component (</w:t>
            </w:r>
            <w:r w:rsidR="00834BAB" w:rsidRPr="00261867">
              <w:rPr>
                <w:rFonts w:eastAsia="MS Mincho" w:cstheme="majorBidi"/>
                <w:b/>
                <w:bCs/>
                <w:spacing w:val="-3"/>
              </w:rPr>
              <w:t>W</w:t>
            </w:r>
            <w:r w:rsidRPr="00261867">
              <w:rPr>
                <w:rFonts w:eastAsia="MS Mincho" w:cstheme="majorBidi"/>
                <w:b/>
                <w:bCs/>
                <w:spacing w:val="-3"/>
              </w:rPr>
              <w:t>)</w:t>
            </w:r>
          </w:p>
        </w:tc>
        <w:tc>
          <w:tcPr>
            <w:tcW w:w="1555" w:type="dxa"/>
            <w:tcBorders>
              <w:top w:val="single" w:sz="4" w:space="0" w:color="auto"/>
              <w:bottom w:val="single" w:sz="4" w:space="0" w:color="auto"/>
            </w:tcBorders>
          </w:tcPr>
          <w:p w14:paraId="2B74C0F1" w14:textId="77777777"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Total cooling</w:t>
            </w:r>
          </w:p>
          <w:p w14:paraId="391A9BD1" w14:textId="715CD149" w:rsidR="00BD5EAD" w:rsidRPr="00261867" w:rsidRDefault="00BD5EAD" w:rsidP="009A4AF3">
            <w:pPr>
              <w:tabs>
                <w:tab w:val="left" w:pos="-720"/>
              </w:tabs>
              <w:suppressAutoHyphens/>
              <w:adjustRightInd w:val="0"/>
              <w:snapToGrid w:val="0"/>
              <w:spacing w:after="240"/>
              <w:jc w:val="center"/>
              <w:rPr>
                <w:rFonts w:eastAsia="MS Mincho" w:cstheme="majorBidi"/>
                <w:b/>
                <w:bCs/>
                <w:spacing w:val="-3"/>
              </w:rPr>
            </w:pPr>
            <w:r w:rsidRPr="00261867">
              <w:rPr>
                <w:rFonts w:eastAsia="MS Mincho" w:cstheme="majorBidi"/>
                <w:b/>
                <w:bCs/>
                <w:spacing w:val="-3"/>
              </w:rPr>
              <w:t>energy (</w:t>
            </w:r>
            <w:r w:rsidR="00834BAB" w:rsidRPr="00261867">
              <w:rPr>
                <w:rFonts w:eastAsia="MS Mincho" w:cstheme="majorBidi"/>
                <w:b/>
                <w:bCs/>
                <w:spacing w:val="-3"/>
              </w:rPr>
              <w:t>W</w:t>
            </w:r>
            <w:r w:rsidRPr="00261867">
              <w:rPr>
                <w:rFonts w:eastAsia="MS Mincho" w:cstheme="majorBidi"/>
                <w:b/>
                <w:bCs/>
                <w:spacing w:val="-3"/>
              </w:rPr>
              <w:t>)</w:t>
            </w:r>
          </w:p>
        </w:tc>
      </w:tr>
      <w:tr w:rsidR="00BD5EAD" w:rsidRPr="00261867" w14:paraId="0579CAAC" w14:textId="77777777" w:rsidTr="00E55D9E">
        <w:trPr>
          <w:jc w:val="center"/>
        </w:trPr>
        <w:tc>
          <w:tcPr>
            <w:tcW w:w="1460" w:type="dxa"/>
            <w:tcBorders>
              <w:top w:val="single" w:sz="4" w:space="0" w:color="auto"/>
            </w:tcBorders>
          </w:tcPr>
          <w:p w14:paraId="279726A1" w14:textId="4AC9EFDF" w:rsidR="00BD5EAD" w:rsidRPr="00261867" w:rsidRDefault="00E55D9E"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15,000</w:t>
            </w:r>
          </w:p>
        </w:tc>
        <w:tc>
          <w:tcPr>
            <w:tcW w:w="1791" w:type="dxa"/>
            <w:tcBorders>
              <w:top w:val="single" w:sz="4" w:space="0" w:color="auto"/>
            </w:tcBorders>
          </w:tcPr>
          <w:p w14:paraId="6CB1A5EF" w14:textId="03D9DFA1"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258</w:t>
            </w:r>
            <w:r w:rsidR="00BD5EAD" w:rsidRPr="00261867">
              <w:rPr>
                <w:rFonts w:eastAsia="MS Mincho" w:cstheme="majorBidi"/>
                <w:spacing w:val="-3"/>
              </w:rPr>
              <w:t xml:space="preserve"> (24%)</w:t>
            </w:r>
          </w:p>
        </w:tc>
        <w:tc>
          <w:tcPr>
            <w:tcW w:w="1791" w:type="dxa"/>
            <w:tcBorders>
              <w:top w:val="single" w:sz="4" w:space="0" w:color="auto"/>
            </w:tcBorders>
          </w:tcPr>
          <w:p w14:paraId="7637AB8C" w14:textId="30218D32"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667</w:t>
            </w:r>
            <w:r w:rsidR="00BD5EAD" w:rsidRPr="00261867">
              <w:rPr>
                <w:rFonts w:eastAsia="MS Mincho" w:cstheme="majorBidi"/>
                <w:spacing w:val="-3"/>
              </w:rPr>
              <w:t xml:space="preserve"> (62%)</w:t>
            </w:r>
          </w:p>
        </w:tc>
        <w:tc>
          <w:tcPr>
            <w:tcW w:w="1791" w:type="dxa"/>
            <w:tcBorders>
              <w:top w:val="single" w:sz="4" w:space="0" w:color="auto"/>
            </w:tcBorders>
          </w:tcPr>
          <w:p w14:paraId="50BCFF16" w14:textId="77D98C31" w:rsidR="00BD5EAD" w:rsidRPr="00261867" w:rsidRDefault="00C6584F"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w:t>
            </w:r>
            <w:r w:rsidR="00042EDD" w:rsidRPr="00261867">
              <w:rPr>
                <w:rFonts w:eastAsia="MS Mincho" w:cstheme="majorBidi"/>
                <w:spacing w:val="-3"/>
              </w:rPr>
              <w:t>150</w:t>
            </w:r>
            <w:r w:rsidR="00BD5EAD" w:rsidRPr="00261867">
              <w:rPr>
                <w:rFonts w:eastAsia="MS Mincho" w:cstheme="majorBidi"/>
                <w:spacing w:val="-3"/>
              </w:rPr>
              <w:t xml:space="preserve"> (1</w:t>
            </w:r>
            <w:r w:rsidR="009333F4" w:rsidRPr="00261867">
              <w:rPr>
                <w:rFonts w:eastAsia="MS Mincho" w:cstheme="majorBidi"/>
                <w:spacing w:val="-3"/>
              </w:rPr>
              <w:t>4</w:t>
            </w:r>
            <w:r w:rsidR="00BD5EAD" w:rsidRPr="00261867">
              <w:rPr>
                <w:rFonts w:eastAsia="MS Mincho" w:cstheme="majorBidi"/>
                <w:spacing w:val="-3"/>
              </w:rPr>
              <w:t>%)</w:t>
            </w:r>
          </w:p>
        </w:tc>
        <w:tc>
          <w:tcPr>
            <w:tcW w:w="1555" w:type="dxa"/>
            <w:tcBorders>
              <w:top w:val="single" w:sz="4" w:space="0" w:color="auto"/>
            </w:tcBorders>
          </w:tcPr>
          <w:p w14:paraId="7D92D81D" w14:textId="273E4982"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1075</w:t>
            </w:r>
          </w:p>
        </w:tc>
      </w:tr>
      <w:tr w:rsidR="00BD5EAD" w:rsidRPr="00261867" w14:paraId="5BBEB401" w14:textId="77777777" w:rsidTr="00E55D9E">
        <w:trPr>
          <w:jc w:val="center"/>
        </w:trPr>
        <w:tc>
          <w:tcPr>
            <w:tcW w:w="1460" w:type="dxa"/>
          </w:tcPr>
          <w:p w14:paraId="2C60DEF5" w14:textId="64A0AFBC" w:rsidR="00BD5EAD" w:rsidRPr="00261867" w:rsidRDefault="00E55D9E"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35,000</w:t>
            </w:r>
          </w:p>
        </w:tc>
        <w:tc>
          <w:tcPr>
            <w:tcW w:w="1791" w:type="dxa"/>
          </w:tcPr>
          <w:p w14:paraId="1B5638DE" w14:textId="12B55C30"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267</w:t>
            </w:r>
            <w:r w:rsidR="00BD5EAD" w:rsidRPr="00261867">
              <w:rPr>
                <w:rFonts w:eastAsia="MS Mincho" w:cstheme="majorBidi"/>
                <w:spacing w:val="-3"/>
              </w:rPr>
              <w:t xml:space="preserve"> (</w:t>
            </w:r>
            <w:r w:rsidR="00A527F3" w:rsidRPr="00261867">
              <w:rPr>
                <w:rFonts w:eastAsia="MS Mincho" w:cstheme="majorBidi"/>
                <w:spacing w:val="-3"/>
              </w:rPr>
              <w:t>2</w:t>
            </w:r>
            <w:r w:rsidRPr="00261867">
              <w:rPr>
                <w:rFonts w:eastAsia="MS Mincho" w:cstheme="majorBidi"/>
                <w:spacing w:val="-3"/>
              </w:rPr>
              <w:t>7</w:t>
            </w:r>
            <w:r w:rsidR="00BD5EAD" w:rsidRPr="00261867">
              <w:rPr>
                <w:rFonts w:eastAsia="MS Mincho" w:cstheme="majorBidi"/>
                <w:spacing w:val="-3"/>
              </w:rPr>
              <w:t>%)</w:t>
            </w:r>
          </w:p>
        </w:tc>
        <w:tc>
          <w:tcPr>
            <w:tcW w:w="1791" w:type="dxa"/>
          </w:tcPr>
          <w:p w14:paraId="55D06AA6" w14:textId="223928A7"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572</w:t>
            </w:r>
            <w:r w:rsidR="00BD5EAD" w:rsidRPr="00261867">
              <w:rPr>
                <w:rFonts w:eastAsia="MS Mincho" w:cstheme="majorBidi"/>
                <w:spacing w:val="-3"/>
              </w:rPr>
              <w:t xml:space="preserve"> (</w:t>
            </w:r>
            <w:r w:rsidR="00A527F3" w:rsidRPr="00261867">
              <w:rPr>
                <w:rFonts w:eastAsia="MS Mincho" w:cstheme="majorBidi"/>
                <w:spacing w:val="-3"/>
              </w:rPr>
              <w:t>58</w:t>
            </w:r>
            <w:r w:rsidR="00BD5EAD" w:rsidRPr="00261867">
              <w:rPr>
                <w:rFonts w:eastAsia="MS Mincho" w:cstheme="majorBidi"/>
                <w:spacing w:val="-3"/>
              </w:rPr>
              <w:t>%)</w:t>
            </w:r>
          </w:p>
        </w:tc>
        <w:tc>
          <w:tcPr>
            <w:tcW w:w="1791" w:type="dxa"/>
          </w:tcPr>
          <w:p w14:paraId="37983F84" w14:textId="1FDCE56C" w:rsidR="00BD5EAD" w:rsidRPr="00261867" w:rsidRDefault="00C6584F"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w:t>
            </w:r>
            <w:r w:rsidR="00834BAB" w:rsidRPr="00261867">
              <w:rPr>
                <w:rFonts w:eastAsia="MS Mincho" w:cstheme="majorBidi"/>
                <w:spacing w:val="-3"/>
              </w:rPr>
              <w:t>150</w:t>
            </w:r>
            <w:r w:rsidR="00BD5EAD" w:rsidRPr="00261867">
              <w:rPr>
                <w:rFonts w:eastAsia="MS Mincho" w:cstheme="majorBidi"/>
                <w:spacing w:val="-3"/>
              </w:rPr>
              <w:t xml:space="preserve"> (1</w:t>
            </w:r>
            <w:r w:rsidR="00834BAB" w:rsidRPr="00261867">
              <w:rPr>
                <w:rFonts w:eastAsia="MS Mincho" w:cstheme="majorBidi"/>
                <w:spacing w:val="-3"/>
              </w:rPr>
              <w:t>5</w:t>
            </w:r>
            <w:r w:rsidR="00BD5EAD" w:rsidRPr="00261867">
              <w:rPr>
                <w:rFonts w:eastAsia="MS Mincho" w:cstheme="majorBidi"/>
                <w:spacing w:val="-3"/>
              </w:rPr>
              <w:t>%)</w:t>
            </w:r>
          </w:p>
        </w:tc>
        <w:tc>
          <w:tcPr>
            <w:tcW w:w="1555" w:type="dxa"/>
          </w:tcPr>
          <w:p w14:paraId="66C9834B" w14:textId="664E1E9B"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989</w:t>
            </w:r>
          </w:p>
        </w:tc>
      </w:tr>
      <w:tr w:rsidR="00BD5EAD" w:rsidRPr="00261867" w14:paraId="71FF9E7C" w14:textId="77777777" w:rsidTr="00E55D9E">
        <w:trPr>
          <w:jc w:val="center"/>
        </w:trPr>
        <w:tc>
          <w:tcPr>
            <w:tcW w:w="1460" w:type="dxa"/>
          </w:tcPr>
          <w:p w14:paraId="3E0C6973" w14:textId="6CAFB050" w:rsidR="00BD5EAD" w:rsidRPr="00261867" w:rsidRDefault="00E55D9E"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70,000</w:t>
            </w:r>
          </w:p>
        </w:tc>
        <w:tc>
          <w:tcPr>
            <w:tcW w:w="1791" w:type="dxa"/>
          </w:tcPr>
          <w:p w14:paraId="7D362782" w14:textId="4057A043"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277</w:t>
            </w:r>
            <w:r w:rsidR="00BD5EAD" w:rsidRPr="00261867">
              <w:rPr>
                <w:rFonts w:eastAsia="MS Mincho" w:cstheme="majorBidi"/>
                <w:spacing w:val="-3"/>
              </w:rPr>
              <w:t xml:space="preserve"> (31%)</w:t>
            </w:r>
          </w:p>
        </w:tc>
        <w:tc>
          <w:tcPr>
            <w:tcW w:w="1791" w:type="dxa"/>
          </w:tcPr>
          <w:p w14:paraId="2196920D" w14:textId="6BFE6357"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460</w:t>
            </w:r>
            <w:r w:rsidR="00BD5EAD" w:rsidRPr="00261867">
              <w:rPr>
                <w:rFonts w:eastAsia="MS Mincho" w:cstheme="majorBidi"/>
                <w:spacing w:val="-3"/>
              </w:rPr>
              <w:t xml:space="preserve"> (52%)</w:t>
            </w:r>
          </w:p>
        </w:tc>
        <w:tc>
          <w:tcPr>
            <w:tcW w:w="1791" w:type="dxa"/>
          </w:tcPr>
          <w:p w14:paraId="286DBEE3" w14:textId="785A3679" w:rsidR="00BD5EAD" w:rsidRPr="00261867" w:rsidRDefault="00C6584F"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w:t>
            </w:r>
            <w:r w:rsidR="00834BAB" w:rsidRPr="00261867">
              <w:rPr>
                <w:rFonts w:eastAsia="MS Mincho" w:cstheme="majorBidi"/>
                <w:spacing w:val="-3"/>
              </w:rPr>
              <w:t>150</w:t>
            </w:r>
            <w:r w:rsidR="00BD5EAD" w:rsidRPr="00261867">
              <w:rPr>
                <w:rFonts w:eastAsia="MS Mincho" w:cstheme="majorBidi"/>
                <w:spacing w:val="-3"/>
              </w:rPr>
              <w:t xml:space="preserve"> (1</w:t>
            </w:r>
            <w:r w:rsidR="00834BAB" w:rsidRPr="00261867">
              <w:rPr>
                <w:rFonts w:eastAsia="MS Mincho" w:cstheme="majorBidi"/>
                <w:spacing w:val="-3"/>
              </w:rPr>
              <w:t>7</w:t>
            </w:r>
            <w:r w:rsidR="00BD5EAD" w:rsidRPr="00261867">
              <w:rPr>
                <w:rFonts w:eastAsia="MS Mincho" w:cstheme="majorBidi"/>
                <w:spacing w:val="-3"/>
              </w:rPr>
              <w:t>%)</w:t>
            </w:r>
          </w:p>
        </w:tc>
        <w:tc>
          <w:tcPr>
            <w:tcW w:w="1555" w:type="dxa"/>
          </w:tcPr>
          <w:p w14:paraId="1540CCDB" w14:textId="7C1A6E3D"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887</w:t>
            </w:r>
          </w:p>
        </w:tc>
      </w:tr>
      <w:tr w:rsidR="00BD5EAD" w:rsidRPr="00261867" w14:paraId="00DE9CD2" w14:textId="77777777" w:rsidTr="00E55D9E">
        <w:trPr>
          <w:jc w:val="center"/>
        </w:trPr>
        <w:tc>
          <w:tcPr>
            <w:tcW w:w="1460" w:type="dxa"/>
            <w:tcBorders>
              <w:bottom w:val="single" w:sz="4" w:space="0" w:color="auto"/>
            </w:tcBorders>
          </w:tcPr>
          <w:p w14:paraId="766FEC56" w14:textId="249403E4" w:rsidR="00BD5EAD" w:rsidRPr="00261867" w:rsidRDefault="00E55D9E"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100,000</w:t>
            </w:r>
          </w:p>
        </w:tc>
        <w:tc>
          <w:tcPr>
            <w:tcW w:w="1791" w:type="dxa"/>
            <w:tcBorders>
              <w:bottom w:val="single" w:sz="4" w:space="0" w:color="auto"/>
            </w:tcBorders>
          </w:tcPr>
          <w:p w14:paraId="3ECA91A8" w14:textId="103B7D14"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290</w:t>
            </w:r>
            <w:r w:rsidR="00BD5EAD" w:rsidRPr="00261867">
              <w:rPr>
                <w:rFonts w:eastAsia="MS Mincho" w:cstheme="majorBidi"/>
                <w:spacing w:val="-3"/>
              </w:rPr>
              <w:t xml:space="preserve"> (3</w:t>
            </w:r>
            <w:r w:rsidR="00114DD5" w:rsidRPr="00261867">
              <w:rPr>
                <w:rFonts w:eastAsia="MS Mincho" w:cstheme="majorBidi"/>
                <w:spacing w:val="-3"/>
              </w:rPr>
              <w:t>9</w:t>
            </w:r>
            <w:r w:rsidR="00BD5EAD" w:rsidRPr="00261867">
              <w:rPr>
                <w:rFonts w:eastAsia="MS Mincho" w:cstheme="majorBidi"/>
                <w:spacing w:val="-3"/>
              </w:rPr>
              <w:t>%)</w:t>
            </w:r>
          </w:p>
        </w:tc>
        <w:tc>
          <w:tcPr>
            <w:tcW w:w="1791" w:type="dxa"/>
            <w:tcBorders>
              <w:bottom w:val="single" w:sz="4" w:space="0" w:color="auto"/>
            </w:tcBorders>
          </w:tcPr>
          <w:p w14:paraId="7C42C1F4" w14:textId="028C21B0"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30</w:t>
            </w:r>
            <w:r w:rsidR="00A4247E" w:rsidRPr="00261867">
              <w:rPr>
                <w:rFonts w:eastAsia="MS Mincho" w:cstheme="majorBidi"/>
                <w:spacing w:val="-3"/>
              </w:rPr>
              <w:t>5</w:t>
            </w:r>
            <w:r w:rsidR="00BD5EAD" w:rsidRPr="00261867">
              <w:rPr>
                <w:rFonts w:eastAsia="MS Mincho" w:cstheme="majorBidi"/>
                <w:spacing w:val="-3"/>
              </w:rPr>
              <w:t xml:space="preserve"> (</w:t>
            </w:r>
            <w:r w:rsidR="00A4247E" w:rsidRPr="00261867">
              <w:rPr>
                <w:rFonts w:eastAsia="MS Mincho" w:cstheme="majorBidi"/>
                <w:spacing w:val="-3"/>
              </w:rPr>
              <w:t>41</w:t>
            </w:r>
            <w:r w:rsidR="00BD5EAD" w:rsidRPr="00261867">
              <w:rPr>
                <w:rFonts w:eastAsia="MS Mincho" w:cstheme="majorBidi"/>
                <w:spacing w:val="-3"/>
              </w:rPr>
              <w:t>%)</w:t>
            </w:r>
          </w:p>
        </w:tc>
        <w:tc>
          <w:tcPr>
            <w:tcW w:w="1791" w:type="dxa"/>
            <w:tcBorders>
              <w:bottom w:val="single" w:sz="4" w:space="0" w:color="auto"/>
            </w:tcBorders>
          </w:tcPr>
          <w:p w14:paraId="2817AB5F" w14:textId="37E8C2C8" w:rsidR="00BD5EAD" w:rsidRPr="00261867" w:rsidRDefault="00C6584F"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w:t>
            </w:r>
            <w:r w:rsidR="00834BAB" w:rsidRPr="00261867">
              <w:rPr>
                <w:rFonts w:eastAsia="MS Mincho" w:cstheme="majorBidi"/>
                <w:spacing w:val="-3"/>
              </w:rPr>
              <w:t>150</w:t>
            </w:r>
            <w:r w:rsidR="00BD5EAD" w:rsidRPr="00261867">
              <w:rPr>
                <w:rFonts w:eastAsia="MS Mincho" w:cstheme="majorBidi"/>
                <w:spacing w:val="-3"/>
              </w:rPr>
              <w:t xml:space="preserve"> (</w:t>
            </w:r>
            <w:r w:rsidR="00A4247E" w:rsidRPr="00261867">
              <w:rPr>
                <w:rFonts w:eastAsia="MS Mincho" w:cstheme="majorBidi"/>
                <w:spacing w:val="-3"/>
              </w:rPr>
              <w:t>20</w:t>
            </w:r>
            <w:r w:rsidR="00BD5EAD" w:rsidRPr="00261867">
              <w:rPr>
                <w:rFonts w:eastAsia="MS Mincho" w:cstheme="majorBidi"/>
                <w:spacing w:val="-3"/>
              </w:rPr>
              <w:t>%)</w:t>
            </w:r>
          </w:p>
        </w:tc>
        <w:tc>
          <w:tcPr>
            <w:tcW w:w="1555" w:type="dxa"/>
            <w:tcBorders>
              <w:bottom w:val="single" w:sz="4" w:space="0" w:color="auto"/>
            </w:tcBorders>
          </w:tcPr>
          <w:p w14:paraId="2F162D8F" w14:textId="1527CAF5" w:rsidR="00BD5EAD" w:rsidRPr="00261867" w:rsidRDefault="00834BAB" w:rsidP="009A4AF3">
            <w:pPr>
              <w:tabs>
                <w:tab w:val="left" w:pos="-720"/>
              </w:tabs>
              <w:suppressAutoHyphens/>
              <w:adjustRightInd w:val="0"/>
              <w:snapToGrid w:val="0"/>
              <w:spacing w:after="240" w:line="480" w:lineRule="auto"/>
              <w:jc w:val="center"/>
              <w:rPr>
                <w:rFonts w:eastAsia="MS Mincho" w:cstheme="majorBidi"/>
                <w:spacing w:val="-3"/>
              </w:rPr>
            </w:pPr>
            <w:r w:rsidRPr="00261867">
              <w:rPr>
                <w:rFonts w:eastAsia="MS Mincho" w:cstheme="majorBidi"/>
                <w:spacing w:val="-3"/>
              </w:rPr>
              <w:t>74</w:t>
            </w:r>
            <w:r w:rsidR="00A4247E" w:rsidRPr="00261867">
              <w:rPr>
                <w:rFonts w:eastAsia="MS Mincho" w:cstheme="majorBidi"/>
                <w:spacing w:val="-3"/>
              </w:rPr>
              <w:t>5</w:t>
            </w:r>
          </w:p>
        </w:tc>
      </w:tr>
    </w:tbl>
    <w:p w14:paraId="38347BCE" w14:textId="43195A1F" w:rsidR="00F91625" w:rsidRDefault="00C31A0F" w:rsidP="00311950">
      <w:pPr>
        <w:tabs>
          <w:tab w:val="left" w:pos="-720"/>
        </w:tabs>
        <w:suppressAutoHyphens/>
        <w:adjustRightInd w:val="0"/>
        <w:snapToGrid w:val="0"/>
        <w:spacing w:before="240" w:after="240" w:line="480" w:lineRule="auto"/>
        <w:ind w:firstLine="360"/>
        <w:jc w:val="both"/>
        <w:rPr>
          <w:rFonts w:eastAsia="MS Mincho" w:cstheme="majorBidi"/>
          <w:spacing w:val="-3"/>
        </w:rPr>
      </w:pPr>
      <w:r w:rsidRPr="00261867">
        <w:rPr>
          <w:rFonts w:eastAsia="MS Mincho" w:cstheme="majorBidi"/>
          <w:spacing w:val="-3"/>
        </w:rPr>
        <w:tab/>
      </w:r>
      <w:r w:rsidR="00EF66DC" w:rsidRPr="00261867">
        <w:rPr>
          <w:rFonts w:eastAsia="MS Mincho" w:cstheme="majorBidi"/>
          <w:spacing w:val="-3"/>
        </w:rPr>
        <w:t xml:space="preserve">Figure </w:t>
      </w:r>
      <w:r w:rsidR="00470F61" w:rsidRPr="00261867">
        <w:rPr>
          <w:rFonts w:eastAsia="MS Mincho" w:cstheme="majorBidi"/>
          <w:spacing w:val="-3"/>
        </w:rPr>
        <w:t>4-</w:t>
      </w:r>
      <w:r w:rsidR="005321EF" w:rsidRPr="00261867">
        <w:rPr>
          <w:rFonts w:eastAsia="MS Mincho" w:cstheme="majorBidi"/>
          <w:spacing w:val="-3"/>
        </w:rPr>
        <w:t>4</w:t>
      </w:r>
      <w:r w:rsidR="00EF66DC" w:rsidRPr="00261867">
        <w:rPr>
          <w:rFonts w:eastAsia="MS Mincho" w:cstheme="majorBidi"/>
          <w:spacing w:val="-3"/>
        </w:rPr>
        <w:t xml:space="preserve"> presents the experimentally determined desalination rate,</w:t>
      </w:r>
      <w:r w:rsidR="00EF66DC" w:rsidRPr="00261867">
        <w:rPr>
          <w:rFonts w:ascii="Cambria Math" w:hAnsi="Cambria Math" w:cstheme="majorBidi"/>
          <w:i/>
          <w:sz w:val="22"/>
          <w:szCs w:val="22"/>
        </w:rPr>
        <w:t xml:space="preserve"> </w:t>
      </w:r>
      <m:oMath>
        <m:r>
          <w:rPr>
            <w:rFonts w:ascii="Cambria Math" w:hAnsi="Cambria Math" w:cstheme="majorBidi"/>
            <w:sz w:val="22"/>
            <w:szCs w:val="22"/>
          </w:rPr>
          <m:t>η</m:t>
        </m:r>
      </m:oMath>
      <w:r w:rsidR="00EF66DC" w:rsidRPr="00261867">
        <w:rPr>
          <w:rFonts w:eastAsia="MS Mincho" w:cstheme="majorBidi"/>
          <w:spacing w:val="-3"/>
        </w:rPr>
        <w:t>, and corresponding</w:t>
      </w:r>
      <w:r w:rsidR="00EF66DC" w:rsidRPr="00EF66DC">
        <w:rPr>
          <w:rFonts w:eastAsia="MS Mincho" w:cstheme="majorBidi"/>
          <w:spacing w:val="-3"/>
        </w:rPr>
        <w:t xml:space="preserve"> recovery ratios (</w:t>
      </w:r>
      <m:oMath>
        <m:sSub>
          <m:sSubPr>
            <m:ctrlPr>
              <w:rPr>
                <w:rFonts w:ascii="Cambria Math" w:eastAsia="MS Mincho" w:hAnsi="Cambria Math" w:cstheme="majorBidi"/>
                <w:iCs/>
                <w:spacing w:val="-3"/>
              </w:rPr>
            </m:ctrlPr>
          </m:sSubPr>
          <m:e>
            <m:r>
              <w:rPr>
                <w:rFonts w:ascii="Cambria Math" w:eastAsia="MS Mincho" w:hAnsi="Cambria Math" w:cstheme="majorBidi"/>
                <w:spacing w:val="-3"/>
              </w:rPr>
              <m:t>R</m:t>
            </m:r>
          </m:e>
          <m:sub>
            <m:r>
              <m:rPr>
                <m:sty m:val="p"/>
              </m:rPr>
              <w:rPr>
                <w:rFonts w:ascii="Cambria Math" w:eastAsia="MS Mincho" w:hAnsi="Cambria Math" w:cstheme="majorBidi"/>
                <w:spacing w:val="-3"/>
              </w:rPr>
              <m:t>ex</m:t>
            </m:r>
          </m:sub>
        </m:sSub>
      </m:oMath>
      <w:r w:rsidR="00EF66DC" w:rsidRPr="00EF66DC">
        <w:rPr>
          <w:rFonts w:eastAsia="MS Mincho" w:cstheme="majorBidi"/>
          <w:spacing w:val="-3"/>
        </w:rPr>
        <w:t>) across a range of feed salinities at a constant cooling temperature of -17°C. The data indicate that at this fixed cooling temperature, an increase in feed brine salinity enhances the desalination rate while simultaneously reducing the recovery ratio.</w:t>
      </w:r>
    </w:p>
    <w:p w14:paraId="73F915F6" w14:textId="77777777" w:rsidR="00267DB8" w:rsidRPr="00EF66DC" w:rsidRDefault="00267DB8" w:rsidP="00311950">
      <w:pPr>
        <w:tabs>
          <w:tab w:val="left" w:pos="-720"/>
        </w:tabs>
        <w:suppressAutoHyphens/>
        <w:adjustRightInd w:val="0"/>
        <w:snapToGrid w:val="0"/>
        <w:spacing w:before="240" w:after="240" w:line="480" w:lineRule="auto"/>
        <w:ind w:firstLine="360"/>
        <w:jc w:val="both"/>
        <w:rPr>
          <w:rFonts w:eastAsia="MS Mincho" w:cstheme="majorBidi"/>
          <w:spacing w:val="-3"/>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EF66DC" w:rsidRPr="00EF66DC" w14:paraId="0609DD98" w14:textId="77777777" w:rsidTr="009A4AF3">
        <w:trPr>
          <w:jc w:val="center"/>
        </w:trPr>
        <w:tc>
          <w:tcPr>
            <w:tcW w:w="9029" w:type="dxa"/>
            <w:vAlign w:val="center"/>
          </w:tcPr>
          <w:p w14:paraId="4E1E9368" w14:textId="77777777" w:rsidR="00EF66DC" w:rsidRPr="00EF66DC" w:rsidRDefault="00EF66DC" w:rsidP="00311950">
            <w:pPr>
              <w:adjustRightInd w:val="0"/>
              <w:snapToGrid w:val="0"/>
              <w:spacing w:line="480" w:lineRule="auto"/>
              <w:jc w:val="center"/>
              <w:rPr>
                <w:rStyle w:val="CommentReference"/>
                <w:rFonts w:cstheme="majorBidi"/>
                <w:noProof/>
                <w:spacing w:val="-3"/>
                <w:sz w:val="24"/>
                <w:szCs w:val="24"/>
              </w:rPr>
            </w:pPr>
            <w:r w:rsidRPr="00EF66DC">
              <w:rPr>
                <w:rStyle w:val="CommentReference"/>
                <w:rFonts w:cstheme="majorBidi"/>
                <w:noProof/>
                <w:spacing w:val="-3"/>
                <w:sz w:val="24"/>
                <w:szCs w:val="24"/>
              </w:rPr>
              <w:lastRenderedPageBreak/>
              <w:drawing>
                <wp:inline distT="0" distB="0" distL="0" distR="0" wp14:anchorId="2FD0C790" wp14:editId="2BCD7A5C">
                  <wp:extent cx="3747974" cy="2743200"/>
                  <wp:effectExtent l="0" t="0" r="5080" b="0"/>
                  <wp:docPr id="137989693" name="Picture 137989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3747974" cy="2743200"/>
                          </a:xfrm>
                          <a:prstGeom prst="rect">
                            <a:avLst/>
                          </a:prstGeom>
                          <a:noFill/>
                          <a:ln>
                            <a:noFill/>
                          </a:ln>
                        </pic:spPr>
                      </pic:pic>
                    </a:graphicData>
                  </a:graphic>
                </wp:inline>
              </w:drawing>
            </w:r>
          </w:p>
        </w:tc>
      </w:tr>
      <w:tr w:rsidR="00EF66DC" w:rsidRPr="00EF66DC" w14:paraId="2236EA8C" w14:textId="77777777" w:rsidTr="009A4AF3">
        <w:trPr>
          <w:jc w:val="center"/>
        </w:trPr>
        <w:tc>
          <w:tcPr>
            <w:tcW w:w="9029" w:type="dxa"/>
            <w:vAlign w:val="center"/>
          </w:tcPr>
          <w:p w14:paraId="4386B768" w14:textId="5205BEA4" w:rsidR="00EF66DC" w:rsidRPr="005321EF" w:rsidRDefault="005321EF" w:rsidP="00311950">
            <w:pPr>
              <w:pStyle w:val="Caption"/>
              <w:spacing w:before="0" w:after="0" w:line="480" w:lineRule="auto"/>
              <w:jc w:val="center"/>
            </w:pPr>
            <w:bookmarkStart w:id="51" w:name="_Toc172708818"/>
            <w:r w:rsidRPr="005321EF">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4</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4</w:t>
            </w:r>
            <w:r w:rsidR="00996526">
              <w:rPr>
                <w:b/>
                <w:bCs/>
              </w:rPr>
              <w:fldChar w:fldCharType="end"/>
            </w:r>
            <w:r w:rsidR="00EF66DC" w:rsidRPr="00EF66DC">
              <w:rPr>
                <w:rFonts w:cstheme="majorBidi"/>
                <w:spacing w:val="-3"/>
              </w:rPr>
              <w:t xml:space="preserve"> </w:t>
            </w:r>
            <w:r w:rsidR="00EF66DC" w:rsidRPr="00EF66DC">
              <w:rPr>
                <w:rFonts w:eastAsia="MS Mincho" w:cstheme="majorBidi"/>
                <w:spacing w:val="-3"/>
              </w:rPr>
              <w:t>Experimentally measured desalination rate (</w:t>
            </w:r>
            <m:oMath>
              <m:r>
                <w:rPr>
                  <w:rFonts w:ascii="Cambria Math" w:eastAsia="MS Mincho" w:hAnsi="Cambria Math" w:cstheme="majorBidi"/>
                  <w:spacing w:val="-3"/>
                </w:rPr>
                <m:t>η</m:t>
              </m:r>
            </m:oMath>
            <w:r w:rsidR="00EF66DC" w:rsidRPr="00EF66DC">
              <w:rPr>
                <w:rFonts w:eastAsia="MS Mincho" w:cstheme="majorBidi"/>
                <w:spacing w:val="-3"/>
              </w:rPr>
              <w:t>) and recovery ratio (</w:t>
            </w:r>
            <m:oMath>
              <m:sSub>
                <m:sSubPr>
                  <m:ctrlPr>
                    <w:rPr>
                      <w:rFonts w:ascii="Cambria Math" w:hAnsi="Cambria Math" w:cstheme="majorBidi"/>
                      <w:i/>
                      <w:spacing w:val="-3"/>
                    </w:rPr>
                  </m:ctrlPr>
                </m:sSubPr>
                <m:e>
                  <m:r>
                    <w:rPr>
                      <w:rFonts w:ascii="Cambria Math" w:hAnsi="Cambria Math" w:cstheme="majorBidi"/>
                      <w:spacing w:val="-3"/>
                    </w:rPr>
                    <m:t>R</m:t>
                  </m:r>
                </m:e>
                <m:sub>
                  <m:r>
                    <m:rPr>
                      <m:sty m:val="p"/>
                    </m:rPr>
                    <w:rPr>
                      <w:rFonts w:ascii="Cambria Math" w:hAnsi="Cambria Math" w:cstheme="majorBidi"/>
                      <w:spacing w:val="-3"/>
                    </w:rPr>
                    <m:t>ex</m:t>
                  </m:r>
                </m:sub>
              </m:sSub>
            </m:oMath>
            <w:r w:rsidR="00EF66DC" w:rsidRPr="00EF66DC">
              <w:rPr>
                <w:rFonts w:eastAsia="MS Mincho" w:cstheme="majorBidi"/>
                <w:spacing w:val="-3"/>
              </w:rPr>
              <w:t>) across various feed brine salinities (</w:t>
            </w:r>
            <w:r w:rsidR="00EF66DC" w:rsidRPr="00EF66DC">
              <w:rPr>
                <w:rFonts w:cstheme="majorBidi"/>
                <w:spacing w:val="-3"/>
              </w:rPr>
              <w:t>TDS</w:t>
            </w:r>
            <w:r w:rsidR="00EF66DC" w:rsidRPr="00EF66DC">
              <w:rPr>
                <w:rFonts w:cstheme="majorBidi"/>
                <w:spacing w:val="-3"/>
                <w:vertAlign w:val="subscript"/>
              </w:rPr>
              <w:t>fb</w:t>
            </w:r>
            <w:r w:rsidR="00EF66DC" w:rsidRPr="00EF66DC">
              <w:rPr>
                <w:rFonts w:eastAsia="MS Mincho" w:cstheme="majorBidi"/>
                <w:spacing w:val="-3"/>
              </w:rPr>
              <w:t>) at a cooling temperature of -17°C. Error bars illustrate the overall measurement uncertainty.</w:t>
            </w:r>
            <w:bookmarkEnd w:id="51"/>
          </w:p>
        </w:tc>
      </w:tr>
    </w:tbl>
    <w:p w14:paraId="4EB30AEB" w14:textId="069BAAE4" w:rsidR="00F2690F" w:rsidRPr="00311950" w:rsidRDefault="00F02B8D" w:rsidP="00700DBA">
      <w:pPr>
        <w:pStyle w:val="Heading2"/>
        <w:numPr>
          <w:ilvl w:val="1"/>
          <w:numId w:val="4"/>
        </w:numPr>
        <w:spacing w:before="360" w:after="0" w:line="480" w:lineRule="auto"/>
        <w:ind w:left="432" w:hanging="432"/>
        <w:rPr>
          <w:rFonts w:eastAsia="MS Mincho"/>
          <w:sz w:val="24"/>
          <w:szCs w:val="24"/>
        </w:rPr>
      </w:pPr>
      <w:bookmarkStart w:id="52" w:name="_Toc172367686"/>
      <w:r>
        <w:rPr>
          <w:rFonts w:eastAsia="MS Mincho"/>
          <w:sz w:val="24"/>
          <w:szCs w:val="24"/>
        </w:rPr>
        <w:t xml:space="preserve">Effect of </w:t>
      </w:r>
      <w:r w:rsidR="00F2690F" w:rsidRPr="00311950">
        <w:rPr>
          <w:rFonts w:eastAsia="MS Mincho"/>
          <w:sz w:val="24"/>
          <w:szCs w:val="24"/>
        </w:rPr>
        <w:t>Centrifugal Brine Removal Duration</w:t>
      </w:r>
      <w:bookmarkEnd w:id="52"/>
      <w:r w:rsidR="00F2690F" w:rsidRPr="00311950">
        <w:rPr>
          <w:rFonts w:eastAsia="MS Mincho"/>
          <w:sz w:val="24"/>
          <w:szCs w:val="24"/>
        </w:rPr>
        <w:t xml:space="preserve"> </w:t>
      </w:r>
    </w:p>
    <w:p w14:paraId="0FF13755" w14:textId="723D5CB6" w:rsidR="008008F6" w:rsidRPr="004C0C94" w:rsidRDefault="004C0C94" w:rsidP="00311950">
      <w:pPr>
        <w:shd w:val="clear" w:color="auto" w:fill="FFFFFF" w:themeFill="background1"/>
        <w:spacing w:before="240" w:after="240" w:line="480" w:lineRule="auto"/>
        <w:jc w:val="both"/>
        <w:rPr>
          <w:rFonts w:eastAsia="Times New Roman" w:cstheme="majorBidi"/>
        </w:rPr>
      </w:pPr>
      <w:bookmarkStart w:id="53" w:name="_Hlk155954196"/>
      <w:r w:rsidRPr="004C0C94">
        <w:rPr>
          <w:rFonts w:eastAsia="Times New Roman" w:cstheme="majorBidi"/>
        </w:rPr>
        <w:t xml:space="preserve">As previously mentioned, the collected ice incorporates brine that must be efficiently extracted </w:t>
      </w:r>
      <w:r w:rsidR="008008F6">
        <w:rPr>
          <w:rFonts w:eastAsia="Times New Roman" w:cstheme="majorBidi"/>
        </w:rPr>
        <w:t>before</w:t>
      </w:r>
      <w:r w:rsidRPr="004C0C94">
        <w:rPr>
          <w:rFonts w:eastAsia="Times New Roman" w:cstheme="majorBidi"/>
        </w:rPr>
        <w:t xml:space="preserve"> melting. Some of this unfrozen brine adheres to the surface of the ice crystals, while the rest remains entrapped within them. To facilitate brine removal, a centrifugal method was utilized, with varying durations of centrifugation</w:t>
      </w:r>
      <w:r>
        <w:rPr>
          <w:rFonts w:eastAsia="Times New Roman" w:cstheme="majorBidi"/>
        </w:rPr>
        <w:t xml:space="preserve"> (</w:t>
      </w:r>
      <m:oMath>
        <m:sSub>
          <m:sSubPr>
            <m:ctrlPr>
              <w:rPr>
                <w:rFonts w:ascii="Cambria Math" w:eastAsia="MS Mincho" w:hAnsi="Cambria Math" w:cstheme="majorBidi"/>
                <w:i/>
                <w:iCs/>
                <w:spacing w:val="-3"/>
              </w:rPr>
            </m:ctrlPr>
          </m:sSubPr>
          <m:e>
            <m:r>
              <w:rPr>
                <w:rFonts w:ascii="Cambria Math" w:eastAsia="MS Mincho" w:hAnsi="Cambria Math" w:cstheme="majorBidi"/>
                <w:spacing w:val="-3"/>
              </w:rPr>
              <m:t>t</m:t>
            </m:r>
          </m:e>
          <m:sub>
            <m:r>
              <m:rPr>
                <m:sty m:val="p"/>
              </m:rPr>
              <w:rPr>
                <w:rFonts w:ascii="Cambria Math" w:eastAsia="MS Mincho" w:hAnsi="Cambria Math" w:cstheme="majorBidi"/>
                <w:spacing w:val="-3"/>
              </w:rPr>
              <m:t>cent</m:t>
            </m:r>
          </m:sub>
        </m:sSub>
      </m:oMath>
      <w:r>
        <w:rPr>
          <w:rFonts w:eastAsia="Times New Roman" w:cstheme="majorBidi"/>
        </w:rPr>
        <w:t>)</w:t>
      </w:r>
      <w:r w:rsidRPr="004C0C94">
        <w:rPr>
          <w:rFonts w:eastAsia="Times New Roman" w:cstheme="majorBidi"/>
        </w:rPr>
        <w:t xml:space="preserve"> ranging from 4 to 16 minutes explored to assess their impact on the recovery ratio and the quality of the treated water. Table 4</w:t>
      </w:r>
      <w:r w:rsidR="00470F61">
        <w:rPr>
          <w:rFonts w:eastAsia="Times New Roman" w:cstheme="majorBidi"/>
        </w:rPr>
        <w:t>-</w:t>
      </w:r>
      <w:r w:rsidR="00BC4763">
        <w:rPr>
          <w:rFonts w:eastAsia="Times New Roman" w:cstheme="majorBidi"/>
        </w:rPr>
        <w:t>3</w:t>
      </w:r>
      <w:r w:rsidRPr="004C0C94">
        <w:rPr>
          <w:rFonts w:eastAsia="Times New Roman" w:cstheme="majorBidi"/>
        </w:rPr>
        <w:t xml:space="preserve"> details the outcomes in terms of recovery ratio, </w:t>
      </w:r>
      <w:r>
        <w:rPr>
          <w:rFonts w:eastAsia="Times New Roman" w:cstheme="majorBidi"/>
        </w:rPr>
        <w:t>TDS</w:t>
      </w:r>
      <w:r w:rsidRPr="004C0C94">
        <w:rPr>
          <w:rFonts w:eastAsia="Times New Roman" w:cstheme="majorBidi"/>
        </w:rPr>
        <w:t xml:space="preserve"> of the treated water, and the desalination rate for these various centrifugation times, using a feed brine TDS of 70,000 ppm at a cooling temperature of -17°C. The data suggest a high initial presence of brine within the ice, as indicated by the substantial desalination rate. Extending the centrifugation time beyond a certain point, however, did not significantly alter the TDS. </w:t>
      </w:r>
      <w:r>
        <w:rPr>
          <w:rFonts w:eastAsia="Times New Roman" w:cstheme="majorBidi"/>
        </w:rPr>
        <w:t>It is noted</w:t>
      </w:r>
      <w:r w:rsidRPr="004C0C94">
        <w:rPr>
          <w:rFonts w:eastAsia="Times New Roman" w:cstheme="majorBidi"/>
        </w:rPr>
        <w:t xml:space="preserve"> that the effectiveness of the centrifugal separation process </w:t>
      </w:r>
      <w:r w:rsidRPr="004C0C94">
        <w:rPr>
          <w:rFonts w:eastAsia="Times New Roman" w:cstheme="majorBidi"/>
        </w:rPr>
        <w:lastRenderedPageBreak/>
        <w:t>could be enhanced by employing devices with higher rotational speeds, which not only shortens the separation duration but may also reduce the energy consumption of the process</w:t>
      </w:r>
      <w:r>
        <w:rPr>
          <w:rFonts w:eastAsia="Times New Roman" w:cstheme="majorBidi"/>
        </w:rPr>
        <w:t>.</w:t>
      </w:r>
    </w:p>
    <w:tbl>
      <w:tblPr>
        <w:tblStyle w:val="TableGrid"/>
        <w:tblW w:w="90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430"/>
        <w:gridCol w:w="2880"/>
        <w:gridCol w:w="1757"/>
      </w:tblGrid>
      <w:tr w:rsidR="004C0C94" w:rsidRPr="004C0C94" w14:paraId="151285AC" w14:textId="77777777" w:rsidTr="004C0C94">
        <w:trPr>
          <w:jc w:val="center"/>
        </w:trPr>
        <w:tc>
          <w:tcPr>
            <w:tcW w:w="9047" w:type="dxa"/>
            <w:gridSpan w:val="4"/>
            <w:tcBorders>
              <w:bottom w:val="single" w:sz="4" w:space="0" w:color="auto"/>
            </w:tcBorders>
          </w:tcPr>
          <w:p w14:paraId="274ECCC6" w14:textId="67BCBEBB" w:rsidR="004C0C94" w:rsidRPr="004C0C94" w:rsidRDefault="004C0C94" w:rsidP="00311950">
            <w:pPr>
              <w:adjustRightInd w:val="0"/>
              <w:snapToGrid w:val="0"/>
              <w:spacing w:line="480" w:lineRule="auto"/>
              <w:jc w:val="center"/>
              <w:rPr>
                <w:rFonts w:cstheme="majorBidi"/>
                <w:spacing w:val="-3"/>
              </w:rPr>
            </w:pPr>
            <w:bookmarkStart w:id="54" w:name="_Toc172708778"/>
            <w:bookmarkEnd w:id="53"/>
            <w:r w:rsidRPr="004C0C94">
              <w:rPr>
                <w:b/>
                <w:bCs/>
              </w:rPr>
              <w:t xml:space="preserve">Table </w:t>
            </w:r>
            <w:r w:rsidR="00015A16">
              <w:rPr>
                <w:b/>
                <w:bCs/>
              </w:rPr>
              <w:fldChar w:fldCharType="begin"/>
            </w:r>
            <w:r w:rsidR="00015A16">
              <w:rPr>
                <w:b/>
                <w:bCs/>
              </w:rPr>
              <w:instrText xml:space="preserve"> STYLEREF 1 \s </w:instrText>
            </w:r>
            <w:r w:rsidR="00015A16">
              <w:rPr>
                <w:b/>
                <w:bCs/>
              </w:rPr>
              <w:fldChar w:fldCharType="separate"/>
            </w:r>
            <w:r w:rsidR="00732AAC">
              <w:rPr>
                <w:b/>
                <w:bCs/>
                <w:noProof/>
                <w:cs/>
              </w:rPr>
              <w:t>‎</w:t>
            </w:r>
            <w:r w:rsidR="00732AAC">
              <w:rPr>
                <w:b/>
                <w:bCs/>
                <w:noProof/>
              </w:rPr>
              <w:t>4</w:t>
            </w:r>
            <w:r w:rsidR="00015A16">
              <w:rPr>
                <w:b/>
                <w:bCs/>
              </w:rPr>
              <w:fldChar w:fldCharType="end"/>
            </w:r>
            <w:r w:rsidR="00015A16">
              <w:rPr>
                <w:b/>
                <w:bCs/>
              </w:rPr>
              <w:noBreakHyphen/>
            </w:r>
            <w:r w:rsidR="00015A16">
              <w:rPr>
                <w:b/>
                <w:bCs/>
              </w:rPr>
              <w:fldChar w:fldCharType="begin"/>
            </w:r>
            <w:r w:rsidR="00015A16">
              <w:rPr>
                <w:b/>
                <w:bCs/>
              </w:rPr>
              <w:instrText xml:space="preserve"> SEQ Table \* ARABIC \s 1 </w:instrText>
            </w:r>
            <w:r w:rsidR="00015A16">
              <w:rPr>
                <w:b/>
                <w:bCs/>
              </w:rPr>
              <w:fldChar w:fldCharType="separate"/>
            </w:r>
            <w:r w:rsidR="00732AAC">
              <w:rPr>
                <w:b/>
                <w:bCs/>
                <w:noProof/>
              </w:rPr>
              <w:t>2</w:t>
            </w:r>
            <w:r w:rsidR="00015A16">
              <w:rPr>
                <w:b/>
                <w:bCs/>
              </w:rPr>
              <w:fldChar w:fldCharType="end"/>
            </w:r>
            <w:r w:rsidRPr="004C0C94">
              <w:rPr>
                <w:rFonts w:cstheme="majorBidi"/>
                <w:spacing w:val="-3"/>
              </w:rPr>
              <w:t xml:space="preserve"> The experimental recovery ratio (</w:t>
            </w:r>
            <m:oMath>
              <m:sSub>
                <m:sSubPr>
                  <m:ctrlPr>
                    <w:rPr>
                      <w:rFonts w:ascii="Cambria Math" w:hAnsi="Cambria Math" w:cstheme="majorBidi"/>
                      <w:i/>
                      <w:spacing w:val="-3"/>
                    </w:rPr>
                  </m:ctrlPr>
                </m:sSubPr>
                <m:e>
                  <m:r>
                    <w:rPr>
                      <w:rFonts w:ascii="Cambria Math" w:hAnsi="Cambria Math" w:cstheme="majorBidi"/>
                      <w:spacing w:val="-3"/>
                    </w:rPr>
                    <m:t>R</m:t>
                  </m:r>
                </m:e>
                <m:sub>
                  <m:r>
                    <m:rPr>
                      <m:sty m:val="p"/>
                    </m:rPr>
                    <w:rPr>
                      <w:rFonts w:ascii="Cambria Math" w:hAnsi="Cambria Math" w:cstheme="majorBidi"/>
                      <w:spacing w:val="-3"/>
                    </w:rPr>
                    <m:t>ex</m:t>
                  </m:r>
                </m:sub>
              </m:sSub>
            </m:oMath>
            <w:r w:rsidRPr="004C0C94">
              <w:rPr>
                <w:rFonts w:cstheme="majorBidi"/>
                <w:spacing w:val="-3"/>
              </w:rPr>
              <w:t>)</w:t>
            </w:r>
            <w:r>
              <w:rPr>
                <w:rFonts w:cstheme="majorBidi"/>
                <w:spacing w:val="-3"/>
              </w:rPr>
              <w:t xml:space="preserve">, </w:t>
            </w:r>
            <w:r w:rsidRPr="004C0C94">
              <w:rPr>
                <w:rFonts w:cstheme="majorBidi"/>
                <w:spacing w:val="-3"/>
              </w:rPr>
              <w:t>TDS of the treated water (</w:t>
            </w:r>
            <m:oMath>
              <m:r>
                <m:rPr>
                  <m:sty m:val="p"/>
                </m:rPr>
                <w:rPr>
                  <w:rFonts w:ascii="Cambria Math" w:hAnsi="Cambria Math" w:cstheme="majorBidi"/>
                  <w:spacing w:val="-3"/>
                </w:rPr>
                <m:t>TD</m:t>
              </m:r>
              <m:sSub>
                <m:sSubPr>
                  <m:ctrlPr>
                    <w:rPr>
                      <w:rFonts w:ascii="Cambria Math" w:hAnsi="Cambria Math" w:cstheme="majorBidi"/>
                      <w:iCs/>
                      <w:spacing w:val="-3"/>
                    </w:rPr>
                  </m:ctrlPr>
                </m:sSubPr>
                <m:e>
                  <m:r>
                    <m:rPr>
                      <m:sty m:val="p"/>
                    </m:rPr>
                    <w:rPr>
                      <w:rFonts w:ascii="Cambria Math" w:hAnsi="Cambria Math" w:cstheme="majorBidi"/>
                      <w:spacing w:val="-3"/>
                    </w:rPr>
                    <m:t>S</m:t>
                  </m:r>
                </m:e>
                <m:sub>
                  <m:r>
                    <m:rPr>
                      <m:sty m:val="p"/>
                    </m:rPr>
                    <w:rPr>
                      <w:rFonts w:ascii="Cambria Math" w:hAnsi="Cambria Math" w:cstheme="majorBidi"/>
                      <w:spacing w:val="-3"/>
                    </w:rPr>
                    <m:t>tw</m:t>
                  </m:r>
                </m:sub>
              </m:sSub>
            </m:oMath>
            <w:r w:rsidRPr="004C0C94">
              <w:rPr>
                <w:rFonts w:cstheme="majorBidi"/>
                <w:spacing w:val="-3"/>
              </w:rPr>
              <w:t>)</w:t>
            </w:r>
            <w:r>
              <w:rPr>
                <w:rFonts w:cstheme="majorBidi"/>
                <w:spacing w:val="-3"/>
              </w:rPr>
              <w:t xml:space="preserve">, </w:t>
            </w:r>
            <w:r w:rsidRPr="004C0C94">
              <w:rPr>
                <w:rFonts w:cstheme="majorBidi"/>
                <w:spacing w:val="-3"/>
              </w:rPr>
              <w:t>and desalination rate</w:t>
            </w:r>
            <w:r w:rsidRPr="004C0C94">
              <w:rPr>
                <w:rFonts w:cstheme="majorBidi"/>
                <w:iCs/>
                <w:spacing w:val="-3"/>
              </w:rPr>
              <w:t xml:space="preserve"> (</w:t>
            </w:r>
            <m:oMath>
              <m:r>
                <w:rPr>
                  <w:rFonts w:ascii="Cambria Math" w:hAnsi="Cambria Math" w:cstheme="majorBidi"/>
                  <w:spacing w:val="-3"/>
                </w:rPr>
                <m:t>η</m:t>
              </m:r>
            </m:oMath>
            <w:r w:rsidRPr="004C0C94">
              <w:rPr>
                <w:rFonts w:cstheme="majorBidi"/>
                <w:spacing w:val="-3"/>
              </w:rPr>
              <w:t>) for a feed brine TDS of 70,000 ppm and cooling temperature of -17°C for various centrifugation durations (</w:t>
            </w:r>
            <m:oMath>
              <m:sSub>
                <m:sSubPr>
                  <m:ctrlPr>
                    <w:rPr>
                      <w:rFonts w:ascii="Cambria Math" w:hAnsi="Cambria Math" w:cstheme="majorBidi"/>
                      <w:i/>
                      <w:spacing w:val="-3"/>
                    </w:rPr>
                  </m:ctrlPr>
                </m:sSubPr>
                <m:e>
                  <m:r>
                    <w:rPr>
                      <w:rFonts w:ascii="Cambria Math" w:hAnsi="Cambria Math" w:cstheme="majorBidi"/>
                      <w:spacing w:val="-3"/>
                    </w:rPr>
                    <m:t>t</m:t>
                  </m:r>
                </m:e>
                <m:sub>
                  <m:r>
                    <m:rPr>
                      <m:sty m:val="p"/>
                    </m:rPr>
                    <w:rPr>
                      <w:rFonts w:ascii="Cambria Math" w:hAnsi="Cambria Math" w:cstheme="majorBidi"/>
                      <w:spacing w:val="-3"/>
                    </w:rPr>
                    <m:t>cent</m:t>
                  </m:r>
                </m:sub>
              </m:sSub>
            </m:oMath>
            <w:r w:rsidRPr="004C0C94">
              <w:rPr>
                <w:rFonts w:cstheme="majorBidi"/>
                <w:spacing w:val="-3"/>
              </w:rPr>
              <w:t>).</w:t>
            </w:r>
            <w:bookmarkEnd w:id="54"/>
          </w:p>
        </w:tc>
      </w:tr>
      <w:tr w:rsidR="004C0C94" w:rsidRPr="004C0C94" w14:paraId="7CF4DAC3" w14:textId="77777777" w:rsidTr="004C0C94">
        <w:trPr>
          <w:jc w:val="center"/>
        </w:trPr>
        <w:tc>
          <w:tcPr>
            <w:tcW w:w="1980" w:type="dxa"/>
            <w:tcBorders>
              <w:top w:val="single" w:sz="4" w:space="0" w:color="auto"/>
              <w:bottom w:val="single" w:sz="4" w:space="0" w:color="auto"/>
            </w:tcBorders>
          </w:tcPr>
          <w:p w14:paraId="029EE4BD" w14:textId="47E54AC4" w:rsidR="004C0C94" w:rsidRPr="008008F6" w:rsidRDefault="00000000" w:rsidP="00311950">
            <w:pPr>
              <w:adjustRightInd w:val="0"/>
              <w:snapToGrid w:val="0"/>
              <w:spacing w:before="240" w:line="480" w:lineRule="auto"/>
              <w:jc w:val="center"/>
              <w:rPr>
                <w:rFonts w:cstheme="majorBidi"/>
                <w:b/>
                <w:bCs/>
                <w:spacing w:val="-3"/>
              </w:rPr>
            </w:pPr>
            <m:oMath>
              <m:sSub>
                <m:sSubPr>
                  <m:ctrlPr>
                    <w:rPr>
                      <w:rFonts w:ascii="Cambria Math" w:hAnsi="Cambria Math" w:cstheme="majorBidi"/>
                      <w:b/>
                      <w:bCs/>
                      <w:i/>
                      <w:spacing w:val="-3"/>
                    </w:rPr>
                  </m:ctrlPr>
                </m:sSubPr>
                <m:e>
                  <m:r>
                    <m:rPr>
                      <m:sty m:val="bi"/>
                    </m:rPr>
                    <w:rPr>
                      <w:rFonts w:ascii="Cambria Math" w:hAnsi="Cambria Math" w:cstheme="majorBidi"/>
                      <w:spacing w:val="-3"/>
                    </w:rPr>
                    <m:t>t</m:t>
                  </m:r>
                </m:e>
                <m:sub>
                  <m:r>
                    <m:rPr>
                      <m:sty m:val="b"/>
                    </m:rPr>
                    <w:rPr>
                      <w:rFonts w:ascii="Cambria Math" w:hAnsi="Cambria Math" w:cstheme="majorBidi"/>
                      <w:spacing w:val="-3"/>
                    </w:rPr>
                    <m:t>cent</m:t>
                  </m:r>
                </m:sub>
              </m:sSub>
              <m:r>
                <m:rPr>
                  <m:sty m:val="bi"/>
                </m:rPr>
                <w:rPr>
                  <w:rFonts w:ascii="Cambria Math" w:hAnsi="Cambria Math" w:cstheme="majorBidi"/>
                  <w:spacing w:val="-3"/>
                </w:rPr>
                <m:t xml:space="preserve"> </m:t>
              </m:r>
            </m:oMath>
            <w:r w:rsidR="004C0C94" w:rsidRPr="008008F6">
              <w:rPr>
                <w:rFonts w:cstheme="majorBidi"/>
                <w:b/>
                <w:bCs/>
                <w:spacing w:val="-3"/>
              </w:rPr>
              <w:t xml:space="preserve">(minutes) </w:t>
            </w:r>
          </w:p>
        </w:tc>
        <w:tc>
          <w:tcPr>
            <w:tcW w:w="2430" w:type="dxa"/>
            <w:tcBorders>
              <w:top w:val="single" w:sz="4" w:space="0" w:color="auto"/>
              <w:bottom w:val="single" w:sz="4" w:space="0" w:color="auto"/>
            </w:tcBorders>
          </w:tcPr>
          <w:p w14:paraId="24B9E48E" w14:textId="0727AA31" w:rsidR="004C0C94" w:rsidRPr="008008F6" w:rsidRDefault="00000000" w:rsidP="00311950">
            <w:pPr>
              <w:adjustRightInd w:val="0"/>
              <w:snapToGrid w:val="0"/>
              <w:spacing w:before="240" w:line="480" w:lineRule="auto"/>
              <w:jc w:val="center"/>
              <w:rPr>
                <w:rFonts w:cstheme="majorBidi"/>
                <w:b/>
                <w:bCs/>
                <w:spacing w:val="-3"/>
              </w:rPr>
            </w:pPr>
            <m:oMath>
              <m:sSub>
                <m:sSubPr>
                  <m:ctrlPr>
                    <w:rPr>
                      <w:rFonts w:ascii="Cambria Math" w:hAnsi="Cambria Math" w:cstheme="majorBidi"/>
                      <w:b/>
                      <w:bCs/>
                      <w:i/>
                      <w:spacing w:val="-3"/>
                    </w:rPr>
                  </m:ctrlPr>
                </m:sSubPr>
                <m:e>
                  <m:r>
                    <m:rPr>
                      <m:sty m:val="bi"/>
                    </m:rPr>
                    <w:rPr>
                      <w:rFonts w:ascii="Cambria Math" w:hAnsi="Cambria Math" w:cstheme="majorBidi"/>
                      <w:spacing w:val="-3"/>
                    </w:rPr>
                    <m:t>R</m:t>
                  </m:r>
                </m:e>
                <m:sub>
                  <m:r>
                    <m:rPr>
                      <m:sty m:val="b"/>
                    </m:rPr>
                    <w:rPr>
                      <w:rFonts w:ascii="Cambria Math" w:hAnsi="Cambria Math" w:cstheme="majorBidi"/>
                      <w:spacing w:val="-3"/>
                    </w:rPr>
                    <m:t>ex</m:t>
                  </m:r>
                </m:sub>
              </m:sSub>
            </m:oMath>
            <w:r w:rsidR="004C0C94" w:rsidRPr="008008F6">
              <w:rPr>
                <w:rFonts w:cstheme="majorBidi"/>
                <w:b/>
                <w:bCs/>
                <w:spacing w:val="-3"/>
              </w:rPr>
              <w:t xml:space="preserve"> (%)</w:t>
            </w:r>
          </w:p>
        </w:tc>
        <w:tc>
          <w:tcPr>
            <w:tcW w:w="2880" w:type="dxa"/>
            <w:tcBorders>
              <w:top w:val="single" w:sz="4" w:space="0" w:color="auto"/>
              <w:bottom w:val="single" w:sz="4" w:space="0" w:color="auto"/>
            </w:tcBorders>
          </w:tcPr>
          <w:p w14:paraId="0A81D06B" w14:textId="48359210" w:rsidR="004C0C94" w:rsidRPr="008008F6" w:rsidRDefault="008008F6" w:rsidP="00311950">
            <w:pPr>
              <w:adjustRightInd w:val="0"/>
              <w:snapToGrid w:val="0"/>
              <w:spacing w:before="240" w:line="480" w:lineRule="auto"/>
              <w:jc w:val="center"/>
              <w:rPr>
                <w:rFonts w:cstheme="majorBidi"/>
                <w:b/>
                <w:bCs/>
                <w:spacing w:val="-3"/>
              </w:rPr>
            </w:pPr>
            <m:oMath>
              <m:r>
                <m:rPr>
                  <m:sty m:val="b"/>
                </m:rPr>
                <w:rPr>
                  <w:rFonts w:ascii="Cambria Math" w:hAnsi="Cambria Math" w:cstheme="majorBidi"/>
                  <w:spacing w:val="-3"/>
                </w:rPr>
                <m:t>TD</m:t>
              </m:r>
              <m:sSub>
                <m:sSubPr>
                  <m:ctrlPr>
                    <w:rPr>
                      <w:rFonts w:ascii="Cambria Math" w:hAnsi="Cambria Math" w:cstheme="majorBidi"/>
                      <w:b/>
                      <w:bCs/>
                      <w:iCs/>
                      <w:spacing w:val="-3"/>
                    </w:rPr>
                  </m:ctrlPr>
                </m:sSubPr>
                <m:e>
                  <m:r>
                    <m:rPr>
                      <m:sty m:val="b"/>
                    </m:rPr>
                    <w:rPr>
                      <w:rFonts w:ascii="Cambria Math" w:hAnsi="Cambria Math" w:cstheme="majorBidi"/>
                      <w:spacing w:val="-3"/>
                    </w:rPr>
                    <m:t>S</m:t>
                  </m:r>
                </m:e>
                <m:sub>
                  <m:r>
                    <m:rPr>
                      <m:sty m:val="b"/>
                    </m:rPr>
                    <w:rPr>
                      <w:rFonts w:ascii="Cambria Math" w:hAnsi="Cambria Math" w:cstheme="majorBidi"/>
                      <w:spacing w:val="-3"/>
                    </w:rPr>
                    <m:t>tw</m:t>
                  </m:r>
                </m:sub>
              </m:sSub>
            </m:oMath>
            <w:r w:rsidR="004C0C94" w:rsidRPr="008008F6">
              <w:rPr>
                <w:rFonts w:cstheme="majorBidi"/>
                <w:b/>
                <w:bCs/>
                <w:spacing w:val="-3"/>
              </w:rPr>
              <w:t>(ppm)</w:t>
            </w:r>
          </w:p>
        </w:tc>
        <w:tc>
          <w:tcPr>
            <w:tcW w:w="1757" w:type="dxa"/>
            <w:tcBorders>
              <w:top w:val="single" w:sz="4" w:space="0" w:color="auto"/>
              <w:bottom w:val="single" w:sz="4" w:space="0" w:color="auto"/>
            </w:tcBorders>
          </w:tcPr>
          <w:p w14:paraId="31253F29" w14:textId="60F750EC" w:rsidR="004C0C94" w:rsidRPr="008008F6" w:rsidRDefault="008008F6" w:rsidP="00311950">
            <w:pPr>
              <w:adjustRightInd w:val="0"/>
              <w:snapToGrid w:val="0"/>
              <w:spacing w:before="240" w:line="480" w:lineRule="auto"/>
              <w:jc w:val="center"/>
              <w:rPr>
                <w:rFonts w:cstheme="majorBidi"/>
                <w:b/>
                <w:bCs/>
                <w:spacing w:val="-3"/>
              </w:rPr>
            </w:pPr>
            <m:oMath>
              <m:r>
                <m:rPr>
                  <m:sty m:val="bi"/>
                </m:rPr>
                <w:rPr>
                  <w:rFonts w:ascii="Cambria Math" w:hAnsi="Cambria Math" w:cstheme="majorBidi"/>
                  <w:spacing w:val="-3"/>
                </w:rPr>
                <m:t>η</m:t>
              </m:r>
            </m:oMath>
            <w:r w:rsidR="004C0C94" w:rsidRPr="008008F6">
              <w:rPr>
                <w:rFonts w:cstheme="majorBidi"/>
                <w:b/>
                <w:bCs/>
                <w:iCs/>
                <w:spacing w:val="-3"/>
              </w:rPr>
              <w:t xml:space="preserve"> (%)</w:t>
            </w:r>
          </w:p>
        </w:tc>
      </w:tr>
      <w:tr w:rsidR="004C0C94" w:rsidRPr="004C0C94" w14:paraId="41C501F5" w14:textId="77777777" w:rsidTr="004C0C94">
        <w:trPr>
          <w:jc w:val="center"/>
        </w:trPr>
        <w:tc>
          <w:tcPr>
            <w:tcW w:w="1980" w:type="dxa"/>
            <w:tcBorders>
              <w:top w:val="single" w:sz="4" w:space="0" w:color="auto"/>
            </w:tcBorders>
          </w:tcPr>
          <w:p w14:paraId="587966FF" w14:textId="77777777" w:rsidR="004C0C94" w:rsidRPr="004C0C94" w:rsidRDefault="004C0C94" w:rsidP="00311950">
            <w:pPr>
              <w:adjustRightInd w:val="0"/>
              <w:snapToGrid w:val="0"/>
              <w:spacing w:before="240" w:line="480" w:lineRule="auto"/>
              <w:jc w:val="center"/>
              <w:rPr>
                <w:rFonts w:cstheme="majorBidi"/>
                <w:spacing w:val="-3"/>
              </w:rPr>
            </w:pPr>
            <w:r w:rsidRPr="004C0C94">
              <w:rPr>
                <w:rFonts w:cstheme="majorBidi"/>
                <w:spacing w:val="-3"/>
              </w:rPr>
              <w:t>4</w:t>
            </w:r>
          </w:p>
        </w:tc>
        <w:tc>
          <w:tcPr>
            <w:tcW w:w="2430" w:type="dxa"/>
            <w:tcBorders>
              <w:top w:val="single" w:sz="4" w:space="0" w:color="auto"/>
            </w:tcBorders>
          </w:tcPr>
          <w:p w14:paraId="44711DBA" w14:textId="77777777" w:rsidR="004C0C94" w:rsidRPr="004C0C94" w:rsidRDefault="004C0C94" w:rsidP="00311950">
            <w:pPr>
              <w:adjustRightInd w:val="0"/>
              <w:snapToGrid w:val="0"/>
              <w:spacing w:before="240" w:line="480" w:lineRule="auto"/>
              <w:jc w:val="center"/>
              <w:rPr>
                <w:rFonts w:cstheme="majorBidi"/>
                <w:spacing w:val="-3"/>
              </w:rPr>
            </w:pPr>
            <w:r w:rsidRPr="004C0C94">
              <w:rPr>
                <w:rFonts w:cstheme="majorBidi"/>
                <w:spacing w:val="-3"/>
              </w:rPr>
              <w:t>53.1</w:t>
            </w:r>
          </w:p>
        </w:tc>
        <w:tc>
          <w:tcPr>
            <w:tcW w:w="2880" w:type="dxa"/>
            <w:tcBorders>
              <w:top w:val="single" w:sz="4" w:space="0" w:color="auto"/>
            </w:tcBorders>
          </w:tcPr>
          <w:p w14:paraId="428E4149" w14:textId="77777777" w:rsidR="004C0C94" w:rsidRPr="004C0C94" w:rsidRDefault="004C0C94" w:rsidP="00311950">
            <w:pPr>
              <w:adjustRightInd w:val="0"/>
              <w:snapToGrid w:val="0"/>
              <w:spacing w:before="240" w:line="480" w:lineRule="auto"/>
              <w:jc w:val="center"/>
              <w:rPr>
                <w:rFonts w:cstheme="majorBidi"/>
                <w:spacing w:val="-3"/>
              </w:rPr>
            </w:pPr>
            <w:r w:rsidRPr="004C0C94">
              <w:rPr>
                <w:rFonts w:cstheme="majorBidi"/>
                <w:spacing w:val="-3"/>
              </w:rPr>
              <w:t>7,370</w:t>
            </w:r>
          </w:p>
        </w:tc>
        <w:tc>
          <w:tcPr>
            <w:tcW w:w="1757" w:type="dxa"/>
            <w:tcBorders>
              <w:top w:val="single" w:sz="4" w:space="0" w:color="auto"/>
            </w:tcBorders>
          </w:tcPr>
          <w:p w14:paraId="666B69C1" w14:textId="77777777" w:rsidR="004C0C94" w:rsidRPr="004C0C94" w:rsidRDefault="004C0C94" w:rsidP="00311950">
            <w:pPr>
              <w:adjustRightInd w:val="0"/>
              <w:snapToGrid w:val="0"/>
              <w:spacing w:before="240" w:line="480" w:lineRule="auto"/>
              <w:jc w:val="center"/>
              <w:rPr>
                <w:rFonts w:cstheme="majorBidi"/>
                <w:spacing w:val="-3"/>
              </w:rPr>
            </w:pPr>
            <w:r w:rsidRPr="004C0C94">
              <w:rPr>
                <w:rFonts w:cstheme="majorBidi"/>
                <w:spacing w:val="-3"/>
              </w:rPr>
              <w:t>93.4</w:t>
            </w:r>
          </w:p>
        </w:tc>
      </w:tr>
      <w:tr w:rsidR="004C0C94" w:rsidRPr="004C0C94" w14:paraId="55AEE52D" w14:textId="77777777" w:rsidTr="009A4AF3">
        <w:trPr>
          <w:jc w:val="center"/>
        </w:trPr>
        <w:tc>
          <w:tcPr>
            <w:tcW w:w="1980" w:type="dxa"/>
          </w:tcPr>
          <w:p w14:paraId="3DE8DC9C"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8</w:t>
            </w:r>
          </w:p>
        </w:tc>
        <w:tc>
          <w:tcPr>
            <w:tcW w:w="2430" w:type="dxa"/>
          </w:tcPr>
          <w:p w14:paraId="296426E3"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48.5</w:t>
            </w:r>
          </w:p>
        </w:tc>
        <w:tc>
          <w:tcPr>
            <w:tcW w:w="2880" w:type="dxa"/>
          </w:tcPr>
          <w:p w14:paraId="0234A09F"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4,650</w:t>
            </w:r>
          </w:p>
        </w:tc>
        <w:tc>
          <w:tcPr>
            <w:tcW w:w="1757" w:type="dxa"/>
          </w:tcPr>
          <w:p w14:paraId="3802922F"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96.3</w:t>
            </w:r>
          </w:p>
        </w:tc>
      </w:tr>
      <w:tr w:rsidR="004C0C94" w:rsidRPr="004C0C94" w14:paraId="23C34815" w14:textId="77777777" w:rsidTr="009A4AF3">
        <w:trPr>
          <w:jc w:val="center"/>
        </w:trPr>
        <w:tc>
          <w:tcPr>
            <w:tcW w:w="1980" w:type="dxa"/>
          </w:tcPr>
          <w:p w14:paraId="319AC07F"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12</w:t>
            </w:r>
          </w:p>
        </w:tc>
        <w:tc>
          <w:tcPr>
            <w:tcW w:w="2430" w:type="dxa"/>
          </w:tcPr>
          <w:p w14:paraId="18D7971D"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47.1</w:t>
            </w:r>
          </w:p>
        </w:tc>
        <w:tc>
          <w:tcPr>
            <w:tcW w:w="2880" w:type="dxa"/>
          </w:tcPr>
          <w:p w14:paraId="21CCF83F"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2,660</w:t>
            </w:r>
          </w:p>
        </w:tc>
        <w:tc>
          <w:tcPr>
            <w:tcW w:w="1757" w:type="dxa"/>
          </w:tcPr>
          <w:p w14:paraId="4F5C5204"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97.9</w:t>
            </w:r>
          </w:p>
        </w:tc>
      </w:tr>
      <w:tr w:rsidR="004C0C94" w:rsidRPr="004C0C94" w14:paraId="479E6A0A" w14:textId="77777777" w:rsidTr="009A4AF3">
        <w:trPr>
          <w:jc w:val="center"/>
        </w:trPr>
        <w:tc>
          <w:tcPr>
            <w:tcW w:w="1980" w:type="dxa"/>
            <w:tcBorders>
              <w:bottom w:val="single" w:sz="4" w:space="0" w:color="auto"/>
            </w:tcBorders>
          </w:tcPr>
          <w:p w14:paraId="15B1254C"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16</w:t>
            </w:r>
          </w:p>
        </w:tc>
        <w:tc>
          <w:tcPr>
            <w:tcW w:w="2430" w:type="dxa"/>
            <w:tcBorders>
              <w:bottom w:val="single" w:sz="4" w:space="0" w:color="auto"/>
            </w:tcBorders>
          </w:tcPr>
          <w:p w14:paraId="47F09C04"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45.8</w:t>
            </w:r>
          </w:p>
        </w:tc>
        <w:tc>
          <w:tcPr>
            <w:tcW w:w="2880" w:type="dxa"/>
            <w:tcBorders>
              <w:bottom w:val="single" w:sz="4" w:space="0" w:color="auto"/>
            </w:tcBorders>
          </w:tcPr>
          <w:p w14:paraId="749E2343"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2,100</w:t>
            </w:r>
          </w:p>
        </w:tc>
        <w:tc>
          <w:tcPr>
            <w:tcW w:w="1757" w:type="dxa"/>
            <w:tcBorders>
              <w:bottom w:val="single" w:sz="4" w:space="0" w:color="auto"/>
            </w:tcBorders>
          </w:tcPr>
          <w:p w14:paraId="71BBAB10" w14:textId="77777777" w:rsidR="004C0C94" w:rsidRPr="004C0C94" w:rsidRDefault="004C0C94" w:rsidP="00311950">
            <w:pPr>
              <w:adjustRightInd w:val="0"/>
              <w:snapToGrid w:val="0"/>
              <w:spacing w:line="480" w:lineRule="auto"/>
              <w:jc w:val="center"/>
              <w:rPr>
                <w:rFonts w:cstheme="majorBidi"/>
                <w:spacing w:val="-3"/>
              </w:rPr>
            </w:pPr>
            <w:r w:rsidRPr="004C0C94">
              <w:rPr>
                <w:rFonts w:cstheme="majorBidi"/>
                <w:spacing w:val="-3"/>
              </w:rPr>
              <w:t>98.6</w:t>
            </w:r>
          </w:p>
        </w:tc>
      </w:tr>
    </w:tbl>
    <w:p w14:paraId="3D7B6613" w14:textId="12C82D1D" w:rsidR="00311950" w:rsidRDefault="006650F6" w:rsidP="00267DB8">
      <w:pPr>
        <w:adjustRightInd w:val="0"/>
        <w:snapToGrid w:val="0"/>
        <w:spacing w:before="360" w:after="240" w:line="480" w:lineRule="auto"/>
        <w:ind w:firstLine="720"/>
        <w:jc w:val="both"/>
        <w:rPr>
          <w:rFonts w:eastAsia="MS Mincho" w:cstheme="majorBidi"/>
          <w:spacing w:val="-3"/>
        </w:rPr>
      </w:pPr>
      <w:r w:rsidRPr="006650F6">
        <w:rPr>
          <w:rFonts w:eastAsia="MS Mincho" w:cstheme="majorBidi"/>
          <w:spacing w:val="-3"/>
        </w:rPr>
        <w:t xml:space="preserve">Figure </w:t>
      </w:r>
      <w:r w:rsidR="00470F61">
        <w:rPr>
          <w:rFonts w:eastAsia="MS Mincho" w:cstheme="majorBidi"/>
          <w:spacing w:val="-3"/>
        </w:rPr>
        <w:t>4</w:t>
      </w:r>
      <w:r>
        <w:rPr>
          <w:rFonts w:eastAsia="MS Mincho" w:cstheme="majorBidi"/>
          <w:spacing w:val="-3"/>
        </w:rPr>
        <w:t>-5</w:t>
      </w:r>
      <w:r w:rsidRPr="006650F6">
        <w:rPr>
          <w:rFonts w:eastAsia="MS Mincho" w:cstheme="majorBidi"/>
          <w:spacing w:val="-3"/>
        </w:rPr>
        <w:t xml:space="preserve"> illustrates how the recovery ratio and TDS of the treated water change with varying centrifugation durations. It is clear from the data that longer centrifugation periods lead to lower TDS in the treated water and smaller recovery ratios. Extending the centrifugation time enhances brine removal from the ice, which has dual effects: it reduces the amount of unfrozen brine within the ice, thereby decreasing the total mass of ice recovered from the spin-dryer and resulting in a lower recovery ratio. Simultaneously, it improves the TDS of the treated water as there is less unfrozen brine remaining in the ice. The desalination rates for centrifugation durations of 4, 8, 12, and 16 minutes are approximately 93%, 96%, 98%, and 99%, respectively. Notably, the desalination rate increases by about 3% when extending centrifugation from 4 to 8 minutes, but only by about 1% when extending </w:t>
      </w:r>
      <w:r w:rsidR="008008F6">
        <w:rPr>
          <w:rFonts w:eastAsia="MS Mincho" w:cstheme="majorBidi"/>
          <w:spacing w:val="-3"/>
        </w:rPr>
        <w:t xml:space="preserve">it </w:t>
      </w:r>
      <w:r w:rsidRPr="006650F6">
        <w:rPr>
          <w:rFonts w:eastAsia="MS Mincho" w:cstheme="majorBidi"/>
          <w:spacing w:val="-3"/>
        </w:rPr>
        <w:t xml:space="preserve">from 12 to 16 minutes. This diminishing return is attributed to the increasing difficulty of expelling brine from "drier" ice. As a result, for centrifugation times exceeding roughly 16 minutes, further </w:t>
      </w:r>
      <w:r w:rsidRPr="006650F6">
        <w:rPr>
          <w:rFonts w:eastAsia="MS Mincho" w:cstheme="majorBidi"/>
          <w:spacing w:val="-3"/>
        </w:rPr>
        <w:lastRenderedPageBreak/>
        <w:t>brine rejection is negligible, and only minor changes in the recovery ratio and TDS of the treated water are observed.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9"/>
      </w:tblGrid>
      <w:tr w:rsidR="004C0C94" w:rsidRPr="004C0C94" w14:paraId="31729593" w14:textId="77777777" w:rsidTr="009A4AF3">
        <w:tc>
          <w:tcPr>
            <w:tcW w:w="9029" w:type="dxa"/>
            <w:vAlign w:val="center"/>
          </w:tcPr>
          <w:p w14:paraId="5878E83F" w14:textId="77777777" w:rsidR="004C0C94" w:rsidRPr="004C0C94" w:rsidRDefault="004C0C94" w:rsidP="00311950">
            <w:pPr>
              <w:adjustRightInd w:val="0"/>
              <w:snapToGrid w:val="0"/>
              <w:spacing w:line="480" w:lineRule="auto"/>
              <w:jc w:val="center"/>
              <w:rPr>
                <w:rFonts w:cstheme="majorBidi"/>
                <w:noProof/>
                <w:spacing w:val="-3"/>
              </w:rPr>
            </w:pPr>
            <w:r w:rsidRPr="004C0C94">
              <w:rPr>
                <w:rFonts w:cstheme="majorBidi"/>
                <w:noProof/>
                <w:spacing w:val="-3"/>
              </w:rPr>
              <w:drawing>
                <wp:inline distT="0" distB="0" distL="0" distR="0" wp14:anchorId="74AD50EF" wp14:editId="43600A18">
                  <wp:extent cx="4249313" cy="2651760"/>
                  <wp:effectExtent l="0" t="0" r="0" b="0"/>
                  <wp:docPr id="1220514738" name="Picture 122051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4249313" cy="2651760"/>
                          </a:xfrm>
                          <a:prstGeom prst="rect">
                            <a:avLst/>
                          </a:prstGeom>
                          <a:noFill/>
                          <a:ln>
                            <a:noFill/>
                          </a:ln>
                        </pic:spPr>
                      </pic:pic>
                    </a:graphicData>
                  </a:graphic>
                </wp:inline>
              </w:drawing>
            </w:r>
          </w:p>
        </w:tc>
      </w:tr>
      <w:tr w:rsidR="004C0C94" w:rsidRPr="004C0C94" w14:paraId="3856CAC2" w14:textId="77777777" w:rsidTr="009A4AF3">
        <w:tc>
          <w:tcPr>
            <w:tcW w:w="9029" w:type="dxa"/>
            <w:vAlign w:val="center"/>
          </w:tcPr>
          <w:p w14:paraId="13E0F655" w14:textId="17BA2C12" w:rsidR="004C0C94" w:rsidRPr="004C0C94" w:rsidRDefault="004C0C94" w:rsidP="00311950">
            <w:pPr>
              <w:pStyle w:val="Caption"/>
              <w:spacing w:before="0" w:after="0" w:line="480" w:lineRule="auto"/>
              <w:jc w:val="center"/>
            </w:pPr>
            <w:bookmarkStart w:id="55" w:name="_Toc172708819"/>
            <w:r w:rsidRPr="004C0C94">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4</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5</w:t>
            </w:r>
            <w:r w:rsidR="00996526">
              <w:rPr>
                <w:b/>
                <w:bCs/>
                <w:szCs w:val="24"/>
              </w:rPr>
              <w:fldChar w:fldCharType="end"/>
            </w:r>
            <w:r w:rsidRPr="004C0C94">
              <w:rPr>
                <w:rFonts w:cstheme="majorBidi"/>
                <w:spacing w:val="-3"/>
                <w:szCs w:val="24"/>
              </w:rPr>
              <w:t xml:space="preserve"> </w:t>
            </w:r>
            <w:r w:rsidRPr="004C0C94">
              <w:rPr>
                <w:rFonts w:cstheme="majorBidi"/>
                <w:spacing w:val="-3"/>
                <w:szCs w:val="24"/>
                <w:shd w:val="clear" w:color="auto" w:fill="FFFFFF" w:themeFill="background1"/>
              </w:rPr>
              <w:t>Experimental</w:t>
            </w:r>
            <w:r w:rsidRPr="004C0C94">
              <w:rPr>
                <w:rFonts w:cstheme="majorBidi"/>
                <w:spacing w:val="-3"/>
                <w:szCs w:val="24"/>
              </w:rPr>
              <w:t xml:space="preserve"> recovery ratio (</w:t>
            </w:r>
            <m:oMath>
              <m:sSub>
                <m:sSubPr>
                  <m:ctrlPr>
                    <w:rPr>
                      <w:rFonts w:ascii="Cambria Math" w:hAnsi="Cambria Math" w:cstheme="majorBidi"/>
                      <w:i/>
                      <w:spacing w:val="-3"/>
                      <w:szCs w:val="24"/>
                    </w:rPr>
                  </m:ctrlPr>
                </m:sSubPr>
                <m:e>
                  <m:r>
                    <w:rPr>
                      <w:rFonts w:ascii="Cambria Math" w:hAnsi="Cambria Math" w:cstheme="majorBidi"/>
                      <w:spacing w:val="-3"/>
                      <w:szCs w:val="24"/>
                    </w:rPr>
                    <m:t>R</m:t>
                  </m:r>
                </m:e>
                <m:sub>
                  <m:r>
                    <m:rPr>
                      <m:sty m:val="p"/>
                    </m:rPr>
                    <w:rPr>
                      <w:rFonts w:ascii="Cambria Math" w:hAnsi="Cambria Math" w:cstheme="majorBidi"/>
                      <w:spacing w:val="-3"/>
                      <w:szCs w:val="24"/>
                    </w:rPr>
                    <m:t>ex</m:t>
                  </m:r>
                </m:sub>
              </m:sSub>
            </m:oMath>
            <w:r w:rsidRPr="004C0C94">
              <w:rPr>
                <w:rFonts w:cstheme="majorBidi"/>
                <w:spacing w:val="-3"/>
                <w:szCs w:val="24"/>
              </w:rPr>
              <w:t xml:space="preserve">) and </w:t>
            </w:r>
            <w:r w:rsidR="006650F6">
              <w:rPr>
                <w:rFonts w:cstheme="majorBidi"/>
                <w:spacing w:val="-3"/>
                <w:szCs w:val="24"/>
              </w:rPr>
              <w:t xml:space="preserve">the </w:t>
            </w:r>
            <w:r w:rsidRPr="004C0C94">
              <w:rPr>
                <w:rFonts w:cstheme="majorBidi"/>
                <w:spacing w:val="-3"/>
                <w:szCs w:val="24"/>
              </w:rPr>
              <w:t>corresponding TDS of the treated water (TDS</w:t>
            </w:r>
            <w:r w:rsidRPr="004C0C94">
              <w:rPr>
                <w:rFonts w:cstheme="majorBidi"/>
                <w:spacing w:val="-3"/>
                <w:szCs w:val="24"/>
                <w:vertAlign w:val="subscript"/>
              </w:rPr>
              <w:t>tw</w:t>
            </w:r>
            <w:r w:rsidRPr="004C0C94">
              <w:rPr>
                <w:rFonts w:cstheme="majorBidi"/>
                <w:spacing w:val="-3"/>
                <w:szCs w:val="24"/>
              </w:rPr>
              <w:t xml:space="preserve">) for </w:t>
            </w:r>
            <w:r w:rsidR="006650F6">
              <w:rPr>
                <w:rFonts w:cstheme="majorBidi"/>
                <w:spacing w:val="-3"/>
                <w:szCs w:val="24"/>
              </w:rPr>
              <w:t xml:space="preserve">a </w:t>
            </w:r>
            <w:r w:rsidRPr="004C0C94">
              <w:rPr>
                <w:rFonts w:cstheme="majorBidi"/>
                <w:spacing w:val="-3"/>
                <w:szCs w:val="24"/>
              </w:rPr>
              <w:t>feed brine</w:t>
            </w:r>
            <w:r w:rsidR="006650F6">
              <w:rPr>
                <w:rFonts w:cstheme="majorBidi"/>
                <w:spacing w:val="-3"/>
                <w:szCs w:val="24"/>
              </w:rPr>
              <w:t xml:space="preserve"> with</w:t>
            </w:r>
            <w:r w:rsidRPr="004C0C94">
              <w:rPr>
                <w:rFonts w:cstheme="majorBidi"/>
                <w:spacing w:val="-3"/>
                <w:szCs w:val="24"/>
              </w:rPr>
              <w:t xml:space="preserve"> TDS</w:t>
            </w:r>
            <w:r w:rsidRPr="004C0C94">
              <w:rPr>
                <w:rFonts w:cstheme="majorBidi"/>
                <w:spacing w:val="-3"/>
                <w:szCs w:val="24"/>
                <w:vertAlign w:val="subscript"/>
              </w:rPr>
              <w:t>fb</w:t>
            </w:r>
            <w:r w:rsidRPr="004C0C94">
              <w:rPr>
                <w:rFonts w:cstheme="majorBidi"/>
                <w:spacing w:val="-3"/>
                <w:szCs w:val="24"/>
              </w:rPr>
              <w:t xml:space="preserve"> of 70,000 ppm </w:t>
            </w:r>
            <w:r w:rsidR="006650F6">
              <w:rPr>
                <w:rFonts w:cstheme="majorBidi"/>
                <w:spacing w:val="-3"/>
                <w:szCs w:val="24"/>
              </w:rPr>
              <w:t>at a</w:t>
            </w:r>
            <w:r w:rsidRPr="004C0C94">
              <w:rPr>
                <w:rFonts w:cstheme="majorBidi"/>
                <w:spacing w:val="-3"/>
                <w:szCs w:val="24"/>
              </w:rPr>
              <w:t xml:space="preserve"> cooling temperature of -17°C. </w:t>
            </w:r>
            <w:r w:rsidR="006650F6">
              <w:rPr>
                <w:rFonts w:cstheme="majorBidi"/>
                <w:spacing w:val="-3"/>
                <w:szCs w:val="24"/>
              </w:rPr>
              <w:t>E</w:t>
            </w:r>
            <w:r w:rsidRPr="004C0C94">
              <w:rPr>
                <w:rFonts w:cstheme="majorBidi"/>
                <w:spacing w:val="-3"/>
                <w:szCs w:val="24"/>
              </w:rPr>
              <w:t xml:space="preserve">rror bars </w:t>
            </w:r>
            <w:r w:rsidR="006650F6">
              <w:rPr>
                <w:rFonts w:cstheme="majorBidi"/>
                <w:spacing w:val="-3"/>
                <w:szCs w:val="24"/>
              </w:rPr>
              <w:t>indicate</w:t>
            </w:r>
            <w:r w:rsidRPr="004C0C94">
              <w:rPr>
                <w:rFonts w:cstheme="majorBidi"/>
                <w:spacing w:val="-3"/>
                <w:szCs w:val="24"/>
              </w:rPr>
              <w:t xml:space="preserve"> the overall </w:t>
            </w:r>
            <w:r w:rsidR="006650F6" w:rsidRPr="004C0C94">
              <w:rPr>
                <w:rFonts w:cstheme="majorBidi"/>
                <w:spacing w:val="-3"/>
                <w:szCs w:val="24"/>
              </w:rPr>
              <w:t xml:space="preserve">measurement </w:t>
            </w:r>
            <w:r w:rsidRPr="004C0C94">
              <w:rPr>
                <w:rFonts w:cstheme="majorBidi"/>
                <w:spacing w:val="-3"/>
                <w:szCs w:val="24"/>
              </w:rPr>
              <w:t>uncertainty.</w:t>
            </w:r>
            <w:bookmarkEnd w:id="55"/>
          </w:p>
        </w:tc>
      </w:tr>
    </w:tbl>
    <w:p w14:paraId="35D8532E" w14:textId="1480F23C" w:rsidR="00EF66DC" w:rsidRPr="00311950" w:rsidRDefault="00F2690F" w:rsidP="00700DBA">
      <w:pPr>
        <w:pStyle w:val="Heading2"/>
        <w:numPr>
          <w:ilvl w:val="1"/>
          <w:numId w:val="4"/>
        </w:numPr>
        <w:spacing w:before="360" w:after="240" w:line="480" w:lineRule="auto"/>
        <w:ind w:left="432" w:hanging="432"/>
        <w:rPr>
          <w:rFonts w:eastAsia="MS Mincho"/>
          <w:sz w:val="24"/>
          <w:szCs w:val="28"/>
        </w:rPr>
      </w:pPr>
      <w:bookmarkStart w:id="56" w:name="_Toc172367687"/>
      <w:r w:rsidRPr="00311950">
        <w:rPr>
          <w:rFonts w:eastAsia="MS Mincho"/>
          <w:sz w:val="24"/>
          <w:szCs w:val="28"/>
        </w:rPr>
        <w:t>Conclu</w:t>
      </w:r>
      <w:r w:rsidR="00D93348" w:rsidRPr="00311950">
        <w:rPr>
          <w:rFonts w:eastAsia="MS Mincho"/>
          <w:sz w:val="24"/>
          <w:szCs w:val="28"/>
        </w:rPr>
        <w:t>ding</w:t>
      </w:r>
      <w:r w:rsidRPr="00311950">
        <w:rPr>
          <w:rFonts w:eastAsia="MS Mincho"/>
          <w:sz w:val="24"/>
          <w:szCs w:val="28"/>
        </w:rPr>
        <w:t xml:space="preserve"> Remarks</w:t>
      </w:r>
      <w:bookmarkEnd w:id="56"/>
    </w:p>
    <w:p w14:paraId="5011B0F7" w14:textId="34C420DC" w:rsidR="00B56F17" w:rsidRDefault="00B56F17" w:rsidP="00311950">
      <w:pPr>
        <w:adjustRightInd w:val="0"/>
        <w:snapToGrid w:val="0"/>
        <w:spacing w:before="240" w:after="240" w:line="480" w:lineRule="auto"/>
        <w:jc w:val="both"/>
        <w:rPr>
          <w:rFonts w:eastAsia="MS Mincho" w:cstheme="majorBidi"/>
          <w:lang w:eastAsia="ja-JP"/>
        </w:rPr>
      </w:pPr>
      <w:r w:rsidRPr="00B56F17">
        <w:rPr>
          <w:rFonts w:eastAsia="MS Mincho" w:cstheme="majorBidi"/>
          <w:lang w:eastAsia="ja-JP"/>
        </w:rPr>
        <w:t xml:space="preserve">In this research, a </w:t>
      </w:r>
      <w:r>
        <w:rPr>
          <w:rFonts w:eastAsia="MS Mincho" w:cstheme="majorBidi"/>
          <w:lang w:eastAsia="ja-JP"/>
        </w:rPr>
        <w:t>novel</w:t>
      </w:r>
      <w:r w:rsidRPr="00B56F17">
        <w:rPr>
          <w:rFonts w:eastAsia="MS Mincho" w:cstheme="majorBidi"/>
          <w:lang w:eastAsia="ja-JP"/>
        </w:rPr>
        <w:t xml:space="preserve"> freeze desalination system utilizing an intermediate cooling liquid was developed and evaluated for processing high</w:t>
      </w:r>
      <w:r w:rsidR="008008F6">
        <w:rPr>
          <w:rFonts w:eastAsia="MS Mincho" w:cstheme="majorBidi"/>
          <w:lang w:eastAsia="ja-JP"/>
        </w:rPr>
        <w:t>-</w:t>
      </w:r>
      <w:r w:rsidRPr="00B56F17">
        <w:rPr>
          <w:rFonts w:eastAsia="MS Mincho" w:cstheme="majorBidi"/>
          <w:lang w:eastAsia="ja-JP"/>
        </w:rPr>
        <w:t xml:space="preserve">salinity brine. Various experiments were carried out to determine the recovery ratio and the total dissolved solids of the treated water across a range of cooling temperatures, feed brine salinities, and centrifugation </w:t>
      </w:r>
      <w:r>
        <w:rPr>
          <w:rFonts w:eastAsia="MS Mincho" w:cstheme="majorBidi"/>
          <w:lang w:eastAsia="ja-JP"/>
        </w:rPr>
        <w:t xml:space="preserve">separation </w:t>
      </w:r>
      <w:r w:rsidRPr="00B56F17">
        <w:rPr>
          <w:rFonts w:eastAsia="MS Mincho" w:cstheme="majorBidi"/>
          <w:lang w:eastAsia="ja-JP"/>
        </w:rPr>
        <w:t>durations. The key findings from these experiments are summarized as follows:</w:t>
      </w:r>
    </w:p>
    <w:p w14:paraId="52117FAD" w14:textId="5FABEBF2" w:rsidR="00B56F17" w:rsidRPr="00B56F17" w:rsidRDefault="00B56F17" w:rsidP="00700DBA">
      <w:pPr>
        <w:pStyle w:val="ListParagraph"/>
        <w:numPr>
          <w:ilvl w:val="0"/>
          <w:numId w:val="7"/>
        </w:numPr>
        <w:adjustRightInd w:val="0"/>
        <w:snapToGrid w:val="0"/>
        <w:spacing w:before="240" w:after="240" w:line="480" w:lineRule="auto"/>
        <w:jc w:val="both"/>
        <w:rPr>
          <w:rFonts w:eastAsia="MS Mincho" w:cstheme="majorBidi"/>
          <w:lang w:eastAsia="ja-JP"/>
        </w:rPr>
      </w:pPr>
      <w:r w:rsidRPr="00B56F17">
        <w:rPr>
          <w:rFonts w:eastAsia="MS Mincho" w:cstheme="majorBidi"/>
          <w:lang w:eastAsia="ja-JP"/>
        </w:rPr>
        <w:t xml:space="preserve">The experimental findings indicate that with a fixed feed brine salinity, lowering the cooling temperature led to an increase in the recovery ratio. Conversely, the TDS of the </w:t>
      </w:r>
      <w:r w:rsidRPr="00B56F17">
        <w:rPr>
          <w:rFonts w:eastAsia="MS Mincho" w:cstheme="majorBidi"/>
          <w:lang w:eastAsia="ja-JP"/>
        </w:rPr>
        <w:lastRenderedPageBreak/>
        <w:t>treated water w</w:t>
      </w:r>
      <w:r w:rsidR="008008F6">
        <w:rPr>
          <w:rFonts w:eastAsia="MS Mincho" w:cstheme="majorBidi"/>
          <w:lang w:eastAsia="ja-JP"/>
        </w:rPr>
        <w:t>as</w:t>
      </w:r>
      <w:r w:rsidRPr="00B56F17">
        <w:rPr>
          <w:rFonts w:eastAsia="MS Mincho" w:cstheme="majorBidi"/>
          <w:lang w:eastAsia="ja-JP"/>
        </w:rPr>
        <w:t xml:space="preserve"> higher at these lower cooling temperatures. This phenomenon is attributed to the </w:t>
      </w:r>
      <w:r>
        <w:rPr>
          <w:rFonts w:eastAsia="MS Mincho" w:cstheme="majorBidi"/>
          <w:lang w:eastAsia="ja-JP"/>
        </w:rPr>
        <w:t>faster</w:t>
      </w:r>
      <w:r w:rsidRPr="00B56F17">
        <w:rPr>
          <w:rFonts w:eastAsia="MS Mincho" w:cstheme="majorBidi"/>
          <w:lang w:eastAsia="ja-JP"/>
        </w:rPr>
        <w:t xml:space="preserve"> crystallization rates at reduced temperatures, which </w:t>
      </w:r>
      <w:r>
        <w:rPr>
          <w:rFonts w:eastAsia="MS Mincho" w:cstheme="majorBidi"/>
          <w:lang w:eastAsia="ja-JP"/>
        </w:rPr>
        <w:t>results in</w:t>
      </w:r>
      <w:r w:rsidRPr="00B56F17">
        <w:rPr>
          <w:rFonts w:eastAsia="MS Mincho" w:cstheme="majorBidi"/>
          <w:lang w:eastAsia="ja-JP"/>
        </w:rPr>
        <w:t xml:space="preserve"> less time for salt to be expelled, consequently trapping more salt within the ice crystals.</w:t>
      </w:r>
    </w:p>
    <w:p w14:paraId="53A8478D" w14:textId="0E8A58AB" w:rsidR="00B56F17" w:rsidRPr="00B56F17" w:rsidRDefault="00B56F17" w:rsidP="00700DBA">
      <w:pPr>
        <w:pStyle w:val="ListParagraph"/>
        <w:numPr>
          <w:ilvl w:val="0"/>
          <w:numId w:val="7"/>
        </w:numPr>
        <w:adjustRightInd w:val="0"/>
        <w:snapToGrid w:val="0"/>
        <w:spacing w:before="240" w:after="240" w:line="480" w:lineRule="auto"/>
        <w:jc w:val="both"/>
        <w:rPr>
          <w:rFonts w:eastAsia="MS Mincho" w:cstheme="majorBidi"/>
          <w:lang w:eastAsia="ja-JP"/>
        </w:rPr>
      </w:pPr>
      <w:r w:rsidRPr="00B56F17">
        <w:rPr>
          <w:rFonts w:eastAsia="MS Mincho" w:cstheme="majorBidi"/>
          <w:lang w:eastAsia="ja-JP"/>
        </w:rPr>
        <w:t xml:space="preserve">The experimental results revealed that at a </w:t>
      </w:r>
      <w:r>
        <w:rPr>
          <w:rFonts w:eastAsia="MS Mincho" w:cstheme="majorBidi"/>
          <w:lang w:eastAsia="ja-JP"/>
        </w:rPr>
        <w:t>constant</w:t>
      </w:r>
      <w:r w:rsidRPr="00B56F17">
        <w:rPr>
          <w:rFonts w:eastAsia="MS Mincho" w:cstheme="majorBidi"/>
          <w:lang w:eastAsia="ja-JP"/>
        </w:rPr>
        <w:t xml:space="preserve"> cooling temperature, ice production increased with lower salinity levels in the feed brine. Conversely, the salinity of the treated water decreased when the feed brine had higher salinity levels. This observation can</w:t>
      </w:r>
      <w:r>
        <w:rPr>
          <w:rFonts w:eastAsia="MS Mincho" w:cstheme="majorBidi"/>
          <w:lang w:eastAsia="ja-JP"/>
        </w:rPr>
        <w:t xml:space="preserve"> also</w:t>
      </w:r>
      <w:r w:rsidRPr="00B56F17">
        <w:rPr>
          <w:rFonts w:eastAsia="MS Mincho" w:cstheme="majorBidi"/>
          <w:lang w:eastAsia="ja-JP"/>
        </w:rPr>
        <w:t xml:space="preserve"> be explained by the more rapid crystallization occurring at lower TDS in the feed brine</w:t>
      </w:r>
      <w:r>
        <w:rPr>
          <w:rFonts w:eastAsia="MS Mincho" w:cstheme="majorBidi"/>
          <w:lang w:eastAsia="ja-JP"/>
        </w:rPr>
        <w:t>.</w:t>
      </w:r>
    </w:p>
    <w:p w14:paraId="2129DA52" w14:textId="3CBA385F" w:rsidR="00260624" w:rsidRDefault="00B56F17" w:rsidP="00700DBA">
      <w:pPr>
        <w:pStyle w:val="ListParagraph"/>
        <w:numPr>
          <w:ilvl w:val="0"/>
          <w:numId w:val="7"/>
        </w:numPr>
        <w:adjustRightInd w:val="0"/>
        <w:snapToGrid w:val="0"/>
        <w:spacing w:before="240" w:after="240" w:line="480" w:lineRule="auto"/>
        <w:jc w:val="both"/>
        <w:rPr>
          <w:rFonts w:eastAsia="MS Mincho" w:cstheme="majorBidi"/>
          <w:lang w:eastAsia="ja-JP"/>
        </w:rPr>
      </w:pPr>
      <w:r w:rsidRPr="00B56F17">
        <w:rPr>
          <w:rFonts w:eastAsia="MS Mincho" w:cstheme="majorBidi"/>
          <w:lang w:eastAsia="ja-JP"/>
        </w:rPr>
        <w:t>Extended centrifugation durations enhanced the removal of unfrozen concentrated brine from the ice, thereby reducing the TDS of the treated water. However, this also led to a reduction in the recovery ratio due to the decreased mass of ice recovered. Beyond approximately 16 minutes, further increases in centrifugation time had minimal impact on both the recovery ratio and the salinity of the treated water.</w:t>
      </w:r>
    </w:p>
    <w:p w14:paraId="6A9B062D" w14:textId="77777777" w:rsidR="00AE71B2" w:rsidRDefault="00AE71B2" w:rsidP="00AE71B2">
      <w:pPr>
        <w:adjustRightInd w:val="0"/>
        <w:snapToGrid w:val="0"/>
        <w:spacing w:before="240" w:after="240" w:line="360" w:lineRule="auto"/>
        <w:ind w:left="360"/>
        <w:jc w:val="both"/>
        <w:rPr>
          <w:rFonts w:eastAsia="MS Mincho" w:cstheme="majorBidi"/>
          <w:lang w:eastAsia="ja-JP"/>
        </w:rPr>
      </w:pPr>
    </w:p>
    <w:p w14:paraId="3F204F56" w14:textId="77777777" w:rsidR="00AE71B2" w:rsidRDefault="00AE71B2" w:rsidP="00AE71B2">
      <w:pPr>
        <w:adjustRightInd w:val="0"/>
        <w:snapToGrid w:val="0"/>
        <w:spacing w:before="240" w:after="240" w:line="360" w:lineRule="auto"/>
        <w:ind w:left="360"/>
        <w:jc w:val="both"/>
        <w:rPr>
          <w:rFonts w:eastAsia="MS Mincho" w:cstheme="majorBidi"/>
          <w:lang w:eastAsia="ja-JP"/>
        </w:rPr>
      </w:pPr>
    </w:p>
    <w:p w14:paraId="127FEBA0" w14:textId="77777777" w:rsidR="00311950" w:rsidRDefault="00311950" w:rsidP="00AE71B2">
      <w:pPr>
        <w:adjustRightInd w:val="0"/>
        <w:snapToGrid w:val="0"/>
        <w:spacing w:before="240" w:after="240" w:line="360" w:lineRule="auto"/>
        <w:ind w:left="360"/>
        <w:jc w:val="both"/>
        <w:rPr>
          <w:rFonts w:eastAsia="MS Mincho" w:cstheme="majorBidi"/>
          <w:lang w:eastAsia="ja-JP"/>
        </w:rPr>
      </w:pPr>
    </w:p>
    <w:p w14:paraId="38159EF5" w14:textId="77777777" w:rsidR="00311950" w:rsidRDefault="00311950" w:rsidP="00AE71B2">
      <w:pPr>
        <w:adjustRightInd w:val="0"/>
        <w:snapToGrid w:val="0"/>
        <w:spacing w:before="240" w:after="240" w:line="360" w:lineRule="auto"/>
        <w:ind w:left="360"/>
        <w:jc w:val="both"/>
        <w:rPr>
          <w:rFonts w:eastAsia="MS Mincho" w:cstheme="majorBidi"/>
          <w:lang w:eastAsia="ja-JP"/>
        </w:rPr>
      </w:pPr>
    </w:p>
    <w:p w14:paraId="3952C0F3" w14:textId="77777777" w:rsidR="00311950" w:rsidRDefault="00311950" w:rsidP="00AE71B2">
      <w:pPr>
        <w:adjustRightInd w:val="0"/>
        <w:snapToGrid w:val="0"/>
        <w:spacing w:before="240" w:after="240" w:line="360" w:lineRule="auto"/>
        <w:ind w:left="360"/>
        <w:jc w:val="both"/>
        <w:rPr>
          <w:rFonts w:eastAsia="MS Mincho" w:cstheme="majorBidi"/>
          <w:lang w:eastAsia="ja-JP"/>
        </w:rPr>
      </w:pPr>
    </w:p>
    <w:p w14:paraId="25F5C281" w14:textId="77777777" w:rsidR="00311950" w:rsidRDefault="00311950" w:rsidP="00AE71B2">
      <w:pPr>
        <w:adjustRightInd w:val="0"/>
        <w:snapToGrid w:val="0"/>
        <w:spacing w:before="240" w:after="240" w:line="360" w:lineRule="auto"/>
        <w:ind w:left="360"/>
        <w:jc w:val="both"/>
        <w:rPr>
          <w:rFonts w:eastAsia="MS Mincho" w:cstheme="majorBidi"/>
          <w:lang w:eastAsia="ja-JP"/>
        </w:rPr>
      </w:pPr>
    </w:p>
    <w:p w14:paraId="34A8C36E" w14:textId="77777777" w:rsidR="00311950" w:rsidRDefault="00311950" w:rsidP="00AE71B2">
      <w:pPr>
        <w:adjustRightInd w:val="0"/>
        <w:snapToGrid w:val="0"/>
        <w:spacing w:before="240" w:after="240" w:line="360" w:lineRule="auto"/>
        <w:ind w:left="360"/>
        <w:jc w:val="both"/>
        <w:rPr>
          <w:rFonts w:eastAsia="MS Mincho" w:cstheme="majorBidi"/>
          <w:lang w:eastAsia="ja-JP"/>
        </w:rPr>
      </w:pPr>
    </w:p>
    <w:p w14:paraId="6B42C6A2" w14:textId="77777777" w:rsidR="000B1B64" w:rsidRDefault="000B1B64" w:rsidP="00AE71B2">
      <w:pPr>
        <w:adjustRightInd w:val="0"/>
        <w:snapToGrid w:val="0"/>
        <w:spacing w:before="240" w:after="240" w:line="360" w:lineRule="auto"/>
        <w:ind w:left="360"/>
        <w:jc w:val="both"/>
        <w:rPr>
          <w:rFonts w:eastAsia="MS Mincho" w:cstheme="majorBidi"/>
          <w:lang w:eastAsia="ja-JP"/>
        </w:rPr>
      </w:pPr>
    </w:p>
    <w:p w14:paraId="3BA2C426" w14:textId="77777777" w:rsidR="000B1B64" w:rsidRDefault="000B1B64" w:rsidP="00AE71B2">
      <w:pPr>
        <w:adjustRightInd w:val="0"/>
        <w:snapToGrid w:val="0"/>
        <w:spacing w:before="240" w:after="240" w:line="360" w:lineRule="auto"/>
        <w:ind w:left="360"/>
        <w:jc w:val="both"/>
        <w:rPr>
          <w:rFonts w:eastAsia="MS Mincho" w:cstheme="majorBidi"/>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3892"/>
      </w:tblGrid>
      <w:tr w:rsidR="00B56F17" w:rsidRPr="00B56F17" w14:paraId="2742025C" w14:textId="77777777" w:rsidTr="009A4AF3">
        <w:tc>
          <w:tcPr>
            <w:tcW w:w="0" w:type="auto"/>
            <w:shd w:val="clear" w:color="auto" w:fill="auto"/>
            <w:vAlign w:val="center"/>
            <w:hideMark/>
          </w:tcPr>
          <w:p w14:paraId="3094FABA" w14:textId="77777777" w:rsidR="00B56F17" w:rsidRPr="00CE6BF2" w:rsidRDefault="00B56F17" w:rsidP="00B56F17">
            <w:pPr>
              <w:spacing w:before="240" w:line="360" w:lineRule="auto"/>
              <w:jc w:val="center"/>
              <w:rPr>
                <w:rFonts w:cstheme="majorBidi"/>
                <w:b/>
                <w:bCs/>
                <w:sz w:val="28"/>
                <w:szCs w:val="28"/>
              </w:rPr>
            </w:pPr>
            <w:r w:rsidRPr="00CA239E">
              <w:rPr>
                <w:rFonts w:cstheme="majorBidi"/>
                <w:b/>
                <w:bCs/>
                <w:sz w:val="32"/>
                <w:szCs w:val="32"/>
              </w:rPr>
              <w:lastRenderedPageBreak/>
              <w:t>Nomenclature</w:t>
            </w:r>
          </w:p>
        </w:tc>
        <w:tc>
          <w:tcPr>
            <w:tcW w:w="3892" w:type="dxa"/>
            <w:shd w:val="clear" w:color="auto" w:fill="auto"/>
            <w:vAlign w:val="center"/>
          </w:tcPr>
          <w:p w14:paraId="5E636C63" w14:textId="77777777" w:rsidR="00B56F17" w:rsidRPr="00B56F17" w:rsidRDefault="00B56F17" w:rsidP="00B56F17">
            <w:pPr>
              <w:spacing w:before="240" w:line="360" w:lineRule="auto"/>
              <w:rPr>
                <w:rFonts w:cstheme="majorBidi"/>
                <w:b/>
                <w:bCs/>
              </w:rPr>
            </w:pPr>
          </w:p>
        </w:tc>
      </w:tr>
      <w:tr w:rsidR="00B56F17" w:rsidRPr="00B56F17" w14:paraId="7E3413A7" w14:textId="77777777" w:rsidTr="009A4AF3">
        <w:tc>
          <w:tcPr>
            <w:tcW w:w="0" w:type="auto"/>
            <w:shd w:val="clear" w:color="auto" w:fill="auto"/>
            <w:vAlign w:val="center"/>
          </w:tcPr>
          <w:p w14:paraId="2A614895" w14:textId="77777777" w:rsidR="00B56F17" w:rsidRPr="00B56F17" w:rsidRDefault="00B56F17" w:rsidP="00B56F17">
            <w:pPr>
              <w:spacing w:before="240" w:line="360" w:lineRule="auto"/>
              <w:rPr>
                <w:rFonts w:cstheme="majorBidi"/>
              </w:rPr>
            </w:pPr>
            <m:oMathPara>
              <m:oMathParaPr>
                <m:jc m:val="left"/>
              </m:oMathParaPr>
              <m:oMath>
                <m:r>
                  <w:rPr>
                    <w:rFonts w:ascii="Cambria Math" w:hAnsi="Cambria Math" w:cstheme="majorBidi"/>
                  </w:rPr>
                  <m:t>c</m:t>
                </m:r>
              </m:oMath>
            </m:oMathPara>
          </w:p>
        </w:tc>
        <w:tc>
          <w:tcPr>
            <w:tcW w:w="3892" w:type="dxa"/>
            <w:shd w:val="clear" w:color="auto" w:fill="auto"/>
            <w:vAlign w:val="center"/>
          </w:tcPr>
          <w:p w14:paraId="712A48B4" w14:textId="4C14B98C" w:rsidR="00B56F17" w:rsidRPr="00B56F17" w:rsidRDefault="00B56F17" w:rsidP="00B56F17">
            <w:pPr>
              <w:spacing w:before="240" w:line="360" w:lineRule="auto"/>
              <w:rPr>
                <w:rFonts w:cstheme="majorBidi"/>
              </w:rPr>
            </w:pPr>
            <w:r>
              <w:rPr>
                <w:rFonts w:cstheme="majorBidi"/>
              </w:rPr>
              <w:t>S</w:t>
            </w:r>
            <w:r w:rsidRPr="00B56F17">
              <w:rPr>
                <w:rFonts w:cstheme="majorBidi"/>
              </w:rPr>
              <w:t>pecific heat capacity (</w:t>
            </w:r>
            <m:oMath>
              <m:r>
                <m:rPr>
                  <m:sty m:val="p"/>
                </m:rPr>
                <w:rPr>
                  <w:rFonts w:ascii="Cambria Math" w:hAnsi="Cambria Math" w:cstheme="majorBidi"/>
                </w:rPr>
                <m:t>kJ/kg∙K</m:t>
              </m:r>
            </m:oMath>
            <w:r w:rsidRPr="00B56F17">
              <w:rPr>
                <w:rFonts w:cstheme="majorBidi"/>
              </w:rPr>
              <w:t>)</w:t>
            </w:r>
          </w:p>
        </w:tc>
      </w:tr>
      <w:tr w:rsidR="00B56F17" w:rsidRPr="00B56F17" w14:paraId="608FA79D" w14:textId="77777777" w:rsidTr="009A4AF3">
        <w:tc>
          <w:tcPr>
            <w:tcW w:w="0" w:type="auto"/>
            <w:shd w:val="clear" w:color="auto" w:fill="auto"/>
            <w:vAlign w:val="center"/>
          </w:tcPr>
          <w:p w14:paraId="2EE2EE06" w14:textId="77777777" w:rsidR="00B56F17" w:rsidRPr="00B56F17" w:rsidRDefault="00B56F17" w:rsidP="00B56F17">
            <w:pPr>
              <w:spacing w:before="240" w:line="360" w:lineRule="auto"/>
              <w:rPr>
                <w:rFonts w:eastAsia="Times New Roman" w:cstheme="majorBidi"/>
              </w:rPr>
            </w:pPr>
            <m:oMathPara>
              <m:oMathParaPr>
                <m:jc m:val="left"/>
              </m:oMathParaPr>
              <m:oMath>
                <m:r>
                  <m:rPr>
                    <m:sty m:val="p"/>
                  </m:rPr>
                  <w:rPr>
                    <w:rFonts w:ascii="Cambria Math" w:eastAsia="Times New Roman" w:hAnsi="Cambria Math" w:cstheme="majorBidi"/>
                  </w:rPr>
                  <m:t>EDX</m:t>
                </m:r>
              </m:oMath>
            </m:oMathPara>
          </w:p>
        </w:tc>
        <w:tc>
          <w:tcPr>
            <w:tcW w:w="3892" w:type="dxa"/>
            <w:shd w:val="clear" w:color="auto" w:fill="auto"/>
            <w:vAlign w:val="center"/>
          </w:tcPr>
          <w:p w14:paraId="52D21580" w14:textId="09CA0077" w:rsidR="00B56F17" w:rsidRPr="00B56F17" w:rsidRDefault="00B56F17" w:rsidP="00B56F17">
            <w:pPr>
              <w:spacing w:before="240" w:line="360" w:lineRule="auto"/>
              <w:rPr>
                <w:rFonts w:cstheme="majorBidi"/>
              </w:rPr>
            </w:pPr>
            <w:r>
              <w:rPr>
                <w:rFonts w:cstheme="majorBidi"/>
              </w:rPr>
              <w:t>E</w:t>
            </w:r>
            <w:r w:rsidRPr="00B56F17">
              <w:rPr>
                <w:rFonts w:cstheme="majorBidi"/>
              </w:rPr>
              <w:t>nergy dispersive X-ray</w:t>
            </w:r>
          </w:p>
        </w:tc>
      </w:tr>
      <w:tr w:rsidR="00B56F17" w:rsidRPr="00B56F17" w14:paraId="50214DA3" w14:textId="77777777" w:rsidTr="009A4AF3">
        <w:tc>
          <w:tcPr>
            <w:tcW w:w="0" w:type="auto"/>
            <w:shd w:val="clear" w:color="auto" w:fill="auto"/>
            <w:vAlign w:val="center"/>
          </w:tcPr>
          <w:p w14:paraId="021E2342" w14:textId="77777777" w:rsidR="00B56F17" w:rsidRPr="00B56F17" w:rsidRDefault="00B56F17" w:rsidP="00B56F17">
            <w:pPr>
              <w:spacing w:before="240" w:line="360" w:lineRule="auto"/>
              <w:rPr>
                <w:rFonts w:eastAsia="Times New Roman" w:cstheme="majorBidi"/>
              </w:rPr>
            </w:pPr>
            <m:oMathPara>
              <m:oMathParaPr>
                <m:jc m:val="left"/>
              </m:oMathParaPr>
              <m:oMath>
                <m:r>
                  <m:rPr>
                    <m:sty m:val="p"/>
                  </m:rPr>
                  <w:rPr>
                    <w:rFonts w:ascii="Cambria Math" w:eastAsia="Times New Roman" w:hAnsi="Cambria Math" w:cstheme="majorBidi"/>
                  </w:rPr>
                  <m:t>FD</m:t>
                </m:r>
              </m:oMath>
            </m:oMathPara>
          </w:p>
        </w:tc>
        <w:tc>
          <w:tcPr>
            <w:tcW w:w="3892" w:type="dxa"/>
            <w:shd w:val="clear" w:color="auto" w:fill="auto"/>
            <w:vAlign w:val="center"/>
          </w:tcPr>
          <w:p w14:paraId="593B39B2" w14:textId="4E6E2069" w:rsidR="00B56F17" w:rsidRPr="00B56F17" w:rsidRDefault="00B56F17" w:rsidP="00B56F17">
            <w:pPr>
              <w:spacing w:before="240" w:line="360" w:lineRule="auto"/>
              <w:rPr>
                <w:rFonts w:cstheme="majorBidi"/>
              </w:rPr>
            </w:pPr>
            <w:r>
              <w:rPr>
                <w:rFonts w:cstheme="majorBidi"/>
              </w:rPr>
              <w:t>F</w:t>
            </w:r>
            <w:r w:rsidRPr="00B56F17">
              <w:rPr>
                <w:rFonts w:cstheme="majorBidi"/>
              </w:rPr>
              <w:t>reeze desalination</w:t>
            </w:r>
          </w:p>
        </w:tc>
      </w:tr>
      <w:tr w:rsidR="00B56F17" w:rsidRPr="00B56F17" w14:paraId="5137FA9F" w14:textId="77777777" w:rsidTr="009A4AF3">
        <w:tc>
          <w:tcPr>
            <w:tcW w:w="0" w:type="auto"/>
            <w:shd w:val="clear" w:color="auto" w:fill="auto"/>
            <w:vAlign w:val="center"/>
          </w:tcPr>
          <w:p w14:paraId="28AC4D3E" w14:textId="77777777" w:rsidR="00B56F17" w:rsidRPr="00B56F17" w:rsidRDefault="00000000" w:rsidP="00B56F17">
            <w:pPr>
              <w:spacing w:before="240" w:line="360" w:lineRule="auto"/>
              <w:rPr>
                <w:rFonts w:cstheme="majorBidi"/>
              </w:rPr>
            </w:pPr>
            <m:oMathPara>
              <m:oMathParaPr>
                <m:jc m:val="left"/>
              </m:oMathParaPr>
              <m:oMath>
                <m:sSub>
                  <m:sSubPr>
                    <m:ctrlPr>
                      <w:rPr>
                        <w:rFonts w:ascii="Cambria Math" w:hAnsi="Cambria Math" w:cstheme="majorBidi"/>
                        <w:i/>
                      </w:rPr>
                    </m:ctrlPr>
                  </m:sSubPr>
                  <m:e>
                    <m:r>
                      <w:rPr>
                        <w:rFonts w:ascii="Cambria Math" w:hAnsi="Cambria Math" w:cstheme="majorBidi"/>
                      </w:rPr>
                      <m:t>h</m:t>
                    </m:r>
                  </m:e>
                  <m:sub>
                    <m:r>
                      <m:rPr>
                        <m:sty m:val="p"/>
                      </m:rPr>
                      <w:rPr>
                        <w:rFonts w:ascii="Cambria Math" w:hAnsi="Cambria Math" w:cstheme="majorBidi"/>
                      </w:rPr>
                      <m:t>sl</m:t>
                    </m:r>
                  </m:sub>
                </m:sSub>
              </m:oMath>
            </m:oMathPara>
          </w:p>
        </w:tc>
        <w:tc>
          <w:tcPr>
            <w:tcW w:w="3892" w:type="dxa"/>
            <w:shd w:val="clear" w:color="auto" w:fill="auto"/>
            <w:vAlign w:val="center"/>
          </w:tcPr>
          <w:p w14:paraId="751C13FE" w14:textId="7393642F" w:rsidR="00B56F17" w:rsidRPr="00B56F17" w:rsidRDefault="00B56F17" w:rsidP="00B56F17">
            <w:pPr>
              <w:spacing w:before="240" w:line="360" w:lineRule="auto"/>
              <w:rPr>
                <w:rFonts w:cstheme="majorBidi"/>
              </w:rPr>
            </w:pPr>
            <w:r>
              <w:rPr>
                <w:rFonts w:cstheme="majorBidi"/>
              </w:rPr>
              <w:t>L</w:t>
            </w:r>
            <w:r w:rsidRPr="00B56F17">
              <w:rPr>
                <w:rFonts w:cstheme="majorBidi"/>
              </w:rPr>
              <w:t>atent heat of fusion (</w:t>
            </w:r>
            <m:oMath>
              <m:r>
                <m:rPr>
                  <m:sty m:val="p"/>
                </m:rPr>
                <w:rPr>
                  <w:rFonts w:ascii="Cambria Math" w:hAnsi="Cambria Math" w:cstheme="majorBidi"/>
                </w:rPr>
                <m:t>kJ/kg</m:t>
              </m:r>
            </m:oMath>
            <w:r w:rsidRPr="00B56F17">
              <w:rPr>
                <w:rFonts w:cstheme="majorBidi"/>
              </w:rPr>
              <w:t>)</w:t>
            </w:r>
          </w:p>
        </w:tc>
      </w:tr>
      <w:tr w:rsidR="00B56F17" w:rsidRPr="00B56F17" w14:paraId="4FF5F364" w14:textId="77777777" w:rsidTr="009A4AF3">
        <w:tc>
          <w:tcPr>
            <w:tcW w:w="0" w:type="auto"/>
            <w:shd w:val="clear" w:color="auto" w:fill="auto"/>
            <w:vAlign w:val="center"/>
          </w:tcPr>
          <w:p w14:paraId="6B968FA2"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m:t>ICL</m:t>
                </m:r>
              </m:oMath>
            </m:oMathPara>
          </w:p>
        </w:tc>
        <w:tc>
          <w:tcPr>
            <w:tcW w:w="3892" w:type="dxa"/>
            <w:shd w:val="clear" w:color="auto" w:fill="auto"/>
            <w:vAlign w:val="center"/>
          </w:tcPr>
          <w:p w14:paraId="0A112CF2" w14:textId="14391371" w:rsidR="00B56F17" w:rsidRPr="00B56F17" w:rsidRDefault="00B56F17" w:rsidP="00B56F17">
            <w:pPr>
              <w:spacing w:before="240" w:line="360" w:lineRule="auto"/>
              <w:rPr>
                <w:rFonts w:cstheme="majorBidi"/>
              </w:rPr>
            </w:pPr>
            <w:r>
              <w:rPr>
                <w:rFonts w:cstheme="majorBidi"/>
              </w:rPr>
              <w:t>I</w:t>
            </w:r>
            <w:r w:rsidRPr="00B56F17">
              <w:rPr>
                <w:rFonts w:cstheme="majorBidi"/>
              </w:rPr>
              <w:t>ntermediate cooling liquid</w:t>
            </w:r>
          </w:p>
        </w:tc>
      </w:tr>
      <w:tr w:rsidR="00B56F17" w:rsidRPr="00B56F17" w14:paraId="578D1C8D" w14:textId="77777777" w:rsidTr="009A4AF3">
        <w:tc>
          <w:tcPr>
            <w:tcW w:w="0" w:type="auto"/>
            <w:shd w:val="clear" w:color="auto" w:fill="auto"/>
            <w:vAlign w:val="center"/>
          </w:tcPr>
          <w:p w14:paraId="29871500" w14:textId="77777777" w:rsidR="00B56F17" w:rsidRPr="00B56F17" w:rsidRDefault="00B56F17" w:rsidP="00B56F17">
            <w:pPr>
              <w:spacing w:before="240" w:line="360" w:lineRule="auto"/>
              <w:rPr>
                <w:rFonts w:eastAsia="Times New Roman" w:cstheme="majorBidi"/>
              </w:rPr>
            </w:pPr>
            <m:oMathPara>
              <m:oMathParaPr>
                <m:jc m:val="left"/>
              </m:oMathParaPr>
              <m:oMath>
                <m:r>
                  <m:rPr>
                    <m:sty m:val="p"/>
                  </m:rPr>
                  <w:rPr>
                    <w:rFonts w:ascii="Cambria Math" w:eastAsia="Times New Roman" w:hAnsi="Cambria Math" w:cstheme="majorBidi"/>
                  </w:rPr>
                  <m:t>LNG</m:t>
                </m:r>
              </m:oMath>
            </m:oMathPara>
          </w:p>
        </w:tc>
        <w:tc>
          <w:tcPr>
            <w:tcW w:w="3892" w:type="dxa"/>
            <w:shd w:val="clear" w:color="auto" w:fill="auto"/>
            <w:vAlign w:val="center"/>
          </w:tcPr>
          <w:p w14:paraId="3E3D7A64" w14:textId="0EBEAF93" w:rsidR="00B56F17" w:rsidRPr="00B56F17" w:rsidRDefault="00B56F17" w:rsidP="00B56F17">
            <w:pPr>
              <w:spacing w:before="240" w:line="360" w:lineRule="auto"/>
              <w:rPr>
                <w:rFonts w:cstheme="majorBidi"/>
              </w:rPr>
            </w:pPr>
            <w:r>
              <w:rPr>
                <w:rFonts w:cstheme="majorBidi"/>
              </w:rPr>
              <w:t>L</w:t>
            </w:r>
            <w:r w:rsidRPr="00B56F17">
              <w:rPr>
                <w:rFonts w:cstheme="majorBidi"/>
              </w:rPr>
              <w:t>iquid natural gas</w:t>
            </w:r>
          </w:p>
        </w:tc>
      </w:tr>
      <w:tr w:rsidR="00B56F17" w:rsidRPr="00B56F17" w14:paraId="738D0D02" w14:textId="77777777" w:rsidTr="009A4AF3">
        <w:tc>
          <w:tcPr>
            <w:tcW w:w="0" w:type="auto"/>
            <w:shd w:val="clear" w:color="auto" w:fill="auto"/>
            <w:vAlign w:val="center"/>
          </w:tcPr>
          <w:p w14:paraId="5B8D3F56"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m:t>MED</m:t>
                </m:r>
              </m:oMath>
            </m:oMathPara>
          </w:p>
        </w:tc>
        <w:tc>
          <w:tcPr>
            <w:tcW w:w="3892" w:type="dxa"/>
            <w:shd w:val="clear" w:color="auto" w:fill="auto"/>
            <w:vAlign w:val="center"/>
          </w:tcPr>
          <w:p w14:paraId="54C3B895" w14:textId="0DF5D883" w:rsidR="00B56F17" w:rsidRPr="00B56F17" w:rsidRDefault="00B56F17" w:rsidP="00B56F17">
            <w:pPr>
              <w:spacing w:before="240" w:line="360" w:lineRule="auto"/>
              <w:rPr>
                <w:rFonts w:cstheme="majorBidi"/>
              </w:rPr>
            </w:pPr>
            <w:r>
              <w:rPr>
                <w:rFonts w:cstheme="majorBidi"/>
              </w:rPr>
              <w:t>M</w:t>
            </w:r>
            <w:r w:rsidRPr="00B56F17">
              <w:rPr>
                <w:rFonts w:cstheme="majorBidi"/>
              </w:rPr>
              <w:t>ulti-effect desalination</w:t>
            </w:r>
          </w:p>
        </w:tc>
      </w:tr>
      <w:tr w:rsidR="00B56F17" w:rsidRPr="00B56F17" w14:paraId="06058C82" w14:textId="77777777" w:rsidTr="009A4AF3">
        <w:tc>
          <w:tcPr>
            <w:tcW w:w="0" w:type="auto"/>
            <w:shd w:val="clear" w:color="auto" w:fill="auto"/>
            <w:vAlign w:val="center"/>
          </w:tcPr>
          <w:p w14:paraId="0539009D"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m:t>MSF</m:t>
                </m:r>
              </m:oMath>
            </m:oMathPara>
          </w:p>
        </w:tc>
        <w:tc>
          <w:tcPr>
            <w:tcW w:w="3892" w:type="dxa"/>
            <w:shd w:val="clear" w:color="auto" w:fill="auto"/>
            <w:vAlign w:val="center"/>
          </w:tcPr>
          <w:p w14:paraId="76D93650" w14:textId="61F90AB0" w:rsidR="00B56F17" w:rsidRPr="00B56F17" w:rsidRDefault="00B56F17" w:rsidP="00B56F17">
            <w:pPr>
              <w:spacing w:before="240" w:line="360" w:lineRule="auto"/>
              <w:rPr>
                <w:rFonts w:cstheme="majorBidi"/>
              </w:rPr>
            </w:pPr>
            <w:r>
              <w:rPr>
                <w:rFonts w:cstheme="majorBidi"/>
              </w:rPr>
              <w:t>M</w:t>
            </w:r>
            <w:r w:rsidRPr="00B56F17">
              <w:rPr>
                <w:rFonts w:cstheme="majorBidi"/>
              </w:rPr>
              <w:t>ulti-stage flash</w:t>
            </w:r>
          </w:p>
        </w:tc>
      </w:tr>
      <w:tr w:rsidR="00B56F17" w:rsidRPr="00B56F17" w14:paraId="51757FC4" w14:textId="77777777" w:rsidTr="009A4AF3">
        <w:tc>
          <w:tcPr>
            <w:tcW w:w="0" w:type="auto"/>
            <w:shd w:val="clear" w:color="auto" w:fill="auto"/>
            <w:vAlign w:val="center"/>
          </w:tcPr>
          <w:p w14:paraId="1DEC0B01" w14:textId="77777777" w:rsidR="00B56F17" w:rsidRPr="00B56F17" w:rsidRDefault="00000000" w:rsidP="00B56F17">
            <w:pPr>
              <w:spacing w:before="240" w:line="360" w:lineRule="auto"/>
              <w:rPr>
                <w:rFonts w:eastAsia="Times New Roman" w:cstheme="majorBidi"/>
              </w:rPr>
            </w:pPr>
            <m:oMathPara>
              <m:oMathParaPr>
                <m:jc m:val="left"/>
              </m:oMathParaPr>
              <m:oMath>
                <m:acc>
                  <m:accPr>
                    <m:chr m:val="̇"/>
                    <m:ctrlPr>
                      <w:rPr>
                        <w:rFonts w:ascii="Cambria Math" w:hAnsi="Cambria Math" w:cstheme="majorBidi"/>
                        <w:i/>
                      </w:rPr>
                    </m:ctrlPr>
                  </m:accPr>
                  <m:e>
                    <m:r>
                      <w:rPr>
                        <w:rFonts w:ascii="Cambria Math" w:hAnsi="Cambria Math" w:cstheme="majorBidi"/>
                      </w:rPr>
                      <m:t>m</m:t>
                    </m:r>
                  </m:e>
                </m:acc>
              </m:oMath>
            </m:oMathPara>
          </w:p>
        </w:tc>
        <w:tc>
          <w:tcPr>
            <w:tcW w:w="3892" w:type="dxa"/>
            <w:shd w:val="clear" w:color="auto" w:fill="auto"/>
            <w:vAlign w:val="center"/>
          </w:tcPr>
          <w:p w14:paraId="036EEC8D" w14:textId="0EE9F7FF" w:rsidR="00B56F17" w:rsidRPr="00B56F17" w:rsidRDefault="00B56F17" w:rsidP="00B56F17">
            <w:pPr>
              <w:spacing w:before="240" w:line="360" w:lineRule="auto"/>
              <w:rPr>
                <w:rFonts w:cstheme="majorBidi"/>
              </w:rPr>
            </w:pPr>
            <w:r>
              <w:rPr>
                <w:rFonts w:cstheme="majorBidi"/>
              </w:rPr>
              <w:t>M</w:t>
            </w:r>
            <w:r w:rsidRPr="00B56F17">
              <w:rPr>
                <w:rFonts w:cstheme="majorBidi"/>
              </w:rPr>
              <w:t>ass flow rate (</w:t>
            </w:r>
            <m:oMath>
              <m:r>
                <m:rPr>
                  <m:sty m:val="p"/>
                </m:rPr>
                <w:rPr>
                  <w:rFonts w:ascii="Cambria Math" w:hAnsi="Cambria Math" w:cstheme="majorBidi"/>
                </w:rPr>
                <m:t>kg/s</m:t>
              </m:r>
            </m:oMath>
            <w:r w:rsidRPr="00B56F17">
              <w:rPr>
                <w:rFonts w:cstheme="majorBidi"/>
              </w:rPr>
              <w:t>)</w:t>
            </w:r>
          </w:p>
        </w:tc>
      </w:tr>
      <w:tr w:rsidR="00B56F17" w:rsidRPr="00B56F17" w14:paraId="04AF1946" w14:textId="77777777" w:rsidTr="009A4AF3">
        <w:tc>
          <w:tcPr>
            <w:tcW w:w="0" w:type="auto"/>
            <w:shd w:val="clear" w:color="auto" w:fill="auto"/>
            <w:vAlign w:val="center"/>
          </w:tcPr>
          <w:p w14:paraId="23B351EE"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m:t>PDMS</m:t>
                </m:r>
              </m:oMath>
            </m:oMathPara>
          </w:p>
        </w:tc>
        <w:tc>
          <w:tcPr>
            <w:tcW w:w="3892" w:type="dxa"/>
            <w:shd w:val="clear" w:color="auto" w:fill="auto"/>
            <w:vAlign w:val="center"/>
          </w:tcPr>
          <w:p w14:paraId="315AD521" w14:textId="455FDAF3" w:rsidR="00B56F17" w:rsidRPr="00B56F17" w:rsidRDefault="00B56F17" w:rsidP="00B56F17">
            <w:pPr>
              <w:spacing w:before="240" w:line="360" w:lineRule="auto"/>
              <w:ind w:left="720" w:hanging="720"/>
              <w:rPr>
                <w:rFonts w:cstheme="majorBidi"/>
              </w:rPr>
            </w:pPr>
            <w:r>
              <w:rPr>
                <w:rFonts w:cstheme="majorBidi"/>
              </w:rPr>
              <w:t>P</w:t>
            </w:r>
            <w:r w:rsidRPr="00B56F17">
              <w:rPr>
                <w:rFonts w:cstheme="majorBidi"/>
              </w:rPr>
              <w:t>olydimethylsiloxane</w:t>
            </w:r>
          </w:p>
        </w:tc>
      </w:tr>
      <w:tr w:rsidR="00B56F17" w:rsidRPr="00B56F17" w14:paraId="4E8CF6D1" w14:textId="77777777" w:rsidTr="009A4AF3">
        <w:tc>
          <w:tcPr>
            <w:tcW w:w="0" w:type="auto"/>
            <w:shd w:val="clear" w:color="auto" w:fill="auto"/>
            <w:vAlign w:val="center"/>
          </w:tcPr>
          <w:p w14:paraId="4C695471" w14:textId="77777777" w:rsidR="00B56F17" w:rsidRPr="00B56F17" w:rsidRDefault="00000000" w:rsidP="00B56F17">
            <w:pPr>
              <w:spacing w:before="240" w:line="360" w:lineRule="auto"/>
              <w:rPr>
                <w:rFonts w:cstheme="majorBidi"/>
              </w:rPr>
            </w:pPr>
            <m:oMathPara>
              <m:oMathParaPr>
                <m:jc m:val="left"/>
              </m:oMathParaPr>
              <m:oMath>
                <m:acc>
                  <m:accPr>
                    <m:chr m:val="̇"/>
                    <m:ctrlPr>
                      <w:rPr>
                        <w:rFonts w:ascii="Cambria Math" w:hAnsi="Cambria Math" w:cstheme="majorBidi"/>
                        <w:i/>
                      </w:rPr>
                    </m:ctrlPr>
                  </m:accPr>
                  <m:e>
                    <m:r>
                      <w:rPr>
                        <w:rFonts w:ascii="Cambria Math" w:hAnsi="Cambria Math" w:cstheme="majorBidi"/>
                      </w:rPr>
                      <m:t>Q</m:t>
                    </m:r>
                  </m:e>
                </m:acc>
              </m:oMath>
            </m:oMathPara>
          </w:p>
        </w:tc>
        <w:tc>
          <w:tcPr>
            <w:tcW w:w="3892" w:type="dxa"/>
            <w:shd w:val="clear" w:color="auto" w:fill="auto"/>
            <w:vAlign w:val="center"/>
          </w:tcPr>
          <w:p w14:paraId="7FD94DDC" w14:textId="2CF5BD93" w:rsidR="00B56F17" w:rsidRPr="00B56F17" w:rsidRDefault="00B56F17" w:rsidP="00B56F17">
            <w:pPr>
              <w:spacing w:before="240" w:line="360" w:lineRule="auto"/>
              <w:rPr>
                <w:rFonts w:cstheme="majorBidi"/>
              </w:rPr>
            </w:pPr>
            <w:r>
              <w:rPr>
                <w:rFonts w:cstheme="majorBidi"/>
              </w:rPr>
              <w:t>H</w:t>
            </w:r>
            <w:r w:rsidRPr="00B56F17">
              <w:rPr>
                <w:rFonts w:cstheme="majorBidi"/>
              </w:rPr>
              <w:t>eat transfer rate (</w:t>
            </w:r>
            <m:oMath>
              <m:r>
                <m:rPr>
                  <m:sty m:val="p"/>
                </m:rPr>
                <w:rPr>
                  <w:rFonts w:ascii="Cambria Math" w:hAnsi="Cambria Math" w:cstheme="majorBidi"/>
                </w:rPr>
                <m:t>kJ/s</m:t>
              </m:r>
            </m:oMath>
            <w:r w:rsidRPr="00B56F17">
              <w:rPr>
                <w:rFonts w:cstheme="majorBidi"/>
              </w:rPr>
              <w:t>)</w:t>
            </w:r>
          </w:p>
        </w:tc>
      </w:tr>
      <w:tr w:rsidR="00B56F17" w:rsidRPr="00B56F17" w14:paraId="219D2A87" w14:textId="77777777" w:rsidTr="009A4AF3">
        <w:tc>
          <w:tcPr>
            <w:tcW w:w="0" w:type="auto"/>
            <w:shd w:val="clear" w:color="auto" w:fill="auto"/>
            <w:vAlign w:val="center"/>
          </w:tcPr>
          <w:p w14:paraId="10E5A08C" w14:textId="77777777" w:rsidR="00B56F17" w:rsidRPr="00B56F17" w:rsidRDefault="00B56F17" w:rsidP="00B56F17">
            <w:pPr>
              <w:spacing w:before="240" w:line="360" w:lineRule="auto"/>
              <w:rPr>
                <w:rFonts w:cstheme="majorBidi"/>
              </w:rPr>
            </w:pPr>
            <m:oMathPara>
              <m:oMathParaPr>
                <m:jc m:val="left"/>
              </m:oMathParaPr>
              <m:oMath>
                <m:r>
                  <w:rPr>
                    <w:rFonts w:ascii="Cambria Math" w:hAnsi="Cambria Math" w:cstheme="majorBidi"/>
                  </w:rPr>
                  <m:t>R</m:t>
                </m:r>
              </m:oMath>
            </m:oMathPara>
          </w:p>
        </w:tc>
        <w:tc>
          <w:tcPr>
            <w:tcW w:w="3892" w:type="dxa"/>
            <w:shd w:val="clear" w:color="auto" w:fill="auto"/>
            <w:vAlign w:val="center"/>
          </w:tcPr>
          <w:p w14:paraId="544CCE8F" w14:textId="5D77A2AA" w:rsidR="00B56F17" w:rsidRPr="00B56F17" w:rsidRDefault="00B56F17" w:rsidP="00B56F17">
            <w:pPr>
              <w:spacing w:before="240" w:line="360" w:lineRule="auto"/>
              <w:rPr>
                <w:rFonts w:cstheme="majorBidi"/>
              </w:rPr>
            </w:pPr>
            <w:r>
              <w:rPr>
                <w:rFonts w:cstheme="majorBidi"/>
              </w:rPr>
              <w:t>R</w:t>
            </w:r>
            <w:r w:rsidRPr="00B56F17">
              <w:rPr>
                <w:rFonts w:cstheme="majorBidi"/>
              </w:rPr>
              <w:t xml:space="preserve">ecovery ratio, </w:t>
            </w:r>
            <m:oMath>
              <m:r>
                <w:rPr>
                  <w:rFonts w:ascii="Cambria Math" w:hAnsi="Cambria Math" w:cstheme="majorBidi"/>
                </w:rPr>
                <m:t>R=</m:t>
              </m:r>
              <m:f>
                <m:fPr>
                  <m:ctrlPr>
                    <w:rPr>
                      <w:rFonts w:ascii="Cambria Math" w:hAnsi="Cambria Math" w:cstheme="majorBidi"/>
                      <w:i/>
                    </w:rPr>
                  </m:ctrlPr>
                </m:fPr>
                <m:num>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ice</m:t>
                      </m:r>
                    </m:sub>
                  </m:sSub>
                </m:num>
                <m:den>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m</m:t>
                          </m:r>
                        </m:e>
                      </m:acc>
                    </m:e>
                    <m:sub>
                      <m:r>
                        <m:rPr>
                          <m:sty m:val="p"/>
                        </m:rPr>
                        <w:rPr>
                          <w:rFonts w:ascii="Cambria Math" w:hAnsi="Cambria Math" w:cstheme="majorBidi"/>
                        </w:rPr>
                        <m:t>fb</m:t>
                      </m:r>
                    </m:sub>
                  </m:sSub>
                </m:den>
              </m:f>
            </m:oMath>
          </w:p>
        </w:tc>
      </w:tr>
      <w:tr w:rsidR="00B56F17" w:rsidRPr="00B56F17" w14:paraId="73AFE303" w14:textId="77777777" w:rsidTr="009A4AF3">
        <w:tc>
          <w:tcPr>
            <w:tcW w:w="0" w:type="auto"/>
            <w:shd w:val="clear" w:color="auto" w:fill="auto"/>
            <w:vAlign w:val="center"/>
          </w:tcPr>
          <w:p w14:paraId="25754A12" w14:textId="77777777" w:rsidR="00B56F17" w:rsidRPr="00B56F17" w:rsidRDefault="00B56F17" w:rsidP="00B56F17">
            <w:pPr>
              <w:spacing w:before="240" w:line="360" w:lineRule="auto"/>
              <w:rPr>
                <w:rFonts w:eastAsia="Times New Roman" w:cstheme="majorBidi"/>
                <w:vertAlign w:val="subscript"/>
              </w:rPr>
            </w:pPr>
            <w:r w:rsidRPr="00B56F17">
              <w:rPr>
                <w:rFonts w:eastAsia="Times New Roman" w:cstheme="majorBidi"/>
              </w:rPr>
              <w:softHyphen/>
            </w:r>
            <m:oMath>
              <m:r>
                <m:rPr>
                  <m:sty m:val="p"/>
                </m:rPr>
                <w:rPr>
                  <w:rFonts w:ascii="Cambria Math" w:eastAsia="Times New Roman" w:hAnsi="Cambria Math" w:cstheme="majorBidi"/>
                </w:rPr>
                <m:t>RO</m:t>
              </m:r>
            </m:oMath>
          </w:p>
        </w:tc>
        <w:tc>
          <w:tcPr>
            <w:tcW w:w="3892" w:type="dxa"/>
            <w:shd w:val="clear" w:color="auto" w:fill="auto"/>
            <w:vAlign w:val="center"/>
          </w:tcPr>
          <w:p w14:paraId="1FA763E4" w14:textId="3D8805A2" w:rsidR="00B56F17" w:rsidRPr="00B56F17" w:rsidRDefault="00B56F17" w:rsidP="00B56F17">
            <w:pPr>
              <w:spacing w:before="240" w:line="360" w:lineRule="auto"/>
              <w:rPr>
                <w:rFonts w:cstheme="majorBidi"/>
              </w:rPr>
            </w:pPr>
            <w:r>
              <w:rPr>
                <w:rFonts w:cstheme="majorBidi"/>
              </w:rPr>
              <w:t>R</w:t>
            </w:r>
            <w:r w:rsidRPr="00B56F17">
              <w:rPr>
                <w:rFonts w:cstheme="majorBidi"/>
              </w:rPr>
              <w:t>everse osmosis</w:t>
            </w:r>
          </w:p>
        </w:tc>
      </w:tr>
      <w:tr w:rsidR="00B56F17" w:rsidRPr="00B56F17" w14:paraId="4A1B8B1A" w14:textId="77777777" w:rsidTr="009A4AF3">
        <w:tc>
          <w:tcPr>
            <w:tcW w:w="0" w:type="auto"/>
            <w:shd w:val="clear" w:color="auto" w:fill="auto"/>
            <w:vAlign w:val="center"/>
          </w:tcPr>
          <w:p w14:paraId="3DA4EB57" w14:textId="77777777" w:rsidR="00B56F17" w:rsidRPr="00B56F17" w:rsidRDefault="00B56F17" w:rsidP="00B56F17">
            <w:pPr>
              <w:spacing w:before="240" w:line="360" w:lineRule="auto"/>
              <w:rPr>
                <w:rFonts w:cstheme="majorBidi"/>
              </w:rPr>
            </w:pPr>
            <m:oMathPara>
              <m:oMathParaPr>
                <m:jc m:val="left"/>
              </m:oMathParaPr>
              <m:oMath>
                <m:r>
                  <w:rPr>
                    <w:rFonts w:ascii="Cambria Math" w:hAnsi="Cambria Math" w:cstheme="majorBidi"/>
                  </w:rPr>
                  <m:t>S</m:t>
                </m:r>
              </m:oMath>
            </m:oMathPara>
          </w:p>
        </w:tc>
        <w:tc>
          <w:tcPr>
            <w:tcW w:w="3892" w:type="dxa"/>
            <w:shd w:val="clear" w:color="auto" w:fill="auto"/>
            <w:vAlign w:val="center"/>
          </w:tcPr>
          <w:p w14:paraId="7AE54F2E" w14:textId="6E1DC4C9" w:rsidR="00B56F17" w:rsidRPr="00B56F17" w:rsidRDefault="00B56F17" w:rsidP="00B56F17">
            <w:pPr>
              <w:spacing w:before="240" w:line="360" w:lineRule="auto"/>
              <w:rPr>
                <w:rFonts w:cstheme="majorBidi"/>
              </w:rPr>
            </w:pPr>
            <w:r>
              <w:rPr>
                <w:rFonts w:cstheme="majorBidi"/>
              </w:rPr>
              <w:t>S</w:t>
            </w:r>
            <w:r w:rsidRPr="00B56F17">
              <w:rPr>
                <w:rFonts w:cstheme="majorBidi"/>
              </w:rPr>
              <w:t>alinity (</w:t>
            </w:r>
            <m:oMath>
              <m:r>
                <m:rPr>
                  <m:sty m:val="p"/>
                </m:rPr>
                <w:rPr>
                  <w:rFonts w:ascii="Cambria Math" w:hAnsi="Cambria Math" w:cstheme="majorBidi"/>
                </w:rPr>
                <m:t>g/kg</m:t>
              </m:r>
            </m:oMath>
            <w:r w:rsidRPr="00B56F17">
              <w:rPr>
                <w:rFonts w:cstheme="majorBidi"/>
              </w:rPr>
              <w:t xml:space="preserve">), </w:t>
            </w:r>
            <m:oMath>
              <m:r>
                <w:rPr>
                  <w:rFonts w:ascii="Cambria Math" w:hAnsi="Cambria Math" w:cstheme="majorBidi"/>
                </w:rPr>
                <m:t>S=</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sub>
                  </m:sSub>
                </m:num>
                <m:den>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b</m:t>
                      </m:r>
                    </m:sub>
                  </m:sSub>
                </m:den>
              </m:f>
            </m:oMath>
          </w:p>
        </w:tc>
      </w:tr>
      <w:tr w:rsidR="00B56F17" w:rsidRPr="00B56F17" w14:paraId="514A707F" w14:textId="77777777" w:rsidTr="009A4AF3">
        <w:tc>
          <w:tcPr>
            <w:tcW w:w="0" w:type="auto"/>
            <w:shd w:val="clear" w:color="auto" w:fill="auto"/>
            <w:vAlign w:val="center"/>
          </w:tcPr>
          <w:p w14:paraId="1DB433CC" w14:textId="77777777" w:rsidR="00B56F17" w:rsidRPr="00B56F17" w:rsidRDefault="00B56F17" w:rsidP="00B56F17">
            <w:pPr>
              <w:spacing w:before="240" w:line="360" w:lineRule="auto"/>
              <w:rPr>
                <w:rFonts w:eastAsia="Times New Roman" w:cstheme="majorBidi"/>
              </w:rPr>
            </w:pPr>
            <m:oMathPara>
              <m:oMathParaPr>
                <m:jc m:val="left"/>
              </m:oMathParaPr>
              <m:oMath>
                <m:r>
                  <w:rPr>
                    <w:rFonts w:ascii="Cambria Math" w:hAnsi="Cambria Math" w:cstheme="majorBidi"/>
                  </w:rPr>
                  <m:t>T</m:t>
                </m:r>
              </m:oMath>
            </m:oMathPara>
          </w:p>
        </w:tc>
        <w:tc>
          <w:tcPr>
            <w:tcW w:w="3892" w:type="dxa"/>
            <w:shd w:val="clear" w:color="auto" w:fill="auto"/>
            <w:vAlign w:val="center"/>
          </w:tcPr>
          <w:p w14:paraId="2533DA4D" w14:textId="080E2A41" w:rsidR="00B56F17" w:rsidRPr="00B56F17" w:rsidRDefault="00B56F17" w:rsidP="00B56F17">
            <w:pPr>
              <w:spacing w:before="240" w:line="360" w:lineRule="auto"/>
              <w:rPr>
                <w:rFonts w:cstheme="majorBidi"/>
              </w:rPr>
            </w:pPr>
            <w:r>
              <w:rPr>
                <w:rFonts w:cstheme="majorBidi"/>
              </w:rPr>
              <w:t>T</w:t>
            </w:r>
            <w:r w:rsidRPr="00B56F17">
              <w:rPr>
                <w:rFonts w:cstheme="majorBidi"/>
              </w:rPr>
              <w:t>emperature (</w:t>
            </w:r>
            <m:oMath>
              <m:r>
                <w:rPr>
                  <w:rFonts w:ascii="Cambria Math" w:hAnsi="Cambria Math" w:cstheme="majorBidi"/>
                </w:rPr>
                <m:t>℃</m:t>
              </m:r>
            </m:oMath>
            <w:r w:rsidRPr="00B56F17">
              <w:rPr>
                <w:rFonts w:cstheme="majorBidi"/>
              </w:rPr>
              <w:t>)</w:t>
            </w:r>
          </w:p>
        </w:tc>
      </w:tr>
      <w:tr w:rsidR="00B56F17" w:rsidRPr="00B56F17" w14:paraId="01A8A3B0" w14:textId="77777777" w:rsidTr="009A4AF3">
        <w:tc>
          <w:tcPr>
            <w:tcW w:w="0" w:type="auto"/>
            <w:shd w:val="clear" w:color="auto" w:fill="auto"/>
            <w:vAlign w:val="center"/>
          </w:tcPr>
          <w:p w14:paraId="2FCA9EA4"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m:t>TDS</m:t>
                </m:r>
              </m:oMath>
            </m:oMathPara>
          </w:p>
        </w:tc>
        <w:tc>
          <w:tcPr>
            <w:tcW w:w="3892" w:type="dxa"/>
            <w:shd w:val="clear" w:color="auto" w:fill="auto"/>
            <w:vAlign w:val="center"/>
          </w:tcPr>
          <w:p w14:paraId="0B34BFA4" w14:textId="53E64C36" w:rsidR="00B56F17" w:rsidRPr="00B56F17" w:rsidRDefault="00B56F17" w:rsidP="00B56F17">
            <w:pPr>
              <w:spacing w:before="240" w:line="360" w:lineRule="auto"/>
              <w:rPr>
                <w:rFonts w:cstheme="majorBidi"/>
              </w:rPr>
            </w:pPr>
            <w:r>
              <w:rPr>
                <w:rFonts w:cstheme="majorBidi"/>
              </w:rPr>
              <w:t>T</w:t>
            </w:r>
            <w:r w:rsidRPr="00B56F17">
              <w:rPr>
                <w:rFonts w:cstheme="majorBidi"/>
              </w:rPr>
              <w:t>otal dissolved solids (</w:t>
            </w:r>
            <m:oMath>
              <m:r>
                <m:rPr>
                  <m:sty m:val="p"/>
                </m:rPr>
                <w:rPr>
                  <w:rFonts w:ascii="Cambria Math" w:hAnsi="Cambria Math" w:cstheme="majorBidi"/>
                </w:rPr>
                <m:t>ppm</m:t>
              </m:r>
            </m:oMath>
            <w:r w:rsidRPr="00B56F17">
              <w:rPr>
                <w:rFonts w:cstheme="majorBidi"/>
              </w:rPr>
              <w:t>)</w:t>
            </w:r>
          </w:p>
        </w:tc>
      </w:tr>
      <w:tr w:rsidR="00B56F17" w:rsidRPr="00B56F17" w14:paraId="5C86E81A" w14:textId="77777777" w:rsidTr="009A4AF3">
        <w:tc>
          <w:tcPr>
            <w:tcW w:w="0" w:type="auto"/>
            <w:shd w:val="clear" w:color="auto" w:fill="auto"/>
            <w:vAlign w:val="center"/>
          </w:tcPr>
          <w:p w14:paraId="3D9C57C0" w14:textId="77777777" w:rsidR="00B56F17" w:rsidRPr="00B56F17" w:rsidRDefault="00B56F17" w:rsidP="00B56F17">
            <w:pPr>
              <w:spacing w:before="240" w:line="360" w:lineRule="auto"/>
              <w:rPr>
                <w:rFonts w:eastAsia="Times New Roman" w:cstheme="majorBidi"/>
              </w:rPr>
            </w:pPr>
            <m:oMathPara>
              <m:oMathParaPr>
                <m:jc m:val="left"/>
              </m:oMathParaPr>
              <m:oMath>
                <m:r>
                  <w:rPr>
                    <w:rFonts w:ascii="Cambria Math" w:eastAsia="Times New Roman" w:hAnsi="Cambria Math" w:cstheme="majorBidi"/>
                  </w:rPr>
                  <m:t>t</m:t>
                </m:r>
              </m:oMath>
            </m:oMathPara>
          </w:p>
        </w:tc>
        <w:tc>
          <w:tcPr>
            <w:tcW w:w="3892" w:type="dxa"/>
            <w:shd w:val="clear" w:color="auto" w:fill="auto"/>
            <w:vAlign w:val="center"/>
          </w:tcPr>
          <w:p w14:paraId="31DF3F29" w14:textId="5DF416AE" w:rsidR="00B56F17" w:rsidRPr="00B56F17" w:rsidRDefault="00B56F17" w:rsidP="00B56F17">
            <w:pPr>
              <w:spacing w:before="240" w:line="360" w:lineRule="auto"/>
              <w:rPr>
                <w:rFonts w:cstheme="majorBidi"/>
              </w:rPr>
            </w:pPr>
            <w:r>
              <w:rPr>
                <w:rFonts w:cstheme="majorBidi"/>
              </w:rPr>
              <w:t>T</w:t>
            </w:r>
            <w:r w:rsidRPr="00B56F17">
              <w:rPr>
                <w:rFonts w:cstheme="majorBidi"/>
              </w:rPr>
              <w:t>ime (</w:t>
            </w:r>
            <m:oMath>
              <m:r>
                <m:rPr>
                  <m:sty m:val="p"/>
                </m:rPr>
                <w:rPr>
                  <w:rFonts w:ascii="Cambria Math" w:hAnsi="Cambria Math" w:cstheme="majorBidi"/>
                </w:rPr>
                <m:t>minutes</m:t>
              </m:r>
            </m:oMath>
            <w:r w:rsidRPr="00B56F17">
              <w:rPr>
                <w:rFonts w:cstheme="majorBidi"/>
              </w:rPr>
              <w:t>)</w:t>
            </w:r>
          </w:p>
        </w:tc>
      </w:tr>
      <w:tr w:rsidR="00B56F17" w:rsidRPr="00B56F17" w14:paraId="7B752581" w14:textId="77777777" w:rsidTr="009A4AF3">
        <w:tc>
          <w:tcPr>
            <w:tcW w:w="0" w:type="auto"/>
            <w:shd w:val="clear" w:color="auto" w:fill="auto"/>
            <w:vAlign w:val="center"/>
          </w:tcPr>
          <w:p w14:paraId="3E830FFA" w14:textId="77777777" w:rsidR="00B56F17" w:rsidRPr="00B56F17" w:rsidRDefault="00B56F17" w:rsidP="00B56F17">
            <w:pPr>
              <w:spacing w:before="240" w:line="360" w:lineRule="auto"/>
              <w:rPr>
                <w:rFonts w:eastAsia="Times New Roman" w:cstheme="majorBidi"/>
                <w:iCs/>
              </w:rPr>
            </w:pPr>
            <m:oMathPara>
              <m:oMathParaPr>
                <m:jc m:val="left"/>
              </m:oMathParaPr>
              <m:oMath>
                <m:r>
                  <m:rPr>
                    <m:sty m:val="p"/>
                  </m:rPr>
                  <w:rPr>
                    <w:rFonts w:ascii="Cambria Math" w:eastAsia="Times New Roman" w:hAnsi="Cambria Math" w:cstheme="majorBidi"/>
                  </w:rPr>
                  <w:lastRenderedPageBreak/>
                  <m:t>VFD</m:t>
                </m:r>
              </m:oMath>
            </m:oMathPara>
          </w:p>
        </w:tc>
        <w:tc>
          <w:tcPr>
            <w:tcW w:w="3892" w:type="dxa"/>
            <w:shd w:val="clear" w:color="auto" w:fill="auto"/>
            <w:vAlign w:val="center"/>
          </w:tcPr>
          <w:p w14:paraId="4508BE31" w14:textId="266E936B" w:rsidR="00B56F17" w:rsidRPr="00B56F17" w:rsidRDefault="00B56F17" w:rsidP="00B56F17">
            <w:pPr>
              <w:spacing w:before="240" w:line="360" w:lineRule="auto"/>
              <w:rPr>
                <w:rFonts w:cstheme="majorBidi"/>
              </w:rPr>
            </w:pPr>
            <w:r>
              <w:rPr>
                <w:rFonts w:cstheme="majorBidi"/>
              </w:rPr>
              <w:t>V</w:t>
            </w:r>
            <w:r w:rsidRPr="00B56F17">
              <w:rPr>
                <w:rFonts w:cstheme="majorBidi"/>
              </w:rPr>
              <w:t>ariable frequency drive</w:t>
            </w:r>
          </w:p>
        </w:tc>
      </w:tr>
      <w:tr w:rsidR="00B56F17" w:rsidRPr="00B56F17" w14:paraId="40F7A0BC" w14:textId="77777777" w:rsidTr="009A4AF3">
        <w:tc>
          <w:tcPr>
            <w:tcW w:w="0" w:type="auto"/>
            <w:shd w:val="clear" w:color="auto" w:fill="auto"/>
            <w:vAlign w:val="center"/>
          </w:tcPr>
          <w:p w14:paraId="582CBF8C" w14:textId="77777777" w:rsidR="00B56F17" w:rsidRPr="00B56F17" w:rsidRDefault="00B56F17" w:rsidP="00B56F17">
            <w:pPr>
              <w:spacing w:before="240" w:line="360" w:lineRule="auto"/>
              <w:rPr>
                <w:rFonts w:cstheme="majorBidi"/>
              </w:rPr>
            </w:pPr>
            <m:oMathPara>
              <m:oMathParaPr>
                <m:jc m:val="left"/>
              </m:oMathParaPr>
              <m:oMath>
                <m:r>
                  <w:rPr>
                    <w:rFonts w:ascii="Cambria Math" w:hAnsi="Cambria Math" w:cstheme="majorBidi"/>
                  </w:rPr>
                  <m:t>ρ</m:t>
                </m:r>
              </m:oMath>
            </m:oMathPara>
          </w:p>
        </w:tc>
        <w:tc>
          <w:tcPr>
            <w:tcW w:w="3892" w:type="dxa"/>
            <w:shd w:val="clear" w:color="auto" w:fill="auto"/>
            <w:vAlign w:val="center"/>
          </w:tcPr>
          <w:p w14:paraId="47BD3719" w14:textId="359415F4" w:rsidR="00B56F17" w:rsidRPr="00B56F17" w:rsidRDefault="00B56F17" w:rsidP="00B56F17">
            <w:pPr>
              <w:spacing w:before="240" w:line="360" w:lineRule="auto"/>
              <w:rPr>
                <w:rFonts w:cstheme="majorBidi"/>
              </w:rPr>
            </w:pPr>
            <w:r>
              <w:rPr>
                <w:rFonts w:cstheme="majorBidi"/>
              </w:rPr>
              <w:t>D</w:t>
            </w:r>
            <w:r w:rsidRPr="00B56F17">
              <w:rPr>
                <w:rFonts w:cstheme="majorBidi"/>
              </w:rPr>
              <w:t>ensity (</w:t>
            </w:r>
            <m:oMath>
              <m:r>
                <m:rPr>
                  <m:sty m:val="p"/>
                </m:rPr>
                <w:rPr>
                  <w:rFonts w:ascii="Cambria Math" w:hAnsi="Cambria Math" w:cstheme="majorBidi"/>
                </w:rPr>
                <m:t>kg/</m:t>
              </m:r>
              <m:sSup>
                <m:sSupPr>
                  <m:ctrlPr>
                    <w:rPr>
                      <w:rFonts w:ascii="Cambria Math" w:hAnsi="Cambria Math" w:cstheme="majorBidi"/>
                      <w:iCs/>
                    </w:rPr>
                  </m:ctrlPr>
                </m:sSupPr>
                <m:e>
                  <m:r>
                    <m:rPr>
                      <m:sty m:val="p"/>
                    </m:rPr>
                    <w:rPr>
                      <w:rFonts w:ascii="Cambria Math" w:hAnsi="Cambria Math" w:cstheme="majorBidi"/>
                    </w:rPr>
                    <m:t>m</m:t>
                  </m:r>
                </m:e>
                <m:sup>
                  <m:r>
                    <m:rPr>
                      <m:sty m:val="p"/>
                    </m:rPr>
                    <w:rPr>
                      <w:rFonts w:ascii="Cambria Math" w:hAnsi="Cambria Math" w:cstheme="majorBidi"/>
                    </w:rPr>
                    <m:t>3</m:t>
                  </m:r>
                </m:sup>
              </m:sSup>
            </m:oMath>
            <w:r w:rsidRPr="00B56F17">
              <w:rPr>
                <w:rFonts w:cstheme="majorBidi"/>
              </w:rPr>
              <w:t>)</w:t>
            </w:r>
          </w:p>
        </w:tc>
      </w:tr>
      <w:tr w:rsidR="00B56F17" w:rsidRPr="00B56F17" w14:paraId="361111E2" w14:textId="77777777" w:rsidTr="009A4AF3">
        <w:tc>
          <w:tcPr>
            <w:tcW w:w="0" w:type="auto"/>
            <w:shd w:val="clear" w:color="auto" w:fill="auto"/>
            <w:vAlign w:val="center"/>
          </w:tcPr>
          <w:p w14:paraId="76DE204A" w14:textId="77777777" w:rsidR="00B56F17" w:rsidRPr="00B56F17" w:rsidRDefault="00B56F17" w:rsidP="00B56F17">
            <w:pPr>
              <w:spacing w:before="240" w:line="360" w:lineRule="auto"/>
              <w:rPr>
                <w:rFonts w:eastAsia="Times New Roman" w:cstheme="majorBidi"/>
              </w:rPr>
            </w:pPr>
            <m:oMathPara>
              <m:oMathParaPr>
                <m:jc m:val="left"/>
              </m:oMathParaPr>
              <m:oMath>
                <m:r>
                  <w:rPr>
                    <w:rFonts w:ascii="Cambria Math" w:eastAsia="Times New Roman" w:hAnsi="Cambria Math" w:cstheme="majorBidi"/>
                  </w:rPr>
                  <m:t>η</m:t>
                </m:r>
              </m:oMath>
            </m:oMathPara>
          </w:p>
        </w:tc>
        <w:tc>
          <w:tcPr>
            <w:tcW w:w="3892" w:type="dxa"/>
            <w:shd w:val="clear" w:color="auto" w:fill="auto"/>
            <w:vAlign w:val="center"/>
          </w:tcPr>
          <w:p w14:paraId="4289A879" w14:textId="5E866288" w:rsidR="00B56F17" w:rsidRPr="00B56F17" w:rsidRDefault="00B56F17" w:rsidP="00B56F17">
            <w:pPr>
              <w:spacing w:before="240" w:line="360" w:lineRule="auto"/>
              <w:rPr>
                <w:rFonts w:cstheme="majorBidi"/>
              </w:rPr>
            </w:pPr>
            <w:r>
              <w:rPr>
                <w:rFonts w:cstheme="majorBidi"/>
              </w:rPr>
              <w:t>D</w:t>
            </w:r>
            <w:r w:rsidRPr="00B56F17">
              <w:rPr>
                <w:rFonts w:cstheme="majorBidi"/>
              </w:rPr>
              <w:t xml:space="preserve">esalination rate, </w:t>
            </w:r>
            <m:oMath>
              <m:r>
                <w:rPr>
                  <w:rFonts w:ascii="Cambria Math" w:hAnsi="Cambria Math" w:cstheme="majorBidi"/>
                </w:rPr>
                <m:t>η=</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cb</m:t>
                      </m:r>
                    </m:sub>
                  </m:sSub>
                </m:num>
                <m:den>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s,</m:t>
                      </m:r>
                      <m:r>
                        <m:rPr>
                          <m:sty m:val="p"/>
                        </m:rPr>
                        <w:rPr>
                          <w:rFonts w:ascii="Cambria Math" w:hAnsi="Cambria Math" w:cstheme="majorBidi"/>
                        </w:rPr>
                        <m:t>fb</m:t>
                      </m:r>
                    </m:sub>
                  </m:sSub>
                </m:den>
              </m:f>
            </m:oMath>
          </w:p>
        </w:tc>
      </w:tr>
      <w:tr w:rsidR="00B56F17" w:rsidRPr="00B56F17" w14:paraId="4CA894B4" w14:textId="77777777" w:rsidTr="009A4AF3">
        <w:tc>
          <w:tcPr>
            <w:tcW w:w="0" w:type="auto"/>
            <w:shd w:val="clear" w:color="auto" w:fill="auto"/>
            <w:vAlign w:val="center"/>
            <w:hideMark/>
          </w:tcPr>
          <w:p w14:paraId="47E7E278" w14:textId="77777777" w:rsidR="00B56F17" w:rsidRPr="00B56F17" w:rsidRDefault="00B56F17" w:rsidP="00D93348">
            <w:pPr>
              <w:spacing w:before="240" w:line="360" w:lineRule="auto"/>
              <w:rPr>
                <w:rFonts w:cstheme="majorBidi"/>
                <w:b/>
                <w:bCs/>
              </w:rPr>
            </w:pPr>
            <w:r w:rsidRPr="00B56F17">
              <w:rPr>
                <w:rFonts w:cstheme="majorBidi"/>
                <w:b/>
                <w:bCs/>
              </w:rPr>
              <w:t>Subscripts</w:t>
            </w:r>
          </w:p>
        </w:tc>
        <w:tc>
          <w:tcPr>
            <w:tcW w:w="3892" w:type="dxa"/>
            <w:shd w:val="clear" w:color="auto" w:fill="auto"/>
            <w:vAlign w:val="center"/>
          </w:tcPr>
          <w:p w14:paraId="25E7E77E" w14:textId="77777777" w:rsidR="00B56F17" w:rsidRPr="00B56F17" w:rsidRDefault="00B56F17" w:rsidP="00B56F17">
            <w:pPr>
              <w:spacing w:before="240" w:line="360" w:lineRule="auto"/>
              <w:rPr>
                <w:rFonts w:cstheme="majorBidi"/>
              </w:rPr>
            </w:pPr>
          </w:p>
        </w:tc>
      </w:tr>
      <w:tr w:rsidR="00B56F17" w:rsidRPr="00B56F17" w14:paraId="32CB445B" w14:textId="77777777" w:rsidTr="009A4AF3">
        <w:tc>
          <w:tcPr>
            <w:tcW w:w="0" w:type="auto"/>
            <w:shd w:val="clear" w:color="auto" w:fill="auto"/>
            <w:vAlign w:val="center"/>
          </w:tcPr>
          <w:p w14:paraId="7A5DA59D"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avg</m:t>
                </m:r>
              </m:oMath>
            </m:oMathPara>
          </w:p>
        </w:tc>
        <w:tc>
          <w:tcPr>
            <w:tcW w:w="3892" w:type="dxa"/>
            <w:shd w:val="clear" w:color="auto" w:fill="auto"/>
            <w:vAlign w:val="center"/>
          </w:tcPr>
          <w:p w14:paraId="75A76B46" w14:textId="71F855D9" w:rsidR="00B56F17" w:rsidRPr="00B56F17" w:rsidRDefault="00B56F17" w:rsidP="00B56F17">
            <w:pPr>
              <w:spacing w:before="240" w:line="360" w:lineRule="auto"/>
              <w:rPr>
                <w:rFonts w:cstheme="majorBidi"/>
              </w:rPr>
            </w:pPr>
            <w:r>
              <w:rPr>
                <w:rFonts w:cstheme="majorBidi"/>
              </w:rPr>
              <w:t>A</w:t>
            </w:r>
            <w:r w:rsidRPr="00B56F17">
              <w:rPr>
                <w:rFonts w:cstheme="majorBidi"/>
              </w:rPr>
              <w:t>verage</w:t>
            </w:r>
          </w:p>
        </w:tc>
      </w:tr>
      <w:tr w:rsidR="00B56F17" w:rsidRPr="00B56F17" w14:paraId="67BB82F5" w14:textId="77777777" w:rsidTr="009A4AF3">
        <w:tc>
          <w:tcPr>
            <w:tcW w:w="0" w:type="auto"/>
            <w:shd w:val="clear" w:color="auto" w:fill="auto"/>
            <w:vAlign w:val="center"/>
          </w:tcPr>
          <w:p w14:paraId="3B0A2E80" w14:textId="77777777" w:rsidR="00B56F17" w:rsidRPr="00B56F17" w:rsidRDefault="00B56F17" w:rsidP="00B56F17">
            <w:pPr>
              <w:spacing w:before="240" w:line="360" w:lineRule="auto"/>
              <w:jc w:val="center"/>
              <w:rPr>
                <w:rFonts w:cstheme="majorBidi"/>
                <w:i/>
                <w:iCs/>
              </w:rPr>
            </w:pPr>
            <m:oMathPara>
              <m:oMathParaPr>
                <m:jc m:val="left"/>
              </m:oMathParaPr>
              <m:oMath>
                <m:r>
                  <w:rPr>
                    <w:rFonts w:ascii="Cambria Math" w:eastAsia="Times New Roman" w:hAnsi="Cambria Math" w:cstheme="majorBidi"/>
                  </w:rPr>
                  <m:t>b</m:t>
                </m:r>
              </m:oMath>
            </m:oMathPara>
          </w:p>
        </w:tc>
        <w:tc>
          <w:tcPr>
            <w:tcW w:w="3892" w:type="dxa"/>
            <w:shd w:val="clear" w:color="auto" w:fill="auto"/>
            <w:vAlign w:val="center"/>
          </w:tcPr>
          <w:p w14:paraId="10A6BD5E" w14:textId="77C6D365" w:rsidR="00B56F17" w:rsidRPr="00B56F17" w:rsidRDefault="00B56F17" w:rsidP="00B56F17">
            <w:pPr>
              <w:spacing w:before="240" w:line="360" w:lineRule="auto"/>
              <w:rPr>
                <w:rFonts w:cstheme="majorBidi"/>
              </w:rPr>
            </w:pPr>
            <w:r>
              <w:rPr>
                <w:rFonts w:cstheme="majorBidi"/>
              </w:rPr>
              <w:t>B</w:t>
            </w:r>
            <w:r w:rsidRPr="00B56F17">
              <w:rPr>
                <w:rFonts w:cstheme="majorBidi"/>
              </w:rPr>
              <w:t>rine</w:t>
            </w:r>
          </w:p>
        </w:tc>
      </w:tr>
      <w:tr w:rsidR="00B56F17" w:rsidRPr="00B56F17" w14:paraId="173FC4EE" w14:textId="77777777" w:rsidTr="009A4AF3">
        <w:tc>
          <w:tcPr>
            <w:tcW w:w="0" w:type="auto"/>
            <w:shd w:val="clear" w:color="auto" w:fill="auto"/>
            <w:vAlign w:val="center"/>
          </w:tcPr>
          <w:p w14:paraId="1F9BD99B" w14:textId="77777777" w:rsidR="00B56F17" w:rsidRPr="00B56F17" w:rsidRDefault="00B56F17" w:rsidP="00B56F17">
            <w:pPr>
              <w:spacing w:before="240" w:line="360" w:lineRule="auto"/>
              <w:jc w:val="center"/>
              <w:rPr>
                <w:rFonts w:eastAsia="Times New Roman" w:cstheme="majorBidi"/>
              </w:rPr>
            </w:pPr>
            <m:oMathPara>
              <m:oMathParaPr>
                <m:jc m:val="left"/>
              </m:oMathParaPr>
              <m:oMath>
                <m:r>
                  <m:rPr>
                    <m:sty m:val="p"/>
                  </m:rPr>
                  <w:rPr>
                    <w:rFonts w:ascii="Cambria Math" w:eastAsia="Times New Roman" w:hAnsi="Cambria Math" w:cstheme="majorBidi"/>
                  </w:rPr>
                  <m:t>cb</m:t>
                </m:r>
              </m:oMath>
            </m:oMathPara>
          </w:p>
        </w:tc>
        <w:tc>
          <w:tcPr>
            <w:tcW w:w="3892" w:type="dxa"/>
            <w:shd w:val="clear" w:color="auto" w:fill="auto"/>
            <w:vAlign w:val="center"/>
          </w:tcPr>
          <w:p w14:paraId="38F7D8AA" w14:textId="63D1C273" w:rsidR="00B56F17" w:rsidRPr="00B56F17" w:rsidRDefault="00B56F17" w:rsidP="00B56F17">
            <w:pPr>
              <w:spacing w:before="240" w:line="360" w:lineRule="auto"/>
              <w:rPr>
                <w:rFonts w:cstheme="majorBidi"/>
              </w:rPr>
            </w:pPr>
            <w:r>
              <w:rPr>
                <w:rFonts w:cstheme="majorBidi"/>
              </w:rPr>
              <w:t>C</w:t>
            </w:r>
            <w:r w:rsidRPr="00B56F17">
              <w:rPr>
                <w:rFonts w:cstheme="majorBidi"/>
              </w:rPr>
              <w:t>oncentrated brine</w:t>
            </w:r>
          </w:p>
        </w:tc>
      </w:tr>
      <w:tr w:rsidR="00B56F17" w:rsidRPr="00B56F17" w14:paraId="770EDB8A" w14:textId="77777777" w:rsidTr="009A4AF3">
        <w:tc>
          <w:tcPr>
            <w:tcW w:w="0" w:type="auto"/>
            <w:shd w:val="clear" w:color="auto" w:fill="auto"/>
            <w:vAlign w:val="center"/>
          </w:tcPr>
          <w:p w14:paraId="0472A9C5"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cent</m:t>
                </m:r>
              </m:oMath>
            </m:oMathPara>
          </w:p>
        </w:tc>
        <w:tc>
          <w:tcPr>
            <w:tcW w:w="3892" w:type="dxa"/>
            <w:shd w:val="clear" w:color="auto" w:fill="auto"/>
            <w:vAlign w:val="center"/>
          </w:tcPr>
          <w:p w14:paraId="3DE78CBC" w14:textId="6A516192" w:rsidR="00B56F17" w:rsidRPr="00B56F17" w:rsidRDefault="00B56F17" w:rsidP="00B56F17">
            <w:pPr>
              <w:spacing w:before="240" w:line="360" w:lineRule="auto"/>
              <w:rPr>
                <w:rFonts w:cstheme="majorBidi"/>
              </w:rPr>
            </w:pPr>
            <w:r>
              <w:rPr>
                <w:rFonts w:cstheme="majorBidi"/>
              </w:rPr>
              <w:t>C</w:t>
            </w:r>
            <w:r w:rsidRPr="00B56F17">
              <w:rPr>
                <w:rFonts w:cstheme="majorBidi"/>
              </w:rPr>
              <w:t>entrifugation</w:t>
            </w:r>
          </w:p>
        </w:tc>
      </w:tr>
      <w:tr w:rsidR="00B56F17" w:rsidRPr="00B56F17" w14:paraId="2EC62C2F" w14:textId="77777777" w:rsidTr="009A4AF3">
        <w:tc>
          <w:tcPr>
            <w:tcW w:w="0" w:type="auto"/>
            <w:shd w:val="clear" w:color="auto" w:fill="auto"/>
            <w:vAlign w:val="center"/>
          </w:tcPr>
          <w:p w14:paraId="100935C5"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ex</m:t>
                </m:r>
              </m:oMath>
            </m:oMathPara>
          </w:p>
        </w:tc>
        <w:tc>
          <w:tcPr>
            <w:tcW w:w="3892" w:type="dxa"/>
            <w:shd w:val="clear" w:color="auto" w:fill="auto"/>
            <w:vAlign w:val="center"/>
          </w:tcPr>
          <w:p w14:paraId="4C608B20" w14:textId="0FF80131" w:rsidR="00B56F17" w:rsidRPr="00B56F17" w:rsidRDefault="00B56F17" w:rsidP="00B56F17">
            <w:pPr>
              <w:spacing w:before="240" w:line="360" w:lineRule="auto"/>
              <w:rPr>
                <w:rFonts w:cstheme="majorBidi"/>
              </w:rPr>
            </w:pPr>
            <w:r>
              <w:rPr>
                <w:rFonts w:cstheme="majorBidi"/>
              </w:rPr>
              <w:t>E</w:t>
            </w:r>
            <w:r w:rsidRPr="00B56F17">
              <w:rPr>
                <w:rFonts w:cstheme="majorBidi"/>
              </w:rPr>
              <w:t>xperimental</w:t>
            </w:r>
          </w:p>
        </w:tc>
      </w:tr>
      <w:tr w:rsidR="00B56F17" w:rsidRPr="00B56F17" w14:paraId="02522ED0" w14:textId="77777777" w:rsidTr="009A4AF3">
        <w:tc>
          <w:tcPr>
            <w:tcW w:w="0" w:type="auto"/>
            <w:shd w:val="clear" w:color="auto" w:fill="auto"/>
            <w:vAlign w:val="center"/>
          </w:tcPr>
          <w:p w14:paraId="0399CD96"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fb</m:t>
                </m:r>
              </m:oMath>
            </m:oMathPara>
          </w:p>
        </w:tc>
        <w:tc>
          <w:tcPr>
            <w:tcW w:w="3892" w:type="dxa"/>
            <w:shd w:val="clear" w:color="auto" w:fill="auto"/>
            <w:vAlign w:val="center"/>
          </w:tcPr>
          <w:p w14:paraId="3E70A40C" w14:textId="4C773D77" w:rsidR="00B56F17" w:rsidRPr="00B56F17" w:rsidRDefault="00B56F17" w:rsidP="00B56F17">
            <w:pPr>
              <w:spacing w:before="240" w:line="360" w:lineRule="auto"/>
              <w:rPr>
                <w:rFonts w:cstheme="majorBidi"/>
              </w:rPr>
            </w:pPr>
            <w:r>
              <w:rPr>
                <w:rFonts w:cstheme="majorBidi"/>
              </w:rPr>
              <w:t>F</w:t>
            </w:r>
            <w:r w:rsidRPr="00B56F17">
              <w:rPr>
                <w:rFonts w:cstheme="majorBidi"/>
              </w:rPr>
              <w:t>eed brine</w:t>
            </w:r>
          </w:p>
        </w:tc>
      </w:tr>
      <w:tr w:rsidR="00B56F17" w:rsidRPr="00B56F17" w14:paraId="05F9AEC8" w14:textId="77777777" w:rsidTr="009A4AF3">
        <w:tc>
          <w:tcPr>
            <w:tcW w:w="0" w:type="auto"/>
            <w:shd w:val="clear" w:color="auto" w:fill="auto"/>
            <w:vAlign w:val="center"/>
          </w:tcPr>
          <w:p w14:paraId="25DA9BDC" w14:textId="77777777" w:rsidR="00B56F17" w:rsidRPr="00B56F17" w:rsidRDefault="00B56F17" w:rsidP="00B56F17">
            <w:pPr>
              <w:spacing w:before="240" w:line="360" w:lineRule="auto"/>
              <w:jc w:val="center"/>
              <w:rPr>
                <w:rFonts w:cstheme="majorBidi"/>
                <w:iCs/>
              </w:rPr>
            </w:pPr>
            <m:oMathPara>
              <m:oMathParaPr>
                <m:jc m:val="left"/>
              </m:oMathParaPr>
              <m:oMath>
                <m:r>
                  <m:rPr>
                    <m:sty m:val="p"/>
                  </m:rPr>
                  <w:rPr>
                    <w:rFonts w:ascii="Cambria Math" w:hAnsi="Cambria Math" w:cstheme="majorBidi"/>
                  </w:rPr>
                  <m:t>frz</m:t>
                </m:r>
              </m:oMath>
            </m:oMathPara>
          </w:p>
        </w:tc>
        <w:tc>
          <w:tcPr>
            <w:tcW w:w="3892" w:type="dxa"/>
            <w:shd w:val="clear" w:color="auto" w:fill="auto"/>
            <w:vAlign w:val="center"/>
          </w:tcPr>
          <w:p w14:paraId="4E9A068A" w14:textId="17C5BCFD" w:rsidR="00B56F17" w:rsidRPr="00B56F17" w:rsidRDefault="00B56F17" w:rsidP="00B56F17">
            <w:pPr>
              <w:spacing w:before="240" w:line="360" w:lineRule="auto"/>
              <w:rPr>
                <w:rFonts w:cstheme="majorBidi"/>
              </w:rPr>
            </w:pPr>
            <w:r>
              <w:rPr>
                <w:rFonts w:cstheme="majorBidi"/>
              </w:rPr>
              <w:t>F</w:t>
            </w:r>
            <w:r w:rsidRPr="00B56F17">
              <w:rPr>
                <w:rFonts w:cstheme="majorBidi"/>
              </w:rPr>
              <w:t>reezing</w:t>
            </w:r>
          </w:p>
        </w:tc>
      </w:tr>
      <w:tr w:rsidR="00B56F17" w:rsidRPr="00B56F17" w14:paraId="75D53DFF" w14:textId="77777777" w:rsidTr="009A4AF3">
        <w:tc>
          <w:tcPr>
            <w:tcW w:w="0" w:type="auto"/>
            <w:shd w:val="clear" w:color="auto" w:fill="auto"/>
            <w:vAlign w:val="center"/>
          </w:tcPr>
          <w:p w14:paraId="56B2EF8B" w14:textId="77777777" w:rsidR="00B56F17" w:rsidRPr="00B56F17" w:rsidRDefault="00B56F17" w:rsidP="00B56F17">
            <w:pPr>
              <w:spacing w:before="240" w:line="360" w:lineRule="auto"/>
              <w:jc w:val="center"/>
              <w:rPr>
                <w:rFonts w:cstheme="majorBidi"/>
                <w:iCs/>
              </w:rPr>
            </w:pPr>
            <m:oMathPara>
              <m:oMathParaPr>
                <m:jc m:val="left"/>
              </m:oMathParaPr>
              <m:oMath>
                <m:r>
                  <w:rPr>
                    <w:rFonts w:ascii="Cambria Math" w:hAnsi="Cambria Math" w:cstheme="majorBidi"/>
                  </w:rPr>
                  <m:t>s</m:t>
                </m:r>
              </m:oMath>
            </m:oMathPara>
          </w:p>
        </w:tc>
        <w:tc>
          <w:tcPr>
            <w:tcW w:w="3892" w:type="dxa"/>
            <w:shd w:val="clear" w:color="auto" w:fill="auto"/>
            <w:vAlign w:val="center"/>
          </w:tcPr>
          <w:p w14:paraId="299C8CE0" w14:textId="6D7CA2BC" w:rsidR="00B56F17" w:rsidRPr="00B56F17" w:rsidRDefault="00B56F17" w:rsidP="00B56F17">
            <w:pPr>
              <w:spacing w:before="240" w:line="360" w:lineRule="auto"/>
              <w:rPr>
                <w:rFonts w:cstheme="majorBidi"/>
              </w:rPr>
            </w:pPr>
            <w:r>
              <w:rPr>
                <w:rFonts w:cstheme="majorBidi"/>
              </w:rPr>
              <w:t>S</w:t>
            </w:r>
            <w:r w:rsidRPr="00B56F17">
              <w:rPr>
                <w:rFonts w:cstheme="majorBidi"/>
              </w:rPr>
              <w:t>alt</w:t>
            </w:r>
          </w:p>
        </w:tc>
      </w:tr>
      <w:tr w:rsidR="00B56F17" w:rsidRPr="00B56F17" w14:paraId="73A7EE9A" w14:textId="77777777" w:rsidTr="009A4AF3">
        <w:tc>
          <w:tcPr>
            <w:tcW w:w="0" w:type="auto"/>
            <w:shd w:val="clear" w:color="auto" w:fill="auto"/>
            <w:vAlign w:val="center"/>
          </w:tcPr>
          <w:p w14:paraId="10B84A90"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th</m:t>
                </m:r>
              </m:oMath>
            </m:oMathPara>
          </w:p>
        </w:tc>
        <w:tc>
          <w:tcPr>
            <w:tcW w:w="3892" w:type="dxa"/>
            <w:shd w:val="clear" w:color="auto" w:fill="auto"/>
            <w:vAlign w:val="center"/>
          </w:tcPr>
          <w:p w14:paraId="09113196" w14:textId="6960A44E" w:rsidR="00B56F17" w:rsidRPr="00B56F17" w:rsidRDefault="00B56F17" w:rsidP="00B56F17">
            <w:pPr>
              <w:spacing w:before="240" w:line="360" w:lineRule="auto"/>
              <w:rPr>
                <w:rFonts w:cstheme="majorBidi"/>
              </w:rPr>
            </w:pPr>
            <w:r>
              <w:rPr>
                <w:rFonts w:cstheme="majorBidi"/>
              </w:rPr>
              <w:t>T</w:t>
            </w:r>
            <w:r w:rsidRPr="00B56F17">
              <w:rPr>
                <w:rFonts w:cstheme="majorBidi"/>
              </w:rPr>
              <w:t>heoretical</w:t>
            </w:r>
          </w:p>
        </w:tc>
      </w:tr>
      <w:tr w:rsidR="00B56F17" w:rsidRPr="00B56F17" w14:paraId="2EC210DC" w14:textId="77777777" w:rsidTr="009A4AF3">
        <w:tc>
          <w:tcPr>
            <w:tcW w:w="0" w:type="auto"/>
            <w:shd w:val="clear" w:color="auto" w:fill="auto"/>
            <w:vAlign w:val="center"/>
          </w:tcPr>
          <w:p w14:paraId="0C79831C" w14:textId="77777777" w:rsidR="00B56F17" w:rsidRPr="00B56F17" w:rsidRDefault="00B56F17" w:rsidP="00B56F17">
            <w:pPr>
              <w:spacing w:before="240" w:line="360" w:lineRule="auto"/>
              <w:jc w:val="center"/>
              <w:rPr>
                <w:rFonts w:eastAsia="Times New Roman" w:cstheme="majorBidi"/>
                <w:iCs/>
              </w:rPr>
            </w:pPr>
            <m:oMathPara>
              <m:oMathParaPr>
                <m:jc m:val="left"/>
              </m:oMathParaPr>
              <m:oMath>
                <m:r>
                  <m:rPr>
                    <m:sty m:val="p"/>
                  </m:rPr>
                  <w:rPr>
                    <w:rFonts w:ascii="Cambria Math" w:eastAsia="Times New Roman" w:hAnsi="Cambria Math" w:cstheme="majorBidi"/>
                  </w:rPr>
                  <m:t>tw</m:t>
                </m:r>
              </m:oMath>
            </m:oMathPara>
          </w:p>
        </w:tc>
        <w:tc>
          <w:tcPr>
            <w:tcW w:w="3892" w:type="dxa"/>
            <w:shd w:val="clear" w:color="auto" w:fill="auto"/>
            <w:vAlign w:val="center"/>
          </w:tcPr>
          <w:p w14:paraId="2CA771B6" w14:textId="09D8D13D" w:rsidR="00B56F17" w:rsidRPr="00B56F17" w:rsidRDefault="00B56F17" w:rsidP="00B56F17">
            <w:pPr>
              <w:spacing w:before="240" w:line="360" w:lineRule="auto"/>
              <w:rPr>
                <w:rFonts w:cstheme="majorBidi"/>
              </w:rPr>
            </w:pPr>
            <w:r>
              <w:rPr>
                <w:rFonts w:cstheme="majorBidi"/>
              </w:rPr>
              <w:t>T</w:t>
            </w:r>
            <w:r w:rsidRPr="00B56F17">
              <w:rPr>
                <w:rFonts w:cstheme="majorBidi"/>
              </w:rPr>
              <w:t>reated water</w:t>
            </w:r>
          </w:p>
        </w:tc>
      </w:tr>
    </w:tbl>
    <w:p w14:paraId="25301A6C" w14:textId="77777777" w:rsidR="002E4D3F" w:rsidRDefault="002E4D3F" w:rsidP="00BF44F1">
      <w:pPr>
        <w:tabs>
          <w:tab w:val="left" w:pos="-720"/>
        </w:tabs>
        <w:suppressAutoHyphens/>
        <w:adjustRightInd w:val="0"/>
        <w:snapToGrid w:val="0"/>
        <w:spacing w:before="100" w:beforeAutospacing="1" w:after="100" w:afterAutospacing="1"/>
        <w:jc w:val="both"/>
        <w:rPr>
          <w:rFonts w:eastAsia="MS Mincho" w:cstheme="majorBidi"/>
          <w:spacing w:val="-3"/>
          <w:sz w:val="22"/>
          <w:szCs w:val="22"/>
        </w:rPr>
      </w:pPr>
    </w:p>
    <w:p w14:paraId="5F1962E2" w14:textId="77777777" w:rsidR="002E4D3F" w:rsidRDefault="002E4D3F" w:rsidP="00BF44F1">
      <w:pPr>
        <w:tabs>
          <w:tab w:val="left" w:pos="-720"/>
        </w:tabs>
        <w:suppressAutoHyphens/>
        <w:adjustRightInd w:val="0"/>
        <w:snapToGrid w:val="0"/>
        <w:spacing w:before="100" w:beforeAutospacing="1" w:after="100" w:afterAutospacing="1"/>
        <w:jc w:val="both"/>
        <w:rPr>
          <w:rFonts w:eastAsia="MS Mincho" w:cstheme="majorBidi"/>
          <w:spacing w:val="-3"/>
          <w:sz w:val="22"/>
          <w:szCs w:val="22"/>
        </w:rPr>
      </w:pPr>
    </w:p>
    <w:p w14:paraId="74C2EC5F" w14:textId="77777777" w:rsidR="002E4D3F" w:rsidRDefault="002E4D3F" w:rsidP="00BF44F1">
      <w:pPr>
        <w:tabs>
          <w:tab w:val="left" w:pos="-720"/>
        </w:tabs>
        <w:suppressAutoHyphens/>
        <w:adjustRightInd w:val="0"/>
        <w:snapToGrid w:val="0"/>
        <w:spacing w:before="100" w:beforeAutospacing="1" w:after="100" w:afterAutospacing="1"/>
        <w:jc w:val="both"/>
        <w:rPr>
          <w:rFonts w:eastAsia="MS Mincho" w:cstheme="majorBidi"/>
          <w:spacing w:val="-3"/>
          <w:sz w:val="22"/>
          <w:szCs w:val="22"/>
        </w:rPr>
      </w:pPr>
    </w:p>
    <w:p w14:paraId="6A807D66" w14:textId="77777777" w:rsidR="0090620C" w:rsidRDefault="0090620C" w:rsidP="0090620C">
      <w:pPr>
        <w:rPr>
          <w:lang w:eastAsia="ja-JP"/>
        </w:rPr>
      </w:pPr>
    </w:p>
    <w:p w14:paraId="6259226F" w14:textId="77777777" w:rsidR="0090620C" w:rsidRDefault="0090620C" w:rsidP="0090620C">
      <w:pPr>
        <w:rPr>
          <w:lang w:eastAsia="ja-JP"/>
        </w:rPr>
      </w:pPr>
    </w:p>
    <w:p w14:paraId="7AAB7680" w14:textId="77777777" w:rsidR="0090620C" w:rsidRDefault="0090620C" w:rsidP="0090620C">
      <w:pPr>
        <w:rPr>
          <w:lang w:eastAsia="ja-JP"/>
        </w:rPr>
      </w:pPr>
    </w:p>
    <w:p w14:paraId="47AE476F" w14:textId="06366D3D" w:rsidR="003B06A3" w:rsidRPr="004651FF" w:rsidRDefault="00AF7704" w:rsidP="00700DBA">
      <w:pPr>
        <w:pStyle w:val="Heading1"/>
        <w:numPr>
          <w:ilvl w:val="0"/>
          <w:numId w:val="4"/>
        </w:numPr>
        <w:spacing w:before="0" w:after="0" w:line="480" w:lineRule="auto"/>
        <w:ind w:left="288" w:hanging="288"/>
        <w:rPr>
          <w:rFonts w:eastAsia="MS Mincho"/>
          <w:sz w:val="28"/>
          <w:szCs w:val="28"/>
          <w:lang w:eastAsia="ja-JP"/>
        </w:rPr>
      </w:pPr>
      <w:bookmarkStart w:id="57" w:name="_Toc172367688"/>
      <w:r w:rsidRPr="004651FF">
        <w:rPr>
          <w:rFonts w:eastAsia="MS Mincho"/>
          <w:sz w:val="28"/>
          <w:szCs w:val="28"/>
          <w:lang w:eastAsia="ja-JP"/>
        </w:rPr>
        <w:lastRenderedPageBreak/>
        <w:t xml:space="preserve">Migration </w:t>
      </w:r>
      <w:r w:rsidR="004B4110" w:rsidRPr="004651FF">
        <w:rPr>
          <w:rFonts w:eastAsia="MS Mincho"/>
          <w:sz w:val="28"/>
          <w:szCs w:val="28"/>
          <w:lang w:eastAsia="ja-JP"/>
        </w:rPr>
        <w:t>and</w:t>
      </w:r>
      <w:r w:rsidRPr="004651FF">
        <w:rPr>
          <w:rFonts w:eastAsia="MS Mincho"/>
          <w:sz w:val="28"/>
          <w:szCs w:val="28"/>
          <w:lang w:eastAsia="ja-JP"/>
        </w:rPr>
        <w:t xml:space="preserve"> </w:t>
      </w:r>
      <w:r w:rsidR="002D1344" w:rsidRPr="004651FF">
        <w:rPr>
          <w:rFonts w:eastAsia="MS Mincho"/>
          <w:sz w:val="28"/>
          <w:szCs w:val="28"/>
          <w:lang w:eastAsia="ja-JP"/>
        </w:rPr>
        <w:t xml:space="preserve">Melting </w:t>
      </w:r>
      <w:r w:rsidRPr="004651FF">
        <w:rPr>
          <w:rFonts w:eastAsia="MS Mincho"/>
          <w:sz w:val="28"/>
          <w:szCs w:val="28"/>
          <w:lang w:eastAsia="ja-JP"/>
        </w:rPr>
        <w:t xml:space="preserve">of Suspended Solid </w:t>
      </w:r>
      <w:r w:rsidR="00BF44F1" w:rsidRPr="004651FF">
        <w:rPr>
          <w:rFonts w:eastAsia="MS Mincho"/>
          <w:sz w:val="28"/>
          <w:szCs w:val="28"/>
          <w:lang w:eastAsia="ja-JP"/>
        </w:rPr>
        <w:t xml:space="preserve">Particle </w:t>
      </w:r>
      <w:r w:rsidRPr="004651FF">
        <w:rPr>
          <w:rFonts w:eastAsia="MS Mincho"/>
          <w:sz w:val="28"/>
          <w:szCs w:val="28"/>
          <w:lang w:eastAsia="ja-JP"/>
        </w:rPr>
        <w:t>in Poiseuille Flow</w:t>
      </w:r>
      <w:r w:rsidR="002E4D3F" w:rsidRPr="004651FF">
        <w:rPr>
          <w:rStyle w:val="FootnoteReference"/>
          <w:sz w:val="28"/>
          <w:szCs w:val="28"/>
        </w:rPr>
        <w:footnoteReference w:id="4"/>
      </w:r>
      <w:bookmarkEnd w:id="57"/>
    </w:p>
    <w:p w14:paraId="517EBCCF" w14:textId="023C159D" w:rsidR="00C04C69" w:rsidRDefault="00C04C69" w:rsidP="006E213C">
      <w:pPr>
        <w:spacing w:before="240" w:after="240" w:line="480" w:lineRule="auto"/>
        <w:jc w:val="both"/>
        <w:rPr>
          <w:lang w:eastAsia="ja-JP"/>
        </w:rPr>
      </w:pPr>
      <w:r w:rsidRPr="00C04C69">
        <w:rPr>
          <w:lang w:eastAsia="ja-JP"/>
        </w:rPr>
        <w:t xml:space="preserve">In the preceding chapters, </w:t>
      </w:r>
      <w:r>
        <w:rPr>
          <w:lang w:eastAsia="ja-JP"/>
        </w:rPr>
        <w:t xml:space="preserve">the </w:t>
      </w:r>
      <w:r w:rsidRPr="00C04C69">
        <w:rPr>
          <w:lang w:eastAsia="ja-JP"/>
        </w:rPr>
        <w:t>experimental study of a novel free</w:t>
      </w:r>
      <w:r>
        <w:rPr>
          <w:lang w:eastAsia="ja-JP"/>
        </w:rPr>
        <w:t>ze</w:t>
      </w:r>
      <w:r w:rsidRPr="00C04C69">
        <w:rPr>
          <w:lang w:eastAsia="ja-JP"/>
        </w:rPr>
        <w:t xml:space="preserve"> destination setup </w:t>
      </w:r>
      <w:r>
        <w:rPr>
          <w:lang w:eastAsia="ja-JP"/>
        </w:rPr>
        <w:t>along with the</w:t>
      </w:r>
      <w:r w:rsidRPr="00C04C69">
        <w:rPr>
          <w:lang w:eastAsia="ja-JP"/>
        </w:rPr>
        <w:t xml:space="preserve"> theoretical modeling </w:t>
      </w:r>
      <w:r>
        <w:rPr>
          <w:lang w:eastAsia="ja-JP"/>
        </w:rPr>
        <w:t>for</w:t>
      </w:r>
      <w:r w:rsidRPr="00C04C69">
        <w:rPr>
          <w:lang w:eastAsia="ja-JP"/>
        </w:rPr>
        <w:t xml:space="preserve"> predicting the ice production rate</w:t>
      </w:r>
      <w:r>
        <w:rPr>
          <w:lang w:eastAsia="ja-JP"/>
        </w:rPr>
        <w:t xml:space="preserve"> are explored in detail</w:t>
      </w:r>
      <w:r w:rsidRPr="00C04C69">
        <w:rPr>
          <w:lang w:eastAsia="ja-JP"/>
        </w:rPr>
        <w:t xml:space="preserve">. As previously discussed, the freezing process in desalination consumes significantly less energy compared to evaporative thermal-based methods. However, it is still more energy-intensive than membrane-based methods </w:t>
      </w:r>
      <w:r>
        <w:rPr>
          <w:lang w:eastAsia="ja-JP"/>
        </w:rPr>
        <w:t>such as</w:t>
      </w:r>
      <w:r w:rsidRPr="00C04C69">
        <w:rPr>
          <w:lang w:eastAsia="ja-JP"/>
        </w:rPr>
        <w:t xml:space="preserve"> reverse osmosis and forward osmosis, particularly for desalination of lower salinity brine. One strategy to improve the energy efficiency of freeze desalination systems involves recovering cooling energy</w:t>
      </w:r>
      <w:r w:rsidR="00DC501C">
        <w:rPr>
          <w:lang w:eastAsia="ja-JP"/>
        </w:rPr>
        <w:t xml:space="preserve"> of the generated ice</w:t>
      </w:r>
      <w:r w:rsidRPr="00C04C69">
        <w:rPr>
          <w:lang w:eastAsia="ja-JP"/>
        </w:rPr>
        <w:t>. A significant amount of energy in the freeze desalination setup is dedicated to ice production through the latent heat of fusion. In the current study, the collected ice</w:t>
      </w:r>
      <w:r>
        <w:rPr>
          <w:lang w:eastAsia="ja-JP"/>
        </w:rPr>
        <w:t xml:space="preserve"> is melted </w:t>
      </w:r>
      <w:r w:rsidRPr="00C04C69">
        <w:rPr>
          <w:lang w:eastAsia="ja-JP"/>
        </w:rPr>
        <w:t xml:space="preserve">at room temperature and </w:t>
      </w:r>
      <w:r w:rsidR="001B5FD1">
        <w:rPr>
          <w:lang w:eastAsia="ja-JP"/>
        </w:rPr>
        <w:t>the</w:t>
      </w:r>
      <w:r w:rsidRPr="00C04C69">
        <w:rPr>
          <w:lang w:eastAsia="ja-JP"/>
        </w:rPr>
        <w:t xml:space="preserve"> TDS and mass</w:t>
      </w:r>
      <w:r w:rsidR="001B5FD1">
        <w:rPr>
          <w:lang w:eastAsia="ja-JP"/>
        </w:rPr>
        <w:t xml:space="preserve"> are measured</w:t>
      </w:r>
      <w:r w:rsidRPr="00C04C69">
        <w:rPr>
          <w:lang w:eastAsia="ja-JP"/>
        </w:rPr>
        <w:t xml:space="preserve">. </w:t>
      </w:r>
      <w:r w:rsidR="00BF339D" w:rsidRPr="00BF339D">
        <w:rPr>
          <w:lang w:eastAsia="ja-JP"/>
        </w:rPr>
        <w:t>Th</w:t>
      </w:r>
      <w:r w:rsidR="00BF339D">
        <w:rPr>
          <w:lang w:eastAsia="ja-JP"/>
        </w:rPr>
        <w:t>e cold energy recovery</w:t>
      </w:r>
      <w:r w:rsidR="00BF339D" w:rsidRPr="00BF339D">
        <w:rPr>
          <w:lang w:eastAsia="ja-JP"/>
        </w:rPr>
        <w:t xml:space="preserve"> can be accomplished by circulating an ice-water slurry through a heat exchanger</w:t>
      </w:r>
      <w:r w:rsidR="00BF339D">
        <w:rPr>
          <w:lang w:eastAsia="ja-JP"/>
        </w:rPr>
        <w:t xml:space="preserve"> in order to</w:t>
      </w:r>
      <w:r w:rsidR="00BF339D" w:rsidRPr="00BF339D">
        <w:rPr>
          <w:lang w:eastAsia="ja-JP"/>
        </w:rPr>
        <w:t xml:space="preserve"> absorb heat from the condensing refrigerant</w:t>
      </w:r>
      <w:r w:rsidRPr="00C04C69">
        <w:rPr>
          <w:lang w:eastAsia="ja-JP"/>
        </w:rPr>
        <w:t>. Although this experimental study does not implement cold energy recovery from the produced ice, a computational simulation of the melting process</w:t>
      </w:r>
      <w:r w:rsidR="001B5FD1">
        <w:rPr>
          <w:lang w:eastAsia="ja-JP"/>
        </w:rPr>
        <w:t xml:space="preserve"> is conducted</w:t>
      </w:r>
      <w:r w:rsidRPr="00C04C69">
        <w:rPr>
          <w:lang w:eastAsia="ja-JP"/>
        </w:rPr>
        <w:t>. This simulation focuses on modeling the melting process itself, rather than exploring potential enhancements in cold energy recovery, which would require a detailed investigation in future studies.</w:t>
      </w:r>
    </w:p>
    <w:p w14:paraId="72E39372" w14:textId="5D1B0594" w:rsidR="00A7512F" w:rsidRDefault="00A7512F" w:rsidP="006E213C">
      <w:pPr>
        <w:spacing w:before="240" w:after="240" w:line="480" w:lineRule="auto"/>
        <w:ind w:firstLine="720"/>
        <w:jc w:val="both"/>
        <w:rPr>
          <w:lang w:eastAsia="ja-JP"/>
        </w:rPr>
      </w:pPr>
      <w:r w:rsidRPr="00A7512F">
        <w:rPr>
          <w:lang w:eastAsia="ja-JP"/>
        </w:rPr>
        <w:t>In this chapter, the ice melting process</w:t>
      </w:r>
      <w:r>
        <w:rPr>
          <w:lang w:eastAsia="ja-JP"/>
        </w:rPr>
        <w:t xml:space="preserve"> is studied,</w:t>
      </w:r>
      <w:r w:rsidRPr="00A7512F">
        <w:rPr>
          <w:lang w:eastAsia="ja-JP"/>
        </w:rPr>
        <w:t xml:space="preserve"> using certain simplifying assumptions</w:t>
      </w:r>
      <w:r>
        <w:rPr>
          <w:lang w:eastAsia="ja-JP"/>
        </w:rPr>
        <w:t xml:space="preserve"> </w:t>
      </w:r>
      <w:r w:rsidRPr="00A7512F">
        <w:rPr>
          <w:lang w:eastAsia="ja-JP"/>
        </w:rPr>
        <w:t>which will be detailed in the subsequent sections.</w:t>
      </w:r>
      <w:r>
        <w:rPr>
          <w:lang w:eastAsia="ja-JP"/>
        </w:rPr>
        <w:t xml:space="preserve"> </w:t>
      </w:r>
      <w:r w:rsidR="00C344D3">
        <w:rPr>
          <w:lang w:eastAsia="ja-JP"/>
        </w:rPr>
        <w:t xml:space="preserve">The </w:t>
      </w:r>
      <w:r>
        <w:rPr>
          <w:lang w:eastAsia="ja-JP"/>
        </w:rPr>
        <w:t>chapter</w:t>
      </w:r>
      <w:r w:rsidR="00C344D3">
        <w:rPr>
          <w:lang w:eastAsia="ja-JP"/>
        </w:rPr>
        <w:t xml:space="preserve"> begins by establishing the relevance of this study through a review of previous research on particle melting, both in ice melting simulations and other applicable fields. Following this, various solid-liquid simulation methods </w:t>
      </w:r>
      <w:r w:rsidR="00C344D3">
        <w:rPr>
          <w:lang w:eastAsia="ja-JP"/>
        </w:rPr>
        <w:lastRenderedPageBreak/>
        <w:t xml:space="preserve">are discussed, highlighting the specific approach utilized in this research. A comprehensive description of the problem under investigation is set to follow in the subsequent section. </w:t>
      </w:r>
      <w:r w:rsidR="00471CF8">
        <w:rPr>
          <w:lang w:eastAsia="ja-JP"/>
        </w:rPr>
        <w:t xml:space="preserve">Finally, </w:t>
      </w:r>
      <w:r w:rsidR="00C344D3">
        <w:rPr>
          <w:lang w:eastAsia="ja-JP"/>
        </w:rPr>
        <w:t xml:space="preserve">the mathematical model </w:t>
      </w:r>
      <w:r w:rsidR="00471CF8">
        <w:rPr>
          <w:lang w:eastAsia="ja-JP"/>
        </w:rPr>
        <w:t>is presented</w:t>
      </w:r>
      <w:r w:rsidR="00C344D3">
        <w:rPr>
          <w:lang w:eastAsia="ja-JP"/>
        </w:rPr>
        <w:t xml:space="preserve">, covering the governing equations, the numerical procedure, the independence studies, and the validation </w:t>
      </w:r>
      <w:r w:rsidR="00471CF8">
        <w:rPr>
          <w:lang w:eastAsia="ja-JP"/>
        </w:rPr>
        <w:t>simulation</w:t>
      </w:r>
      <w:r w:rsidR="00C344D3">
        <w:rPr>
          <w:lang w:eastAsia="ja-JP"/>
        </w:rPr>
        <w:t xml:space="preserve">. </w:t>
      </w:r>
    </w:p>
    <w:p w14:paraId="239AC807" w14:textId="35DFC9F4" w:rsidR="00A7512F" w:rsidRPr="006E213C" w:rsidRDefault="00AE71B2" w:rsidP="00700DBA">
      <w:pPr>
        <w:pStyle w:val="Heading2"/>
        <w:numPr>
          <w:ilvl w:val="1"/>
          <w:numId w:val="4"/>
        </w:numPr>
        <w:spacing w:before="360" w:after="0" w:line="480" w:lineRule="auto"/>
        <w:ind w:left="432" w:hanging="432"/>
        <w:rPr>
          <w:sz w:val="24"/>
          <w:szCs w:val="24"/>
          <w:lang w:eastAsia="ja-JP"/>
        </w:rPr>
      </w:pPr>
      <w:bookmarkStart w:id="58" w:name="_Toc172367689"/>
      <w:r w:rsidRPr="006E213C">
        <w:rPr>
          <w:sz w:val="24"/>
          <w:szCs w:val="24"/>
          <w:lang w:eastAsia="ja-JP"/>
        </w:rPr>
        <w:t>Literature Review &amp; State of the Art</w:t>
      </w:r>
      <w:bookmarkStart w:id="59" w:name="_Hlk132746578"/>
      <w:bookmarkEnd w:id="58"/>
    </w:p>
    <w:p w14:paraId="031C4C38" w14:textId="3E10282D" w:rsidR="00A7512F" w:rsidRDefault="00A05280" w:rsidP="006E213C">
      <w:pPr>
        <w:spacing w:before="240" w:after="240" w:line="480" w:lineRule="auto"/>
        <w:jc w:val="both"/>
        <w:rPr>
          <w:rFonts w:cstheme="majorBidi"/>
        </w:rPr>
      </w:pPr>
      <w:r w:rsidRPr="00A05280">
        <w:rPr>
          <w:rFonts w:cstheme="majorBidi"/>
        </w:rPr>
        <w:t xml:space="preserve">The utilization of cold energy from the </w:t>
      </w:r>
      <w:r w:rsidR="009538F9">
        <w:rPr>
          <w:rFonts w:cstheme="majorBidi"/>
        </w:rPr>
        <w:t xml:space="preserve">produced </w:t>
      </w:r>
      <w:r w:rsidRPr="00A05280">
        <w:rPr>
          <w:rFonts w:cstheme="majorBidi"/>
        </w:rPr>
        <w:t xml:space="preserve">ice in </w:t>
      </w:r>
      <w:r w:rsidR="009538F9">
        <w:rPr>
          <w:rFonts w:cstheme="majorBidi"/>
        </w:rPr>
        <w:t xml:space="preserve">the </w:t>
      </w:r>
      <w:r w:rsidRPr="00A05280">
        <w:rPr>
          <w:rFonts w:cstheme="majorBidi"/>
        </w:rPr>
        <w:t xml:space="preserve">freeze desalination setup </w:t>
      </w:r>
      <w:r w:rsidR="009538F9">
        <w:rPr>
          <w:rFonts w:cstheme="majorBidi"/>
        </w:rPr>
        <w:t>for cooling</w:t>
      </w:r>
      <w:r w:rsidRPr="00A05280">
        <w:rPr>
          <w:rFonts w:cstheme="majorBidi"/>
        </w:rPr>
        <w:t xml:space="preserve"> the condenser can be implemented in various configurations. One method involves pumping an ice slurry through a</w:t>
      </w:r>
      <w:r w:rsidR="009538F9">
        <w:rPr>
          <w:rFonts w:cstheme="majorBidi"/>
        </w:rPr>
        <w:t xml:space="preserve"> </w:t>
      </w:r>
      <w:r w:rsidRPr="00A05280">
        <w:rPr>
          <w:rFonts w:cstheme="majorBidi"/>
        </w:rPr>
        <w:t xml:space="preserve">tube submerged in the water where the condenser is located. This slurry, containing both ice and water, facilitates easier pumping. </w:t>
      </w:r>
      <w:r w:rsidR="009538F9">
        <w:rPr>
          <w:rFonts w:cstheme="majorBidi"/>
        </w:rPr>
        <w:t xml:space="preserve">One fundamental </w:t>
      </w:r>
      <w:r w:rsidRPr="00A05280">
        <w:rPr>
          <w:rFonts w:cstheme="majorBidi"/>
        </w:rPr>
        <w:t>study involves investigating the melting of a single particle, which can later be expanded to include multiple particles and slurry solutions. Consequently, this simulation study focuses on examining the movement and melting of a single ice particle, modeled as a cylindrical particle undergoing melting.</w:t>
      </w:r>
      <w:r w:rsidR="009538F9">
        <w:rPr>
          <w:rFonts w:cstheme="majorBidi"/>
        </w:rPr>
        <w:t xml:space="preserve"> </w:t>
      </w:r>
      <w:r w:rsidR="00A7512F" w:rsidRPr="00471CF8">
        <w:rPr>
          <w:lang w:eastAsia="ja-JP"/>
        </w:rPr>
        <w:t>Beyond its use in ice melting simulations, this study offers fundamental insights into the dynamics of particle melting, extending its relevance to a variety of problems and configurations across different fields.</w:t>
      </w:r>
    </w:p>
    <w:p w14:paraId="00D00E18" w14:textId="2C408058" w:rsidR="00884A21" w:rsidRDefault="008706CC" w:rsidP="006E213C">
      <w:pPr>
        <w:spacing w:before="240" w:after="240" w:line="480" w:lineRule="auto"/>
        <w:ind w:firstLine="720"/>
        <w:jc w:val="both"/>
        <w:rPr>
          <w:rFonts w:cstheme="majorBidi"/>
        </w:rPr>
      </w:pPr>
      <w:r w:rsidRPr="008706CC">
        <w:rPr>
          <w:rFonts w:cstheme="majorBidi"/>
        </w:rPr>
        <w:t xml:space="preserve">Previous studies on ice melting, covering both individual particles and slurry scenarios, have employed </w:t>
      </w:r>
      <w:r>
        <w:rPr>
          <w:rFonts w:cstheme="majorBidi"/>
        </w:rPr>
        <w:t>some</w:t>
      </w:r>
      <w:r w:rsidRPr="008706CC">
        <w:rPr>
          <w:rFonts w:cstheme="majorBidi"/>
        </w:rPr>
        <w:t xml:space="preserve"> simplifications</w:t>
      </w:r>
      <w:r>
        <w:rPr>
          <w:rFonts w:cstheme="majorBidi"/>
        </w:rPr>
        <w:t>, which are used in the current study</w:t>
      </w:r>
      <w:r w:rsidRPr="008706CC">
        <w:rPr>
          <w:rFonts w:cstheme="majorBidi"/>
        </w:rPr>
        <w:t xml:space="preserve">. These include modeling the process in a two-dimensional space, using cylindrical ice particles, and assuming a constant temperature </w:t>
      </w:r>
      <w:r w:rsidR="00FF6DDB">
        <w:rPr>
          <w:rFonts w:cstheme="majorBidi"/>
        </w:rPr>
        <w:t>in</w:t>
      </w:r>
      <w:r w:rsidRPr="008706CC">
        <w:rPr>
          <w:rFonts w:cstheme="majorBidi"/>
        </w:rPr>
        <w:t xml:space="preserve"> the particle. </w:t>
      </w:r>
      <w:r>
        <w:rPr>
          <w:rFonts w:cstheme="majorBidi"/>
        </w:rPr>
        <w:t>The particle melting simulation problem</w:t>
      </w:r>
      <w:r w:rsidRPr="008706CC">
        <w:rPr>
          <w:rFonts w:cstheme="majorBidi"/>
        </w:rPr>
        <w:t xml:space="preserve"> also has broader applications in addressing similar </w:t>
      </w:r>
      <w:r>
        <w:rPr>
          <w:rFonts w:cstheme="majorBidi"/>
        </w:rPr>
        <w:t xml:space="preserve">phenomena </w:t>
      </w:r>
      <w:r w:rsidRPr="008706CC">
        <w:rPr>
          <w:rFonts w:cstheme="majorBidi"/>
        </w:rPr>
        <w:t xml:space="preserve">across different contexts, which will be </w:t>
      </w:r>
      <w:r w:rsidR="00A05280">
        <w:rPr>
          <w:rFonts w:cstheme="majorBidi"/>
        </w:rPr>
        <w:t>discussed in the following</w:t>
      </w:r>
      <w:r w:rsidR="00FF6DDB">
        <w:rPr>
          <w:rFonts w:cstheme="majorBidi"/>
        </w:rPr>
        <w:t xml:space="preserve">. </w:t>
      </w:r>
      <w:r w:rsidR="00A05280">
        <w:rPr>
          <w:rFonts w:cstheme="majorBidi"/>
        </w:rPr>
        <w:t>T</w:t>
      </w:r>
      <w:r w:rsidRPr="008706CC">
        <w:rPr>
          <w:rFonts w:cstheme="majorBidi"/>
        </w:rPr>
        <w:t xml:space="preserve">his section presents simulations related to ice melting, followed by discussions of particle melting simulations applied to other </w:t>
      </w:r>
      <w:r>
        <w:rPr>
          <w:rFonts w:cstheme="majorBidi"/>
        </w:rPr>
        <w:t>applications</w:t>
      </w:r>
      <w:r w:rsidRPr="008706CC">
        <w:rPr>
          <w:rFonts w:cstheme="majorBidi"/>
        </w:rPr>
        <w:t>.</w:t>
      </w:r>
      <w:r w:rsidR="00334DB9">
        <w:rPr>
          <w:rFonts w:cstheme="majorBidi"/>
        </w:rPr>
        <w:t xml:space="preserve"> </w:t>
      </w:r>
    </w:p>
    <w:p w14:paraId="760A12EB" w14:textId="6258D057" w:rsidR="00884A21" w:rsidRDefault="00884A21" w:rsidP="006E213C">
      <w:pPr>
        <w:spacing w:before="240" w:after="240" w:line="480" w:lineRule="auto"/>
        <w:ind w:firstLine="720"/>
        <w:jc w:val="both"/>
        <w:rPr>
          <w:rFonts w:cstheme="majorBidi"/>
        </w:rPr>
      </w:pPr>
      <w:bookmarkStart w:id="60" w:name="_Hlk132596325"/>
      <w:r w:rsidRPr="00EE2497">
        <w:rPr>
          <w:rFonts w:cstheme="majorBidi"/>
        </w:rPr>
        <w:lastRenderedPageBreak/>
        <w:t xml:space="preserve">Dierich et al. </w:t>
      </w:r>
      <w:r w:rsidRPr="00EE2497">
        <w:rPr>
          <w:rFonts w:cstheme="majorBidi"/>
        </w:rPr>
        <w:fldChar w:fldCharType="begin" w:fldLock="1"/>
      </w:r>
      <w:r w:rsidR="00D83446">
        <w:rPr>
          <w:rFonts w:cstheme="majorBidi"/>
        </w:rPr>
        <w:instrText>ADDIN CSL_CITATION {"citationItems":[{"id":"ITEM-1","itemData":{"DOI":"10.1016/j.ces.2011.06.075","ISSN":"00092509","abstract":"The main aim of this work is to study the behavior of particulate flows taking into account the interfacial heat transfer on the particle surface including the phase change phenomena. Two flow configurations of increasing complexity are studied with the aim of unraveling fundamental properties of heat transfer in two-phase flows. The first configuration corresponds to the fluid flow past a single cylindrical ice particle melted in the water. The focus is on the influence of the Reynolds number on the melting time of a single particle and comparison of numerical data against Nu-based models. The second configuration refers to ice particles moving up in the water due to the gravity force in a two-dimensional channel. Here, the focus is on the study of particle dynamics in the presence of neighboring particles, including the influence of the viscous torque on the particle trajectories and finally on the melting time compared to the case of a single particle. An implicit fictitious boundary method (FBM) over a fixed Cartesian grid is extended to model the heat transfer and the phase change in particulate flows in two dimensions. The hydrodynamic forces acting on the particles are calculated directly through the surface integrals without the use of any semi-empirical correlations. The particle collisions are modeled directly using the hard sphere approach, taking into account the inelastic collisions. The interface velocity of the melting (solid-liquid) was calculated by means of the Stefan condition for each particle. To illustrate the impact of particle rotation caused by the viscous torques on the particle trajectory, a set of simulations was performed with and without viscous torque effect. A comparative analysis of the results showed that when the viscous moment is taken into account, the particle melting time is reduced significantly. Additionally, based on an analysis of the time history of the volume-averaged velocity in the entire domain, three regimes were found. In particular, the first regime is characterized by the acceleration of particles due to the gravity force, the second is the transitional regime and the last is the passive regime, where the melted particles follow the flow induced by particles in the past. During the last regime the particles do not have any influence on the fluid flow. The influence of the initial configuration of particles on the flow pattern and regimes is discussed. © 2011 Elsevier Ltd.","author":[{"dropping-particle":"","family":"Dierich","given":"F.","non-dropping-particle":"","parse-names":false,"suffix":""},{"dropping-particle":"","family":"Nikrityuk","given":"P. A.","non-dropping-particle":"","parse-names":false,"suffix":""},{"dropping-particle":"","family":"Ananiev","given":"S.","non-dropping-particle":"","parse-names":false,"suffix":""}],"container-title":"Chemical Engineering Science","id":"ITEM-1","issue":"22","issued":{"date-parts":[["2011"]]},"page":"5459-5473","publisher":"Elsevier","title":"2D modeling of moving particles with phase-change effect","type":"article-journal","volume":"66"},"uris":["http://www.mendeley.com/documents/?uuid=b2aeac8d-6b1e-4814-8ec9-cf41c76b396d"]}],"mendeley":{"formattedCitation":"[147]","plainTextFormattedCitation":"[147]","previouslyFormattedCitation":"[148]"},"properties":{"noteIndex":0},"schema":"https://github.com/citation-style-language/schema/raw/master/csl-citation.json"}</w:instrText>
      </w:r>
      <w:r w:rsidRPr="00EE2497">
        <w:rPr>
          <w:rFonts w:cstheme="majorBidi"/>
        </w:rPr>
        <w:fldChar w:fldCharType="separate"/>
      </w:r>
      <w:r w:rsidR="00D83446" w:rsidRPr="00D83446">
        <w:rPr>
          <w:rFonts w:cstheme="majorBidi"/>
          <w:noProof/>
        </w:rPr>
        <w:t>[147]</w:t>
      </w:r>
      <w:r w:rsidRPr="00EE2497">
        <w:rPr>
          <w:rFonts w:cstheme="majorBidi"/>
        </w:rPr>
        <w:fldChar w:fldCharType="end"/>
      </w:r>
      <w:r w:rsidRPr="00EE2497">
        <w:rPr>
          <w:rFonts w:cstheme="majorBidi"/>
        </w:rPr>
        <w:t xml:space="preserve"> </w:t>
      </w:r>
      <w:r>
        <w:rPr>
          <w:rFonts w:cstheme="majorBidi"/>
        </w:rPr>
        <w:t xml:space="preserve"> i</w:t>
      </w:r>
      <w:r w:rsidRPr="00884A21">
        <w:rPr>
          <w:rFonts w:cstheme="majorBidi"/>
        </w:rPr>
        <w:t>nvestigate</w:t>
      </w:r>
      <w:r>
        <w:rPr>
          <w:rFonts w:cstheme="majorBidi"/>
        </w:rPr>
        <w:t>d</w:t>
      </w:r>
      <w:r w:rsidRPr="00884A21">
        <w:rPr>
          <w:rFonts w:cstheme="majorBidi"/>
        </w:rPr>
        <w:t xml:space="preserve"> a single cylindrical ice particle melting as it is subjected to fluid flow</w:t>
      </w:r>
      <w:r w:rsidRPr="00EE2497">
        <w:rPr>
          <w:rFonts w:cstheme="majorBidi"/>
        </w:rPr>
        <w:t xml:space="preserve"> employ</w:t>
      </w:r>
      <w:r>
        <w:rPr>
          <w:rFonts w:cstheme="majorBidi"/>
        </w:rPr>
        <w:t>ing</w:t>
      </w:r>
      <w:r w:rsidRPr="00EE2497">
        <w:rPr>
          <w:rFonts w:cstheme="majorBidi"/>
        </w:rPr>
        <w:t xml:space="preserve"> an implicit fictitious boundary method</w:t>
      </w:r>
      <w:r>
        <w:rPr>
          <w:rFonts w:cstheme="majorBidi"/>
        </w:rPr>
        <w:t>. They</w:t>
      </w:r>
      <w:r w:rsidRPr="00EE2497">
        <w:rPr>
          <w:rFonts w:cstheme="majorBidi"/>
        </w:rPr>
        <w:t xml:space="preserve"> stud</w:t>
      </w:r>
      <w:r>
        <w:rPr>
          <w:rFonts w:cstheme="majorBidi"/>
        </w:rPr>
        <w:t>ied</w:t>
      </w:r>
      <w:r w:rsidRPr="00EE2497">
        <w:rPr>
          <w:rFonts w:cstheme="majorBidi"/>
        </w:rPr>
        <w:t xml:space="preserve"> the rising and melting of multiple ice particles</w:t>
      </w:r>
      <w:r>
        <w:rPr>
          <w:rFonts w:cstheme="majorBidi"/>
        </w:rPr>
        <w:t xml:space="preserve">, </w:t>
      </w:r>
      <w:r w:rsidRPr="00884A21">
        <w:rPr>
          <w:rFonts w:cstheme="majorBidi"/>
        </w:rPr>
        <w:t>focusing on how the Reynolds number influences the particle's melting time</w:t>
      </w:r>
      <w:r>
        <w:rPr>
          <w:rFonts w:cstheme="majorBidi"/>
        </w:rPr>
        <w:t>.</w:t>
      </w:r>
      <w:r w:rsidR="00670280">
        <w:rPr>
          <w:rFonts w:cstheme="majorBidi"/>
        </w:rPr>
        <w:t xml:space="preserve"> </w:t>
      </w:r>
      <w:r w:rsidR="00670280" w:rsidRPr="00884A21">
        <w:rPr>
          <w:rFonts w:cstheme="majorBidi"/>
        </w:rPr>
        <w:t>A finding from these simulations is that particle rotation induced by viscous torques can substantially reduce melting times, enhancing heat transfer efficiency</w:t>
      </w:r>
      <w:r w:rsidR="00670280">
        <w:rPr>
          <w:rFonts w:cstheme="majorBidi"/>
        </w:rPr>
        <w:t xml:space="preserve">. </w:t>
      </w:r>
      <w:r w:rsidR="00334DB9" w:rsidRPr="00884A21">
        <w:rPr>
          <w:rFonts w:cstheme="majorBidi"/>
        </w:rPr>
        <w:t>Additionally, three distinct flow regimes are identified during the particle's ascent: an acceleration regime due to gravity, a transitional phase, and a passive regime where the particles follow the flow without influencing it.</w:t>
      </w:r>
      <w:bookmarkEnd w:id="60"/>
    </w:p>
    <w:p w14:paraId="20702CD5" w14:textId="16754454" w:rsidR="00DA1FE2" w:rsidRDefault="00970BBD" w:rsidP="006E213C">
      <w:pPr>
        <w:spacing w:before="240" w:after="240" w:line="480" w:lineRule="auto"/>
        <w:ind w:firstLine="720"/>
        <w:jc w:val="both"/>
        <w:rPr>
          <w:rFonts w:cstheme="majorBidi"/>
        </w:rPr>
      </w:pPr>
      <w:r>
        <w:rPr>
          <w:rFonts w:cstheme="majorBidi"/>
        </w:rPr>
        <w:t>The</w:t>
      </w:r>
      <w:r w:rsidRPr="00970BBD">
        <w:rPr>
          <w:rFonts w:cstheme="majorBidi"/>
        </w:rPr>
        <w:t xml:space="preserve"> study on the flow and heat transfer characteristics of ice slurry, specifically analyzing the melting dynamics of a spherical ice particle as it ascends in stationary water</w:t>
      </w:r>
      <w:r>
        <w:rPr>
          <w:rFonts w:cstheme="majorBidi"/>
        </w:rPr>
        <w:t xml:space="preserve">, is conducted by </w:t>
      </w:r>
      <w:r w:rsidRPr="00EE2497">
        <w:rPr>
          <w:rFonts w:cstheme="majorBidi"/>
        </w:rPr>
        <w:t xml:space="preserve">Guo et al. </w:t>
      </w:r>
      <w:r w:rsidRPr="00EE2497">
        <w:rPr>
          <w:rFonts w:cstheme="majorBidi"/>
        </w:rPr>
        <w:fldChar w:fldCharType="begin" w:fldLock="1"/>
      </w:r>
      <w:r w:rsidR="00D83446">
        <w:rPr>
          <w:rFonts w:cstheme="majorBidi"/>
        </w:rPr>
        <w:instrText>ADDIN CSL_CITATION {"citationItems":[{"id":"ITEM-1","itemData":{"DOI":"10.1016/j.ijheatmasstransfer.2019.119097","ISSN":"00179310","abstract":"In order to achieve a thorough understanding of the flow and heat transfer characteristics of phase change slurry, melting process of a spherical ice particle during free ascending in resting water can provide fundamental knowledge. The motion of the ice particle is depicted by the momentum equation while the flow and heat transfer are described using the enthalpy-porosity model to take the phase change into account. The ascending and melting characteristics at different superheating degrees of water as well as supercooling degrees of the ice particle are investigated. The results show that the spherical ice particle first accelerates to the maximum velocity of approximately 0.04 m s−1 under the effect of buoyancy, and then gradually decelerates as the ice particle melts. The superheating degree of water has a significant influence on the movement and melting characteristics of the ice particle while the supercooling degree imposes negligible effect. The variations in morphology and the local heat transfer coefficient of the ice particle are obtained and analyzed. It is found that the local heat transfer coefficient on the surface of the ice particle significantly influences the morphology of the ice particle during melting, which appears as sphere, ellipsoid, barrel shape and oval shape, sequentially.","author":[{"dropping-particle":"","family":"Guo","given":"Weimin","non-dropping-particle":"","parse-names":false,"suffix":""},{"dropping-particle":"","family":"Zhang","given":"Yulong","non-dropping-particle":"","parse-names":false,"suffix":""},{"dropping-particle":"","family":"Meng","given":"Zhaonan","non-dropping-particle":"","parse-names":false,"suffix":""},{"dropping-particle":"","family":"Zhang","given":"Peng","non-dropping-particle":"","parse-names":false,"suffix":""},{"dropping-particle":"","family":"Poncet","given":"Sebastien","non-dropping-particle":"","parse-names":false,"suffix":""}],"container-title":"International Journal of Heat and Mass Transfer","id":"ITEM-1","issued":{"date-parts":[["2020"]]},"publisher":"Elsevier Ltd","title":"Non-uniform melting of a spherical ice particle in free ascending","type":"article-journal","volume":"148"},"uris":["http://www.mendeley.com/documents/?uuid=c7dbfd52-5ca3-47b2-9635-752e98389001","http://www.mendeley.com/documents/?uuid=8304b60e-dada-43ea-9da3-2b9528abe327"]}],"mendeley":{"formattedCitation":"[148]","plainTextFormattedCitation":"[148]","previouslyFormattedCitation":"[149]"},"properties":{"noteIndex":0},"schema":"https://github.com/citation-style-language/schema/raw/master/csl-citation.json"}</w:instrText>
      </w:r>
      <w:r w:rsidRPr="00EE2497">
        <w:rPr>
          <w:rFonts w:cstheme="majorBidi"/>
        </w:rPr>
        <w:fldChar w:fldCharType="separate"/>
      </w:r>
      <w:r w:rsidR="00D83446" w:rsidRPr="00D83446">
        <w:rPr>
          <w:rFonts w:cstheme="majorBidi"/>
          <w:noProof/>
        </w:rPr>
        <w:t>[148]</w:t>
      </w:r>
      <w:r w:rsidRPr="00EE2497">
        <w:rPr>
          <w:rFonts w:cstheme="majorBidi"/>
        </w:rPr>
        <w:fldChar w:fldCharType="end"/>
      </w:r>
      <w:r w:rsidRPr="00970BBD">
        <w:rPr>
          <w:rFonts w:cstheme="majorBidi"/>
        </w:rPr>
        <w:t>. They utilized momentum equations to describe the particle's motion and developed an enthalpy-porosity model for flow and heat transfer. Their research focused on examining the effects of the supercool degree (the temperature difference between the ice's melting temperature and its initial temperature) and the superheat degree of water (the temperature difference between the water and the ice's melting temperature) on the behavior of a melting ice particle in a stationary liquid pool. The results indicate that the ice particle initially accelerates due to buoyancy, achieving a peak velocity before decelerating as it melts. They also discovered that a higher degree of water superheat significantly increases the melting rate and influences the particle's morphological transition from spherical to ellipsoid, and eventually to oval, while the supercool degree has a negligible impact on the particle’s motion and melting rate.</w:t>
      </w:r>
    </w:p>
    <w:p w14:paraId="65CAA503" w14:textId="5166159D" w:rsidR="00DC403B" w:rsidRDefault="00D909E9" w:rsidP="006E213C">
      <w:pPr>
        <w:spacing w:before="240" w:after="240" w:line="480" w:lineRule="auto"/>
        <w:ind w:firstLine="720"/>
        <w:jc w:val="both"/>
        <w:rPr>
          <w:rFonts w:cstheme="majorBidi"/>
        </w:rPr>
      </w:pPr>
      <w:r w:rsidRPr="00D909E9">
        <w:rPr>
          <w:rFonts w:cstheme="majorBidi"/>
        </w:rPr>
        <w:t xml:space="preserve">Suzuki et al. </w:t>
      </w:r>
      <w:r>
        <w:rPr>
          <w:rFonts w:cstheme="majorBidi"/>
        </w:rPr>
        <w:fldChar w:fldCharType="begin" w:fldLock="1"/>
      </w:r>
      <w:r w:rsidR="00D83446">
        <w:rPr>
          <w:rFonts w:cstheme="majorBidi"/>
        </w:rPr>
        <w:instrText>ADDIN CSL_CITATION {"citationItems":[{"id":"ITEM-1","itemData":{"DOI":"10.1016/j.ijheatmasstransfer.2020.119944","ISSN":"00179310","abstract":"We simulate solid–liquid and solid–solid interactions in ice slurry flows by using the thermal immersed boundary–lattice Boltzmann method. We construct a simplified model of ice slurry flow in a pipe heated by thermal load, i.e., a two-dimensional thermal flow in a heated channel with moving cold particles. We investigate the effects of ice packing factor, ice particle diameter, and Reynolds number on the cooling performance of ice slurry flows. In addition, we consider two models for solid–solid interaction (repulsion model and adhesion model) and compare them for evaluating how the interaction affects the cooling performance. As a result, we find that the Nusselt number on the channel walls increases as the ice packing factor increases, as the size of particles decreases, and as the Reynolds number decreases, since the distribution of the particles is significantly changed due to the effects of solid–liquid and solid–solid interactions. In addition, we find that the Nusselt number on the channel walls for the adhesion model is smaller than that for the repulsion model, since the particles make some clusters and the size of particles effectively increases by adhesion.","author":[{"dropping-particle":"","family":"Suzuki","given":"Kosuke","non-dropping-particle":"","parse-names":false,"suffix":""},{"dropping-particle":"","family":"Kawasaki","given":"Tsuyoshi","non-dropping-particle":"","parse-names":false,"suffix":""},{"dropping-particle":"","family":"Asaoka","given":"Tatsunori","non-dropping-particle":"","parse-names":false,"suffix":""},{"dropping-particle":"","family":"Yoshino","given":"Masato","non-dropping-particle":"","parse-names":false,"suffix":""}],"container-title":"International Journal of Heat and Mass Transfer","id":"ITEM-1","issued":{"date-parts":[["2020"]]},"page":"119944","publisher":"Elsevier Ltd","title":"Numerical simulations of solid–liquid and solid–solid interactions in ice slurry flows by the thermal immersed boundary–lattice Boltzmann method","type":"article-journal","volume":"157"},"uris":["http://www.mendeley.com/documents/?uuid=0f36d080-b06d-4bd8-9bf1-21df2b59d4fa"]}],"mendeley":{"formattedCitation":"[149]","plainTextFormattedCitation":"[149]","previouslyFormattedCitation":"[150]"},"properties":{"noteIndex":0},"schema":"https://github.com/citation-style-language/schema/raw/master/csl-citation.json"}</w:instrText>
      </w:r>
      <w:r>
        <w:rPr>
          <w:rFonts w:cstheme="majorBidi"/>
        </w:rPr>
        <w:fldChar w:fldCharType="separate"/>
      </w:r>
      <w:r w:rsidR="00D83446" w:rsidRPr="00D83446">
        <w:rPr>
          <w:rFonts w:cstheme="majorBidi"/>
          <w:noProof/>
        </w:rPr>
        <w:t>[149]</w:t>
      </w:r>
      <w:r>
        <w:rPr>
          <w:rFonts w:cstheme="majorBidi"/>
        </w:rPr>
        <w:fldChar w:fldCharType="end"/>
      </w:r>
      <w:r w:rsidRPr="00D909E9">
        <w:rPr>
          <w:rFonts w:cstheme="majorBidi"/>
        </w:rPr>
        <w:t xml:space="preserve"> employ the thermal immersed boundary–lattice Boltzmann method to model solid-liquid and solid-solid interactions in ice slurry flows using a simplified two-dimensional </w:t>
      </w:r>
      <w:r>
        <w:rPr>
          <w:rFonts w:cstheme="majorBidi"/>
        </w:rPr>
        <w:t>model</w:t>
      </w:r>
      <w:r w:rsidRPr="00D909E9">
        <w:rPr>
          <w:rFonts w:cstheme="majorBidi"/>
        </w:rPr>
        <w:t xml:space="preserve">. Their research demonstrates that smaller ice particles </w:t>
      </w:r>
      <w:r>
        <w:rPr>
          <w:rFonts w:cstheme="majorBidi"/>
        </w:rPr>
        <w:t>enhance</w:t>
      </w:r>
      <w:r w:rsidRPr="00D909E9">
        <w:rPr>
          <w:rFonts w:cstheme="majorBidi"/>
        </w:rPr>
        <w:t xml:space="preserve"> cooling efficiency by elevating the Nusselt number along the channel walls. This enhancement is attributed </w:t>
      </w:r>
      <w:r w:rsidRPr="00D909E9">
        <w:rPr>
          <w:rFonts w:cstheme="majorBidi"/>
        </w:rPr>
        <w:lastRenderedPageBreak/>
        <w:t xml:space="preserve">to the increased dispersion of smaller particles </w:t>
      </w:r>
      <w:r w:rsidRPr="004F4A2D">
        <w:rPr>
          <w:rFonts w:cstheme="majorBidi"/>
        </w:rPr>
        <w:t>and proximity to the channel walls</w:t>
      </w:r>
      <w:r>
        <w:rPr>
          <w:rFonts w:cstheme="majorBidi"/>
        </w:rPr>
        <w:t>.</w:t>
      </w:r>
      <w:r w:rsidRPr="00D909E9">
        <w:rPr>
          <w:rFonts w:cstheme="majorBidi"/>
        </w:rPr>
        <w:t xml:space="preserve"> Additionally, the findings show that an increase in flow velocity leads to a decrease in the Nusselt number, suggesting that higher flow rates cause particles to gather away from the channel walls, reducing cooling effectiveness.</w:t>
      </w:r>
      <w:r w:rsidR="00DC403B">
        <w:rPr>
          <w:rFonts w:cstheme="majorBidi"/>
        </w:rPr>
        <w:t xml:space="preserve"> </w:t>
      </w:r>
      <w:r w:rsidR="00776013" w:rsidRPr="00776013">
        <w:rPr>
          <w:rFonts w:cstheme="majorBidi"/>
        </w:rPr>
        <w:t>They expanded their research to a three-dimensional model and evaluated how the Reynolds number and the density ratio between the ice particles and the carrier fluid affect the cooling performance of ice slurry flows</w:t>
      </w:r>
      <w:r w:rsidR="00776013">
        <w:rPr>
          <w:rFonts w:cstheme="majorBidi"/>
        </w:rPr>
        <w:t xml:space="preserve"> </w:t>
      </w:r>
      <w:r w:rsidR="00776013">
        <w:rPr>
          <w:rFonts w:cstheme="majorBidi"/>
        </w:rPr>
        <w:fldChar w:fldCharType="begin" w:fldLock="1"/>
      </w:r>
      <w:r w:rsidR="00D83446">
        <w:rPr>
          <w:rFonts w:cstheme="majorBidi"/>
        </w:rPr>
        <w:instrText>ADDIN CSL_CITATION {"citationItems":[{"id":"ITEM-1","itemData":{"DOI":"10.1016/j.compfluid.2021.105064","ISSN":"00457930","abstract":"We perform particle-resolved simulations of ice slurry flows in a square duct by using the thermal immersed boundary–lattice Boltzmann method. We investigate the effects of Reynolds number, ice packing factor, and density ratio of the ice particle to the carrier fluid on the cooling performance of ice slurry flows. In addition, we compare two collision models, i.e., a repulsion model and an adhesion model, to investigate the effect of the solid–solid interaction. As a result, we find that the Nusselt number on the duct walls increases as the Reynolds number increases, since the flow speed relative to the thermal-diffusion speed increases with the Reynolds number. Also, the Nusselt number increases as the ice packing factor increases, since the particle distribution is more dispersed due to the increase in the number of ice particles and the collision frequency. When the density of the ice particle is slightly smaller than that of the carrier fluid, the particle distribution is biased towards the top wall due to the buoyancy force (heterogeneous flow), and the net Nusselt number slightly increases compared with the homogeneous flow. Finally, we find that the adhesion model gives a much smaller value of the Nusselt number on the duct walls than the repulsion model, since particle clusters are formed by adhesion and the particles are more concentrated around the center line of the duct.","author":[{"dropping-particle":"","family":"Suzuki","given":"Kosuke","non-dropping-particle":"","parse-names":false,"suffix":""},{"dropping-particle":"","family":"Kuroiwa","given":"Takuya","non-dropping-particle":"","parse-names":false,"suffix":""},{"dropping-particle":"","family":"Asaoka","given":"Tatsunori","non-dropping-particle":"","parse-names":false,"suffix":""},{"dropping-particle":"","family":"Yoshino","given":"Masato","non-dropping-particle":"","parse-names":false,"suffix":""}],"container-title":"Computers and Fluids","id":"ITEM-1","issue":"July","issued":{"date-parts":[["2021"]]},"page":"105064","publisher":"Elsevier Ltd","title":"Particle-resolved simulations of ice slurry flows in a square duct by the thermal immersed boundary–lattice Boltzmann method","type":"article-journal","volume":"228"},"uris":["http://www.mendeley.com/documents/?uuid=511fb784-b810-4980-a272-5b0b6b5fa91d"]}],"mendeley":{"formattedCitation":"[150]","plainTextFormattedCitation":"[150]","previouslyFormattedCitation":"[151]"},"properties":{"noteIndex":0},"schema":"https://github.com/citation-style-language/schema/raw/master/csl-citation.json"}</w:instrText>
      </w:r>
      <w:r w:rsidR="00776013">
        <w:rPr>
          <w:rFonts w:cstheme="majorBidi"/>
        </w:rPr>
        <w:fldChar w:fldCharType="separate"/>
      </w:r>
      <w:r w:rsidR="00D83446" w:rsidRPr="00D83446">
        <w:rPr>
          <w:rFonts w:cstheme="majorBidi"/>
          <w:noProof/>
        </w:rPr>
        <w:t>[150]</w:t>
      </w:r>
      <w:r w:rsidR="00776013">
        <w:rPr>
          <w:rFonts w:cstheme="majorBidi"/>
        </w:rPr>
        <w:fldChar w:fldCharType="end"/>
      </w:r>
      <w:r w:rsidR="00776013" w:rsidRPr="00776013">
        <w:rPr>
          <w:rFonts w:cstheme="majorBidi"/>
        </w:rPr>
        <w:t xml:space="preserve">. The results reveal an increase in the Nusselt number along the duct walls with higher Reynolds numbers, a finding </w:t>
      </w:r>
      <w:r w:rsidR="00776013">
        <w:rPr>
          <w:rFonts w:cstheme="majorBidi"/>
        </w:rPr>
        <w:t>that is in contrast with</w:t>
      </w:r>
      <w:r w:rsidR="00776013" w:rsidRPr="00776013">
        <w:rPr>
          <w:rFonts w:cstheme="majorBidi"/>
        </w:rPr>
        <w:t xml:space="preserve"> those obtained in two-dimensional simulations. Additionally, the study investigates the impact of varying density ratios, analyzing scenarios in which ice particles are either neutrally buoyant or slightly less dense than the carrier fluid. The findings demonstrate that lower density ratios cause the ice particles to migrate towards the top wall of the duct due to buoyancy forces, resulting in a heterogeneous flow that </w:t>
      </w:r>
      <w:r w:rsidR="00776013">
        <w:rPr>
          <w:rFonts w:cstheme="majorBidi"/>
        </w:rPr>
        <w:t>slightly</w:t>
      </w:r>
      <w:r w:rsidR="00776013" w:rsidRPr="00776013">
        <w:rPr>
          <w:rFonts w:cstheme="majorBidi"/>
        </w:rPr>
        <w:t xml:space="preserve"> enhances the Nusselt number, offering an improvement over </w:t>
      </w:r>
      <w:r w:rsidR="008008F6">
        <w:rPr>
          <w:rFonts w:cstheme="majorBidi"/>
        </w:rPr>
        <w:t xml:space="preserve">the </w:t>
      </w:r>
      <w:r w:rsidR="00776013" w:rsidRPr="00776013">
        <w:rPr>
          <w:rFonts w:cstheme="majorBidi"/>
        </w:rPr>
        <w:t>homogeneous flow condition.</w:t>
      </w:r>
    </w:p>
    <w:bookmarkEnd w:id="59"/>
    <w:p w14:paraId="0A269D2C" w14:textId="243BB178" w:rsidR="00285099" w:rsidRDefault="00B31E5B" w:rsidP="006E213C">
      <w:pPr>
        <w:spacing w:before="240" w:after="240" w:line="480" w:lineRule="auto"/>
        <w:ind w:firstLine="720"/>
        <w:jc w:val="both"/>
        <w:rPr>
          <w:rFonts w:cstheme="majorBidi"/>
        </w:rPr>
      </w:pPr>
      <w:r w:rsidRPr="00B31E5B">
        <w:rPr>
          <w:rFonts w:cstheme="majorBidi"/>
        </w:rPr>
        <w:t xml:space="preserve">As previously </w:t>
      </w:r>
      <w:r>
        <w:rPr>
          <w:rFonts w:cstheme="majorBidi"/>
        </w:rPr>
        <w:t>mentioned</w:t>
      </w:r>
      <w:r w:rsidRPr="00B31E5B">
        <w:rPr>
          <w:rFonts w:cstheme="majorBidi"/>
        </w:rPr>
        <w:t xml:space="preserve">, particle melting holds relevance across numerous </w:t>
      </w:r>
      <w:r>
        <w:rPr>
          <w:rFonts w:cstheme="majorBidi"/>
        </w:rPr>
        <w:t>applications</w:t>
      </w:r>
      <w:r w:rsidRPr="00B31E5B">
        <w:rPr>
          <w:rFonts w:cstheme="majorBidi"/>
        </w:rPr>
        <w:t xml:space="preserve">. A </w:t>
      </w:r>
      <w:r>
        <w:rPr>
          <w:rFonts w:cstheme="majorBidi"/>
        </w:rPr>
        <w:t>major</w:t>
      </w:r>
      <w:r w:rsidRPr="00B31E5B">
        <w:rPr>
          <w:rFonts w:cstheme="majorBidi"/>
        </w:rPr>
        <w:t xml:space="preserve"> example is the simulation of phase change material (PCM) particles melting within their own melt. PCMs are widely utilized in thermal energy storage</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{"citationItems":[{"id":"ITEM-1","itemData":{"DOI":"10.1002/er.4196","ISSN":"1099114X","abstract":"Thermal energy storage (TES) is a technology that stocks thermal energy by heating or cooling a storage medium so that the stored energy can be used later for heating and cooling applications and for power generation. TES has recently attracted increasing interest to thermal applications such as space and water heating, waste heat utilisation, cooling, and air conditioning. Phase change materials (PCMs) used for the storage of thermal energy as latent heat are special types of advanced materials that substantially contribute to the efficient use and conservation of waste heat and solar energy. This paper provides a comprehensive review on the development of latent heat storage (LHS) systems focused on heat transfer and enhancement techniques employed in PCMs to effectively charge and discharge latent heat energy, and the formulation of the phase change problem. The main categories of PCMs are classified and briefly described, and heat transfer enhancement technologies, namely dispersion of low-density materials, use of porous materials, metal matrices and encapsulation, incorporation of extended surfaces and fins, utilisation of heat pipes, cascaded storage, and direct heat transfer techniques, are also discussed in detail. Additionally, a two-dimensional heat transfer simulation model of an LHS system is developed using the control volume technique to solve the phase change problem. Furthermore, a three-dimensional numerical simulation model of an LHS is built to investigate the quasi-steady state and transient heat transfer in PCMs. Finally, several future research directions are provided.","author":[{"dropping-particle":"","family":"Sarbu","given":"Ioan","non-dropping-particle":"","parse-names":false,"suffix":""},{"dropping-particle":"","family":"Dorca","given":"Alexandru","non-dropping-particle":"","parse-names":false,"suffix":""}],"container-title":"International Journal of Energy Research","id":"ITEM-1","issue":"1","issued":{"date-parts":[["2019"]]},"page":"29-64","title":"Review on heat transfer analysis in thermal energy storage using latent heat storage systems and phase change materials","type":"article-journal","volume":"43"},"uris":["http://www.mendeley.com/documents/?uuid=3e53680d-d615-43a7-a075-878b3b6d9ccf"]},{"id":"ITEM-2","itemData":{"DOI":"10.1016/j.conbuildmat.2019.07.221","ISSN":"09500618","abstract":"Advances in thermal energy storage techniques/methods, using Phase Change Material (PCM), have gained much hype among researchers in the last decade. Thermal energy storage systems can significantly reduce energy consumption and promotes the use of renewable sources of energy. In recent decades, the building sector has evolved as one of the major consumer of energy resulting in high levels of carbon emissions. Thermal energy storage combined with PCM is an effective method for improving the energy efficiency of the buildings. PCM can be incorporated in the building envelope in many ways. One of the simplest and effective method of integrating PCM directly in building material is macroencapsulation. This method not only improves the indoor thermal behavior of the buildings, but also reduces the cooling load without or little compromising with the mechanical strength of the building structure. In this article, a critical review of the application of macroencapsulated PCM in buildings for energy savings has been carried out. A detailed review of various approaches to integrate the macroencapsulated PCM in the building envelope has been shown. Effect on indoor thermal behavior and reduction in cooling load was analyzed for different approaches. Additionally, the compatibility of various materials used for making containers for encapsulation was also investigated. A detailed description of macroencapsulation technique, types of thermal energy storage methods used in buildings, suitable PCM available for encapsulation has also been shown in the article.","author":[{"dropping-particle":"","family":"Rathore","given":"Pushpendra Kumar Singh","non-dropping-particle":"","parse-names":false,"suffix":""},{"dropping-particle":"","family":"Shukla","given":"Shailendra Kumar","non-dropping-particle":"","parse-names":false,"suffix":""}],"container-title":"Construction and Building Materials","id":"ITEM-2","issued":{"date-parts":[["2019"]]},"page":"723-744","publisher":"Elsevier Ltd","title":"Potential of macroencapsulated pcm for thermal energy storage in buildings: A comprehensive review","type":"article-journal","volume":"225"},"uris":["http://www.mendeley.com/documents/?uuid=8e9eb8bc-3f69-49c0-bfc4-bac29acc8b74"]}],"mendeley":{"formattedCitation":"[151,152]","plainTextFormattedCitation":"[151,152]","previouslyFormattedCitation":"[152,153]"},"properties":{"noteIndex":0},"schema":"https://github.com/citation-style-language/schema/raw/master/csl-citation.json"}</w:instrText>
      </w:r>
      <w:r w:rsidRPr="00EE2497">
        <w:rPr>
          <w:rFonts w:cstheme="majorBidi"/>
        </w:rPr>
        <w:fldChar w:fldCharType="separate"/>
      </w:r>
      <w:r w:rsidR="00D83446" w:rsidRPr="00D83446">
        <w:rPr>
          <w:rFonts w:cstheme="majorBidi"/>
          <w:noProof/>
        </w:rPr>
        <w:t>[151,152]</w:t>
      </w:r>
      <w:r w:rsidRPr="00EE2497">
        <w:rPr>
          <w:rFonts w:cstheme="majorBidi"/>
        </w:rPr>
        <w:fldChar w:fldCharType="end"/>
      </w:r>
      <w:r w:rsidRPr="00B31E5B">
        <w:rPr>
          <w:rFonts w:cstheme="majorBidi"/>
        </w:rPr>
        <w:t xml:space="preserve"> and temperature regulation systems</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{"citationItems":[{"id":"ITEM-1","itemData":{"DOI":"10.1016/j.solener.2019.11.075","ISSN":"0038092X","abstract":"In recent years, researchers are fascinated to counter problem of PV-efficiency decline arising from high operating temperatures, especially in hot climates. This article conducts a comprehensive review of research activities performed in last 5 years, on cooling techniques with phase-change materials (PCMs), nanofluids and their combined use, leading to efficiency enhancement. By passive cooling approach with PCMs, it is found that maximum enhancement up to 20% in PV-efficiency can be achieved. Effectiveness of PCM for PV is more prominent in summer than in winter. Incorporations of fins inside PCM container at PV rear, results in much improved heat conduction within PCM. Now-a-days, researchers have grown interest in composite PCMs for PV cooling due to their enhanced thermal conductivity. Moreover, better heat regulation as well as PV-surface temperature uniformity can be achieved with two PCMs at a time having different melting points. Studies suggest that combination of passive &amp; active cooling techniques helps in further lowering of PV-cell temperature, leading to enhancement in PV-efficiency with additional thermal power generation. PV-efficiency of water-based hybrid PV/T systems can be improved by 32% by integration with PCM. Although nanofluid-based PV/T systems have been proved to enhance PV-efficiency by more than 60%, but combined use of PCM &amp; nanofluid is more effective approach for PV cooling than individual use of PCM or nanofluid. If combination is made between nanofluid &amp; nano-PCM, electrical power &amp; efficiency can further be enhanced. Nanofluids can also be considered a good spectral filter alternative as they require small thickness and are able to be tuned by varying nanoparticles conc. Finally, environmental impacts &amp; economic viability of mentioned cooling techniques, were discussed. Studies show that PV/PCM systems become expensive &amp; less feasible when operated in single junction due to long payback period up to 20 years. Economic feasibility can be increased by combining passive &amp; active cooling techniques which can increase system compactness and lower its cost.","author":[{"dropping-particle":"","family":"Ali","given":"Hafiz Muhammad","non-dropping-particle":"","parse-names":false,"suffix":""}],"container-title":"Solar Energy","id":"ITEM-1","issue":"June 2018","issued":{"date-parts":[["2020"]]},"page":"163-198","publisher":"Elsevier","title":"Recent advancements in PV cooling and efficiency enhancement integrating phase change materials based systems – A comprehensive review","type":"article-journal","volume":"197"},"uris":["http://www.mendeley.com/documents/?uuid=527c138d-6619-46d7-8bf9-4584ac1af1d9"]},{"id":"ITEM-2","itemData":{"DOI":"10.1016/j.cej.2021.132741","ISSN":"13858947","abstract":"It is known that the performance of a power battery is greatly affected by temperature. The battery pack needs an efficient thermal management system to make the power battery work in a reasonable temperature range. Battery thermal management system (BTMs) based on phase change materials (PCM), as a passive thermal management method, has the advantages of low operating cost and good temperature uniformity. This paper mainly introduces the BTMs based on PCM, including the cooling and heating system based on PCM. For the cooling system of PCM, the performance of composite phase change materials (CPCM) and its heat transfer enhancement, phase change fluid (PCF), flexible phase change materials (FPCM), and hybrid cooling systems are analyzed. For the PCM heating system, the PCM latent heat for preheating of the power battery in a cold environment has also been discussed. Finally, this paper concluded that the next research directions should focus on the improvement of thermal conductivity of PCM, flame retardancy of organic PCM, thermal stability of inorganic PCM, PCF and FPCM, and PCM-based coupled battery thermal management.","author":[{"dropping-particle":"","family":"Luo","given":"Jie","non-dropping-particle":"","parse-names":false,"suffix":""},{"dropping-particle":"","family":"Zou","given":"Deqiu","non-dropping-particle":"","parse-names":false,"suffix":""},{"dropping-particle":"","family":"Wang","given":"Yinshuang","non-dropping-particle":"","parse-names":false,"suffix":""},{"dropping-particle":"","family":"Wang","given":"Shuo","non-dropping-particle":"","parse-names":false,"suffix":""},{"dropping-particle":"","family":"Huang","given":"Li","non-dropping-particle":"","parse-names":false,"suffix":""}],"container-title":"Chemical Engineering Journal","id":"ITEM-2","issue":"P1","issued":{"date-parts":[["2022"]]},"page":"132741","publisher":"Elsevier B.V.","title":"Battery thermal management systems (BTMs) based on phase change material (PCM): A comprehensive review","type":"article-journal","volume":"430"},"uris":["http://www.mendeley.com/documents/?uuid=1da1a3e5-18e3-4bd3-856a-cf799cae0667"]}],"mendeley":{"formattedCitation":"[153,154]","plainTextFormattedCitation":"[153,154]","previouslyFormattedCitation":"[154,155]"},"properties":{"noteIndex":0},"schema":"https://github.com/citation-style-language/schema/raw/master/csl-citation.json"}</w:instrText>
      </w:r>
      <w:r w:rsidRPr="00EE2497">
        <w:rPr>
          <w:rFonts w:cstheme="majorBidi"/>
        </w:rPr>
        <w:fldChar w:fldCharType="separate"/>
      </w:r>
      <w:r w:rsidR="00D83446" w:rsidRPr="00D83446">
        <w:rPr>
          <w:rFonts w:cstheme="majorBidi"/>
          <w:noProof/>
        </w:rPr>
        <w:t>[153,154]</w:t>
      </w:r>
      <w:r w:rsidRPr="00EE2497">
        <w:rPr>
          <w:rFonts w:cstheme="majorBidi"/>
        </w:rPr>
        <w:fldChar w:fldCharType="end"/>
      </w:r>
      <w:r w:rsidRPr="00B31E5B">
        <w:rPr>
          <w:rFonts w:cstheme="majorBidi"/>
        </w:rPr>
        <w:t xml:space="preserve"> due to their high energy density and ability to transfer heat at nearly constant temperatures. The</w:t>
      </w:r>
      <w:r>
        <w:rPr>
          <w:rFonts w:cstheme="majorBidi"/>
        </w:rPr>
        <w:t>y</w:t>
      </w:r>
      <w:r w:rsidRPr="00B31E5B">
        <w:rPr>
          <w:rFonts w:cstheme="majorBidi"/>
        </w:rPr>
        <w:t xml:space="preserve"> are incorporated into PCM slurries both as encapsulated and shell-less particles. Practical applications of PCM slurries span several industries and technologies, including impinging jet cooling</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{"citationItems":[{"id":"ITEM-1","itemData":{"DOI":"10.1016/j.applthermaleng.2021.116588","ISSN":"13594311","abstract":"Based on the heat dissipation requirement of high heat flux for electronic chips, this paper establishes a closed-cycle experimental system and investigates jet impingement heat transfer characteristics with a microencapsulated phase change material (MEPCM) slurry as the working fluid. The phase change properties of the MEPCM particles and the thermal properties of the MEPCM slurry are analysed. The effects of several key parameters on the heat transfer and pressure drop of jet impingement are also discussed. Experimental results show that a 10% mass fraction of MEPCM slurry may enhance jet heat transfer by 32.8% compared with water because of the latent heat absorption of the PCM core. The heat transfer enhancement will be limited for higher mass fractions of slurry. The slurry exhibits a high heat transfer efficiency when the jet distance is ΔL/D = 4–9.3. The convective heat transfer coefficient of the slurry first increases and then decreases as the jet inlet temperature increases, and the optimum jet inlet temperature is approximately 12.1 °C lower than the melting peak temperature. Jet temperatures that are too high or too low will lead to deterioration of heat transfer for the slurry. These findings can provide guidance for the design of heat dissipation systems using MEPCM slurries.","author":[{"dropping-particle":"","family":"Zhang","given":"J. J.","non-dropping-particle":"","parse-names":false,"suffix":""},{"dropping-particle":"","family":"Yang","given":"C. H.","non-dropping-particle":"","parse-names":false,"suffix":""},{"dropping-particle":"","family":"Jin","given":"Z. G.","non-dropping-particle":"","parse-names":false,"suffix":""},{"dropping-particle":"","family":"Ma","given":"S. X.","non-dropping-particle":"","parse-names":false,"suffix":""},{"dropping-particle":"","family":"Zhang","given":"J. S.","non-dropping-particle":"","parse-names":false,"suffix":""},{"dropping-particle":"","family":"Pang","given":"X. M.","non-dropping-particle":"","parse-names":false,"suffix":""}],"container-title":"Applied Thermal Engineering","id":"ITEM-1","issue":"January","issued":{"date-parts":[["2021"]]},"title":"Experimental study of jet impingement heat transfer with microencapsulated phase change material slurry","type":"article-journal","volume":"188"},"uris":["http://www.mendeley.com/documents/?uuid=b0215475-8191-4a8d-8f55-c5bf1d585539"]}],"mendeley":{"formattedCitation":"[155]","plainTextFormattedCitation":"[155]","previouslyFormattedCitation":"[156]"},"properties":{"noteIndex":0},"schema":"https://github.com/citation-style-language/schema/raw/master/csl-citation.json"}</w:instrText>
      </w:r>
      <w:r w:rsidRPr="00EE2497">
        <w:rPr>
          <w:rFonts w:cstheme="majorBidi"/>
        </w:rPr>
        <w:fldChar w:fldCharType="separate"/>
      </w:r>
      <w:r w:rsidR="00D83446" w:rsidRPr="00D83446">
        <w:rPr>
          <w:rFonts w:cstheme="majorBidi"/>
          <w:noProof/>
        </w:rPr>
        <w:t>[155]</w:t>
      </w:r>
      <w:r w:rsidRPr="00EE2497">
        <w:rPr>
          <w:rFonts w:cstheme="majorBidi"/>
        </w:rPr>
        <w:fldChar w:fldCharType="end"/>
      </w:r>
      <w:r w:rsidRPr="00B31E5B">
        <w:rPr>
          <w:rFonts w:cstheme="majorBidi"/>
        </w:rPr>
        <w:t>, mini-channel heat sinks</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{"citationItems":[{"id":"ITEM-1","itemData":{"DOI":"10.1016/j.ijthermalsci.2021.106903","ISSN":"12900729","abstract":"In this investigation, the cooling characteristics of mini-channel heat sink with the water-based nano-phase change material emulsions are examined experimentally. The n-eicosane nanoparticles and the pure water are considered as the as the phase change material and base fluid, respectively. The fluid flow and convection heat transfer in the mini channel heat sink are studied at different parameter ranges: the volumetric flow rate varied from Q˙ = 60 cm3 min−1 to 600 cm3 min−1, three values of the heat flux imposed on the bottom wall of the heat sinks including qh″ = 3.2 W cm−2, 3.95 W cm−2, and 4.78 W cm−2, and the mass fraction of n-eicosane nanoparticles varied from ωpcm = 0%–10%. The influences of these parameters on the friction factor, wall temperature, heat transfer effectiveness, Nusselt number, figure of merit, coefficient of performance, and thermal resistances are investigated. It is concluded that for the low volumetric flow rate and the heat fluxes of heat flux of 3.20 W cm−2, 3.95 W cm−2, and 4.78 W cm−2, using the n-eicosane nanoparticles with larger values of mass fraction is more proper to decrease the wall temperature. For low value of heat flux, the value of the convective heat transfer effectiveness is larger than unity for most values of Reynolds number. The maximum figure of merit index of 1.098 can be achieved at the Reynolds number of 1381, the heat flux of 4.78 W cm−2, and the mass fraction of 2%. The figure of merit index is decreased with boosting the mass fraction of n–eicosane particles. The figure of merit index is decreased about 44% with boosting the mass fraction of n–eicosane particles from 2% to 10% for the heat flux of 3.20 W cm−2. The usage of n-eicosane nanoparticles with the concentration of 2% results in the lower thermal resistances in comparison to the case of pure water. The difference between the thermal resistances for various mass fractions of n-eicosane nanoparticles decreases as the heat flux increases.","author":[{"dropping-particle":"","family":"Ho","given":"C. J.","non-dropping-particle":"","parse-names":false,"suffix":""},{"dropping-particle":"","family":"Hsu","given":"Shao Teng","non-dropping-particle":"","parse-names":false,"suffix":""},{"dropping-particle":"","family":"Yang","given":"Tien Fu","non-dropping-particle":"","parse-names":false,"suffix":""},{"dropping-particle":"","family":"Chen","given":"Bo Lin","non-dropping-particle":"","parse-names":false,"suffix":""},{"dropping-particle":"","family":"Rashidi","given":"Saman","non-dropping-particle":"","parse-names":false,"suffix":""},{"dropping-particle":"","family":"Yan","given":"Wei Mon","non-dropping-particle":"","parse-names":false,"suffix":""}],"container-title":"International Journal of Thermal Sciences","id":"ITEM-1","issue":"February","issued":{"date-parts":[["2021"]]},"title":"Cooling performance of mini-channel heat sink with water-based nano-PCM emulsion-An experimental study","type":"article-journal","volume":"164"},"uris":["http://www.mendeley.com/documents/?uuid=0668de6c-83c2-4331-9350-261eda6ca64c"]}],"mendeley":{"formattedCitation":"[156]","plainTextFormattedCitation":"[156]","previouslyFormattedCitation":"[157]"},"properties":{"noteIndex":0},"schema":"https://github.com/citation-style-language/schema/raw/master/csl-citation.json"}</w:instrText>
      </w:r>
      <w:r w:rsidRPr="00EE2497">
        <w:rPr>
          <w:rFonts w:cstheme="majorBidi"/>
        </w:rPr>
        <w:fldChar w:fldCharType="separate"/>
      </w:r>
      <w:r w:rsidR="00D83446" w:rsidRPr="00D83446">
        <w:rPr>
          <w:rFonts w:cstheme="majorBidi"/>
          <w:noProof/>
        </w:rPr>
        <w:t>[156]</w:t>
      </w:r>
      <w:r w:rsidRPr="00EE2497">
        <w:rPr>
          <w:rFonts w:cstheme="majorBidi"/>
        </w:rPr>
        <w:fldChar w:fldCharType="end"/>
      </w:r>
      <w:r w:rsidRPr="00B31E5B">
        <w:rPr>
          <w:rFonts w:cstheme="majorBidi"/>
        </w:rPr>
        <w:t>, battery thermal management</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{"citationItems":[{"id":"ITEM-1","itemData":{"DOI":"10.1016/j.est.2021.102602","ISSN":"2352152X","abstract":"The present study focuses on application of microencapsulated phase change material (MEPCM) slurry in cooling electric cars' batteries. These materials, benefiting from their high latent heat property, are especially capable of heat absorption while they impose excessive pressure drop to the system. This study aims to establish a trade-off between the cooling efficiency and pressure drop of the system. 186 batteries whose model is 18,650 with a serpentine arrangement, similar to that of Tesla car model S, are considered. The maximum temperature inside the battery, the maximum temperature difference of the battery pack and the coolant pressure drop are investigated as the critical parameters. Moreover, the temperature variation along the serpentine channel is also studied. In order to examine the thermal performance of the system, the maximum temperature limit of 313 K and maximum temperature difference of 5 K are considered for the batteries. The studied variables are discharge rate (3C and 5C), concentration of the MEPCM slurry (10% and 20%), and fluid velocity (up to 0.4 m/s). Results show that, for a specified velocity, application of MEPCM slurry reduces maximum temperature and the maximum temperature difference with respect to water. However, when the velocity rises, this effect diminishes which means that the application of the proposed material results in higher pressure drop and more energy consumption. Results also indicated that for the discharge rate of 3C, by the application of 10% MEPCM slurry at 0.1 m/s, the minimum thermal requirements are fulfilled bringing about the least pressure drop. These conditions for the 5C discharge rate are 20% concentration and 0.2 m/s fluid velocity.","author":[{"dropping-particle":"","family":"Pakrouh","given":"R.","non-dropping-particle":"","parse-names":false,"suffix":""},{"dropping-particle":"","family":"Hosseini","given":"M. J.","non-dropping-particle":"","parse-names":false,"suffix":""},{"dropping-particle":"","family":"Bahrampoury","given":"R.","non-dropping-particle":"","parse-names":false,"suffix":""},{"dropping-particle":"","family":"Ranjbar","given":"A. A.","non-dropping-particle":"","parse-names":false,"suffix":""},{"dropping-particle":"","family":"Borhani","given":"S. M.","non-dropping-particle":"","parse-names":false,"suffix":""}],"container-title":"Journal of Energy Storage","id":"ITEM-1","issue":"June","issued":{"date-parts":[["2021"]]},"page":"102602","publisher":"Elsevier Ltd","title":"Cylindrical battery thermal management based on microencapsulated phase change slurry","type":"article-journal","volume":"40"},"uris":["http://www.mendeley.com/documents/?uuid=3326d7b7-d04e-4a15-91d2-d190738860cc"]}],"mendeley":{"formattedCitation":"[157]","plainTextFormattedCitation":"[157]","previouslyFormattedCitation":"[158]"},"properties":{"noteIndex":0},"schema":"https://github.com/citation-style-language/schema/raw/master/csl-citation.json"}</w:instrText>
      </w:r>
      <w:r w:rsidRPr="00EE2497">
        <w:rPr>
          <w:rFonts w:cstheme="majorBidi"/>
        </w:rPr>
        <w:fldChar w:fldCharType="separate"/>
      </w:r>
      <w:r w:rsidR="00D83446" w:rsidRPr="00D83446">
        <w:rPr>
          <w:rFonts w:cstheme="majorBidi"/>
          <w:noProof/>
        </w:rPr>
        <w:t>[157]</w:t>
      </w:r>
      <w:r w:rsidRPr="00EE2497">
        <w:rPr>
          <w:rFonts w:cstheme="majorBidi"/>
        </w:rPr>
        <w:fldChar w:fldCharType="end"/>
      </w:r>
      <w:r w:rsidRPr="00B31E5B">
        <w:rPr>
          <w:rFonts w:cstheme="majorBidi"/>
        </w:rPr>
        <w:t>, enhancement of heat exchanger efficiency</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{"citationItems":[{"id":"ITEM-1","itemData":{"DOI":"10.1016/j.jobe.2020.101929","ISSN":"23527102","abstract":"The immersion of nano-encapsulated phase change material (NPCM) in a carrier fluid to form NPCM slurry can ensure of the latent heat absorption and effective heat transfer. Here, the convective heat transfer of the NPCM slurry stream in a double-pipe heat exchanger were studied experimentally. PCM nanocapsules have been prepared via a mini-emulsion polymerization process. The nanocapsules consisting of n-dodecanol as the core, and polymethyl methacrylate (PMMA) as the shell were modified by graphene oxide (GO) nanosheets as an additional protective layer. Morphology as well as thermal and structural features of nanocapsules were examined and analyzed. The least particle size corresponded with a latent heat of 148.5 J/g. The enhancement mechanism of the convective heat transfer of NPCM slurry was studied via the response surface method. The heat transfer features were evaluated based on experiments designed statistically to determine the optimal values of inlet temperature (Tin), NPCM concentration (ϕ), and Reynolds number (Re). The optimization was performed aiming at the maximum enhancement of thermal efficiency (η). The validity of the developed regression models was assessed using the ANOVA technique. It is found that in the turbulent tubular flow of NPCM slurry, the inlet temperature and the mass fraction of nanocapsules have the most significant effects on the heat transfer performance. The optimum values of ϕ, Tin and Rein were found to be 14%, 83 °C and 5046, respectively, resulted in the maximum η of 4.5.","author":[{"dropping-particle":"","family":"Chananipoor","given":"Arman","non-dropping-particle":"","parse-names":false,"suffix":""},{"dropping-particle":"","family":"Azizi","given":"Zoha","non-dropping-particle":"","parse-names":false,"suffix":""},{"dropping-particle":"","family":"Raei","given":"Behrouz","non-dropping-particle":"","parse-names":false,"suffix":""},{"dropping-particle":"","family":"Tahmasebi","given":"Nargess","non-dropping-particle":"","parse-names":false,"suffix":""}],"container-title":"Journal of Building Engineering","id":"ITEM-1","issued":{"date-parts":[["2021"]]},"page":"101929","publisher":"Elsevier Ltd","title":"Optimization of the thermal performance of nano-encapsulated phase change material slurry in double pipe heat exchanger: Design of experiments using response surface methodology (RSM)","type":"article-journal","volume":"34"},"uris":["http://www.mendeley.com/documents/?uuid=9d5e21de-12a4-4b9e-9aa2-adabe01f49e0"]}],"mendeley":{"formattedCitation":"[158]","plainTextFormattedCitation":"[158]","previouslyFormattedCitation":"[159]"},"properties":{"noteIndex":0},"schema":"https://github.com/citation-style-language/schema/raw/master/csl-citation.json"}</w:instrText>
      </w:r>
      <w:r w:rsidRPr="00EE2497">
        <w:rPr>
          <w:rFonts w:cstheme="majorBidi"/>
        </w:rPr>
        <w:fldChar w:fldCharType="separate"/>
      </w:r>
      <w:r w:rsidR="00D83446" w:rsidRPr="00D83446">
        <w:rPr>
          <w:rFonts w:cstheme="majorBidi"/>
          <w:noProof/>
        </w:rPr>
        <w:t>[158]</w:t>
      </w:r>
      <w:r w:rsidRPr="00EE2497">
        <w:rPr>
          <w:rFonts w:cstheme="majorBidi"/>
        </w:rPr>
        <w:fldChar w:fldCharType="end"/>
      </w:r>
      <w:r w:rsidRPr="00B31E5B">
        <w:rPr>
          <w:rFonts w:cstheme="majorBidi"/>
        </w:rPr>
        <w:t>, direct absorption solar collectors</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{"citationItems":[{"id":"ITEM-1","itemData":{"DOI":"10.1016/j.est.2019.100793","ISSN":"2352152X","abstract":"Thermal energy storage is fundamentally important to overcome the intermittence and instability of solar thermal energy. To explore the photo-thermal conversion performance of nanofluids after the addition of microencapsulated phase change materials (MPCMs) in direct absorption solar collectors (DASCs), hybrid slurries involving MPCMs dispersed in ethanol/water mixture-based multi-walled carbon nanotube (MWCNT) nanofluid were prepared and experimentally tested. It was found that the temperature rise of hybrid MPCM-MWCNT slurry with respect to the base fluid (ethanol/water mixture) was lower than that of the pure MWCNT nanofluid owing to the high reflectivity of MPCM surface and PCM melting induced heat absorption. At the thermal discharging stage, however, the terminal temperatures of hybrid slurries were higher than that of MWCNT nanofluid and increased with the MPCM concentration. Compared with the base fluid, the corresponding terminal temperature was about 4.6℃ higher for the hybrid slurry containing 15 wt% MPCMs. Therefore, the addition of MPCMs in nanofluids become a potential solution for direct absorption solar thermal applications if the MPCM surface is well coated with nano-layer materials having high optical absorption capability.","author":[{"dropping-particle":"","family":"Wang","given":"Zhihao","non-dropping-particle":"","parse-names":false,"suffix":""},{"dropping-particle":"","family":"Qu","given":"Jian","non-dropping-particle":"","parse-names":false,"suffix":""},{"dropping-particle":"","family":"Zhang","given":"Ruomei","non-dropping-particle":"","parse-names":false,"suffix":""},{"dropping-particle":"","family":"Han","given":"Xinyue","non-dropping-particle":"","parse-names":false,"suffix":""},{"dropping-particle":"","family":"Wu","given":"Jun","non-dropping-particle":"","parse-names":false,"suffix":""}],"container-title":"Journal of Energy Storage","id":"ITEM-1","issue":"May","issued":{"date-parts":[["2019"]]},"page":"100793","publisher":"Elsevier","title":"Photo-thermal performance evaluation on MWCNTs-dispersed microencapsulated PCM slurries for direct absorption solar collectors","type":"article-journal","volume":"26"},"uris":["http://www.mendeley.com/documents/?uuid=9d3a5ed6-a929-424e-9a96-069ad1aaaf2c"]}],"mendeley":{"formattedCitation":"[159]","plainTextFormattedCitation":"[159]","previouslyFormattedCitation":"[160]"},"properties":{"noteIndex":0},"schema":"https://github.com/citation-style-language/schema/raw/master/csl-citation.json"}</w:instrText>
      </w:r>
      <w:r w:rsidRPr="00EE2497">
        <w:rPr>
          <w:rFonts w:cstheme="majorBidi"/>
        </w:rPr>
        <w:fldChar w:fldCharType="separate"/>
      </w:r>
      <w:r w:rsidR="00D83446" w:rsidRPr="00D83446">
        <w:rPr>
          <w:rFonts w:cstheme="majorBidi"/>
          <w:noProof/>
        </w:rPr>
        <w:t>[159]</w:t>
      </w:r>
      <w:r w:rsidRPr="00EE2497">
        <w:rPr>
          <w:rFonts w:cstheme="majorBidi"/>
        </w:rPr>
        <w:fldChar w:fldCharType="end"/>
      </w:r>
      <w:r w:rsidRPr="00B31E5B">
        <w:rPr>
          <w:rFonts w:cstheme="majorBidi"/>
        </w:rPr>
        <w:t>, thermal energy storage</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{"citationItems":[{"id":"ITEM-1","itemData":{"DOI":"10.1016/j.egypro.2017.08.007","ISSN":"18766102","abstract":"Ice slurry can be used as the thermal storage media in latent cool storage systems for both residential and commercial buildings. This paper presents the investigation of the phase change characteristics of the ice slurry using a two-fluid Lattice Boltzmann Method (TFLBM). The melting and migration processes of the ice slurry are simulated by improving the equilibrium distribution function and matching the relevant parameters such as the kinetic viscosity of ice particle cluster and cross-collision coefficient. The sensitivity analysis of the ice slurry viscosity and cross-collision coefficient are achieved through six numerical experiments, and the ice melting in the internal-melt ice-on-coil thermal storage device is then calculated. The results could be potentially used to guide the design of the ice slurry for cooling both residential and commercial buildings.","author":[{"dropping-particle":"","family":"Lin","given":"Qi","non-dropping-particle":"","parse-names":false,"suffix":""},{"dropping-particle":"","family":"Wang","given":"Shugang","non-dropping-particle":"","parse-names":false,"suffix":""},{"dropping-particle":"","family":"Ma","given":"Zhenjun","non-dropping-particle":"","parse-names":false,"suffix":""},{"dropping-particle":"","family":"Wang","given":"Jihong","non-dropping-particle":"","parse-names":false,"suffix":""},{"dropping-particle":"","family":"Zhang","given":"Tengfei","non-dropping-particle":"","parse-names":false,"suffix":""}],"container-title":"Energy Procedia","id":"ITEM-1","issued":{"date-parts":[["2017"]]},"page":"110-117","publisher":"Elsevier B.V.","title":"Simulation of the Melting Process of Ice Slurry for Energy Storage Using a Two-Fluid Lattice Boltzmann Method","type":"article-journal","volume":"121"},"uris":["http://www.mendeley.com/documents/?uuid=54ba88bc-b87b-4356-8ad7-1eedb9fe9a97"]}],"mendeley":{"formattedCitation":"[160]","plainTextFormattedCitation":"[160]","previouslyFormattedCitation":"[161]"},"properties":{"noteIndex":0},"schema":"https://github.com/citation-style-language/schema/raw/master/csl-citation.json"}</w:instrText>
      </w:r>
      <w:r w:rsidRPr="00EE2497">
        <w:rPr>
          <w:rFonts w:cstheme="majorBidi"/>
        </w:rPr>
        <w:fldChar w:fldCharType="separate"/>
      </w:r>
      <w:r w:rsidR="00D83446" w:rsidRPr="00D83446">
        <w:rPr>
          <w:rFonts w:cstheme="majorBidi"/>
          <w:noProof/>
        </w:rPr>
        <w:t>[160]</w:t>
      </w:r>
      <w:r w:rsidRPr="00EE2497">
        <w:rPr>
          <w:rFonts w:cstheme="majorBidi"/>
        </w:rPr>
        <w:fldChar w:fldCharType="end"/>
      </w:r>
      <w:r w:rsidRPr="00B31E5B">
        <w:rPr>
          <w:rFonts w:cstheme="majorBidi"/>
        </w:rPr>
        <w:t>, and various metallurgical processes</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{"citationItems":[{"id":"ITEM-1","itemData":{"DOI":"10.1016/j.ijthermalsci.2009.07.011","ISSN":"12900729","abstract":"There are manufacturing applications like surface modification and repair technologies where metal particles go into the superheated melt pool heated by an intense heat source and as the workpiece moves away from the energy source this pool solidifies to form a continuous built-up layer. In the present study two-dimensional axisymmetric Navier-Stokes and energy equations are solved using finite volume method to predict the time required for a metal sphere to melt in a melt pool of the same material. The effect of forced convection, characterised by Reynolds number, and superheat of the melt pool, characterised by Stefan number, has been studied in detail for material of different Prandtl numbers. Effect of buoyancy is neglected for the present investigation. It is found that the effect of convection on melting time is more pronounced if RePr/Ste2/3 is high. The rate of melting of the metal sphere with time under different conditions is also presented. Finally, the heat transfer characteristic is represented by the correlation of Nusselt number with Reynolds number, Stefan number and Prandtl number. © 2009 Elsevier Masson SAS. All rights reserved.","author":[{"dropping-particle":"","family":"Kumar","given":"Amitesh","non-dropping-particle":"","parse-names":false,"suffix":""},{"dropping-particle":"","family":"Roy","given":"Subhransu","non-dropping-particle":"","parse-names":false,"suffix":""}],"container-title":"International Journal of Thermal Sciences","id":"ITEM-1","issue":"2","issued":{"date-parts":[["2010"]]},"page":"397-408","publisher":"Elsevier Masson SAS","title":"Heat transfer characteristics during melting of a metal spherical particle in its own liquid","type":"article-journal","volume":"49"},"uris":["http://www.mendeley.com/documents/?uuid=df2cd843-6275-41d6-96b3-1f8abe0abc9f"]}],"mendeley":{"formattedCitation":"[161]","plainTextFormattedCitation":"[161]","previouslyFormattedCitation":"[162]"},"properties":{"noteIndex":0},"schema":"https://github.com/citation-style-language/schema/raw/master/csl-citation.json"}</w:instrText>
      </w:r>
      <w:r w:rsidRPr="00EE2497">
        <w:rPr>
          <w:rFonts w:cstheme="majorBidi"/>
        </w:rPr>
        <w:fldChar w:fldCharType="separate"/>
      </w:r>
      <w:r w:rsidR="00D83446" w:rsidRPr="00D83446">
        <w:rPr>
          <w:rFonts w:cstheme="majorBidi"/>
          <w:noProof/>
        </w:rPr>
        <w:t>[161]</w:t>
      </w:r>
      <w:r w:rsidRPr="00EE2497">
        <w:rPr>
          <w:rFonts w:cstheme="majorBidi"/>
        </w:rPr>
        <w:fldChar w:fldCharType="end"/>
      </w:r>
      <w:r w:rsidRPr="00B31E5B">
        <w:rPr>
          <w:rFonts w:cstheme="majorBidi"/>
        </w:rPr>
        <w:t xml:space="preserve">. </w:t>
      </w:r>
    </w:p>
    <w:p w14:paraId="14ADD379" w14:textId="56B7BCD9" w:rsidR="00285099" w:rsidRDefault="00E65F52" w:rsidP="006E213C">
      <w:pPr>
        <w:spacing w:before="240" w:after="240" w:line="480" w:lineRule="auto"/>
        <w:ind w:firstLine="720"/>
        <w:jc w:val="both"/>
        <w:rPr>
          <w:rFonts w:cstheme="majorBidi"/>
        </w:rPr>
      </w:pPr>
      <w:r>
        <w:rPr>
          <w:rFonts w:cstheme="majorBidi"/>
        </w:rPr>
        <w:lastRenderedPageBreak/>
        <w:t>O</w:t>
      </w:r>
      <w:r w:rsidRPr="00E65F52">
        <w:rPr>
          <w:rFonts w:cstheme="majorBidi"/>
        </w:rPr>
        <w:t xml:space="preserve">ne of the earliest direct numerical simulations </w:t>
      </w:r>
      <w:r>
        <w:rPr>
          <w:rFonts w:cstheme="majorBidi"/>
        </w:rPr>
        <w:t>for</w:t>
      </w:r>
      <w:r w:rsidRPr="00E65F52">
        <w:rPr>
          <w:rFonts w:cstheme="majorBidi"/>
        </w:rPr>
        <w:t xml:space="preserve"> analyz</w:t>
      </w:r>
      <w:r>
        <w:rPr>
          <w:rFonts w:cstheme="majorBidi"/>
        </w:rPr>
        <w:t>ing</w:t>
      </w:r>
      <w:r w:rsidRPr="00E65F52">
        <w:rPr>
          <w:rFonts w:cstheme="majorBidi"/>
        </w:rPr>
        <w:t xml:space="preserve"> the behavior of melting particles suspended in a liquid </w:t>
      </w:r>
      <w:r w:rsidR="008008F6">
        <w:rPr>
          <w:rFonts w:cstheme="majorBidi"/>
        </w:rPr>
        <w:t>wa</w:t>
      </w:r>
      <w:r>
        <w:rPr>
          <w:rFonts w:cstheme="majorBidi"/>
        </w:rPr>
        <w:t xml:space="preserve">s conducted by </w:t>
      </w:r>
      <w:r w:rsidRPr="00E65F52">
        <w:rPr>
          <w:rFonts w:cstheme="majorBidi"/>
        </w:rPr>
        <w:t>Gan et al.</w:t>
      </w:r>
      <w:r>
        <w:rPr>
          <w:rFonts w:cstheme="majorBidi"/>
        </w:rPr>
        <w:t xml:space="preserve"> </w:t>
      </w:r>
      <w:r w:rsidRPr="00EE2497">
        <w:rPr>
          <w:rFonts w:cstheme="majorBidi"/>
        </w:rPr>
        <w:fldChar w:fldCharType="begin" w:fldLock="1"/>
      </w:r>
      <w:r w:rsidR="00D83446">
        <w:rPr>
          <w:rFonts w:cstheme="majorBidi"/>
        </w:rPr>
        <w:instrText>ADDIN CSL_CITATION {"citationItems":[{"id":"ITEM-1","itemData":{"DOI":"10.1016/S0301-9322(03)00035-1","ISSN":"03019322","abstract":"This study is motivated by the fact that dispersed two-phase flows are often accompanied by interfacial activities such as chemical reaction and phase change. Toward an understanding of the role of interfacial transport, we numerically simulate the sedimentation of melting solid particles in a Newtonian fluid. The fluid flow and solid motion determine the fluid-solid heat transfer and hence the melting rate. The thermal convection and interfacial morphology, in return, affect the motion of both phases. The two-dimensional Navier-Stokes and energy equations are solved at moderate Reynolds numbers by a finite-element method, and the melting interface is determined from the local heat flux. The motion of each solid particle is tracked using an arbitrary Lagrangian-Eulerian scheme. Results show that the sedimentation of melting particles is largely governed by the competition between the upward flow of the warm upstream fluid and the downward flow of the cold melt. A single particle settling in a channel may be pushed away from the centerline toward the wall. A pair of particles interact in a complex way, separating at low Grashof number Gr and attracting each other at high Gr. These results have interesting implications for the formation of microstructures in interfacially active two-phase flows. © 2003 Elsevier Science Ltd. All rights reserved.","author":[{"dropping-particle":"","family":"Gan","given":"Hui","non-dropping-particle":"","parse-names":false,"suffix":""},{"dropping-particle":"","family":"Feng","given":"James J.","non-dropping-particle":"","parse-names":false,"suffix":""},{"dropping-particle":"","family":"Hu","given":"Howard H.","non-dropping-particle":"","parse-names":false,"suffix":""}],"container-title":"International Journal of Multiphase Flow","id":"ITEM-1","issue":"5","issued":{"date-parts":[["2003"]]},"page":"751-769","title":"Simulation of the sedimentation of melting solid particles","type":"article-journal","volume":"29"},"uris":["http://www.mendeley.com/documents/?uuid=fb04688c-9532-4dcb-947c-2fbb0a71d2cc"]}],"mendeley":{"formattedCitation":"[162]","plainTextFormattedCitation":"[162]","previouslyFormattedCitation":"[163]"},"properties":{"noteIndex":0},"schema":"https://github.com/citation-style-language/schema/raw/master/csl-citation.json"}</w:instrText>
      </w:r>
      <w:r w:rsidRPr="00EE2497">
        <w:rPr>
          <w:rFonts w:cstheme="majorBidi"/>
        </w:rPr>
        <w:fldChar w:fldCharType="separate"/>
      </w:r>
      <w:r w:rsidR="00D83446" w:rsidRPr="00D83446">
        <w:rPr>
          <w:rFonts w:cstheme="majorBidi"/>
          <w:noProof/>
        </w:rPr>
        <w:t>[162]</w:t>
      </w:r>
      <w:r w:rsidRPr="00EE2497">
        <w:rPr>
          <w:rFonts w:cstheme="majorBidi"/>
        </w:rPr>
        <w:fldChar w:fldCharType="end"/>
      </w:r>
      <w:r w:rsidRPr="00E65F52">
        <w:rPr>
          <w:rFonts w:cstheme="majorBidi"/>
        </w:rPr>
        <w:t xml:space="preserve"> using a two-dimensional finite element method. This study focused on the sedimentation and melting of single and dual cylindrical particles within a vertical channel where there was no induced flow and the surrounding liquid remained stationary. The research calculated local deformation rates of the particles based on localized heat fluxes at the particle surface and predicted particle trajectories and melting rates across various initial positions. The findings highlighted that the sedimentation of melting particles is significantly affected by buoyancy-driven convection (natural convection) within the melt. The study </w:t>
      </w:r>
      <w:r>
        <w:rPr>
          <w:rFonts w:cstheme="majorBidi"/>
        </w:rPr>
        <w:t>characterized</w:t>
      </w:r>
      <w:r w:rsidRPr="00E65F52">
        <w:rPr>
          <w:rFonts w:cstheme="majorBidi"/>
        </w:rPr>
        <w:t xml:space="preserve"> two distinct regimes of particle migration based on the Grashof number (Gr): in conditions where Gr is less than 900, particles descend along the channel centerline, whereas at Gr values greater than 900, particles tend to deviate towards the channel walls. Additionally, the study observed that higher Gr numbers generally result in slower melting rates, because the downward convection brings colder fluid into greater contact with the particle surface.</w:t>
      </w:r>
    </w:p>
    <w:p w14:paraId="39B4CC18" w14:textId="65D0BB94" w:rsidR="009660A7" w:rsidRDefault="009660A7" w:rsidP="006E213C">
      <w:pPr>
        <w:spacing w:before="240" w:after="240" w:line="480" w:lineRule="auto"/>
        <w:ind w:firstLine="720"/>
        <w:jc w:val="both"/>
        <w:rPr>
          <w:rFonts w:cstheme="majorBidi"/>
        </w:rPr>
      </w:pPr>
      <w:r w:rsidRPr="009660A7">
        <w:rPr>
          <w:rFonts w:cstheme="majorBidi"/>
        </w:rPr>
        <w:t xml:space="preserve">Shabgard et al. </w:t>
      </w:r>
      <w:r w:rsidRPr="00EE2497">
        <w:rPr>
          <w:rFonts w:cstheme="majorBidi"/>
        </w:rPr>
        <w:fldChar w:fldCharType="begin" w:fldLock="1"/>
      </w:r>
      <w:r w:rsidR="00D83446">
        <w:rPr>
          <w:rFonts w:cstheme="majorBidi"/>
        </w:rPr>
        <w:instrText>ADDIN CSL_CITATION {"citationItems":[{"id":"ITEM-1","itemData":{"DOI":"10.1016/j.ijheatmasstransfer.2016.04.020","ISSN":"00179310","abstract":"A CFD analysis of melting of solid particles during sedimentation in their own melt is presented. The motion of the solid particles is determined using a Lagrangian approach, while hydrodynamics and heat transfer throughout the fluid are determined using a finite volume scheme. Particle and fluid motions are two-way coupled through moving solid-liquid interfaces, whose morphologies are determined from the local interfacial heat fluxes and tracked using a deforming grid. The accuracy of the model is verified using benchmark solutions of a single particle undergoing simultaneous melting and settling. The results show that the presence of solid-phase particles within the liquid enhances the heat transfer between the bulk fluid and the heating surfaces due to improved mixing, as well as the latent heat associated with phase change. Particle loadings corresponding to solid volume fractions of 3-18% have been considered here, and it is found that the average wall Nusselt number increases linearly with volume fraction. An enhancement in the average wall Nusselt number of 100% as compared to a single-phase flow is achieved using a slurry with 18% solid particles by volume. Initial particle arrangement is found to have a minimal effect on the overall heat transfer. Additionally, for a fixed solid volume fraction, it is found that particle diameter does not strongly influence heat transfer enhancement.","author":[{"dropping-particle":"","family":"Shabgard","given":"Hamidreza","non-dropping-particle":"","parse-names":false,"suffix":""},{"dropping-particle":"","family":"Hu","given":"Han","non-dropping-particle":"","parse-names":false,"suffix":""},{"dropping-particle":"","family":"Boettcher","given":"Philipp A.","non-dropping-particle":"","parse-names":false,"suffix":""},{"dropping-particle":"","family":"McCarthy","given":"Matthew","non-dropping-particle":"","parse-names":false,"suffix":""},{"dropping-particle":"","family":"Sun","given":"Ying","non-dropping-particle":"","parse-names":false,"suffix":""}],"container-title":"International Journal of Heat and Mass Transfer","id":"ITEM-1","issued":{"date-parts":[["2016"]]},"page":"895-903","publisher":"Elsevier Ltd","title":"Heat transfer analysis of PCM slurry flow between parallel plates","type":"article-journal","volume":"99"},"uris":["http://www.mendeley.com/documents/?uuid=57c1c396-a20f-402e-80be-0a9028e94af1"]}],"mendeley":{"formattedCitation":"[163]","plainTextFormattedCitation":"[163]","previouslyFormattedCitation":"[164]"},"properties":{"noteIndex":0},"schema":"https://github.com/citation-style-language/schema/raw/master/csl-citation.json"}</w:instrText>
      </w:r>
      <w:r w:rsidRPr="00EE2497">
        <w:rPr>
          <w:rFonts w:cstheme="majorBidi"/>
        </w:rPr>
        <w:fldChar w:fldCharType="separate"/>
      </w:r>
      <w:r w:rsidR="00D83446" w:rsidRPr="00D83446">
        <w:rPr>
          <w:rFonts w:cstheme="majorBidi"/>
          <w:noProof/>
        </w:rPr>
        <w:t>[163]</w:t>
      </w:r>
      <w:r w:rsidRPr="00EE2497">
        <w:rPr>
          <w:rFonts w:cstheme="majorBidi"/>
        </w:rPr>
        <w:fldChar w:fldCharType="end"/>
      </w:r>
      <w:r>
        <w:rPr>
          <w:rFonts w:cstheme="majorBidi"/>
        </w:rPr>
        <w:t xml:space="preserve"> </w:t>
      </w:r>
      <w:r w:rsidRPr="009660A7">
        <w:rPr>
          <w:rFonts w:cstheme="majorBidi"/>
        </w:rPr>
        <w:t>developed an Arbitrary-Lagrangian-Eulerian (ALE) model to explore the sedimentation and melting of multiple cylindrical-shaped PCM particles within a vertical channel with heated walls. The model featured a deforming grid to accurately capture the motion and deformation of the PCM particles. To simplify the hydrodynamic calculations, the model assumed that the particle motion did not involve rotation. Their findings indicated that the wall Nusselt number</w:t>
      </w:r>
      <w:r>
        <w:rPr>
          <w:rFonts w:cstheme="majorBidi"/>
        </w:rPr>
        <w:t>, defined</w:t>
      </w:r>
      <w:r w:rsidRPr="009660A7">
        <w:rPr>
          <w:rFonts w:cstheme="majorBidi"/>
        </w:rPr>
        <w:t xml:space="preserve"> as the product of the wall heat flux and the hydraulic diameter of the channel, divided by the temperature difference between the wall and the fluid</w:t>
      </w:r>
      <w:r>
        <w:rPr>
          <w:rFonts w:cstheme="majorBidi"/>
        </w:rPr>
        <w:t xml:space="preserve">, </w:t>
      </w:r>
      <w:r w:rsidRPr="009660A7">
        <w:rPr>
          <w:rFonts w:cstheme="majorBidi"/>
        </w:rPr>
        <w:t xml:space="preserve">exhibited an almost linear increase as the solid PCM volume fraction increased. </w:t>
      </w:r>
      <w:r w:rsidR="00814642">
        <w:rPr>
          <w:rFonts w:cstheme="majorBidi"/>
        </w:rPr>
        <w:t xml:space="preserve">Kaviani et al. </w:t>
      </w:r>
      <w:r w:rsidR="00814642">
        <w:rPr>
          <w:rFonts w:cstheme="majorBidi"/>
        </w:rPr>
        <w:fldChar w:fldCharType="begin" w:fldLock="1"/>
      </w:r>
      <w:r w:rsidR="00D83446">
        <w:rPr>
          <w:rFonts w:cstheme="majorBidi"/>
        </w:rPr>
        <w:instrText>ADDIN CSL_CITATION {"citationItems":[{"id":"ITEM-1","itemData":{"DOI":"10.1615/tfec2022.mpp.040972","ISSN":"23791748","abstract":"A two-dimensional arbitrary Lagrangian-Eulerian (ALE) model is established to investigate the migration and melting of a single solid particle in a pressure-driven flow between two vertical parallel plates. The developed sharp interface tracking method is advantageous as it has direct access to the transient transport fluxes at the solid-liquid interface without using averaging techniques. At each time step, the particle displacement and rotation, and the interfacial heat transfer on the particle surface are calculated to capture the interaction between the cylindrical particle and primary liquid phase accurately. The influence of Gr number on the flow and thermal fields is investigated. The model was validated by comparing the predicted melting rate and settling velocity of a particle against available computational results in the literature. It was found that, by increasing Gr, the melting time is reduced as the natural convection is strengthened. It was also observed that as the Gr is increased, the particle migration exhibits an increasingly oscillatory behavior that eventually stabilizes at an equilibrium position.","author":[{"dropping-particle":"","family":"Kaviani","given":"Reza","non-dropping-particle":"","parse-names":false,"suffix":""},{"dropping-particle":"","family":"Naghashnejad","given":"Mohammad","non-dropping-particle":"","parse-names":false,"suffix":""},{"dropping-particle":"","family":"Shabgard","given":"Hamidreza","non-dropping-particle":"","parse-names":false,"suffix":""}],"container-title":"Proceedings of the Thermal and Fluids Engineering Summer Conference","id":"ITEM-1","issued":{"date-parts":[["2022"]]},"page":"691-699","publisher":"7th Thermal and Fluids Engineering Conference (TFEC)","title":"Lateral Migration of a Melting Particle in a Vertical Poiseuille Flow","type":"paper-conference","volume":"2022-May"},"uris":["http://www.mendeley.com/documents/?uuid=78e88e8d-37c9-4431-b7f7-cbd4333a76cb"]}],"mendeley":{"formattedCitation":"[164]","plainTextFormattedCitation":"[164]","previouslyFormattedCitation":"[165]"},"properties":{"noteIndex":0},"schema":"https://github.com/citation-style-language/schema/raw/master/csl-citation.json"}</w:instrText>
      </w:r>
      <w:r w:rsidR="00814642">
        <w:rPr>
          <w:rFonts w:cstheme="majorBidi"/>
        </w:rPr>
        <w:fldChar w:fldCharType="separate"/>
      </w:r>
      <w:r w:rsidR="00D83446" w:rsidRPr="00D83446">
        <w:rPr>
          <w:rFonts w:cstheme="majorBidi"/>
          <w:noProof/>
        </w:rPr>
        <w:t>[164]</w:t>
      </w:r>
      <w:r w:rsidR="00814642">
        <w:rPr>
          <w:rFonts w:cstheme="majorBidi"/>
        </w:rPr>
        <w:fldChar w:fldCharType="end"/>
      </w:r>
      <w:r w:rsidR="00814642">
        <w:rPr>
          <w:rFonts w:cstheme="majorBidi"/>
        </w:rPr>
        <w:t xml:space="preserve"> employed a</w:t>
      </w:r>
      <w:r w:rsidR="00814642" w:rsidRPr="00814642">
        <w:rPr>
          <w:rFonts w:cstheme="majorBidi"/>
        </w:rPr>
        <w:t xml:space="preserve"> two-dimensional ALE model to study the migration and melting of a single cylindrical particle in a pressure-driven flow between two vertical parallel plates. The findings indicate that as Gr </w:t>
      </w:r>
      <w:r w:rsidR="00814642" w:rsidRPr="00814642">
        <w:rPr>
          <w:rFonts w:cstheme="majorBidi"/>
        </w:rPr>
        <w:lastRenderedPageBreak/>
        <w:t>increases, the melting time decreases due to enhanced natural convection. Moreover, an increase in Gr triggers a transition in particle migration from monotonic to oscillatory regimes</w:t>
      </w:r>
      <w:r w:rsidR="00814642">
        <w:rPr>
          <w:rFonts w:cstheme="majorBidi"/>
        </w:rPr>
        <w:t>.</w:t>
      </w:r>
    </w:p>
    <w:p w14:paraId="03E9F212" w14:textId="2DED5C0A" w:rsidR="00F31CAF" w:rsidRDefault="00F31CAF" w:rsidP="006E213C">
      <w:pPr>
        <w:spacing w:before="240" w:after="240" w:line="480" w:lineRule="auto"/>
        <w:ind w:firstLine="720"/>
        <w:jc w:val="both"/>
        <w:rPr>
          <w:rFonts w:cstheme="majorBidi"/>
        </w:rPr>
      </w:pPr>
      <w:r w:rsidRPr="00F31CAF">
        <w:rPr>
          <w:rFonts w:cstheme="majorBidi"/>
        </w:rPr>
        <w:t>Although flows with suspended melting particles have a broad range of applications, the hydrodynamic and thermal interactions between a pressure-driven flow and a suspended melting particle remain largely unexplored. This study aims to conduct a direct numerical simulation to analyze the motion and melting of a neutrally buoyant particle suspended in its own melt within a plane Poiseuille flow. As previously noted, this setup is relevant not only to the melting of ice particles but also to other substances that melt in similar conditions. To keep the analysis applicable to a wide variety of scenarios, the density difference between the particle and the melt is disregarded, ensuring the particle's neutral buoyancy. Furthermore, the liquid phase is defined as the melt of the particle itself; for instance, in the case of an ice particle, the melt would be pure water instead of ICL. These simplifications enhance the model’s versatility for application across numerous other settings and configurations.</w:t>
      </w:r>
    </w:p>
    <w:p w14:paraId="315A3ACC" w14:textId="4CBABB69" w:rsidR="00FF4216" w:rsidRDefault="00FF4216" w:rsidP="006E213C">
      <w:pPr>
        <w:spacing w:before="240" w:after="240" w:line="480" w:lineRule="auto"/>
        <w:ind w:firstLine="720"/>
        <w:jc w:val="both"/>
        <w:rPr>
          <w:rFonts w:cstheme="majorBidi"/>
        </w:rPr>
      </w:pPr>
      <w:r w:rsidRPr="00FF4216">
        <w:rPr>
          <w:rFonts w:cstheme="majorBidi"/>
        </w:rPr>
        <w:t>A particle-resolved ALE model has been developed to analyze the flow and temperature fields within the fluid. This model uses the Navier-Stokes and energy equations to characterize the Eulerian phase of the fluid domain, while the motion of the particle is described using Newton's second law of motion, representing the Lagrangian phase. The dynamics of the fluid and the particle are interconnected through interfacial forces at the fluid-particle boundary. These forces are calculated by integrating the local shear and normal stresses at the interface, which are derived from the distributions of velocity gradients, pressure, and temperature gradients at the solid-liquid interface.</w:t>
      </w:r>
      <w:r>
        <w:rPr>
          <w:rFonts w:cstheme="majorBidi"/>
        </w:rPr>
        <w:t xml:space="preserve"> </w:t>
      </w:r>
      <w:r w:rsidRPr="00FF4216">
        <w:rPr>
          <w:rFonts w:cstheme="majorBidi"/>
        </w:rPr>
        <w:t xml:space="preserve">This method of directly calculating interfacial forces and heat transfer rates </w:t>
      </w:r>
      <w:r>
        <w:rPr>
          <w:rFonts w:cstheme="majorBidi"/>
        </w:rPr>
        <w:t>distinguishes</w:t>
      </w:r>
      <w:r w:rsidRPr="00FF4216">
        <w:rPr>
          <w:rFonts w:cstheme="majorBidi"/>
        </w:rPr>
        <w:t xml:space="preserve"> this particle-resolved approach apart from non-particle-resolved methods, which typically rely on empirical correlations for these calculations. The particle motion and deformation at each timestep </w:t>
      </w:r>
      <w:r w:rsidRPr="00FF4216">
        <w:rPr>
          <w:rFonts w:cstheme="majorBidi"/>
        </w:rPr>
        <w:lastRenderedPageBreak/>
        <w:t>are determined from Newton’s second law of motion and the interfacial energy balance, respectively. To manage the displacement of these grid nodes, the ALE method is utilized, allowing for the necessary deformation of control volumes and displacement of grid nodes</w:t>
      </w:r>
      <w:r>
        <w:rPr>
          <w:rFonts w:cstheme="majorBidi"/>
        </w:rPr>
        <w:t>.</w:t>
      </w:r>
    </w:p>
    <w:p w14:paraId="6F0DB3D8" w14:textId="25526172" w:rsidR="00EE2497" w:rsidRPr="00EE2497" w:rsidRDefault="00931404" w:rsidP="006E213C">
      <w:pPr>
        <w:spacing w:before="240" w:after="240" w:line="480" w:lineRule="auto"/>
        <w:ind w:firstLine="720"/>
        <w:jc w:val="both"/>
        <w:rPr>
          <w:rFonts w:cstheme="majorBidi"/>
        </w:rPr>
      </w:pPr>
      <w:r w:rsidRPr="00931404">
        <w:rPr>
          <w:rFonts w:cstheme="majorBidi"/>
        </w:rPr>
        <w:t xml:space="preserve">The subsequent portions of this section are </w:t>
      </w:r>
      <w:r>
        <w:rPr>
          <w:rFonts w:cstheme="majorBidi"/>
        </w:rPr>
        <w:t xml:space="preserve">organized as follows. </w:t>
      </w:r>
      <w:r w:rsidR="004A69B9">
        <w:rPr>
          <w:rFonts w:cstheme="majorBidi"/>
        </w:rPr>
        <w:t>First,</w:t>
      </w:r>
      <w:r w:rsidRPr="00931404">
        <w:rPr>
          <w:rFonts w:cstheme="majorBidi"/>
        </w:rPr>
        <w:t xml:space="preserve"> various interface tracking methods</w:t>
      </w:r>
      <w:r w:rsidR="004A69B9">
        <w:rPr>
          <w:rFonts w:cstheme="majorBidi"/>
        </w:rPr>
        <w:t xml:space="preserve"> are introduced</w:t>
      </w:r>
      <w:r w:rsidRPr="00931404">
        <w:rPr>
          <w:rFonts w:cstheme="majorBidi"/>
        </w:rPr>
        <w:t xml:space="preserve">, with a focus on the ALE method utilized in this research. </w:t>
      </w:r>
      <w:r w:rsidR="004A69B9">
        <w:rPr>
          <w:rFonts w:cstheme="majorBidi"/>
        </w:rPr>
        <w:t>In the next section</w:t>
      </w:r>
      <w:r w:rsidRPr="00931404">
        <w:rPr>
          <w:rFonts w:cstheme="majorBidi"/>
        </w:rPr>
        <w:t>, the physical problem addressed by the study is outlined</w:t>
      </w:r>
      <w:r w:rsidR="004A69B9">
        <w:rPr>
          <w:rFonts w:cstheme="majorBidi"/>
        </w:rPr>
        <w:t xml:space="preserve"> </w:t>
      </w:r>
      <w:r w:rsidR="00423297">
        <w:rPr>
          <w:rFonts w:cstheme="majorBidi"/>
        </w:rPr>
        <w:t>accompanied by</w:t>
      </w:r>
      <w:r w:rsidRPr="00931404">
        <w:rPr>
          <w:rFonts w:cstheme="majorBidi"/>
        </w:rPr>
        <w:t xml:space="preserve"> the computational approach</w:t>
      </w:r>
      <w:r w:rsidR="004A69B9">
        <w:rPr>
          <w:rFonts w:cstheme="majorBidi"/>
        </w:rPr>
        <w:t xml:space="preserve"> </w:t>
      </w:r>
      <w:r w:rsidR="00423297">
        <w:rPr>
          <w:rFonts w:cstheme="majorBidi"/>
        </w:rPr>
        <w:t>explanation</w:t>
      </w:r>
      <w:r w:rsidRPr="00931404">
        <w:rPr>
          <w:rFonts w:cstheme="majorBidi"/>
        </w:rPr>
        <w:t>, detailing the governing equations, boundary and initial conditions, and the numerical techniques implemented to solve these equations. Additionally, this section discusses the validation of the computational model</w:t>
      </w:r>
      <w:r>
        <w:rPr>
          <w:rFonts w:cstheme="majorBidi"/>
        </w:rPr>
        <w:t>.</w:t>
      </w:r>
    </w:p>
    <w:p w14:paraId="21A75AF5" w14:textId="42B891ED" w:rsidR="00004D31" w:rsidRPr="006E213C" w:rsidRDefault="00004D31" w:rsidP="00700DBA">
      <w:pPr>
        <w:pStyle w:val="Heading2"/>
        <w:numPr>
          <w:ilvl w:val="1"/>
          <w:numId w:val="4"/>
        </w:numPr>
        <w:spacing w:before="360" w:after="0" w:line="480" w:lineRule="auto"/>
        <w:ind w:left="432" w:hanging="432"/>
        <w:rPr>
          <w:sz w:val="24"/>
          <w:szCs w:val="24"/>
        </w:rPr>
      </w:pPr>
      <w:bookmarkStart w:id="61" w:name="_Toc172367690"/>
      <w:r w:rsidRPr="006E213C">
        <w:rPr>
          <w:sz w:val="24"/>
          <w:szCs w:val="24"/>
        </w:rPr>
        <w:t xml:space="preserve">Interface </w:t>
      </w:r>
      <w:r w:rsidR="002D1344" w:rsidRPr="006E213C">
        <w:rPr>
          <w:sz w:val="24"/>
          <w:szCs w:val="24"/>
        </w:rPr>
        <w:t>T</w:t>
      </w:r>
      <w:r w:rsidRPr="006E213C">
        <w:rPr>
          <w:sz w:val="24"/>
          <w:szCs w:val="24"/>
        </w:rPr>
        <w:t xml:space="preserve">racking </w:t>
      </w:r>
      <w:r w:rsidR="002D1344" w:rsidRPr="006E213C">
        <w:rPr>
          <w:sz w:val="24"/>
          <w:szCs w:val="24"/>
        </w:rPr>
        <w:t>M</w:t>
      </w:r>
      <w:r w:rsidRPr="006E213C">
        <w:rPr>
          <w:sz w:val="24"/>
          <w:szCs w:val="24"/>
        </w:rPr>
        <w:t>ethods</w:t>
      </w:r>
      <w:bookmarkEnd w:id="61"/>
    </w:p>
    <w:p w14:paraId="2ABE72E1" w14:textId="72D8BCC4" w:rsidR="008C308E" w:rsidRPr="004834D3" w:rsidRDefault="008C308E" w:rsidP="006E213C">
      <w:pPr>
        <w:spacing w:before="240" w:after="240" w:line="480" w:lineRule="auto"/>
        <w:jc w:val="both"/>
        <w:rPr>
          <w:rFonts w:cstheme="majorBidi"/>
          <w:kern w:val="0"/>
        </w:rPr>
      </w:pPr>
      <w:r w:rsidRPr="004834D3">
        <w:rPr>
          <w:rFonts w:cstheme="majorBidi"/>
          <w:kern w:val="0"/>
        </w:rPr>
        <w:t xml:space="preserve">Interfaces or internal boundaries are prevalent in various applications, such as multiphase flows, solidification, and melting phenomena. Simulating fluid flow problems, particularly those involving fluid-fluid and fluid-solid interfaces, presents several challenges. One major difficulty is the time-dependent nature of the position and shape of the interfaces, which may involve heat and mass transfer during phase change processes. Additionally, these interfaces can undergo significant deformations, impacting the surrounding flow and thermal fields. Another challenge lies in modeling discontinuities in thermophysical properties across the interface, especially large density variations. These moving boundaries play a critical role in the system, and their precise representation significantly affects the solution of the problem. Addressing the computational treatment of a moving and deforming interface involves several key aspects, such as representing the interface on a finite grid, tracking the time evolution of the interface, and specifying boundary conditions at the interface. Numerical solutions for interfaces can generally be achieved using </w:t>
      </w:r>
      <w:r w:rsidRPr="004834D3">
        <w:rPr>
          <w:rFonts w:cstheme="majorBidi"/>
          <w:kern w:val="0"/>
        </w:rPr>
        <w:lastRenderedPageBreak/>
        <w:t>Eulerian (fixed) or Lagrangian (moving) grids, each with its own set of advantages and disadvantages. In the following sections, various interface capturing (tracking) techniques are described briefly and a detailed explanation of the method selected for the present work is explained.</w:t>
      </w:r>
    </w:p>
    <w:p w14:paraId="3283D2BF" w14:textId="31389A2A" w:rsidR="00CD4CAC" w:rsidRPr="004651FF" w:rsidRDefault="00CD4CAC" w:rsidP="00700DBA">
      <w:pPr>
        <w:pStyle w:val="Heading3"/>
        <w:numPr>
          <w:ilvl w:val="2"/>
          <w:numId w:val="4"/>
        </w:numPr>
        <w:spacing w:before="360" w:after="0" w:line="480" w:lineRule="auto"/>
        <w:ind w:left="432" w:hanging="432"/>
        <w:rPr>
          <w:sz w:val="24"/>
          <w:szCs w:val="24"/>
        </w:rPr>
      </w:pPr>
      <w:bookmarkStart w:id="62" w:name="_Toc172367691"/>
      <w:r w:rsidRPr="004651FF">
        <w:rPr>
          <w:sz w:val="24"/>
          <w:szCs w:val="24"/>
        </w:rPr>
        <w:t xml:space="preserve">Lagrangian </w:t>
      </w:r>
      <w:r w:rsidR="002D1344" w:rsidRPr="004651FF">
        <w:rPr>
          <w:sz w:val="24"/>
          <w:szCs w:val="24"/>
        </w:rPr>
        <w:t>M</w:t>
      </w:r>
      <w:r w:rsidRPr="004651FF">
        <w:rPr>
          <w:sz w:val="24"/>
          <w:szCs w:val="24"/>
        </w:rPr>
        <w:t>ethod</w:t>
      </w:r>
      <w:bookmarkEnd w:id="62"/>
    </w:p>
    <w:p w14:paraId="0F6E87FC" w14:textId="4F8FBADD" w:rsidR="00940C66" w:rsidRPr="004834D3" w:rsidRDefault="00940C66" w:rsidP="006E213C">
      <w:pPr>
        <w:spacing w:before="240" w:after="240" w:line="480" w:lineRule="auto"/>
        <w:jc w:val="both"/>
        <w:rPr>
          <w:rFonts w:cstheme="majorBidi"/>
          <w:kern w:val="0"/>
        </w:rPr>
      </w:pPr>
      <w:r w:rsidRPr="004834D3">
        <w:rPr>
          <w:rFonts w:cstheme="majorBidi"/>
          <w:kern w:val="0"/>
        </w:rPr>
        <w:t xml:space="preserve">The Lagrangian method is a numerical approach that excels in tracking the movement of fluid particles and interfaces by directly following the trajectory of individual fluid elements over time. In this method, the computational mesh moves and deforms with the fluid, providing a detailed and accurate prediction of the interface evolution. By continuously updating the positions of individual fluid particles, the Lagrangian method ensures a precise representation of the interface’s shape and position at all times. Despite its accuracy in predicting interface evolution, the Lagrangian method faces challenges when dealing with large deformations. As particles move and the mesh deforms, highly skewed meshes can arise, complicating the maintenance of numerical accuracy and stability. Additionally, tracking a large number of particles can be computationally intensive, especially in three-dimensional simulations or when high resolution is required, leading to increased computational costs and longer simulation times </w:t>
      </w:r>
      <w:r w:rsidRPr="004834D3">
        <w:rPr>
          <w:rFonts w:cstheme="majorBidi"/>
          <w:kern w:val="0"/>
        </w:rPr>
        <w:fldChar w:fldCharType="begin" w:fldLock="1"/>
      </w:r>
      <w:r w:rsidR="00D83446">
        <w:rPr>
          <w:rFonts w:cstheme="majorBidi"/>
          <w:kern w:val="0"/>
        </w:rPr>
        <w:instrText>ADDIN CSL_CITATION {"citationItems":[{"id":"ITEM-1","itemData":{"DOI":"10.1017/CBO9780511607486","ISBN":"9780511607486","abstract":"Thanks to high-speed computers and advanced algorithms, the important field of modelling multiphase flows is an area of rapid growth. This one-stop account – now in paperback, with corrections from the first printing – is the ideal way to get to grips with this topic, which has significant applications in industry and nature. Each chapter is written by an acknowledged expert and includes extensive references to current research. All of the chapters are essentially independent and so the book can be used for a range of advanced courses and the self-study of specific topics. No other book covers so many topics related to multiphase flow, and it will therefore be warmly welcomed by researchers and graduate students of the subject across engineering, physics, and applied mathematics.","author":[{"dropping-particle":"","family":"Prosperetti","given":"Andrea","non-dropping-particle":"","parse-names":false,"suffix":""},{"dropping-particle":"","family":"Tryggvason","given":"Grétar","non-dropping-particle":"","parse-names":false,"suffix":""}],"container-title":"Computational Methods for Multiphase Flow","id":"ITEM-1","issued":{"date-parts":[["2007"]]},"number-of-pages":"1-470","publisher":"Cambridge university press","title":"Computational methods for multiphase flow","type":"book","volume":"9780521847643"},"uris":["http://www.mendeley.com/documents/?uuid=67ab5ee7-bce0-42d8-9cd9-1a4e0c2cb90e"]}],"mendeley":{"formattedCitation":"[165]","plainTextFormattedCitation":"[165]","previouslyFormattedCitation":"[166]"},"properties":{"noteIndex":0},"schema":"https://github.com/citation-style-language/schema/raw/master/csl-citation.json"}</w:instrText>
      </w:r>
      <w:r w:rsidRPr="004834D3">
        <w:rPr>
          <w:rFonts w:cstheme="majorBidi"/>
          <w:kern w:val="0"/>
        </w:rPr>
        <w:fldChar w:fldCharType="separate"/>
      </w:r>
      <w:r w:rsidR="00D83446" w:rsidRPr="00D83446">
        <w:rPr>
          <w:rFonts w:cstheme="majorBidi"/>
          <w:noProof/>
          <w:kern w:val="0"/>
        </w:rPr>
        <w:t>[165]</w:t>
      </w:r>
      <w:r w:rsidRPr="004834D3">
        <w:rPr>
          <w:rFonts w:cstheme="majorBidi"/>
          <w:kern w:val="0"/>
        </w:rPr>
        <w:fldChar w:fldCharType="end"/>
      </w:r>
      <w:r w:rsidRPr="004834D3">
        <w:rPr>
          <w:rFonts w:cstheme="majorBidi"/>
          <w:kern w:val="0"/>
        </w:rPr>
        <w:t xml:space="preserve">. </w:t>
      </w:r>
    </w:p>
    <w:p w14:paraId="7B034F77" w14:textId="13E31BCD" w:rsidR="00940C66" w:rsidRPr="004651FF" w:rsidRDefault="00940C66" w:rsidP="00700DBA">
      <w:pPr>
        <w:pStyle w:val="Heading3"/>
        <w:numPr>
          <w:ilvl w:val="2"/>
          <w:numId w:val="4"/>
        </w:numPr>
        <w:spacing w:before="360" w:after="0" w:line="480" w:lineRule="auto"/>
        <w:ind w:left="432" w:hanging="432"/>
        <w:rPr>
          <w:sz w:val="24"/>
          <w:szCs w:val="24"/>
        </w:rPr>
      </w:pPr>
      <w:bookmarkStart w:id="63" w:name="_Toc172367692"/>
      <w:r w:rsidRPr="004651FF">
        <w:rPr>
          <w:sz w:val="24"/>
          <w:szCs w:val="24"/>
        </w:rPr>
        <w:t xml:space="preserve">Volume of </w:t>
      </w:r>
      <w:r w:rsidR="002D1344" w:rsidRPr="004651FF">
        <w:rPr>
          <w:sz w:val="24"/>
          <w:szCs w:val="24"/>
        </w:rPr>
        <w:t>F</w:t>
      </w:r>
      <w:r w:rsidRPr="004651FF">
        <w:rPr>
          <w:sz w:val="24"/>
          <w:szCs w:val="24"/>
        </w:rPr>
        <w:t xml:space="preserve">luid (VOF) </w:t>
      </w:r>
      <w:r w:rsidR="002D1344" w:rsidRPr="004651FF">
        <w:rPr>
          <w:sz w:val="24"/>
          <w:szCs w:val="24"/>
        </w:rPr>
        <w:t>M</w:t>
      </w:r>
      <w:r w:rsidRPr="004651FF">
        <w:rPr>
          <w:sz w:val="24"/>
          <w:szCs w:val="24"/>
        </w:rPr>
        <w:t>ethod</w:t>
      </w:r>
      <w:bookmarkEnd w:id="63"/>
    </w:p>
    <w:p w14:paraId="2A5D050B" w14:textId="57B854A6" w:rsidR="00E240E5" w:rsidRPr="004834D3" w:rsidRDefault="00E240E5" w:rsidP="006E213C">
      <w:pPr>
        <w:spacing w:before="240" w:after="240" w:line="480" w:lineRule="auto"/>
        <w:jc w:val="both"/>
        <w:rPr>
          <w:rFonts w:cstheme="majorBidi"/>
          <w:kern w:val="0"/>
        </w:rPr>
      </w:pPr>
      <w:r w:rsidRPr="004834D3">
        <w:rPr>
          <w:rFonts w:cstheme="majorBidi"/>
          <w:kern w:val="0"/>
        </w:rPr>
        <w:t xml:space="preserve">The VOF method is a widely used Eulerian technique for predicting multiphase fluid flow problems. This method solves the Navier-Stokes equations on a fixed grid, combined with a transient advection equation that governs the evolution of the interface function, marking the position of the interface between different phases. In the VOF method, it is assumed that the phases </w:t>
      </w:r>
      <w:r w:rsidRPr="004834D3">
        <w:rPr>
          <w:rFonts w:cstheme="majorBidi"/>
          <w:kern w:val="0"/>
        </w:rPr>
        <w:lastRenderedPageBreak/>
        <w:t>do not interpenetrate. For each phase, a phase indicator function is introduced, which represents the volume fraction of that phase within a computational cell. The sum of the volume fractions of all phases in any given computational cell is always unity. In practice, when the volume fraction of a particular phase lies between 0 and 1 within a computational cell, that cell is considered an interfacial cell, containing the boundary between different phases. One of the challenges in the VOF method is maintaining sharp interface resolution, as numerical diffusion can lead to distorted interfaces and inaccurate solutions. Moreover, the VOF method may require specialized interpolation schemes and advanced numerical techniques to minimize diffusion and improve accuracy, which can increase the complexity of the simulation</w:t>
      </w:r>
      <w:r w:rsidR="00A06FCF" w:rsidRPr="004834D3">
        <w:rPr>
          <w:rFonts w:cstheme="majorBidi"/>
          <w:kern w:val="0"/>
        </w:rPr>
        <w:t xml:space="preserve"> </w:t>
      </w:r>
      <w:r w:rsidR="00A06FCF" w:rsidRPr="004834D3">
        <w:rPr>
          <w:rFonts w:cstheme="majorBidi"/>
          <w:kern w:val="0"/>
        </w:rPr>
        <w:fldChar w:fldCharType="begin" w:fldLock="1"/>
      </w:r>
      <w:r w:rsidR="00D83446">
        <w:rPr>
          <w:rFonts w:cstheme="majorBidi"/>
          <w:kern w:val="0"/>
        </w:rPr>
        <w:instrText>ADDIN CSL_CITATION {"citationItems":[{"id":"ITEM-1","itemData":{"DOI":"10.1016/0021-9991(81)90145-5","ISSN":"10902716","abstract":"Several methods have been previously used to approximate free boundaries in finite-difference numerical simulations. A simple, but powerful, method is described that is based on the concept of a fractional volume of fluid (VOF). This method is shown to be more flexible and efficient than other methods for treating complicated free boundary configurations. To illustrate the method, a description is given for an incompressible hydrodynamics code, SOLA-VOF, that uses the VOF technique to track free fluid surfaces. © 1981.","author":[{"dropping-particle":"","family":"Hirt","given":"C. W.","non-dropping-particle":"","parse-names":false,"suffix":""},{"dropping-particle":"","family":"Nichols","given":"B. D.","non-dropping-particle":"","parse-names":false,"suffix":""}],"container-title":"Journal of Computational Physics","id":"ITEM-1","issue":"1","issued":{"date-parts":[["1981"]]},"page":"201-225","publisher":"Elsevier","title":"Volume of fluid (VOF) method for the dynamics of free boundaries","type":"article-journal","volume":"39"},"uris":["http://www.mendeley.com/documents/?uuid=81df0360-fa23-4970-b817-81ea0de6a5d6"]}],"mendeley":{"formattedCitation":"[166]","plainTextFormattedCitation":"[166]","previouslyFormattedCitation":"[167]"},"properties":{"noteIndex":0},"schema":"https://github.com/citation-style-language/schema/raw/master/csl-citation.json"}</w:instrText>
      </w:r>
      <w:r w:rsidR="00A06FCF" w:rsidRPr="004834D3">
        <w:rPr>
          <w:rFonts w:cstheme="majorBidi"/>
          <w:kern w:val="0"/>
        </w:rPr>
        <w:fldChar w:fldCharType="separate"/>
      </w:r>
      <w:r w:rsidR="00D83446" w:rsidRPr="00D83446">
        <w:rPr>
          <w:rFonts w:cstheme="majorBidi"/>
          <w:noProof/>
          <w:kern w:val="0"/>
        </w:rPr>
        <w:t>[166]</w:t>
      </w:r>
      <w:r w:rsidR="00A06FCF" w:rsidRPr="004834D3">
        <w:rPr>
          <w:rFonts w:cstheme="majorBidi"/>
          <w:kern w:val="0"/>
        </w:rPr>
        <w:fldChar w:fldCharType="end"/>
      </w:r>
      <w:r w:rsidRPr="004834D3">
        <w:rPr>
          <w:rFonts w:cstheme="majorBidi"/>
          <w:kern w:val="0"/>
        </w:rPr>
        <w:t>.</w:t>
      </w:r>
    </w:p>
    <w:p w14:paraId="0C925F73" w14:textId="124AD75E" w:rsidR="00A06FCF" w:rsidRPr="004651FF" w:rsidRDefault="00A06FCF" w:rsidP="00700DBA">
      <w:pPr>
        <w:pStyle w:val="Heading3"/>
        <w:numPr>
          <w:ilvl w:val="2"/>
          <w:numId w:val="4"/>
        </w:numPr>
        <w:spacing w:before="360" w:after="0" w:line="480" w:lineRule="auto"/>
        <w:ind w:left="432" w:hanging="432"/>
        <w:rPr>
          <w:sz w:val="24"/>
          <w:szCs w:val="24"/>
        </w:rPr>
      </w:pPr>
      <w:bookmarkStart w:id="64" w:name="_Toc172367693"/>
      <w:r w:rsidRPr="004651FF">
        <w:rPr>
          <w:sz w:val="24"/>
          <w:szCs w:val="24"/>
        </w:rPr>
        <w:t>Level-</w:t>
      </w:r>
      <w:r w:rsidR="002D1344" w:rsidRPr="004651FF">
        <w:rPr>
          <w:sz w:val="24"/>
          <w:szCs w:val="24"/>
        </w:rPr>
        <w:t>S</w:t>
      </w:r>
      <w:r w:rsidRPr="004651FF">
        <w:rPr>
          <w:sz w:val="24"/>
          <w:szCs w:val="24"/>
        </w:rPr>
        <w:t xml:space="preserve">et </w:t>
      </w:r>
      <w:r w:rsidR="002D1344" w:rsidRPr="004651FF">
        <w:rPr>
          <w:sz w:val="24"/>
          <w:szCs w:val="24"/>
        </w:rPr>
        <w:t>M</w:t>
      </w:r>
      <w:r w:rsidRPr="004651FF">
        <w:rPr>
          <w:sz w:val="24"/>
          <w:szCs w:val="24"/>
        </w:rPr>
        <w:t>ethod</w:t>
      </w:r>
      <w:bookmarkEnd w:id="64"/>
    </w:p>
    <w:p w14:paraId="3725A925" w14:textId="2AF1BE5B" w:rsidR="00F23D31" w:rsidRPr="004834D3" w:rsidRDefault="00F23D31" w:rsidP="006E213C">
      <w:pPr>
        <w:spacing w:before="240" w:after="240" w:line="480" w:lineRule="auto"/>
        <w:jc w:val="both"/>
        <w:rPr>
          <w:rFonts w:cstheme="majorBidi"/>
          <w:kern w:val="0"/>
        </w:rPr>
      </w:pPr>
      <w:r w:rsidRPr="004834D3">
        <w:rPr>
          <w:rFonts w:cstheme="majorBidi"/>
          <w:kern w:val="0"/>
        </w:rPr>
        <w:t xml:space="preserve">In the level-set method, </w:t>
      </w:r>
      <w:r w:rsidR="003538AC" w:rsidRPr="004834D3">
        <w:rPr>
          <w:rFonts w:cstheme="majorBidi"/>
          <w:kern w:val="0"/>
        </w:rPr>
        <w:t>the interface</w:t>
      </w:r>
      <w:r w:rsidRPr="004834D3">
        <w:rPr>
          <w:rFonts w:cstheme="majorBidi"/>
          <w:kern w:val="0"/>
        </w:rPr>
        <w:t xml:space="preserve"> is represented</w:t>
      </w:r>
      <w:r w:rsidR="003538AC" w:rsidRPr="004834D3">
        <w:rPr>
          <w:rFonts w:cstheme="majorBidi"/>
          <w:kern w:val="0"/>
        </w:rPr>
        <w:t xml:space="preserve"> implicitly by a higher-dimensional function, typically referred to as the level-set function. The interface is defined as the zero</w:t>
      </w:r>
      <w:r w:rsidR="008008F6">
        <w:rPr>
          <w:rFonts w:cstheme="majorBidi"/>
          <w:kern w:val="0"/>
        </w:rPr>
        <w:t>-</w:t>
      </w:r>
      <w:r w:rsidR="003538AC" w:rsidRPr="004834D3">
        <w:rPr>
          <w:rFonts w:cstheme="majorBidi"/>
          <w:kern w:val="0"/>
        </w:rPr>
        <w:t>level</w:t>
      </w:r>
      <w:r w:rsidR="008008F6">
        <w:rPr>
          <w:rFonts w:cstheme="majorBidi"/>
          <w:kern w:val="0"/>
        </w:rPr>
        <w:t>-</w:t>
      </w:r>
      <w:r w:rsidR="003538AC" w:rsidRPr="004834D3">
        <w:rPr>
          <w:rFonts w:cstheme="majorBidi"/>
          <w:kern w:val="0"/>
        </w:rPr>
        <w:t xml:space="preserve">set of this continuous function, which allows for a smooth and flexible representation of complex shapes and topological changes, such as merging and splitting of interfaces, without requiring explicit parameterization. One of the key advantages of the </w:t>
      </w:r>
      <w:r w:rsidRPr="004834D3">
        <w:rPr>
          <w:rFonts w:cstheme="majorBidi"/>
          <w:kern w:val="0"/>
        </w:rPr>
        <w:t>l</w:t>
      </w:r>
      <w:r w:rsidR="003538AC" w:rsidRPr="004834D3">
        <w:rPr>
          <w:rFonts w:cstheme="majorBidi"/>
          <w:kern w:val="0"/>
        </w:rPr>
        <w:t>evel-</w:t>
      </w:r>
      <w:r w:rsidRPr="004834D3">
        <w:rPr>
          <w:rFonts w:cstheme="majorBidi"/>
          <w:kern w:val="0"/>
        </w:rPr>
        <w:t>s</w:t>
      </w:r>
      <w:r w:rsidR="003538AC" w:rsidRPr="004834D3">
        <w:rPr>
          <w:rFonts w:cstheme="majorBidi"/>
          <w:kern w:val="0"/>
        </w:rPr>
        <w:t xml:space="preserve">et </w:t>
      </w:r>
      <w:r w:rsidRPr="004834D3">
        <w:rPr>
          <w:rFonts w:cstheme="majorBidi"/>
          <w:kern w:val="0"/>
        </w:rPr>
        <w:t>m</w:t>
      </w:r>
      <w:r w:rsidR="003538AC" w:rsidRPr="004834D3">
        <w:rPr>
          <w:rFonts w:cstheme="majorBidi"/>
          <w:kern w:val="0"/>
        </w:rPr>
        <w:t xml:space="preserve">ethod is its ability to handle complex interface dynamics. The method evolves the level-set function according to a partial differential equation, which governs the motion of the interface based on the underlying physical forces. This implicit representation is highly advantageous in simulations involving significant deformations. Additionally, the </w:t>
      </w:r>
      <w:r w:rsidRPr="004834D3">
        <w:rPr>
          <w:rFonts w:cstheme="majorBidi"/>
          <w:kern w:val="0"/>
        </w:rPr>
        <w:t>l</w:t>
      </w:r>
      <w:r w:rsidR="003538AC" w:rsidRPr="004834D3">
        <w:rPr>
          <w:rFonts w:cstheme="majorBidi"/>
          <w:kern w:val="0"/>
        </w:rPr>
        <w:t>evel-</w:t>
      </w:r>
      <w:r w:rsidRPr="004834D3">
        <w:rPr>
          <w:rFonts w:cstheme="majorBidi"/>
          <w:kern w:val="0"/>
        </w:rPr>
        <w:t>s</w:t>
      </w:r>
      <w:r w:rsidR="003538AC" w:rsidRPr="004834D3">
        <w:rPr>
          <w:rFonts w:cstheme="majorBidi"/>
          <w:kern w:val="0"/>
        </w:rPr>
        <w:t xml:space="preserve">et </w:t>
      </w:r>
      <w:r w:rsidRPr="004834D3">
        <w:rPr>
          <w:rFonts w:cstheme="majorBidi"/>
          <w:kern w:val="0"/>
        </w:rPr>
        <w:t>m</w:t>
      </w:r>
      <w:r w:rsidR="003538AC" w:rsidRPr="004834D3">
        <w:rPr>
          <w:rFonts w:cstheme="majorBidi"/>
          <w:kern w:val="0"/>
        </w:rPr>
        <w:t>ethod can incorporate effects such as surface tension, curvature, and contact lines</w:t>
      </w:r>
      <w:r w:rsidRPr="004834D3">
        <w:rPr>
          <w:rFonts w:cstheme="majorBidi"/>
          <w:kern w:val="0"/>
        </w:rPr>
        <w:t xml:space="preserve">. </w:t>
      </w:r>
      <w:r w:rsidR="003538AC" w:rsidRPr="004834D3">
        <w:rPr>
          <w:rFonts w:cstheme="majorBidi"/>
          <w:kern w:val="0"/>
        </w:rPr>
        <w:t xml:space="preserve">However, </w:t>
      </w:r>
      <w:r w:rsidR="00AE0887">
        <w:rPr>
          <w:rFonts w:cstheme="majorBidi"/>
          <w:kern w:val="0"/>
        </w:rPr>
        <w:t>m</w:t>
      </w:r>
      <w:r w:rsidR="003538AC" w:rsidRPr="004834D3">
        <w:rPr>
          <w:rFonts w:cstheme="majorBidi"/>
          <w:kern w:val="0"/>
        </w:rPr>
        <w:t xml:space="preserve">aintaining a precise and accurate interface representation requires careful numerical treatment, especially to prevent issues like numerical diffusion, which can cause the interface to become diffused or blurred over time. Furthermore, the method can be computationally </w:t>
      </w:r>
      <w:r w:rsidR="003538AC" w:rsidRPr="004834D3">
        <w:rPr>
          <w:rFonts w:cstheme="majorBidi"/>
          <w:kern w:val="0"/>
        </w:rPr>
        <w:lastRenderedPageBreak/>
        <w:t>intensive, as it involves solving partial differential equations on a fixed grid with high resolution</w:t>
      </w:r>
      <w:r w:rsidR="00DB0048" w:rsidRPr="004834D3">
        <w:rPr>
          <w:rFonts w:cstheme="majorBidi"/>
          <w:kern w:val="0"/>
        </w:rPr>
        <w:t xml:space="preserve"> </w:t>
      </w:r>
      <w:r w:rsidR="00DB0048" w:rsidRPr="004834D3">
        <w:rPr>
          <w:rFonts w:cstheme="majorBidi"/>
          <w:kern w:val="0"/>
        </w:rPr>
        <w:fldChar w:fldCharType="begin" w:fldLock="1"/>
      </w:r>
      <w:r w:rsidR="00D83446">
        <w:rPr>
          <w:rFonts w:cstheme="majorBidi"/>
          <w:kern w:val="0"/>
        </w:rPr>
        <w:instrText>ADDIN CSL_CITATION {"citationItems":[{"id":"ITEM-1","itemData":{"DOI":"10.1115/1.1760520","ISSN":"0003-6900","abstract":"This book is an introduction to level set methods and dynamic implicit surfaces. These are powerful techniques for analyzing and computing moving fronts in a variety of different settings. While it gives many examples of the utility of the methods to a diverse set of applications, it also gives complete numerical analysis and recipes, which will enable users to quickly apply the techniques to real problems. The book begins with a description of implicit surfaces and their basic properties, then devises the level set geometry and calculus toolbox, including the construction of signed distance functions. Part II adds dynamics to this static calculus. Topics include the level set equation itself, Hamilton-Jacobi equations, motion of a surface normal to itself, re-initialization to a signed distance function, extrapolation in the normal direction, the particle level set method and the motion of co-dimension two (and higher) objects. Part III is concerned with topics taken from the fields of Image Processing and Computer Vision. These include the restoration of images degraded by noise and blur, image segmentation with active contours (snakes), and reconstruction of surfaces from unorganized data points. Part IV is dedicated to Computational Physics. It begins with one phase compressible fluid dynamics, then two-phase compressible flow involving possibly different equations of state, detonation and deflagration waves, and solid/fluid structure interaction. Next it discusses incompressible fluid dynamics, including a computer graphics simulation of smoke, free surface flows, including a computer graphics simulation of water, and fully two-phase incompressible flow. Additional related topics include incompressible flames with applications to computer graphics and coupling a compressible and incompressible fluid. Finally, heat flow and Stefan problems are discussed. A student or researcher working in mathematics, computer graphics, science, or engineering interested in any dynamic moving front, which might change its topology or develop singularities, will find this book interesting and useful.","author":[{"dropping-particle":"","family":"Osher,","given":"S","non-dropping-particle":"","parse-names":false,"suffix":""},{"dropping-particle":"","family":"Fedkiw,","given":"R","non-dropping-particle":"","parse-names":false,"suffix":""},{"dropping-particle":"","family":"Piechor,","given":"K","non-dropping-particle":"","parse-names":false,"suffix":""}],"container-title":"Applied Mechanics Reviews","id":"ITEM-1","issue":"3","issued":{"date-parts":[["2004"]]},"page":"B15-B15","title":"Level Set Methods and Dynamic Implicit Surfaces","type":"article-journal","volume":"57"},"uris":["http://www.mendeley.com/documents/?uuid=151cf8a1-80d3-4148-a093-b222d9299bd7"]}],"mendeley":{"formattedCitation":"[167]","plainTextFormattedCitation":"[167]","previouslyFormattedCitation":"[168]"},"properties":{"noteIndex":0},"schema":"https://github.com/citation-style-language/schema/raw/master/csl-citation.json"}</w:instrText>
      </w:r>
      <w:r w:rsidR="00DB0048" w:rsidRPr="004834D3">
        <w:rPr>
          <w:rFonts w:cstheme="majorBidi"/>
          <w:kern w:val="0"/>
        </w:rPr>
        <w:fldChar w:fldCharType="separate"/>
      </w:r>
      <w:r w:rsidR="00D83446" w:rsidRPr="00D83446">
        <w:rPr>
          <w:rFonts w:cstheme="majorBidi"/>
          <w:noProof/>
          <w:kern w:val="0"/>
        </w:rPr>
        <w:t>[167]</w:t>
      </w:r>
      <w:r w:rsidR="00DB0048" w:rsidRPr="004834D3">
        <w:rPr>
          <w:rFonts w:cstheme="majorBidi"/>
          <w:kern w:val="0"/>
        </w:rPr>
        <w:fldChar w:fldCharType="end"/>
      </w:r>
      <w:r w:rsidR="003538AC" w:rsidRPr="004834D3">
        <w:rPr>
          <w:rFonts w:cstheme="majorBidi"/>
          <w:kern w:val="0"/>
        </w:rPr>
        <w:t xml:space="preserve">. </w:t>
      </w:r>
    </w:p>
    <w:p w14:paraId="4762342C" w14:textId="6820CDDC" w:rsidR="008172A7" w:rsidRPr="004651FF" w:rsidRDefault="008172A7" w:rsidP="00700DBA">
      <w:pPr>
        <w:pStyle w:val="Heading3"/>
        <w:numPr>
          <w:ilvl w:val="2"/>
          <w:numId w:val="4"/>
        </w:numPr>
        <w:spacing w:before="360" w:after="0" w:line="480" w:lineRule="auto"/>
        <w:ind w:left="432" w:hanging="432"/>
        <w:rPr>
          <w:sz w:val="24"/>
          <w:szCs w:val="24"/>
        </w:rPr>
      </w:pPr>
      <w:bookmarkStart w:id="65" w:name="_Toc172367694"/>
      <w:r w:rsidRPr="004651FF">
        <w:rPr>
          <w:sz w:val="24"/>
          <w:szCs w:val="24"/>
        </w:rPr>
        <w:t xml:space="preserve">Arbitrary Lagrangian-Eulerian (ALE) </w:t>
      </w:r>
      <w:r w:rsidR="002D1344" w:rsidRPr="004651FF">
        <w:rPr>
          <w:sz w:val="24"/>
          <w:szCs w:val="24"/>
        </w:rPr>
        <w:t>M</w:t>
      </w:r>
      <w:r w:rsidRPr="004651FF">
        <w:rPr>
          <w:sz w:val="24"/>
          <w:szCs w:val="24"/>
        </w:rPr>
        <w:t>ethod</w:t>
      </w:r>
      <w:bookmarkEnd w:id="65"/>
    </w:p>
    <w:p w14:paraId="2A9E670D" w14:textId="7296FB87" w:rsidR="008172A7" w:rsidRDefault="00A845B8" w:rsidP="006E213C">
      <w:pPr>
        <w:spacing w:before="240" w:after="240" w:line="480" w:lineRule="auto"/>
        <w:jc w:val="both"/>
        <w:rPr>
          <w:rFonts w:cstheme="majorBidi"/>
          <w:kern w:val="0"/>
        </w:rPr>
      </w:pPr>
      <w:r w:rsidRPr="009333F4">
        <w:rPr>
          <w:rFonts w:cstheme="majorBidi"/>
          <w:color w:val="000000" w:themeColor="text1"/>
          <w:kern w:val="0"/>
        </w:rPr>
        <w:t xml:space="preserve">Due to limitations inherent in using either the Lagrangian </w:t>
      </w:r>
      <w:r w:rsidRPr="00A845B8">
        <w:rPr>
          <w:rFonts w:cstheme="majorBidi"/>
          <w:kern w:val="0"/>
        </w:rPr>
        <w:t>or Eulerian methods, the Arbitrary Lagrangian-Eulerian (ALE) method was developed, combining the strengths of both approaches. This method is particularly popular for handling fluid flows with moving boundaries and interfaces. The ALE technique dynamically adjusts the computational grid to track and adapt to changes in the fluid domain's shape, caused by the movement or deformation of interfaces. This adjustment is managed through a mesh update process that involves moving the grid nodes as needed and remeshing to preserve the quality of computational elements while minimizing the frequency of remeshing. A significant advantage of the ALE method is its ability to precisely impose boundary conditions, as the moving boundary aligns exactly with a control surface of the computational mesh. The ALE approach offers flexibility in how the computational nodes are moved—</w:t>
      </w:r>
      <w:r>
        <w:rPr>
          <w:rFonts w:cstheme="majorBidi"/>
          <w:kern w:val="0"/>
        </w:rPr>
        <w:t>similar to</w:t>
      </w:r>
      <w:r w:rsidRPr="00A845B8">
        <w:rPr>
          <w:rFonts w:cstheme="majorBidi"/>
          <w:kern w:val="0"/>
        </w:rPr>
        <w:t xml:space="preserve"> the Lagrangian method—or fixed, similar to the Eulerian grid. </w:t>
      </w:r>
      <w:r>
        <w:t xml:space="preserve">Additionally, nodes can move arbitrarily to continuously adjust the zoning, which is crucial for handling severe mesh deformations while preserving a consistent and effective mesh topology at the interface. The schematic of the mesh motion in Lagrangian, Eulerian, and ALE frameworks are shown in Fig. </w:t>
      </w:r>
      <w:r w:rsidR="004B4110">
        <w:t>5</w:t>
      </w:r>
      <w:r>
        <w:t>-1.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23C9F" w14:paraId="58FF1F49" w14:textId="77777777" w:rsidTr="00A845B8">
        <w:tc>
          <w:tcPr>
            <w:tcW w:w="9350" w:type="dxa"/>
          </w:tcPr>
          <w:p w14:paraId="4EA2DCD8" w14:textId="2FE3F91B" w:rsidR="00D23C9F" w:rsidRDefault="00D23C9F" w:rsidP="006E213C">
            <w:pPr>
              <w:spacing w:line="480" w:lineRule="auto"/>
              <w:jc w:val="center"/>
              <w:rPr>
                <w:rFonts w:cstheme="majorBidi"/>
                <w:kern w:val="0"/>
              </w:rPr>
            </w:pPr>
            <w:r w:rsidRPr="00D23C9F">
              <w:rPr>
                <w:rFonts w:cstheme="majorBidi"/>
                <w:noProof/>
                <w:kern w:val="0"/>
              </w:rPr>
              <w:lastRenderedPageBreak/>
              <w:drawing>
                <wp:inline distT="0" distB="0" distL="0" distR="0" wp14:anchorId="278C965D" wp14:editId="3416CD3E">
                  <wp:extent cx="2540000" cy="3564255"/>
                  <wp:effectExtent l="0" t="0" r="0" b="0"/>
                  <wp:docPr id="16558045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2540000" cy="3564255"/>
                          </a:xfrm>
                          <a:prstGeom prst="rect">
                            <a:avLst/>
                          </a:prstGeom>
                          <a:noFill/>
                          <a:ln>
                            <a:noFill/>
                          </a:ln>
                        </pic:spPr>
                      </pic:pic>
                    </a:graphicData>
                  </a:graphic>
                </wp:inline>
              </w:drawing>
            </w:r>
          </w:p>
        </w:tc>
      </w:tr>
      <w:tr w:rsidR="00D23C9F" w14:paraId="5979AB3A" w14:textId="77777777" w:rsidTr="00A845B8">
        <w:tc>
          <w:tcPr>
            <w:tcW w:w="9350" w:type="dxa"/>
          </w:tcPr>
          <w:p w14:paraId="4E602509" w14:textId="652B86F4" w:rsidR="00A845B8" w:rsidRPr="00A845B8" w:rsidRDefault="006B7737" w:rsidP="006E213C">
            <w:pPr>
              <w:pStyle w:val="Caption"/>
              <w:spacing w:before="0" w:after="0" w:line="480" w:lineRule="auto"/>
              <w:jc w:val="center"/>
            </w:pPr>
            <w:bookmarkStart w:id="66" w:name="_Toc172708820"/>
            <w:r w:rsidRPr="006B7737">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5</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1</w:t>
            </w:r>
            <w:r w:rsidR="00996526">
              <w:rPr>
                <w:b/>
                <w:bCs/>
              </w:rPr>
              <w:fldChar w:fldCharType="end"/>
            </w:r>
            <w:r>
              <w:t xml:space="preserve"> </w:t>
            </w:r>
            <w:r w:rsidR="00D23C9F">
              <w:t>Schematic</w:t>
            </w:r>
            <w:r w:rsidR="00D23C9F">
              <w:rPr>
                <w:spacing w:val="-2"/>
              </w:rPr>
              <w:t xml:space="preserve"> </w:t>
            </w:r>
            <w:r w:rsidR="00D23C9F">
              <w:t>of</w:t>
            </w:r>
            <w:r w:rsidR="00D23C9F">
              <w:rPr>
                <w:spacing w:val="-5"/>
              </w:rPr>
              <w:t xml:space="preserve"> </w:t>
            </w:r>
            <w:r w:rsidR="00D23C9F">
              <w:t>Lagrangian,</w:t>
            </w:r>
            <w:r w:rsidR="00D23C9F">
              <w:rPr>
                <w:spacing w:val="-3"/>
              </w:rPr>
              <w:t xml:space="preserve"> </w:t>
            </w:r>
            <w:r w:rsidR="00D23C9F">
              <w:t>Eulerian,</w:t>
            </w:r>
            <w:r w:rsidR="00D23C9F">
              <w:rPr>
                <w:spacing w:val="-2"/>
              </w:rPr>
              <w:t xml:space="preserve"> </w:t>
            </w:r>
            <w:r w:rsidR="00D23C9F">
              <w:t>and</w:t>
            </w:r>
            <w:r w:rsidR="00D23C9F">
              <w:rPr>
                <w:spacing w:val="-2"/>
              </w:rPr>
              <w:t xml:space="preserve"> </w:t>
            </w:r>
            <w:r w:rsidR="00D23C9F">
              <w:t>ALE</w:t>
            </w:r>
            <w:r w:rsidR="00D23C9F">
              <w:rPr>
                <w:spacing w:val="-3"/>
              </w:rPr>
              <w:t xml:space="preserve"> </w:t>
            </w:r>
            <w:r w:rsidR="00D23C9F">
              <w:t>mesh</w:t>
            </w:r>
            <w:r w:rsidR="00D23C9F">
              <w:rPr>
                <w:spacing w:val="-2"/>
              </w:rPr>
              <w:t xml:space="preserve"> </w:t>
            </w:r>
            <w:r w:rsidR="00D23C9F">
              <w:t xml:space="preserve">motion </w:t>
            </w:r>
            <w:r w:rsidR="00D23C9F">
              <w:fldChar w:fldCharType="begin" w:fldLock="1"/>
            </w:r>
            <w:r w:rsidR="00D83446">
              <w:instrText>ADDIN CSL_CITATION {"citationItems":[{"id":"ITEM-1","itemData":{"DOI":"10.1002/0470091355.ecm009","abstract":"Aim of the present chapter is to provide an in-depth survey of arbitrary Lagrangian-Eulerian (ALE) methods, including both conceptual aspects of the mixed kinematical description and numerical implementation details. Applications are discussed in °uid dynamics, nonlinear solid mechanics and coupled problems describing °uid-structure interaction. The need for an adequate mesh update strategy is underlined and various automatic mesh displacement prescription algorithms are reviewed. This includes mesh regularization methods essentially based on geometrical concepts, as well as mesh adaptation techniques aiming at optimizing the computational mesh according to some error indicator. Emphasis is then placed on particular issues related to the modeling of compressible and incompressible °ow and nonlinear solid mechanics problems. This includes the treatment of convective terms in the conservation equations for mass, momentum and energy, as well as a discussion of stress update procedures for materials with history-dependent constitutive behaviour.","author":[{"dropping-particle":"","family":"Donea","given":"Jean","non-dropping-particle":"","parse-names":false,"suffix":""},{"dropping-particle":"","family":"Huerta","given":"Antonio","non-dropping-particle":"","parse-names":false,"suffix":""},{"dropping-particle":"","family":"Ponthot","given":"J.‐Ph.","non-dropping-particle":"","parse-names":false,"suffix":""},{"dropping-particle":"","family":"Rodríguez‐Ferran","given":"A.","non-dropping-particle":"","parse-names":false,"suffix":""}],"chapter-number":"14","container-title":"Encyclopedia of Computational Mechanics","edition":"1st","id":"ITEM-1","issued":{"date-parts":[["2004"]]},"page":"413-437","publisher":"Wiley","title":"Arbitrary Lagrangian– Eulerian Methods","type":"chapter","volume":"1"},"uris":["http://www.mendeley.com/documents/?uuid=d53b6ba0-c01a-4b23-8bcb-d967c7c02eb0"]}],"mendeley":{"formattedCitation":"[168]","plainTextFormattedCitation":"[168]","previouslyFormattedCitation":"[169]"},"properties":{"noteIndex":0},"schema":"https://github.com/citation-style-language/schema/raw/master/csl-citation.json"}</w:instrText>
            </w:r>
            <w:r w:rsidR="00D23C9F">
              <w:fldChar w:fldCharType="separate"/>
            </w:r>
            <w:r w:rsidR="00D83446" w:rsidRPr="00D83446">
              <w:rPr>
                <w:noProof/>
              </w:rPr>
              <w:t>[168]</w:t>
            </w:r>
            <w:bookmarkEnd w:id="66"/>
            <w:r w:rsidR="00D23C9F">
              <w:fldChar w:fldCharType="end"/>
            </w:r>
          </w:p>
        </w:tc>
      </w:tr>
    </w:tbl>
    <w:p w14:paraId="46D3B148" w14:textId="5F0488A5" w:rsidR="00A845B8" w:rsidRPr="00A845B8" w:rsidRDefault="00A845B8" w:rsidP="006E213C">
      <w:pPr>
        <w:spacing w:before="360" w:after="240" w:line="480" w:lineRule="auto"/>
        <w:ind w:firstLine="720"/>
        <w:jc w:val="both"/>
        <w:rPr>
          <w:rFonts w:cstheme="majorBidi"/>
          <w:kern w:val="0"/>
        </w:rPr>
      </w:pPr>
      <w:r w:rsidRPr="00A845B8">
        <w:rPr>
          <w:rFonts w:cstheme="majorBidi"/>
          <w:kern w:val="0"/>
        </w:rPr>
        <w:t xml:space="preserve">In this study, the ALE method </w:t>
      </w:r>
      <w:r>
        <w:rPr>
          <w:rFonts w:cstheme="majorBidi"/>
          <w:kern w:val="0"/>
        </w:rPr>
        <w:t xml:space="preserve">is used </w:t>
      </w:r>
      <w:r w:rsidRPr="00A845B8">
        <w:rPr>
          <w:rFonts w:cstheme="majorBidi"/>
          <w:kern w:val="0"/>
        </w:rPr>
        <w:t>due to its superior capabilities and features that are not available in fixed-grid methods. The ALE method is implemented in ANSYS Fluent through the "Dynamic Mesh Model" feature, which is designed to handle simulations with moving boundaries where the shape of the computational domain changes over time due to the movement of these boundaries. The dynamic mesh model utilizes three primary techniques: smoothing, layering, and remeshing</w:t>
      </w:r>
      <w:r>
        <w:rPr>
          <w:rFonts w:cstheme="majorBidi"/>
          <w:kern w:val="0"/>
        </w:rPr>
        <w:t xml:space="preserve"> </w:t>
      </w:r>
      <w:r>
        <w:rPr>
          <w:rFonts w:cstheme="majorBidi"/>
          <w:kern w:val="0"/>
        </w:rPr>
        <w:fldChar w:fldCharType="begin" w:fldLock="1"/>
      </w:r>
      <w:r w:rsidR="00D83446">
        <w:rPr>
          <w:rFonts w:cstheme="majorBidi"/>
          <w:kern w:val="0"/>
        </w:rPr>
        <w:instrText>ADDIN CSL_CITATION {"citationItems":[{"id":"ITEM-1","itemData":{"abstract":"Моя статья об ANSYS FLUENT и рассчёте с помощью него плёночного охлаждения","container-title":"ANSYS Inc., USA","id":"ITEM-1","issue":"November","issued":{"date-parts":[["2013"]]},"page":"814","publisher":"Ansys Inc.","title":"ANSYS Fluent Theory Guide","type":"article-journal","volume":"15317"},"uris":["http://www.mendeley.com/documents/?uuid=f79be050-36e8-45d1-9725-3bb4ce56906c"]}],"mendeley":{"formattedCitation":"[169]","plainTextFormattedCitation":"[169]","previouslyFormattedCitation":"[170]"},"properties":{"noteIndex":0},"schema":"https://github.com/citation-style-language/schema/raw/master/csl-citation.json"}</w:instrText>
      </w:r>
      <w:r>
        <w:rPr>
          <w:rFonts w:cstheme="majorBidi"/>
          <w:kern w:val="0"/>
        </w:rPr>
        <w:fldChar w:fldCharType="separate"/>
      </w:r>
      <w:r w:rsidR="00D83446" w:rsidRPr="00D83446">
        <w:rPr>
          <w:rFonts w:cstheme="majorBidi"/>
          <w:noProof/>
          <w:kern w:val="0"/>
        </w:rPr>
        <w:t>[169]</w:t>
      </w:r>
      <w:r>
        <w:rPr>
          <w:rFonts w:cstheme="majorBidi"/>
          <w:kern w:val="0"/>
        </w:rPr>
        <w:fldChar w:fldCharType="end"/>
      </w:r>
      <w:r w:rsidRPr="00A845B8">
        <w:rPr>
          <w:rFonts w:cstheme="majorBidi"/>
          <w:kern w:val="0"/>
        </w:rPr>
        <w:t>. These techniques can be combined to address complex moving mesh challenges, accommodating both rigid and deformable boundary motions. Mesh update methods are used to adjust the computational nodes at each time step according to the new boundary positions, making the mesh solutions inherently transient. To facilitate this process, several user-defined functions (UDFs) have been developed in this work to accurately describe the motion of the moving zones.</w:t>
      </w:r>
    </w:p>
    <w:p w14:paraId="51D711C8" w14:textId="30FAAF6C" w:rsidR="00A845B8" w:rsidRPr="006E213C" w:rsidRDefault="00F12E43" w:rsidP="00700DBA">
      <w:pPr>
        <w:pStyle w:val="Heading2"/>
        <w:numPr>
          <w:ilvl w:val="1"/>
          <w:numId w:val="4"/>
        </w:numPr>
        <w:spacing w:before="0" w:after="0" w:line="480" w:lineRule="auto"/>
        <w:ind w:left="432" w:hanging="432"/>
        <w:rPr>
          <w:sz w:val="24"/>
          <w:szCs w:val="24"/>
        </w:rPr>
      </w:pPr>
      <w:bookmarkStart w:id="67" w:name="_Toc172367695"/>
      <w:r w:rsidRPr="006E213C">
        <w:rPr>
          <w:sz w:val="24"/>
          <w:szCs w:val="24"/>
        </w:rPr>
        <w:lastRenderedPageBreak/>
        <w:t xml:space="preserve">Problem </w:t>
      </w:r>
      <w:r w:rsidR="00C74FFD" w:rsidRPr="006E213C">
        <w:rPr>
          <w:sz w:val="24"/>
          <w:szCs w:val="24"/>
        </w:rPr>
        <w:t>D</w:t>
      </w:r>
      <w:r w:rsidRPr="006E213C">
        <w:rPr>
          <w:sz w:val="24"/>
          <w:szCs w:val="24"/>
        </w:rPr>
        <w:t>escription</w:t>
      </w:r>
      <w:bookmarkEnd w:id="67"/>
    </w:p>
    <w:p w14:paraId="0AE7EC59" w14:textId="4A2D3CA9" w:rsidR="000B1B64" w:rsidRPr="00103624" w:rsidRDefault="00F12E43" w:rsidP="000B1B64">
      <w:pPr>
        <w:spacing w:before="240" w:after="240" w:line="480" w:lineRule="auto"/>
        <w:jc w:val="both"/>
        <w:rPr>
          <w:rFonts w:eastAsiaTheme="minorEastAsia" w:cstheme="majorBidi"/>
        </w:rPr>
      </w:pPr>
      <w:r w:rsidRPr="004834D3">
        <w:rPr>
          <w:rFonts w:eastAsiaTheme="minorEastAsia" w:cstheme="majorBidi"/>
        </w:rPr>
        <w:t xml:space="preserve">The two-dimensional domain utilized to investigate the migration of a neutrally buoyant melting particle in pressure-driven flow is depicted in Fig. </w:t>
      </w:r>
      <w:r w:rsidR="004B4110">
        <w:rPr>
          <w:rFonts w:eastAsiaTheme="minorEastAsia" w:cstheme="majorBidi"/>
        </w:rPr>
        <w:t>5</w:t>
      </w:r>
      <w:r w:rsidR="00200903">
        <w:rPr>
          <w:rFonts w:eastAsiaTheme="minorEastAsia" w:cstheme="majorBidi"/>
        </w:rPr>
        <w:t>-2</w:t>
      </w:r>
      <w:r w:rsidRPr="004834D3">
        <w:rPr>
          <w:rFonts w:eastAsiaTheme="minorEastAsia" w:cstheme="majorBidi"/>
        </w:rPr>
        <w:t xml:space="preserve">. This domain features a single cylindrical particle with an initial diameter </w:t>
      </w:r>
      <m:oMath>
        <m:r>
          <w:rPr>
            <w:rFonts w:ascii="Cambria Math" w:eastAsiaTheme="minorEastAsia" w:hAnsi="Cambria Math" w:cstheme="majorBidi"/>
          </w:rPr>
          <m:t>D</m:t>
        </m:r>
      </m:oMath>
      <w:r w:rsidRPr="004834D3">
        <w:rPr>
          <w:rFonts w:eastAsiaTheme="minorEastAsia" w:cstheme="majorBidi"/>
        </w:rPr>
        <w:t xml:space="preserve">, positioned between two infinitely wide horizontal parallel plates. The channel has a wall spacing of </w:t>
      </w:r>
      <m:oMath>
        <m:r>
          <w:rPr>
            <w:rFonts w:ascii="Cambria Math" w:eastAsiaTheme="minorEastAsia" w:hAnsi="Cambria Math" w:cstheme="majorBidi"/>
          </w:rPr>
          <m:t>W=4D</m:t>
        </m:r>
      </m:oMath>
      <w:r w:rsidRPr="004834D3">
        <w:rPr>
          <w:rFonts w:eastAsiaTheme="minorEastAsia" w:cstheme="majorBidi"/>
        </w:rPr>
        <w:t xml:space="preserve"> in the y-direction and a length of </w:t>
      </w:r>
      <m:oMath>
        <m:r>
          <w:rPr>
            <w:rFonts w:ascii="Cambria Math" w:eastAsiaTheme="minorEastAsia" w:hAnsi="Cambria Math" w:cstheme="majorBidi"/>
          </w:rPr>
          <m:t>L= 20D</m:t>
        </m:r>
      </m:oMath>
      <w:r w:rsidRPr="004834D3">
        <w:rPr>
          <w:rFonts w:eastAsiaTheme="minorEastAsia" w:cstheme="majorBidi"/>
        </w:rPr>
        <w:t xml:space="preserve"> in the x-direction. The center of mass of the particle is fixed at the horizontal center of the computational domain along the x-axis, while various values are considered for the initial lateral location of the center of mass, </w:t>
      </w:r>
      <m:oMath>
        <m:sSub>
          <m:sSubPr>
            <m:ctrlPr>
              <w:rPr>
                <w:rFonts w:ascii="Cambria Math" w:eastAsiaTheme="minorEastAsia" w:hAnsi="Cambria Math" w:cstheme="majorBidi"/>
                <w:i/>
              </w:rPr>
            </m:ctrlPr>
          </m:sSubPr>
          <m:e>
            <m:r>
              <w:rPr>
                <w:rFonts w:ascii="Cambria Math" w:eastAsiaTheme="minorEastAsia" w:hAnsi="Cambria Math" w:cstheme="majorBidi"/>
              </w:rPr>
              <m:t>y</m:t>
            </m:r>
          </m:e>
          <m:sub>
            <m:r>
              <w:rPr>
                <w:rFonts w:ascii="Cambria Math" w:eastAsiaTheme="minorEastAsia" w:hAnsi="Cambria Math" w:cstheme="majorBidi"/>
              </w:rPr>
              <m:t>0</m:t>
            </m:r>
          </m:sub>
        </m:sSub>
      </m:oMath>
      <w:r w:rsidRPr="004834D3">
        <w:rPr>
          <w:rFonts w:eastAsiaTheme="minorEastAsia" w:cstheme="majorBidi"/>
        </w:rPr>
        <w:t>. A periodic boundary condition is applied at both the inlet and outlet of the channel, with a constant pressure gradient (</w:t>
      </w:r>
      <m:oMath>
        <m:r>
          <m:rPr>
            <m:sty m:val="p"/>
          </m:rPr>
          <w:rPr>
            <w:rFonts w:ascii="Cambria Math" w:eastAsiaTheme="minorEastAsia" w:hAnsi="Cambria Math" w:cstheme="majorBidi"/>
          </w:rPr>
          <m:t>∂</m:t>
        </m:r>
        <m:r>
          <w:rPr>
            <w:rFonts w:ascii="Cambria Math" w:eastAsiaTheme="minorEastAsia" w:hAnsi="Cambria Math" w:cstheme="majorBidi"/>
          </w:rPr>
          <m:t>p/∂x=</m:t>
        </m:r>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i</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o</m:t>
            </m:r>
          </m:sub>
        </m:sSub>
        <m:r>
          <w:rPr>
            <w:rFonts w:ascii="Cambria Math" w:eastAsiaTheme="minorEastAsia" w:hAnsi="Cambria Math" w:cstheme="majorBidi"/>
          </w:rPr>
          <m:t>)/L</m:t>
        </m:r>
      </m:oMath>
      <w:r w:rsidRPr="004834D3">
        <w:rPr>
          <w:rFonts w:eastAsiaTheme="minorEastAsia" w:cstheme="majorBidi"/>
        </w:rPr>
        <w:t xml:space="preserve">) in the x-direction, where </w:t>
      </w:r>
      <m:oMath>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i</m:t>
            </m:r>
          </m:sub>
        </m:sSub>
      </m:oMath>
      <w:r w:rsidRPr="004834D3">
        <w:rPr>
          <w:rFonts w:eastAsiaTheme="minorEastAsia" w:cstheme="majorBidi"/>
        </w:rPr>
        <w:t xml:space="preserve"> is the inlet pressure and </w:t>
      </w:r>
      <m:oMath>
        <m:sSub>
          <m:sSubPr>
            <m:ctrlPr>
              <w:rPr>
                <w:rFonts w:ascii="Cambria Math" w:eastAsiaTheme="minorEastAsia" w:hAnsi="Cambria Math" w:cstheme="majorBidi"/>
                <w:i/>
              </w:rPr>
            </m:ctrlPr>
          </m:sSubPr>
          <m:e>
            <m:r>
              <w:rPr>
                <w:rFonts w:ascii="Cambria Math" w:eastAsiaTheme="minorEastAsia" w:hAnsi="Cambria Math" w:cstheme="majorBidi"/>
              </w:rPr>
              <m:t>p</m:t>
            </m:r>
          </m:e>
          <m:sub>
            <m:r>
              <w:rPr>
                <w:rFonts w:ascii="Cambria Math" w:eastAsiaTheme="minorEastAsia" w:hAnsi="Cambria Math" w:cstheme="majorBidi"/>
              </w:rPr>
              <m:t>o</m:t>
            </m:r>
          </m:sub>
        </m:sSub>
      </m:oMath>
      <w:r w:rsidRPr="004834D3">
        <w:rPr>
          <w:rFonts w:eastAsiaTheme="minorEastAsia" w:cstheme="majorBidi"/>
        </w:rPr>
        <w:t xml:space="preserve"> is the outlet </w:t>
      </w:r>
      <w:r w:rsidRPr="00103624">
        <w:rPr>
          <w:rFonts w:eastAsiaTheme="minorEastAsia" w:cstheme="majorBidi"/>
        </w:rPr>
        <w:t xml:space="preserve">pressure. </w:t>
      </w:r>
      <w:r w:rsidR="00DB5173" w:rsidRPr="00103624">
        <w:rPr>
          <w:rFonts w:eastAsiaTheme="minorEastAsia" w:cstheme="majorBidi"/>
        </w:rPr>
        <w:t xml:space="preserve">The pressure gradient was maintained below a certain value to ensure the laminar flow within the channel. </w:t>
      </w:r>
      <w:r w:rsidR="00DB5173" w:rsidRPr="00103624">
        <w:t>The condition corresponding to the laminar flow will be detailed in the following sections</w:t>
      </w:r>
      <w:r w:rsidR="00DB5173" w:rsidRPr="00103624">
        <w:rPr>
          <w:rFonts w:eastAsiaTheme="minorEastAsia" w:cstheme="majorBidi"/>
        </w:rPr>
        <w:t xml:space="preserve">. </w:t>
      </w:r>
      <w:r w:rsidR="00CC3602" w:rsidRPr="00103624">
        <w:rPr>
          <w:rFonts w:eastAsiaTheme="minorEastAsia" w:cstheme="majorBidi"/>
        </w:rPr>
        <w:t xml:space="preserve">The mathematical formulation of the periodic </w:t>
      </w:r>
      <w:r w:rsidR="003925CC" w:rsidRPr="00103624">
        <w:rPr>
          <w:rFonts w:eastAsiaTheme="minorEastAsia" w:cstheme="majorBidi"/>
        </w:rPr>
        <w:t xml:space="preserve">boundary </w:t>
      </w:r>
      <w:r w:rsidR="00CC3602" w:rsidRPr="00103624">
        <w:rPr>
          <w:rFonts w:eastAsiaTheme="minorEastAsia" w:cstheme="majorBidi"/>
        </w:rPr>
        <w:t>condition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C3602" w:rsidRPr="00103624" w14:paraId="2C1AF809" w14:textId="77777777" w:rsidTr="000B1B64">
        <w:tc>
          <w:tcPr>
            <w:tcW w:w="4675" w:type="dxa"/>
          </w:tcPr>
          <w:p w14:paraId="102ECC3E" w14:textId="509B352F" w:rsidR="00CC3602" w:rsidRPr="00103624" w:rsidRDefault="00000000" w:rsidP="00DB5173">
            <w:pPr>
              <w:spacing w:before="240" w:after="240" w:line="480" w:lineRule="auto"/>
              <w:jc w:val="both"/>
              <w:rPr>
                <w:rFonts w:eastAsiaTheme="minorEastAsia" w:cstheme="majorBidi"/>
              </w:rPr>
            </w:pPr>
            <m:oMathPara>
              <m:oMathParaPr>
                <m:jc m:val="left"/>
              </m:oMathParaPr>
              <m:oMath>
                <m:sSub>
                  <m:sSubPr>
                    <m:ctrlPr>
                      <w:rPr>
                        <w:rFonts w:ascii="Cambria Math" w:eastAsiaTheme="minorEastAsia" w:hAnsi="Cambria Math" w:cstheme="majorBidi"/>
                        <w:i/>
                      </w:rPr>
                    </m:ctrlPr>
                  </m:sSubPr>
                  <m:e>
                    <m:d>
                      <m:dPr>
                        <m:begChr m:val=""/>
                        <m:endChr m:val="|"/>
                        <m:ctrlPr>
                          <w:rPr>
                            <w:rFonts w:ascii="Cambria Math" w:eastAsiaTheme="minorEastAsia" w:hAnsi="Cambria Math" w:cstheme="majorBidi"/>
                            <w:i/>
                          </w:rPr>
                        </m:ctrlPr>
                      </m:dPr>
                      <m:e>
                        <m:r>
                          <m:rPr>
                            <m:sty m:val="b"/>
                          </m:rPr>
                          <w:rPr>
                            <w:rFonts w:ascii="Cambria Math" w:eastAsiaTheme="minorEastAsia" w:hAnsi="Cambria Math" w:cstheme="majorBidi"/>
                          </w:rPr>
                          <m:t>V</m:t>
                        </m:r>
                      </m:e>
                    </m:d>
                  </m:e>
                  <m:sub>
                    <m:r>
                      <w:rPr>
                        <w:rFonts w:ascii="Cambria Math" w:eastAsiaTheme="minorEastAsia" w:hAnsi="Cambria Math" w:cstheme="majorBidi"/>
                      </w:rPr>
                      <m:t>x=0</m:t>
                    </m:r>
                  </m:sub>
                </m:sSub>
                <m:r>
                  <w:rPr>
                    <w:rFonts w:ascii="Cambria Math" w:eastAsiaTheme="minorEastAsia" w:hAnsi="Cambria Math" w:cstheme="majorBidi"/>
                  </w:rPr>
                  <m:t>=</m:t>
                </m:r>
                <m:sSub>
                  <m:sSubPr>
                    <m:ctrlPr>
                      <w:rPr>
                        <w:rFonts w:ascii="Cambria Math" w:eastAsiaTheme="minorEastAsia" w:hAnsi="Cambria Math" w:cstheme="majorBidi"/>
                        <w:i/>
                      </w:rPr>
                    </m:ctrlPr>
                  </m:sSubPr>
                  <m:e>
                    <m:d>
                      <m:dPr>
                        <m:begChr m:val=""/>
                        <m:endChr m:val="|"/>
                        <m:ctrlPr>
                          <w:rPr>
                            <w:rFonts w:ascii="Cambria Math" w:eastAsiaTheme="minorEastAsia" w:hAnsi="Cambria Math" w:cstheme="majorBidi"/>
                            <w:i/>
                          </w:rPr>
                        </m:ctrlPr>
                      </m:dPr>
                      <m:e>
                        <m:r>
                          <m:rPr>
                            <m:sty m:val="b"/>
                          </m:rPr>
                          <w:rPr>
                            <w:rFonts w:ascii="Cambria Math" w:eastAsiaTheme="minorEastAsia" w:hAnsi="Cambria Math" w:cstheme="majorBidi"/>
                          </w:rPr>
                          <m:t>V</m:t>
                        </m:r>
                      </m:e>
                    </m:d>
                  </m:e>
                  <m:sub>
                    <m:r>
                      <w:rPr>
                        <w:rFonts w:ascii="Cambria Math" w:eastAsiaTheme="minorEastAsia" w:hAnsi="Cambria Math" w:cstheme="majorBidi"/>
                      </w:rPr>
                      <m:t>x=L</m:t>
                    </m:r>
                  </m:sub>
                </m:sSub>
              </m:oMath>
            </m:oMathPara>
          </w:p>
        </w:tc>
        <w:tc>
          <w:tcPr>
            <w:tcW w:w="4675" w:type="dxa"/>
          </w:tcPr>
          <w:p w14:paraId="6E5E20BD" w14:textId="70EFC980" w:rsidR="00CC3602" w:rsidRPr="00103624" w:rsidRDefault="000B1B64" w:rsidP="003925CC">
            <w:pPr>
              <w:spacing w:before="240" w:after="240" w:line="480" w:lineRule="auto"/>
              <w:jc w:val="right"/>
              <w:rPr>
                <w:rFonts w:eastAsiaTheme="minorEastAsia" w:cstheme="majorBidi"/>
              </w:rPr>
            </w:pPr>
            <w:r w:rsidRPr="00103624">
              <w:fldChar w:fldCharType="begin"/>
            </w:r>
            <w:r w:rsidRPr="00103624">
              <w:instrText xml:space="preserve"> STYLEREF 1 \s </w:instrText>
            </w:r>
            <w:r w:rsidRPr="00103624">
              <w:fldChar w:fldCharType="separate"/>
            </w:r>
            <w:r w:rsidR="00732AAC">
              <w:rPr>
                <w:noProof/>
                <w:cs/>
              </w:rPr>
              <w:t>‎</w:t>
            </w:r>
            <w:r w:rsidR="00732AAC">
              <w:rPr>
                <w:noProof/>
              </w:rPr>
              <w:t>5</w:t>
            </w:r>
            <w:r w:rsidRPr="00103624">
              <w:fldChar w:fldCharType="end"/>
            </w:r>
            <w:r w:rsidRPr="00103624">
              <w:noBreakHyphen/>
            </w:r>
            <w:r w:rsidRPr="00103624">
              <w:fldChar w:fldCharType="begin"/>
            </w:r>
            <w:r w:rsidRPr="00103624">
              <w:instrText xml:space="preserve"> SEQ Equation \* ARABIC \s 1 </w:instrText>
            </w:r>
            <w:r w:rsidRPr="00103624">
              <w:fldChar w:fldCharType="separate"/>
            </w:r>
            <w:r w:rsidR="00732AAC">
              <w:rPr>
                <w:noProof/>
              </w:rPr>
              <w:t>1</w:t>
            </w:r>
            <w:r w:rsidRPr="00103624">
              <w:rPr>
                <w:noProof/>
              </w:rPr>
              <w:fldChar w:fldCharType="end"/>
            </w:r>
          </w:p>
        </w:tc>
      </w:tr>
      <w:tr w:rsidR="000B1B64" w:rsidRPr="00103624" w14:paraId="559DFD67" w14:textId="77777777" w:rsidTr="000B1B64">
        <w:tc>
          <w:tcPr>
            <w:tcW w:w="4675" w:type="dxa"/>
          </w:tcPr>
          <w:p w14:paraId="4BB56EF6" w14:textId="40AB50C5" w:rsidR="000B1B64" w:rsidRPr="00103624" w:rsidRDefault="00000000" w:rsidP="00DB5173">
            <w:pPr>
              <w:spacing w:before="240" w:after="240" w:line="480" w:lineRule="auto"/>
              <w:jc w:val="both"/>
              <w:rPr>
                <w:rFonts w:ascii="Times New Roman" w:eastAsia="Times New Roman" w:hAnsi="Times New Roman" w:cs="Times New Roman"/>
              </w:rPr>
            </w:pPr>
            <m:oMathPara>
              <m:oMathParaPr>
                <m:jc m:val="left"/>
              </m:oMathParaPr>
              <m:oMath>
                <m:sSub>
                  <m:sSubPr>
                    <m:ctrlPr>
                      <w:rPr>
                        <w:rFonts w:ascii="Cambria Math" w:eastAsiaTheme="minorEastAsia" w:hAnsi="Cambria Math" w:cstheme="majorBidi"/>
                        <w:i/>
                      </w:rPr>
                    </m:ctrlPr>
                  </m:sSubPr>
                  <m:e>
                    <m:d>
                      <m:dPr>
                        <m:begChr m:val=""/>
                        <m:endChr m:val="|"/>
                        <m:ctrlPr>
                          <w:rPr>
                            <w:rFonts w:ascii="Cambria Math" w:eastAsiaTheme="minorEastAsia" w:hAnsi="Cambria Math" w:cstheme="majorBidi"/>
                            <w:i/>
                          </w:rPr>
                        </m:ctrlPr>
                      </m:dPr>
                      <m:e>
                        <m:r>
                          <w:rPr>
                            <w:rFonts w:ascii="Cambria Math" w:eastAsiaTheme="minorEastAsia" w:hAnsi="Cambria Math" w:cstheme="majorBidi"/>
                          </w:rPr>
                          <m:t>T</m:t>
                        </m:r>
                      </m:e>
                    </m:d>
                  </m:e>
                  <m:sub>
                    <m:r>
                      <w:rPr>
                        <w:rFonts w:ascii="Cambria Math" w:eastAsiaTheme="minorEastAsia" w:hAnsi="Cambria Math" w:cstheme="majorBidi"/>
                      </w:rPr>
                      <m:t>x=0</m:t>
                    </m:r>
                  </m:sub>
                </m:sSub>
                <m:r>
                  <w:rPr>
                    <w:rFonts w:ascii="Cambria Math" w:eastAsiaTheme="minorEastAsia" w:hAnsi="Cambria Math" w:cstheme="majorBidi"/>
                  </w:rPr>
                  <m:t>=</m:t>
                </m:r>
                <m:sSub>
                  <m:sSubPr>
                    <m:ctrlPr>
                      <w:rPr>
                        <w:rFonts w:ascii="Cambria Math" w:eastAsiaTheme="minorEastAsia" w:hAnsi="Cambria Math" w:cstheme="majorBidi"/>
                        <w:i/>
                      </w:rPr>
                    </m:ctrlPr>
                  </m:sSubPr>
                  <m:e>
                    <m:d>
                      <m:dPr>
                        <m:begChr m:val=""/>
                        <m:endChr m:val="|"/>
                        <m:ctrlPr>
                          <w:rPr>
                            <w:rFonts w:ascii="Cambria Math" w:eastAsiaTheme="minorEastAsia" w:hAnsi="Cambria Math" w:cstheme="majorBidi"/>
                            <w:i/>
                          </w:rPr>
                        </m:ctrlPr>
                      </m:dPr>
                      <m:e>
                        <m:r>
                          <w:rPr>
                            <w:rFonts w:ascii="Cambria Math" w:eastAsiaTheme="minorEastAsia" w:hAnsi="Cambria Math" w:cstheme="majorBidi"/>
                          </w:rPr>
                          <m:t>T</m:t>
                        </m:r>
                      </m:e>
                    </m:d>
                  </m:e>
                  <m:sub>
                    <m:r>
                      <w:rPr>
                        <w:rFonts w:ascii="Cambria Math" w:eastAsiaTheme="minorEastAsia" w:hAnsi="Cambria Math" w:cstheme="majorBidi"/>
                      </w:rPr>
                      <m:t>x=L</m:t>
                    </m:r>
                  </m:sub>
                </m:sSub>
              </m:oMath>
            </m:oMathPara>
          </w:p>
        </w:tc>
        <w:tc>
          <w:tcPr>
            <w:tcW w:w="4675" w:type="dxa"/>
          </w:tcPr>
          <w:p w14:paraId="0A6EBEE5" w14:textId="1ADD034A" w:rsidR="000B1B64" w:rsidRPr="00103624" w:rsidRDefault="000B1B64" w:rsidP="003925CC">
            <w:pPr>
              <w:spacing w:before="240" w:after="240" w:line="480" w:lineRule="auto"/>
              <w:jc w:val="right"/>
            </w:pPr>
            <w:r w:rsidRPr="00103624">
              <w:fldChar w:fldCharType="begin"/>
            </w:r>
            <w:r w:rsidRPr="00103624">
              <w:instrText xml:space="preserve"> STYLEREF 1 \s </w:instrText>
            </w:r>
            <w:r w:rsidRPr="00103624">
              <w:fldChar w:fldCharType="separate"/>
            </w:r>
            <w:r w:rsidR="00732AAC">
              <w:rPr>
                <w:noProof/>
                <w:cs/>
              </w:rPr>
              <w:t>‎</w:t>
            </w:r>
            <w:r w:rsidR="00732AAC">
              <w:rPr>
                <w:noProof/>
              </w:rPr>
              <w:t>5</w:t>
            </w:r>
            <w:r w:rsidRPr="00103624">
              <w:fldChar w:fldCharType="end"/>
            </w:r>
            <w:r w:rsidRPr="00103624">
              <w:noBreakHyphen/>
            </w:r>
            <w:r w:rsidRPr="00103624">
              <w:fldChar w:fldCharType="begin"/>
            </w:r>
            <w:r w:rsidRPr="00103624">
              <w:instrText xml:space="preserve"> SEQ Equation \* ARABIC \s 1 </w:instrText>
            </w:r>
            <w:r w:rsidRPr="00103624">
              <w:fldChar w:fldCharType="separate"/>
            </w:r>
            <w:r w:rsidR="00732AAC">
              <w:rPr>
                <w:noProof/>
              </w:rPr>
              <w:t>2</w:t>
            </w:r>
            <w:r w:rsidRPr="00103624">
              <w:rPr>
                <w:noProof/>
              </w:rPr>
              <w:fldChar w:fldCharType="end"/>
            </w:r>
          </w:p>
        </w:tc>
      </w:tr>
    </w:tbl>
    <w:p w14:paraId="40C21A01" w14:textId="7685EC02" w:rsidR="00CC3602" w:rsidRPr="004834D3" w:rsidRDefault="008154C6" w:rsidP="00062817">
      <w:pPr>
        <w:spacing w:before="240" w:after="240" w:line="480" w:lineRule="auto"/>
        <w:jc w:val="both"/>
        <w:rPr>
          <w:rFonts w:eastAsiaTheme="minorEastAsia" w:cstheme="majorBidi"/>
        </w:rPr>
      </w:pPr>
      <w:r w:rsidRPr="00103624">
        <w:rPr>
          <w:rFonts w:eastAsiaTheme="minorEastAsia" w:cstheme="majorBidi"/>
        </w:rPr>
        <w:t xml:space="preserve">where </w:t>
      </w:r>
      <m:oMath>
        <m:r>
          <m:rPr>
            <m:sty m:val="b"/>
          </m:rPr>
          <w:rPr>
            <w:rFonts w:ascii="Cambria Math" w:eastAsiaTheme="minorEastAsia" w:hAnsi="Cambria Math" w:cstheme="majorBidi"/>
          </w:rPr>
          <m:t>V</m:t>
        </m:r>
      </m:oMath>
      <w:r w:rsidRPr="00103624">
        <w:rPr>
          <w:rFonts w:eastAsiaTheme="minorEastAsia" w:cstheme="majorBidi"/>
        </w:rPr>
        <w:t xml:space="preserve"> is the velocity vector, </w:t>
      </w:r>
      <m:oMath>
        <m:r>
          <w:rPr>
            <w:rFonts w:ascii="Cambria Math" w:eastAsiaTheme="minorEastAsia" w:hAnsi="Cambria Math" w:cstheme="majorBidi"/>
          </w:rPr>
          <m:t>x=0</m:t>
        </m:r>
      </m:oMath>
      <w:r w:rsidRPr="00103624">
        <w:rPr>
          <w:rFonts w:eastAsiaTheme="minorEastAsia" w:cstheme="majorBidi"/>
        </w:rPr>
        <w:t xml:space="preserve"> </w:t>
      </w:r>
      <w:r w:rsidR="00062817" w:rsidRPr="00103624">
        <w:rPr>
          <w:rFonts w:eastAsiaTheme="minorEastAsia" w:cstheme="majorBidi"/>
        </w:rPr>
        <w:t>denotes</w:t>
      </w:r>
      <w:r w:rsidRPr="00103624">
        <w:rPr>
          <w:rFonts w:eastAsiaTheme="minorEastAsia" w:cstheme="majorBidi"/>
        </w:rPr>
        <w:t xml:space="preserve"> the channel inlet </w:t>
      </w:r>
      <w:r w:rsidR="00062817" w:rsidRPr="00103624">
        <w:rPr>
          <w:rFonts w:eastAsiaTheme="minorEastAsia" w:cstheme="majorBidi"/>
        </w:rPr>
        <w:t xml:space="preserve">and </w:t>
      </w:r>
      <m:oMath>
        <m:r>
          <w:rPr>
            <w:rFonts w:ascii="Cambria Math" w:eastAsiaTheme="minorEastAsia" w:hAnsi="Cambria Math" w:cstheme="majorBidi"/>
          </w:rPr>
          <m:t>x=L</m:t>
        </m:r>
      </m:oMath>
      <w:r w:rsidR="00062817" w:rsidRPr="00103624">
        <w:rPr>
          <w:rFonts w:eastAsiaTheme="minorEastAsia" w:cstheme="majorBidi"/>
        </w:rPr>
        <w:t xml:space="preserve"> denotes the channel, and </w:t>
      </w:r>
      <m:oMath>
        <m:r>
          <w:rPr>
            <w:rFonts w:ascii="Cambria Math" w:eastAsiaTheme="minorEastAsia" w:hAnsi="Cambria Math" w:cstheme="majorBidi"/>
          </w:rPr>
          <m:t>T</m:t>
        </m:r>
      </m:oMath>
      <w:r w:rsidR="00062817" w:rsidRPr="00103624">
        <w:rPr>
          <w:rFonts w:eastAsiaTheme="minorEastAsia" w:cstheme="majorBidi"/>
        </w:rPr>
        <w:t xml:space="preserve"> is the fluid temperature. </w:t>
      </w:r>
      <w:r w:rsidR="00F12E43" w:rsidRPr="00103624">
        <w:rPr>
          <w:rFonts w:eastAsiaTheme="minorEastAsia" w:cstheme="majorBidi"/>
        </w:rPr>
        <w:t>The particle's surfa</w:t>
      </w:r>
      <w:r w:rsidR="00F12E43" w:rsidRPr="004834D3">
        <w:rPr>
          <w:rFonts w:eastAsiaTheme="minorEastAsia" w:cstheme="majorBidi"/>
        </w:rPr>
        <w:t xml:space="preserve">ce is maintained at a constant melting temperature,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oMath>
      <w:r w:rsidR="00F12E43" w:rsidRPr="004834D3">
        <w:rPr>
          <w:rFonts w:eastAsiaTheme="minorEastAsia" w:cstheme="majorBidi"/>
        </w:rPr>
        <w:t xml:space="preserve">, while the walls are kept at constant temperatures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m:t>
            </m:r>
          </m:sub>
        </m:sSub>
      </m:oMath>
      <w:r w:rsidR="00F12E43" w:rsidRPr="004834D3">
        <w:rPr>
          <w:rFonts w:eastAsiaTheme="minorEastAsia" w:cstheme="majorBidi"/>
        </w:rPr>
        <w:t xml:space="preserve">, which are higher than </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oMath>
      <w:r w:rsidR="00F12E43" w:rsidRPr="004834D3">
        <w:rPr>
          <w:rFonts w:eastAsiaTheme="minorEastAsia" w:cstheme="majorBidi"/>
        </w:rPr>
        <w:t>. No-slip boundary conditions are enforced at the walls and the interface between the particle and the fluid.</w:t>
      </w:r>
    </w:p>
    <w:p w14:paraId="36284ABF" w14:textId="2177951A" w:rsidR="00E240E5" w:rsidRPr="004834D3" w:rsidRDefault="00923D23" w:rsidP="006E213C">
      <w:pPr>
        <w:spacing w:before="240" w:after="240" w:line="480" w:lineRule="auto"/>
        <w:ind w:firstLine="720"/>
        <w:jc w:val="both"/>
        <w:rPr>
          <w:rFonts w:cstheme="majorBidi"/>
          <w:kern w:val="0"/>
        </w:rPr>
      </w:pPr>
      <w:r w:rsidRPr="004834D3">
        <w:rPr>
          <w:rFonts w:cstheme="majorBidi"/>
          <w:kern w:val="0"/>
        </w:rPr>
        <w:lastRenderedPageBreak/>
        <w:t xml:space="preserve">An initial velocity of zero is applied throughout the entire domain, which is filled with liquid at the initial temperature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h</m:t>
            </m:r>
          </m:sub>
        </m:sSub>
      </m:oMath>
      <w:r w:rsidRPr="004834D3">
        <w:rPr>
          <w:rFonts w:cstheme="majorBidi"/>
          <w:kern w:val="0"/>
        </w:rPr>
        <w:t>. The temperature difference between the relatively hot fluid in the channel and the solid-liquid interface at the particle surface drives both heat transfer and the associated melting process. At the start of the simulation, the particle is at rest but begins to move due to its interaction with the flow. To reduce computational cost, the frame of reference is moved in the x-direction with a velocity equal to the axial velocity of the particle at each time step. The particle's motion in the y-direction is accommodated by deforming the computational grid. The particle's location within the domain is updated based on its relative translational velocity. Since the frame of reference moves at the same velocity as the particle in the x-direction, the relative velocity of the particle in the x-direction is always zero. Conversely, the relative velocity of the particle in the y-direction corresponds to its absolute velocity in the y-direction.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23D23" w:rsidRPr="004834D3" w14:paraId="740D05FE" w14:textId="77777777" w:rsidTr="009A4AF3">
        <w:tc>
          <w:tcPr>
            <w:tcW w:w="9360" w:type="dxa"/>
            <w:vAlign w:val="center"/>
          </w:tcPr>
          <w:p w14:paraId="0816F6F7" w14:textId="77777777" w:rsidR="00923D23" w:rsidRPr="004834D3" w:rsidRDefault="00923D23" w:rsidP="006E213C">
            <w:pPr>
              <w:spacing w:line="480" w:lineRule="auto"/>
              <w:jc w:val="center"/>
              <w:rPr>
                <w:rFonts w:eastAsiaTheme="minorEastAsia" w:cstheme="majorBidi"/>
              </w:rPr>
            </w:pPr>
            <w:r w:rsidRPr="004834D3">
              <w:rPr>
                <w:rFonts w:eastAsiaTheme="minorEastAsia" w:cstheme="majorBidi"/>
                <w:noProof/>
              </w:rPr>
              <w:drawing>
                <wp:inline distT="0" distB="0" distL="0" distR="0" wp14:anchorId="2C2E5459" wp14:editId="086693F5">
                  <wp:extent cx="5943600" cy="2622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943600" cy="2622550"/>
                          </a:xfrm>
                          <a:prstGeom prst="rect">
                            <a:avLst/>
                          </a:prstGeom>
                          <a:noFill/>
                          <a:ln>
                            <a:noFill/>
                          </a:ln>
                        </pic:spPr>
                      </pic:pic>
                    </a:graphicData>
                  </a:graphic>
                </wp:inline>
              </w:drawing>
            </w:r>
          </w:p>
        </w:tc>
      </w:tr>
      <w:tr w:rsidR="00923D23" w:rsidRPr="004834D3" w14:paraId="06775CC3" w14:textId="77777777" w:rsidTr="009A4AF3">
        <w:tc>
          <w:tcPr>
            <w:tcW w:w="9360" w:type="dxa"/>
          </w:tcPr>
          <w:p w14:paraId="32ABDE2E" w14:textId="0F54A5CD" w:rsidR="00923D23" w:rsidRPr="006737DE" w:rsidRDefault="006737DE" w:rsidP="006E213C">
            <w:pPr>
              <w:pStyle w:val="Caption"/>
              <w:spacing w:before="0" w:after="0" w:line="480" w:lineRule="auto"/>
              <w:jc w:val="center"/>
            </w:pPr>
            <w:bookmarkStart w:id="68" w:name="_Toc172708821"/>
            <w:r w:rsidRPr="006737DE">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5</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2</w:t>
            </w:r>
            <w:r w:rsidR="00996526">
              <w:rPr>
                <w:b/>
                <w:bCs/>
                <w:szCs w:val="24"/>
              </w:rPr>
              <w:fldChar w:fldCharType="end"/>
            </w:r>
            <w:r w:rsidR="00923D23" w:rsidRPr="004834D3">
              <w:rPr>
                <w:rFonts w:eastAsiaTheme="minorEastAsia" w:cstheme="majorBidi"/>
              </w:rPr>
              <w:t xml:space="preserve"> </w:t>
            </w:r>
            <w:r w:rsidR="000B7368">
              <w:rPr>
                <w:rFonts w:eastAsiaTheme="minorEastAsia" w:cstheme="majorBidi"/>
              </w:rPr>
              <w:t>S</w:t>
            </w:r>
            <w:r w:rsidR="009914C8" w:rsidRPr="004834D3">
              <w:rPr>
                <w:rFonts w:eastAsiaTheme="minorEastAsia" w:cstheme="majorBidi"/>
              </w:rPr>
              <w:t>chematic representation of the domain for a neutrally buoyant melting particle migrating in a planar Poiseuille flow</w:t>
            </w:r>
            <w:r w:rsidR="0090341B">
              <w:rPr>
                <w:rFonts w:eastAsiaTheme="minorEastAsia" w:cstheme="majorBidi"/>
              </w:rPr>
              <w:t>.</w:t>
            </w:r>
            <w:bookmarkEnd w:id="68"/>
          </w:p>
        </w:tc>
      </w:tr>
    </w:tbl>
    <w:p w14:paraId="37C7669C" w14:textId="05248765" w:rsidR="009914C8" w:rsidRPr="006E213C" w:rsidRDefault="009914C8" w:rsidP="00700DBA">
      <w:pPr>
        <w:pStyle w:val="Heading2"/>
        <w:numPr>
          <w:ilvl w:val="1"/>
          <w:numId w:val="4"/>
        </w:numPr>
        <w:spacing w:before="360" w:after="240" w:line="480" w:lineRule="auto"/>
        <w:ind w:left="432" w:hanging="432"/>
        <w:rPr>
          <w:sz w:val="24"/>
          <w:szCs w:val="24"/>
        </w:rPr>
      </w:pPr>
      <w:bookmarkStart w:id="69" w:name="_Toc172367696"/>
      <w:r w:rsidRPr="006E213C">
        <w:rPr>
          <w:sz w:val="24"/>
          <w:szCs w:val="24"/>
        </w:rPr>
        <w:lastRenderedPageBreak/>
        <w:t xml:space="preserve">Mathematical </w:t>
      </w:r>
      <w:r w:rsidR="00C74FFD" w:rsidRPr="006E213C">
        <w:rPr>
          <w:sz w:val="24"/>
          <w:szCs w:val="24"/>
        </w:rPr>
        <w:t>M</w:t>
      </w:r>
      <w:r w:rsidRPr="006E213C">
        <w:rPr>
          <w:sz w:val="24"/>
          <w:szCs w:val="24"/>
        </w:rPr>
        <w:t>odel</w:t>
      </w:r>
      <w:bookmarkEnd w:id="69"/>
    </w:p>
    <w:p w14:paraId="6C5DB958" w14:textId="5A18FD48" w:rsidR="00B01C1D" w:rsidRPr="00B01C1D" w:rsidRDefault="002E53B6" w:rsidP="006E213C">
      <w:pPr>
        <w:spacing w:before="240" w:after="240" w:line="480" w:lineRule="auto"/>
        <w:jc w:val="both"/>
        <w:rPr>
          <w:rFonts w:cstheme="majorBidi"/>
          <w:kern w:val="0"/>
        </w:rPr>
      </w:pPr>
      <w:r w:rsidRPr="004834D3">
        <w:rPr>
          <w:rFonts w:cstheme="majorBidi"/>
          <w:kern w:val="0"/>
        </w:rPr>
        <w:t>Within the ALE framework, the dynamics of fluid flow and heat transfer in the fluid phase are analyzed by solving the continuity, Navier-Stokes, and energy equations. Concurrently, the motion of the solid particle is predicted through the use of Newton's second law. The interactions between the fluid flow and the particle motion are coupled in a two-way manner: the fluid exerts pressure and viscous forces on the particle, and the particle influence</w:t>
      </w:r>
      <w:r w:rsidR="008008F6">
        <w:rPr>
          <w:rFonts w:cstheme="majorBidi"/>
          <w:kern w:val="0"/>
        </w:rPr>
        <w:t>s</w:t>
      </w:r>
      <w:r w:rsidRPr="004834D3">
        <w:rPr>
          <w:rFonts w:cstheme="majorBidi"/>
          <w:kern w:val="0"/>
        </w:rPr>
        <w:t xml:space="preserve"> the flow dynamics</w:t>
      </w:r>
      <w:r w:rsidR="00F558B0">
        <w:rPr>
          <w:rFonts w:cstheme="majorBidi"/>
          <w:kern w:val="0"/>
        </w:rPr>
        <w:t xml:space="preserve"> correspondingly</w:t>
      </w:r>
      <w:r w:rsidR="00D83446">
        <w:rPr>
          <w:rFonts w:cstheme="majorBidi"/>
          <w:kern w:val="0"/>
        </w:rPr>
        <w:t xml:space="preserve"> </w:t>
      </w:r>
      <w:r w:rsidR="00D83446">
        <w:rPr>
          <w:rFonts w:cstheme="majorBidi"/>
          <w:kern w:val="0"/>
        </w:rPr>
        <w:fldChar w:fldCharType="begin" w:fldLock="1"/>
      </w:r>
      <w:r w:rsidR="00D83446">
        <w:rPr>
          <w:rFonts w:cstheme="majorBidi"/>
          <w:kern w:val="0"/>
        </w:rPr>
        <w:instrText>ADDIN CSL_CITATION {"citationItems":[{"id":"ITEM-1","itemData":{"DOI":"10.1063/5.0145904","ISSN":"10897666","abstract":"A computational model is developed to simulate the hydrodynamic and heat transfer behavior of a melting cylindrical solid particle in plane Poiseuille flow between horizontal parallel plates. The two-dimensional transient conservation equations for mass, momentum, and energy are solved using a finite-volume scheme implemented on a deforming mesh, accounting for the rotation and non-uniform melting of the particle. An arbitrary Lagrangian-Eulerian (ALE) method is employed to directly track the moving and deforming solid-liquid interface during the particle migration and phase change. The developed model was validated by comparison with the previously reported numerical results for migration of a non-melting neutrally buoyant cylindrical particle in plane Poiseuille flow with heat transfer. The effects of flow Reynolds (Re), Grashof (Gr), and Stefan (Ste) numbers, as well as the initial position of the melting particle across the channel on the particle trajectory, melting rate, and average Nusselt (Nu) number were investigated. It was found that the melting rate increased by increasing Gr and Ste and decreased by increasing Re. The Nu did not change more than 20% with increasing Re number from 100 to 1000, but increased significantly by increasing Gr. It was also observed that by increasing Re, the particle migrates toward the channel center because of the stronger Magnus effect. Increasing Gr, on the other hand, pushes the particle to the bottom wall due to the stronger downward flow adjacent to the particle induced by buoyancy-driven convection (natural convection).","author":[{"dropping-particle":"","family":"Kaviani","given":"Reza","non-dropping-particle":"","parse-names":false,"suffix":""},{"dropping-particle":"","family":"Naghashnejad","given":"Mohammad","non-dropping-particle":"","parse-names":false,"suffix":""},{"dropping-particle":"","family":"Shabgard","given":"Hamidreza","non-dropping-particle":"","parse-names":false,"suffix":""}],"container-title":"Physics of Fluids","id":"ITEM-1","issue":"6","issued":{"date-parts":[["2023"]]},"publisher":"AIP Publishing LLC","title":"Migration and heat transfer modeling of a neutrally buoyant melting particle in Poiseuille flow","type":"article-journal","volume":"35"},"uris":["http://www.mendeley.com/documents/?uuid=644af9e5-252a-4946-9887-92b4cd7bcab1"]}],"mendeley":{"formattedCitation":"[170]","plainTextFormattedCitation":"[170]","previouslyFormattedCitation":"[171]"},"properties":{"noteIndex":0},"schema":"https://github.com/citation-style-language/schema/raw/master/csl-citation.json"}</w:instrText>
      </w:r>
      <w:r w:rsidR="00D83446">
        <w:rPr>
          <w:rFonts w:cstheme="majorBidi"/>
          <w:kern w:val="0"/>
        </w:rPr>
        <w:fldChar w:fldCharType="separate"/>
      </w:r>
      <w:r w:rsidR="00D83446" w:rsidRPr="00D83446">
        <w:rPr>
          <w:rFonts w:cstheme="majorBidi"/>
          <w:noProof/>
          <w:kern w:val="0"/>
        </w:rPr>
        <w:t>[170]</w:t>
      </w:r>
      <w:r w:rsidR="00D83446">
        <w:rPr>
          <w:rFonts w:cstheme="majorBidi"/>
          <w:kern w:val="0"/>
        </w:rPr>
        <w:fldChar w:fldCharType="end"/>
      </w:r>
      <w:r w:rsidRPr="004834D3">
        <w:rPr>
          <w:rFonts w:cstheme="majorBidi"/>
          <w:kern w:val="0"/>
        </w:rPr>
        <w:t>. Several key assumptions are employed for the development of this computational model: (</w:t>
      </w:r>
      <w:r w:rsidRPr="009333F4">
        <w:rPr>
          <w:rFonts w:cstheme="majorBidi"/>
          <w:i/>
          <w:iCs/>
          <w:kern w:val="0"/>
        </w:rPr>
        <w:t>i</w:t>
      </w:r>
      <w:r w:rsidRPr="004834D3">
        <w:rPr>
          <w:rFonts w:cstheme="majorBidi"/>
          <w:kern w:val="0"/>
        </w:rPr>
        <w:t xml:space="preserve">) the densities of the solid and </w:t>
      </w:r>
      <w:r w:rsidRPr="00CA6258">
        <w:rPr>
          <w:rFonts w:cstheme="majorBidi"/>
          <w:kern w:val="0"/>
        </w:rPr>
        <w:t>liquid phases are identical at the melting temperature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m</m:t>
            </m:r>
          </m:sub>
        </m:sSub>
      </m:oMath>
      <w:r w:rsidRPr="00CA6258">
        <w:rPr>
          <w:rFonts w:cstheme="majorBidi"/>
          <w:kern w:val="0"/>
        </w:rPr>
        <w:t>); (</w:t>
      </w:r>
      <w:r w:rsidRPr="00CA6258">
        <w:rPr>
          <w:rFonts w:cstheme="majorBidi"/>
          <w:i/>
          <w:iCs/>
          <w:kern w:val="0"/>
        </w:rPr>
        <w:t>ii</w:t>
      </w:r>
      <w:r w:rsidRPr="00CA6258">
        <w:rPr>
          <w:rFonts w:cstheme="majorBidi"/>
          <w:kern w:val="0"/>
        </w:rPr>
        <w:t>) the liquid is treated as an incompressible</w:t>
      </w:r>
      <w:r w:rsidR="009333F4" w:rsidRPr="00CA6258">
        <w:rPr>
          <w:rFonts w:cstheme="majorBidi"/>
          <w:kern w:val="0"/>
        </w:rPr>
        <w:t xml:space="preserve"> laminar</w:t>
      </w:r>
      <w:r w:rsidRPr="00CA6258">
        <w:rPr>
          <w:rFonts w:cstheme="majorBidi"/>
          <w:kern w:val="0"/>
        </w:rPr>
        <w:t xml:space="preserve"> Newtonian fluid, </w:t>
      </w:r>
      <w:r w:rsidR="009333F4" w:rsidRPr="00CA6258">
        <w:rPr>
          <w:rFonts w:cstheme="majorBidi"/>
          <w:kern w:val="0"/>
        </w:rPr>
        <w:t>with</w:t>
      </w:r>
      <w:r w:rsidRPr="00CA6258">
        <w:rPr>
          <w:rFonts w:cstheme="majorBidi"/>
          <w:kern w:val="0"/>
        </w:rPr>
        <w:t xml:space="preserve"> constant thermophysical properties; and (</w:t>
      </w:r>
      <w:r w:rsidRPr="00CA6258">
        <w:rPr>
          <w:rFonts w:cstheme="majorBidi"/>
          <w:i/>
          <w:iCs/>
          <w:kern w:val="0"/>
        </w:rPr>
        <w:t>iii</w:t>
      </w:r>
      <w:r w:rsidRPr="00CA6258">
        <w:rPr>
          <w:rFonts w:cstheme="majorBidi"/>
          <w:kern w:val="0"/>
        </w:rPr>
        <w:t xml:space="preserve">) the melting of the particle occurs at a constant temperature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m</m:t>
            </m:r>
          </m:sub>
        </m:sSub>
      </m:oMath>
      <w:r w:rsidRPr="00CA6258">
        <w:rPr>
          <w:rFonts w:cstheme="majorBidi"/>
          <w:kern w:val="0"/>
        </w:rPr>
        <w:t>, which simplifies the modeling of phase change dynamics</w:t>
      </w:r>
      <w:r w:rsidR="009333F4" w:rsidRPr="00CA6258">
        <w:rPr>
          <w:rFonts w:cstheme="majorBidi"/>
          <w:kern w:val="0"/>
        </w:rPr>
        <w:t>, (</w:t>
      </w:r>
      <w:r w:rsidR="009333F4" w:rsidRPr="00CA6258">
        <w:rPr>
          <w:rFonts w:cstheme="majorBidi"/>
          <w:i/>
          <w:iCs/>
          <w:kern w:val="0"/>
        </w:rPr>
        <w:t>iv</w:t>
      </w:r>
      <w:r w:rsidR="009333F4" w:rsidRPr="00CA6258">
        <w:rPr>
          <w:rFonts w:cstheme="majorBidi"/>
          <w:kern w:val="0"/>
        </w:rPr>
        <w:t>) the natural convection effect in the momentum equation is accounted for using the Boussinesq approximation</w:t>
      </w:r>
      <w:r w:rsidR="00D66BFB" w:rsidRPr="00CA6258">
        <w:rPr>
          <w:rFonts w:cstheme="majorBidi"/>
          <w:kern w:val="0"/>
        </w:rPr>
        <w:t>, (</w:t>
      </w:r>
      <w:r w:rsidR="00D66BFB" w:rsidRPr="00CA6258">
        <w:rPr>
          <w:rFonts w:cstheme="majorBidi"/>
          <w:i/>
          <w:iCs/>
          <w:kern w:val="0"/>
        </w:rPr>
        <w:t>v</w:t>
      </w:r>
      <w:r w:rsidR="00D66BFB" w:rsidRPr="00CA6258">
        <w:rPr>
          <w:rFonts w:cstheme="majorBidi"/>
          <w:kern w:val="0"/>
        </w:rPr>
        <w:t xml:space="preserve">) </w:t>
      </w:r>
      <w:r w:rsidR="00D13693" w:rsidRPr="00CA6258">
        <w:rPr>
          <w:rFonts w:cstheme="majorBidi"/>
          <w:kern w:val="0"/>
        </w:rPr>
        <w:t>the effect of viscous dissipation and radiation heat transfer are neglected</w:t>
      </w:r>
      <w:r w:rsidRPr="00CA6258">
        <w:rPr>
          <w:rFonts w:cstheme="majorBidi"/>
          <w:kern w:val="0"/>
        </w:rPr>
        <w:t>. G</w:t>
      </w:r>
      <w:r w:rsidRPr="004834D3">
        <w:rPr>
          <w:rFonts w:cstheme="majorBidi"/>
          <w:kern w:val="0"/>
        </w:rPr>
        <w:t>iven these assumptions, the equation for mass conservation is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7DA7" w:rsidRPr="004834D3" w14:paraId="0420F77A" w14:textId="77777777" w:rsidTr="009A4AF3">
        <w:tc>
          <w:tcPr>
            <w:tcW w:w="4675" w:type="dxa"/>
          </w:tcPr>
          <w:p w14:paraId="0A5124D7" w14:textId="77777777" w:rsidR="00E57DA7" w:rsidRPr="004834D3" w:rsidRDefault="00E57DA7" w:rsidP="006E213C">
            <w:pPr>
              <w:spacing w:before="240" w:after="240" w:line="480" w:lineRule="auto"/>
              <w:ind w:firstLine="360"/>
              <w:jc w:val="both"/>
              <w:rPr>
                <w:rFonts w:cstheme="majorBidi"/>
              </w:rPr>
            </w:pPr>
            <m:oMathPara>
              <m:oMathParaPr>
                <m:jc m:val="left"/>
              </m:oMathParaPr>
              <m:oMath>
                <m:r>
                  <w:rPr>
                    <w:rStyle w:val="fontstyle01"/>
                    <w:rFonts w:ascii="Cambria Math" w:hAnsi="Cambria Math" w:cstheme="majorBidi"/>
                  </w:rPr>
                  <m:t>ρ</m:t>
                </m:r>
                <m:r>
                  <m:rPr>
                    <m:sty m:val="b"/>
                  </m:rPr>
                  <w:rPr>
                    <w:rStyle w:val="fontstyle01"/>
                    <w:rFonts w:ascii="Cambria Math" w:hAnsi="Cambria Math" w:cstheme="majorBidi"/>
                  </w:rPr>
                  <m:t>∇</m:t>
                </m:r>
                <m:r>
                  <w:rPr>
                    <w:rStyle w:val="fontstyle01"/>
                    <w:rFonts w:ascii="Cambria Math" w:hAnsi="Cambria Math" w:cstheme="majorBidi"/>
                  </w:rPr>
                  <m:t>∙</m:t>
                </m:r>
                <m:r>
                  <m:rPr>
                    <m:sty m:val="b"/>
                  </m:rPr>
                  <w:rPr>
                    <w:rStyle w:val="fontstyle01"/>
                    <w:rFonts w:ascii="Cambria Math" w:hAnsi="Cambria Math" w:cstheme="majorBidi"/>
                  </w:rPr>
                  <m:t>V</m:t>
                </m:r>
                <m:r>
                  <m:rPr>
                    <m:sty m:val="bi"/>
                  </m:rPr>
                  <w:rPr>
                    <w:rStyle w:val="fontstyle01"/>
                    <w:rFonts w:ascii="Cambria Math" w:hAnsi="Cambria Math" w:cstheme="majorBidi"/>
                  </w:rPr>
                  <m:t>+</m:t>
                </m:r>
                <m:sSub>
                  <m:sSubPr>
                    <m:ctrlPr>
                      <w:rPr>
                        <w:rStyle w:val="fontstyle01"/>
                        <w:rFonts w:ascii="Cambria Math" w:hAnsi="Cambria Math" w:cstheme="majorBidi"/>
                        <w:bCs/>
                        <w:i/>
                        <w:color w:val="auto"/>
                      </w:rPr>
                    </m:ctrlPr>
                  </m:sSubPr>
                  <m:e>
                    <m:acc>
                      <m:accPr>
                        <m:chr m:val="̇"/>
                        <m:ctrlPr>
                          <w:rPr>
                            <w:rStyle w:val="fontstyle01"/>
                            <w:rFonts w:ascii="Cambria Math" w:hAnsi="Cambria Math" w:cstheme="majorBidi"/>
                            <w:bCs/>
                            <w:i/>
                            <w:color w:val="auto"/>
                          </w:rPr>
                        </m:ctrlPr>
                      </m:accPr>
                      <m:e>
                        <m:r>
                          <w:rPr>
                            <w:rStyle w:val="fontstyle01"/>
                            <w:rFonts w:ascii="Cambria Math" w:hAnsi="Cambria Math" w:cstheme="majorBidi"/>
                          </w:rPr>
                          <m:t>S</m:t>
                        </m:r>
                      </m:e>
                    </m:acc>
                  </m:e>
                  <m:sub>
                    <m:r>
                      <m:rPr>
                        <m:sty m:val="p"/>
                      </m:rPr>
                      <w:rPr>
                        <w:rStyle w:val="fontstyle01"/>
                        <w:rFonts w:ascii="Cambria Math" w:hAnsi="Cambria Math" w:cstheme="majorBidi"/>
                      </w:rPr>
                      <m:t>mass</m:t>
                    </m:r>
                  </m:sub>
                </m:sSub>
                <m:r>
                  <w:rPr>
                    <w:rStyle w:val="fontstyle01"/>
                    <w:rFonts w:ascii="Cambria Math" w:hAnsi="Cambria Math" w:cstheme="majorBidi"/>
                  </w:rPr>
                  <m:t>=0</m:t>
                </m:r>
              </m:oMath>
            </m:oMathPara>
          </w:p>
        </w:tc>
        <w:tc>
          <w:tcPr>
            <w:tcW w:w="4675" w:type="dxa"/>
          </w:tcPr>
          <w:p w14:paraId="65FF099F" w14:textId="5FCB4519" w:rsidR="00E57DA7" w:rsidRPr="004834D3" w:rsidRDefault="000B1B64" w:rsidP="006E213C">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3</w:t>
            </w:r>
            <w:r>
              <w:rPr>
                <w:noProof/>
              </w:rPr>
              <w:fldChar w:fldCharType="end"/>
            </w:r>
          </w:p>
        </w:tc>
      </w:tr>
    </w:tbl>
    <w:p w14:paraId="358B9CEC" w14:textId="5AD45144" w:rsidR="007F4DEB" w:rsidRPr="004834D3" w:rsidRDefault="00E57DA7" w:rsidP="006E213C">
      <w:pPr>
        <w:spacing w:before="240" w:after="240" w:line="480" w:lineRule="auto"/>
        <w:ind w:firstLine="720"/>
        <w:jc w:val="both"/>
        <w:rPr>
          <w:rFonts w:cstheme="majorBidi"/>
          <w:kern w:val="0"/>
        </w:rPr>
      </w:pPr>
      <w:r w:rsidRPr="004834D3">
        <w:rPr>
          <w:rFonts w:cstheme="majorBidi"/>
          <w:kern w:val="0"/>
        </w:rPr>
        <w:t>In th</w:t>
      </w:r>
      <w:r w:rsidR="00B01C1D">
        <w:rPr>
          <w:rFonts w:cstheme="majorBidi"/>
          <w:kern w:val="0"/>
        </w:rPr>
        <w:t>is</w:t>
      </w:r>
      <w:r w:rsidRPr="004834D3">
        <w:rPr>
          <w:rFonts w:cstheme="majorBidi"/>
          <w:kern w:val="0"/>
        </w:rPr>
        <w:t xml:space="preserve"> equation, </w:t>
      </w:r>
      <m:oMath>
        <m:r>
          <w:rPr>
            <w:rFonts w:ascii="Cambria Math" w:hAnsi="Cambria Math" w:cstheme="majorBidi"/>
            <w:kern w:val="0"/>
          </w:rPr>
          <m:t>ρ</m:t>
        </m:r>
      </m:oMath>
      <w:r w:rsidRPr="004834D3">
        <w:rPr>
          <w:rFonts w:cstheme="majorBidi"/>
          <w:kern w:val="0"/>
        </w:rPr>
        <w:t xml:space="preserve"> represents the density of the liquid phase</w:t>
      </w:r>
      <w:r w:rsidR="00B957F1">
        <w:rPr>
          <w:rFonts w:cstheme="majorBidi"/>
          <w:kern w:val="0"/>
        </w:rPr>
        <w:t xml:space="preserve"> </w:t>
      </w:r>
      <w:r w:rsidRPr="004834D3">
        <w:rPr>
          <w:rFonts w:cstheme="majorBidi"/>
          <w:kern w:val="0"/>
        </w:rPr>
        <w:t xml:space="preserve">and </w:t>
      </w:r>
      <m:oMath>
        <m:sSub>
          <m:sSubPr>
            <m:ctrlPr>
              <w:rPr>
                <w:rStyle w:val="fontstyle01"/>
                <w:rFonts w:ascii="Cambria Math" w:hAnsi="Cambria Math" w:cstheme="majorBidi"/>
                <w:bCs/>
                <w:i/>
                <w:color w:val="auto"/>
              </w:rPr>
            </m:ctrlPr>
          </m:sSubPr>
          <m:e>
            <m:acc>
              <m:accPr>
                <m:chr m:val="̇"/>
                <m:ctrlPr>
                  <w:rPr>
                    <w:rStyle w:val="fontstyle01"/>
                    <w:rFonts w:ascii="Cambria Math" w:hAnsi="Cambria Math" w:cstheme="majorBidi"/>
                    <w:bCs/>
                    <w:i/>
                    <w:color w:val="auto"/>
                  </w:rPr>
                </m:ctrlPr>
              </m:accPr>
              <m:e>
                <m:r>
                  <w:rPr>
                    <w:rStyle w:val="fontstyle01"/>
                    <w:rFonts w:ascii="Cambria Math" w:hAnsi="Cambria Math" w:cstheme="majorBidi"/>
                  </w:rPr>
                  <m:t>S</m:t>
                </m:r>
              </m:e>
            </m:acc>
          </m:e>
          <m:sub>
            <m:r>
              <m:rPr>
                <m:sty m:val="p"/>
              </m:rPr>
              <w:rPr>
                <w:rStyle w:val="fontstyle01"/>
                <w:rFonts w:ascii="Cambria Math" w:hAnsi="Cambria Math" w:cstheme="majorBidi"/>
              </w:rPr>
              <m:t>mass</m:t>
            </m:r>
          </m:sub>
        </m:sSub>
      </m:oMath>
      <w:r w:rsidRPr="004834D3">
        <w:rPr>
          <w:rFonts w:cstheme="majorBidi"/>
          <w:kern w:val="0"/>
        </w:rPr>
        <w:t xml:space="preserve"> is the volumetric mass source term, which accounts for the mass added to the continuous phase as a result of the particle melting and transitioning to the liquid phase. The momentum conservation equation, which governs the behavior of the fluid flow within the domain, can be expressed in its general form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7DA7" w:rsidRPr="004834D3" w14:paraId="38973622" w14:textId="77777777" w:rsidTr="009A4AF3">
        <w:tc>
          <w:tcPr>
            <w:tcW w:w="4675" w:type="dxa"/>
          </w:tcPr>
          <w:p w14:paraId="1CAFDBE5" w14:textId="77777777" w:rsidR="00E57DA7" w:rsidRPr="004834D3" w:rsidRDefault="00E57DA7" w:rsidP="006E213C">
            <w:pPr>
              <w:spacing w:before="240" w:after="240" w:line="480" w:lineRule="auto"/>
              <w:jc w:val="both"/>
              <w:rPr>
                <w:rFonts w:eastAsiaTheme="minorEastAsia" w:cstheme="majorBidi"/>
              </w:rPr>
            </w:pPr>
            <m:oMathPara>
              <m:oMathParaPr>
                <m:jc m:val="left"/>
              </m:oMathParaPr>
              <m:oMath>
                <m:r>
                  <w:rPr>
                    <w:rFonts w:ascii="Cambria Math" w:hAnsi="Cambria Math" w:cstheme="majorBidi"/>
                  </w:rPr>
                  <w:lastRenderedPageBreak/>
                  <m:t>ρ</m:t>
                </m:r>
                <m:f>
                  <m:fPr>
                    <m:ctrlPr>
                      <w:rPr>
                        <w:rFonts w:ascii="Cambria Math" w:hAnsi="Cambria Math" w:cstheme="majorBidi"/>
                        <w:i/>
                      </w:rPr>
                    </m:ctrlPr>
                  </m:fPr>
                  <m:num>
                    <m:r>
                      <w:rPr>
                        <w:rFonts w:ascii="Cambria Math" w:hAnsi="Cambria Math" w:cstheme="majorBidi"/>
                      </w:rPr>
                      <m:t>D</m:t>
                    </m:r>
                    <m:r>
                      <m:rPr>
                        <m:sty m:val="b"/>
                      </m:rPr>
                      <w:rPr>
                        <w:rFonts w:ascii="Cambria Math" w:hAnsi="Cambria Math" w:cstheme="majorBidi"/>
                      </w:rPr>
                      <m:t>V</m:t>
                    </m:r>
                  </m:num>
                  <m:den>
                    <m:r>
                      <w:rPr>
                        <w:rFonts w:ascii="Cambria Math" w:hAnsi="Cambria Math" w:cstheme="majorBidi"/>
                      </w:rPr>
                      <m:t>Dt</m:t>
                    </m:r>
                  </m:den>
                </m:f>
                <m:r>
                  <w:rPr>
                    <w:rFonts w:ascii="Cambria Math" w:hAnsi="Cambria Math" w:cstheme="majorBidi"/>
                  </w:rPr>
                  <m:t>=ρ</m:t>
                </m:r>
                <m:r>
                  <m:rPr>
                    <m:sty m:val="bi"/>
                  </m:rPr>
                  <w:rPr>
                    <w:rFonts w:ascii="Cambria Math" w:hAnsi="Cambria Math" w:cstheme="majorBidi"/>
                  </w:rPr>
                  <m:t>f</m:t>
                </m:r>
                <m:r>
                  <w:rPr>
                    <w:rFonts w:ascii="Cambria Math" w:hAnsi="Cambria Math" w:cstheme="majorBidi"/>
                  </w:rPr>
                  <m:t>+</m:t>
                </m:r>
                <m:r>
                  <m:rPr>
                    <m:sty m:val="b"/>
                  </m:rPr>
                  <w:rPr>
                    <w:rFonts w:ascii="Cambria Math" w:hAnsi="Cambria Math" w:cstheme="majorBidi"/>
                  </w:rPr>
                  <m:t>∇</m:t>
                </m:r>
                <m:r>
                  <w:rPr>
                    <w:rFonts w:ascii="Cambria Math" w:hAnsi="Cambria Math" w:cstheme="majorBidi"/>
                  </w:rPr>
                  <m:t>.σ</m:t>
                </m:r>
              </m:oMath>
            </m:oMathPara>
          </w:p>
        </w:tc>
        <w:tc>
          <w:tcPr>
            <w:tcW w:w="4675" w:type="dxa"/>
          </w:tcPr>
          <w:p w14:paraId="2193A7C0" w14:textId="6C452B63" w:rsidR="00E57DA7" w:rsidRPr="00B01C1D" w:rsidRDefault="000B1B64" w:rsidP="006E213C">
            <w:pPr>
              <w:pStyle w:val="Caption"/>
              <w:keepNext/>
              <w:spacing w:after="240" w:line="480" w:lineRule="auto"/>
              <w:jc w:val="right"/>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4</w:t>
            </w:r>
            <w:r>
              <w:rPr>
                <w:noProof/>
              </w:rPr>
              <w:fldChar w:fldCharType="end"/>
            </w:r>
          </w:p>
        </w:tc>
      </w:tr>
    </w:tbl>
    <w:p w14:paraId="409BC31F" w14:textId="5E2A183D" w:rsidR="00E57DA7" w:rsidRPr="004834D3" w:rsidRDefault="00624E33" w:rsidP="006E213C">
      <w:pPr>
        <w:spacing w:before="240" w:after="240" w:line="480" w:lineRule="auto"/>
        <w:ind w:firstLine="720"/>
        <w:jc w:val="both"/>
        <w:rPr>
          <w:rFonts w:cstheme="majorBidi"/>
          <w:kern w:val="0"/>
        </w:rPr>
      </w:pPr>
      <w:r w:rsidRPr="004834D3">
        <w:rPr>
          <w:rFonts w:cstheme="majorBidi"/>
          <w:kern w:val="0"/>
        </w:rPr>
        <w:t xml:space="preserve">In this formulation, </w:t>
      </w:r>
      <m:oMath>
        <m:r>
          <m:rPr>
            <m:sty m:val="bi"/>
          </m:rPr>
          <w:rPr>
            <w:rFonts w:ascii="Cambria Math" w:hAnsi="Cambria Math" w:cstheme="majorBidi"/>
            <w:kern w:val="0"/>
          </w:rPr>
          <m:t>f</m:t>
        </m:r>
      </m:oMath>
      <w:r w:rsidRPr="004834D3">
        <w:rPr>
          <w:rFonts w:cstheme="majorBidi"/>
          <w:kern w:val="0"/>
        </w:rPr>
        <w:t xml:space="preserve"> represents the body force per unit mass exerted on the fluid</w:t>
      </w:r>
      <w:r w:rsidR="008008F6">
        <w:rPr>
          <w:rFonts w:cstheme="majorBidi"/>
          <w:kern w:val="0"/>
        </w:rPr>
        <w:t>,</w:t>
      </w:r>
      <w:r w:rsidRPr="004834D3">
        <w:rPr>
          <w:rFonts w:cstheme="majorBidi"/>
          <w:kern w:val="0"/>
        </w:rPr>
        <w:t xml:space="preserve"> and </w:t>
      </w:r>
      <m:oMath>
        <m:r>
          <w:rPr>
            <w:rFonts w:ascii="Cambria Math" w:hAnsi="Cambria Math" w:cstheme="majorBidi"/>
            <w:kern w:val="0"/>
          </w:rPr>
          <m:t>σ</m:t>
        </m:r>
      </m:oMath>
      <w:r w:rsidRPr="004834D3">
        <w:rPr>
          <w:rFonts w:cstheme="majorBidi"/>
          <w:kern w:val="0"/>
        </w:rPr>
        <w:t xml:space="preserve"> denotes the stress tensor. For Newtonian fluids, the stress tensor is particularly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C7647" w:rsidRPr="004834D3" w14:paraId="56E27731" w14:textId="77777777" w:rsidTr="009A4AF3">
        <w:tc>
          <w:tcPr>
            <w:tcW w:w="4675" w:type="dxa"/>
          </w:tcPr>
          <w:p w14:paraId="5BC17DAB" w14:textId="77777777" w:rsidR="003C7647" w:rsidRPr="004834D3" w:rsidRDefault="003C7647" w:rsidP="006E213C">
            <w:pPr>
              <w:spacing w:before="240" w:after="240" w:line="480" w:lineRule="auto"/>
              <w:ind w:firstLine="360"/>
              <w:jc w:val="both"/>
              <w:rPr>
                <w:rFonts w:eastAsiaTheme="minorEastAsia" w:cstheme="majorBidi"/>
              </w:rPr>
            </w:pPr>
            <m:oMathPara>
              <m:oMathParaPr>
                <m:jc m:val="left"/>
              </m:oMathParaPr>
              <m:oMath>
                <m:r>
                  <w:rPr>
                    <w:rFonts w:ascii="Cambria Math" w:eastAsiaTheme="minorEastAsia" w:hAnsi="Cambria Math" w:cstheme="majorBidi"/>
                  </w:rPr>
                  <m:t>σ= -p</m:t>
                </m:r>
                <m:r>
                  <m:rPr>
                    <m:sty m:val="b"/>
                  </m:rPr>
                  <w:rPr>
                    <w:rFonts w:ascii="Cambria Math" w:eastAsiaTheme="minorEastAsia" w:hAnsi="Cambria Math" w:cstheme="majorBidi"/>
                  </w:rPr>
                  <m:t>I</m:t>
                </m:r>
                <m:r>
                  <w:rPr>
                    <w:rFonts w:ascii="Cambria Math" w:eastAsiaTheme="minorEastAsia" w:hAnsi="Cambria Math" w:cstheme="majorBidi"/>
                  </w:rPr>
                  <m:t>+μ</m:t>
                </m:r>
                <m:d>
                  <m:dPr>
                    <m:begChr m:val="["/>
                    <m:endChr m:val="]"/>
                    <m:ctrlPr>
                      <w:rPr>
                        <w:rFonts w:ascii="Cambria Math" w:eastAsiaTheme="minorEastAsia" w:hAnsi="Cambria Math" w:cstheme="majorBidi"/>
                        <w:i/>
                      </w:rPr>
                    </m:ctrlPr>
                  </m:dPr>
                  <m:e>
                    <m:r>
                      <m:rPr>
                        <m:sty m:val="bi"/>
                      </m:rPr>
                      <w:rPr>
                        <w:rFonts w:ascii="Cambria Math" w:eastAsiaTheme="minorEastAsia" w:hAnsi="Cambria Math" w:cstheme="majorBidi"/>
                      </w:rPr>
                      <m:t xml:space="preserve"> </m:t>
                    </m:r>
                    <m:r>
                      <m:rPr>
                        <m:sty m:val="b"/>
                      </m:rPr>
                      <w:rPr>
                        <w:rFonts w:ascii="Cambria Math" w:eastAsiaTheme="minorEastAsia" w:hAnsi="Cambria Math" w:cstheme="majorBidi"/>
                      </w:rPr>
                      <m:t>∇V</m:t>
                    </m:r>
                    <m:r>
                      <w:rPr>
                        <w:rFonts w:ascii="Cambria Math" w:eastAsiaTheme="minorEastAsia" w:hAnsi="Cambria Math" w:cstheme="majorBidi"/>
                      </w:rPr>
                      <m:t>+</m:t>
                    </m:r>
                    <m:sSup>
                      <m:sSupPr>
                        <m:ctrlPr>
                          <w:rPr>
                            <w:rFonts w:ascii="Cambria Math" w:eastAsiaTheme="minorEastAsia" w:hAnsi="Cambria Math" w:cstheme="majorBidi"/>
                            <w:i/>
                          </w:rPr>
                        </m:ctrlPr>
                      </m:sSupPr>
                      <m:e>
                        <m:d>
                          <m:dPr>
                            <m:ctrlPr>
                              <w:rPr>
                                <w:rFonts w:ascii="Cambria Math" w:eastAsiaTheme="minorEastAsia" w:hAnsi="Cambria Math" w:cstheme="majorBidi"/>
                                <w:i/>
                              </w:rPr>
                            </m:ctrlPr>
                          </m:dPr>
                          <m:e>
                            <m:r>
                              <m:rPr>
                                <m:sty m:val="b"/>
                              </m:rPr>
                              <w:rPr>
                                <w:rFonts w:ascii="Cambria Math" w:eastAsiaTheme="minorEastAsia" w:hAnsi="Cambria Math" w:cstheme="majorBidi"/>
                              </w:rPr>
                              <m:t>∇V</m:t>
                            </m:r>
                          </m:e>
                        </m:d>
                      </m:e>
                      <m:sup>
                        <m:r>
                          <w:rPr>
                            <w:rFonts w:ascii="Cambria Math" w:eastAsiaTheme="minorEastAsia" w:hAnsi="Cambria Math" w:cstheme="majorBidi"/>
                          </w:rPr>
                          <m:t>T</m:t>
                        </m:r>
                      </m:sup>
                    </m:sSup>
                  </m:e>
                </m:d>
              </m:oMath>
            </m:oMathPara>
          </w:p>
        </w:tc>
        <w:tc>
          <w:tcPr>
            <w:tcW w:w="4675" w:type="dxa"/>
          </w:tcPr>
          <w:p w14:paraId="28FEED4D" w14:textId="5AF3763F" w:rsidR="003C7647" w:rsidRPr="004834D3" w:rsidRDefault="000B1B64" w:rsidP="006E213C">
            <w:pPr>
              <w:bidi/>
              <w:spacing w:before="240" w:after="240" w:line="480" w:lineRule="auto"/>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5</w:t>
            </w:r>
            <w:r>
              <w:rPr>
                <w:noProof/>
              </w:rPr>
              <w:fldChar w:fldCharType="end"/>
            </w:r>
          </w:p>
        </w:tc>
      </w:tr>
    </w:tbl>
    <w:p w14:paraId="33F8D269" w14:textId="4FE75BE9" w:rsidR="00B01C1D" w:rsidRPr="00B01C1D" w:rsidRDefault="00277967" w:rsidP="006E213C">
      <w:pPr>
        <w:spacing w:before="240" w:after="240" w:line="480" w:lineRule="auto"/>
        <w:jc w:val="both"/>
        <w:rPr>
          <w:rFonts w:cstheme="majorBidi"/>
          <w:kern w:val="0"/>
        </w:rPr>
      </w:pPr>
      <w:r w:rsidRPr="004834D3">
        <w:rPr>
          <w:rFonts w:cstheme="majorBidi"/>
          <w:kern w:val="0"/>
        </w:rPr>
        <w:t xml:space="preserve">where </w:t>
      </w:r>
      <m:oMath>
        <m:r>
          <w:rPr>
            <w:rFonts w:ascii="Cambria Math" w:hAnsi="Cambria Math" w:cstheme="majorBidi"/>
            <w:kern w:val="0"/>
          </w:rPr>
          <m:t>p</m:t>
        </m:r>
      </m:oMath>
      <w:r w:rsidRPr="004834D3">
        <w:rPr>
          <w:rFonts w:cstheme="majorBidi"/>
          <w:kern w:val="0"/>
        </w:rPr>
        <w:t xml:space="preserve"> represents the pressure and </w:t>
      </w:r>
      <m:oMath>
        <m:r>
          <w:rPr>
            <w:rFonts w:ascii="Cambria Math" w:hAnsi="Cambria Math" w:cstheme="majorBidi"/>
            <w:kern w:val="0"/>
          </w:rPr>
          <m:t>μ</m:t>
        </m:r>
      </m:oMath>
      <w:r w:rsidRPr="004834D3">
        <w:rPr>
          <w:rFonts w:cstheme="majorBidi"/>
          <w:kern w:val="0"/>
        </w:rPr>
        <w:t xml:space="preserve"> signifies the fluid's viscosity. The material derivative of the velocity, which captures both the temporal and spatial changes in velocity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E0162" w:rsidRPr="004834D3" w14:paraId="7843A8AA" w14:textId="77777777" w:rsidTr="009A4AF3">
        <w:tc>
          <w:tcPr>
            <w:tcW w:w="4675" w:type="dxa"/>
          </w:tcPr>
          <w:p w14:paraId="0532CCAC" w14:textId="77777777" w:rsidR="002E0162" w:rsidRPr="004834D3" w:rsidRDefault="00000000" w:rsidP="006E213C">
            <w:pPr>
              <w:spacing w:before="240" w:after="240" w:line="480" w:lineRule="auto"/>
              <w:ind w:firstLine="360"/>
              <w:jc w:val="both"/>
              <w:rPr>
                <w:rFonts w:eastAsiaTheme="minorEastAsia" w:cstheme="majorBidi"/>
              </w:rPr>
            </w:pPr>
            <m:oMathPara>
              <m:oMathParaPr>
                <m:jc m:val="left"/>
              </m:oMathParaPr>
              <m:oMath>
                <m:f>
                  <m:fPr>
                    <m:ctrlPr>
                      <w:rPr>
                        <w:rFonts w:ascii="Cambria Math" w:eastAsiaTheme="minorEastAsia" w:hAnsi="Cambria Math" w:cstheme="majorBidi"/>
                        <w:i/>
                      </w:rPr>
                    </m:ctrlPr>
                  </m:fPr>
                  <m:num>
                    <m:r>
                      <w:rPr>
                        <w:rFonts w:ascii="Cambria Math" w:eastAsiaTheme="minorEastAsia" w:hAnsi="Cambria Math" w:cstheme="majorBidi"/>
                      </w:rPr>
                      <m:t>D</m:t>
                    </m:r>
                    <m:r>
                      <m:rPr>
                        <m:sty m:val="b"/>
                      </m:rPr>
                      <w:rPr>
                        <w:rFonts w:ascii="Cambria Math" w:eastAsiaTheme="minorEastAsia" w:hAnsi="Cambria Math" w:cstheme="majorBidi"/>
                      </w:rPr>
                      <m:t>V</m:t>
                    </m:r>
                  </m:num>
                  <m:den>
                    <m:r>
                      <w:rPr>
                        <w:rFonts w:ascii="Cambria Math" w:eastAsiaTheme="minorEastAsia" w:hAnsi="Cambria Math" w:cstheme="majorBidi"/>
                      </w:rPr>
                      <m:t>Dt</m:t>
                    </m:r>
                  </m:den>
                </m:f>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m:t>
                    </m:r>
                    <m:r>
                      <m:rPr>
                        <m:sty m:val="b"/>
                      </m:rPr>
                      <w:rPr>
                        <w:rFonts w:ascii="Cambria Math" w:eastAsiaTheme="minorEastAsia" w:hAnsi="Cambria Math" w:cstheme="majorBidi"/>
                      </w:rPr>
                      <m:t>V</m:t>
                    </m:r>
                  </m:num>
                  <m:den>
                    <m:r>
                      <w:rPr>
                        <w:rFonts w:ascii="Cambria Math" w:eastAsiaTheme="minorEastAsia" w:hAnsi="Cambria Math" w:cstheme="majorBidi"/>
                      </w:rPr>
                      <m:t>∂t</m:t>
                    </m:r>
                  </m:den>
                </m:f>
                <m:r>
                  <w:rPr>
                    <w:rFonts w:ascii="Cambria Math" w:eastAsiaTheme="minorEastAsia" w:hAnsi="Cambria Math" w:cstheme="majorBidi"/>
                  </w:rPr>
                  <m:t>+</m:t>
                </m:r>
                <m:d>
                  <m:dPr>
                    <m:ctrlPr>
                      <w:rPr>
                        <w:rFonts w:ascii="Cambria Math" w:eastAsiaTheme="minorEastAsia" w:hAnsi="Cambria Math" w:cstheme="majorBidi"/>
                        <w:i/>
                      </w:rPr>
                    </m:ctrlPr>
                  </m:dPr>
                  <m:e>
                    <m:r>
                      <m:rPr>
                        <m:sty m:val="b"/>
                      </m:rPr>
                      <w:rPr>
                        <w:rFonts w:ascii="Cambria Math" w:eastAsiaTheme="minorEastAsia" w:hAnsi="Cambria Math" w:cstheme="majorBidi"/>
                      </w:rPr>
                      <m:t>V</m:t>
                    </m:r>
                    <m:r>
                      <w:rPr>
                        <w:rFonts w:ascii="Cambria Math" w:eastAsiaTheme="minorEastAsia" w:hAnsi="Cambria Math" w:cstheme="majorBidi"/>
                      </w:rPr>
                      <m:t>.</m:t>
                    </m:r>
                    <m:r>
                      <m:rPr>
                        <m:sty m:val="b"/>
                      </m:rPr>
                      <w:rPr>
                        <w:rFonts w:ascii="Cambria Math" w:eastAsiaTheme="minorEastAsia" w:hAnsi="Cambria Math" w:cstheme="majorBidi"/>
                      </w:rPr>
                      <m:t>∇</m:t>
                    </m:r>
                  </m:e>
                </m:d>
                <m:r>
                  <m:rPr>
                    <m:sty m:val="b"/>
                  </m:rPr>
                  <w:rPr>
                    <w:rFonts w:ascii="Cambria Math" w:eastAsiaTheme="minorEastAsia" w:hAnsi="Cambria Math" w:cstheme="majorBidi"/>
                  </w:rPr>
                  <m:t>V</m:t>
                </m:r>
              </m:oMath>
            </m:oMathPara>
          </w:p>
        </w:tc>
        <w:tc>
          <w:tcPr>
            <w:tcW w:w="4675" w:type="dxa"/>
          </w:tcPr>
          <w:p w14:paraId="08E29A3C" w14:textId="340F1DAD" w:rsidR="002E0162"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6</w:t>
            </w:r>
            <w:r>
              <w:rPr>
                <w:noProof/>
              </w:rPr>
              <w:fldChar w:fldCharType="end"/>
            </w:r>
          </w:p>
        </w:tc>
      </w:tr>
    </w:tbl>
    <w:p w14:paraId="21FF6E14" w14:textId="35048888" w:rsidR="007F4DEB" w:rsidRPr="004834D3" w:rsidRDefault="00640CC5" w:rsidP="006E213C">
      <w:pPr>
        <w:spacing w:before="240" w:after="240" w:line="480" w:lineRule="auto"/>
        <w:ind w:firstLine="720"/>
        <w:jc w:val="both"/>
        <w:rPr>
          <w:rFonts w:cstheme="majorBidi"/>
          <w:kern w:val="0"/>
        </w:rPr>
      </w:pPr>
      <w:r w:rsidRPr="004834D3">
        <w:rPr>
          <w:rFonts w:cstheme="majorBidi"/>
          <w:kern w:val="0"/>
        </w:rPr>
        <w:t xml:space="preserve">In the ALE framework, the material time derivative of the velocity at a specific point </w:t>
      </w:r>
      <m:oMath>
        <m:r>
          <m:rPr>
            <m:sty m:val="b"/>
          </m:rPr>
          <w:rPr>
            <w:rFonts w:ascii="Cambria Math" w:hAnsi="Cambria Math" w:cstheme="majorBidi"/>
            <w:kern w:val="0"/>
          </w:rPr>
          <m:t>X</m:t>
        </m:r>
      </m:oMath>
      <w:r w:rsidRPr="004834D3">
        <w:rPr>
          <w:rFonts w:cstheme="majorBidi"/>
          <w:kern w:val="0"/>
        </w:rPr>
        <w:t xml:space="preserve"> within the fluid domain and at a given time can be represented as </w:t>
      </w:r>
      <w:r w:rsidRPr="004834D3">
        <w:rPr>
          <w:rFonts w:cstheme="majorBidi"/>
          <w:shd w:val="clear" w:color="auto" w:fill="FFFFFF" w:themeFill="background1"/>
        </w:rPr>
        <w:fldChar w:fldCharType="begin" w:fldLock="1"/>
      </w:r>
      <w:r w:rsidR="00D83446">
        <w:rPr>
          <w:rFonts w:cstheme="majorBidi"/>
          <w:shd w:val="clear" w:color="auto" w:fill="FFFFFF" w:themeFill="background1"/>
        </w:rPr>
        <w:instrText>ADDIN CSL_CITATION {"citationItems":[{"id":"ITEM-1","itemData":{"DOI":"10.1006/jcph.2000.6592","ISSN":"00219991","abstract":"Since the initial publication of Hu et al. (1992, Theor. Comput. Fluid Dyn.3, 285), the numerical method developed for direct simulations of fluid-solid systems using the arbitrary Lagrangian-Eulerian (ALE) technique has undergone continuous modifications. Some of the modifications were described in H. H. Hu (1996, Int. J. Multiphase Flow22, 335). In this paper, we will present the most up-to-date implementation of the method and the results of several benchmark test problems. © 2001 Academic Press.","author":[{"dropping-particle":"","family":"Hu","given":"Howard H.","non-dropping-particle":"","parse-names":false,"suffix":""},{"dropping-particle":"","family":"Patankar","given":"N. A.","non-dropping-particle":"","parse-names":false,"suffix":""},{"dropping-particle":"","family":"Zhu","given":"M. Y.","non-dropping-particle":"","parse-names":false,"suffix":""}],"container-title":"Journal of Computational Physics","id":"ITEM-1","issue":"2","issued":{"date-parts":[["2001"]]},"page":"427-462","title":"Direct Numerical Simulations of Fluid-Solid Systems Using the Arbitrary Lagrangian-Eulerian Technique","type":"article-journal","volume":"169"},"uris":["http://www.mendeley.com/documents/?uuid=5dacbcd5-3a60-41a1-b8ac-bc8c12de1131"]}],"mendeley":{"formattedCitation":"[171]","plainTextFormattedCitation":"[171]","previouslyFormattedCitation":"[172]"},"properties":{"noteIndex":0},"schema":"https://github.com/citation-style-language/schema/raw/master/csl-citation.json"}</w:instrText>
      </w:r>
      <w:r w:rsidRPr="004834D3">
        <w:rPr>
          <w:rFonts w:cstheme="majorBidi"/>
          <w:shd w:val="clear" w:color="auto" w:fill="FFFFFF" w:themeFill="background1"/>
        </w:rPr>
        <w:fldChar w:fldCharType="separate"/>
      </w:r>
      <w:r w:rsidR="00D83446" w:rsidRPr="00D83446">
        <w:rPr>
          <w:rFonts w:cstheme="majorBidi"/>
          <w:noProof/>
          <w:shd w:val="clear" w:color="auto" w:fill="FFFFFF" w:themeFill="background1"/>
        </w:rPr>
        <w:t>[171]</w:t>
      </w:r>
      <w:r w:rsidRPr="004834D3">
        <w:rPr>
          <w:rFonts w:cstheme="majorBidi"/>
          <w:shd w:val="clear" w:color="auto" w:fill="FFFFFF" w:themeFill="background1"/>
        </w:rPr>
        <w:fldChar w:fldCharType="end"/>
      </w:r>
      <w:r w:rsidRPr="004834D3">
        <w:rPr>
          <w:rFonts w:cstheme="majorBidi"/>
          <w:kern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7188D" w:rsidRPr="004834D3" w14:paraId="3596A48E" w14:textId="77777777" w:rsidTr="009A4AF3">
        <w:tc>
          <w:tcPr>
            <w:tcW w:w="4675" w:type="dxa"/>
          </w:tcPr>
          <w:p w14:paraId="16A15D74" w14:textId="77777777" w:rsidR="00B7188D" w:rsidRPr="004834D3" w:rsidRDefault="00000000" w:rsidP="006E213C">
            <w:pPr>
              <w:spacing w:before="240" w:after="240" w:line="480" w:lineRule="auto"/>
              <w:ind w:firstLine="360"/>
              <w:jc w:val="both"/>
              <w:rPr>
                <w:rFonts w:eastAsiaTheme="minorEastAsia" w:cstheme="majorBidi"/>
              </w:rPr>
            </w:pPr>
            <m:oMathPara>
              <m:oMathParaPr>
                <m:jc m:val="left"/>
              </m:oMathParaPr>
              <m:oMath>
                <m:f>
                  <m:fPr>
                    <m:ctrlPr>
                      <w:rPr>
                        <w:rFonts w:ascii="Cambria Math" w:eastAsiaTheme="minorEastAsia" w:hAnsi="Cambria Math" w:cstheme="majorBidi"/>
                        <w:i/>
                      </w:rPr>
                    </m:ctrlPr>
                  </m:fPr>
                  <m:num>
                    <m:r>
                      <w:rPr>
                        <w:rFonts w:ascii="Cambria Math" w:eastAsiaTheme="minorEastAsia" w:hAnsi="Cambria Math" w:cstheme="majorBidi"/>
                      </w:rPr>
                      <m:t>D</m:t>
                    </m:r>
                  </m:num>
                  <m:den>
                    <m:r>
                      <w:rPr>
                        <w:rFonts w:ascii="Cambria Math" w:eastAsiaTheme="minorEastAsia" w:hAnsi="Cambria Math" w:cstheme="majorBidi"/>
                      </w:rPr>
                      <m:t>Dt</m:t>
                    </m:r>
                  </m:den>
                </m:f>
                <m:r>
                  <m:rPr>
                    <m:sty m:val="b"/>
                  </m:rPr>
                  <w:rPr>
                    <w:rFonts w:ascii="Cambria Math" w:eastAsiaTheme="minorEastAsia" w:hAnsi="Cambria Math" w:cstheme="majorBidi"/>
                  </w:rPr>
                  <m:t>V</m:t>
                </m:r>
                <m:d>
                  <m:dPr>
                    <m:ctrlPr>
                      <w:rPr>
                        <w:rFonts w:ascii="Cambria Math" w:eastAsiaTheme="minorEastAsia" w:hAnsi="Cambria Math" w:cstheme="majorBidi"/>
                        <w:i/>
                      </w:rPr>
                    </m:ctrlPr>
                  </m:dPr>
                  <m:e>
                    <m:r>
                      <m:rPr>
                        <m:sty m:val="b"/>
                      </m:rPr>
                      <w:rPr>
                        <w:rFonts w:ascii="Cambria Math" w:eastAsiaTheme="minorEastAsia" w:hAnsi="Cambria Math" w:cstheme="majorBidi"/>
                      </w:rPr>
                      <m:t>X</m:t>
                    </m:r>
                    <m:r>
                      <w:rPr>
                        <w:rFonts w:ascii="Cambria Math" w:eastAsiaTheme="minorEastAsia" w:hAnsi="Cambria Math" w:cstheme="majorBidi"/>
                      </w:rPr>
                      <m:t>, t</m:t>
                    </m:r>
                  </m:e>
                </m:d>
                <m:r>
                  <w:rPr>
                    <w:rFonts w:ascii="Cambria Math" w:eastAsiaTheme="minorEastAsia" w:hAnsi="Cambria Math" w:cstheme="majorBidi"/>
                  </w:rPr>
                  <m:t xml:space="preserve">= </m:t>
                </m:r>
                <m:f>
                  <m:fPr>
                    <m:ctrlPr>
                      <w:rPr>
                        <w:rFonts w:ascii="Cambria Math" w:eastAsiaTheme="minorEastAsia" w:hAnsi="Cambria Math" w:cstheme="majorBidi"/>
                        <w:i/>
                      </w:rPr>
                    </m:ctrlPr>
                  </m:fPr>
                  <m:num>
                    <m:r>
                      <w:rPr>
                        <w:rFonts w:ascii="Cambria Math" w:eastAsiaTheme="minorEastAsia" w:hAnsi="Cambria Math" w:cstheme="majorBidi"/>
                      </w:rPr>
                      <m:t>δ</m:t>
                    </m:r>
                    <m:r>
                      <m:rPr>
                        <m:sty m:val="b"/>
                      </m:rPr>
                      <w:rPr>
                        <w:rFonts w:ascii="Cambria Math" w:eastAsiaTheme="minorEastAsia" w:hAnsi="Cambria Math" w:cstheme="majorBidi"/>
                      </w:rPr>
                      <m:t>V</m:t>
                    </m:r>
                  </m:num>
                  <m:den>
                    <m:r>
                      <w:rPr>
                        <w:rFonts w:ascii="Cambria Math" w:eastAsiaTheme="minorEastAsia" w:hAnsi="Cambria Math" w:cstheme="majorBidi"/>
                      </w:rPr>
                      <m:t>δt</m:t>
                    </m:r>
                  </m:den>
                </m:f>
                <m:r>
                  <w:rPr>
                    <w:rFonts w:ascii="Cambria Math" w:eastAsiaTheme="minorEastAsia" w:hAnsi="Cambria Math" w:cstheme="majorBidi"/>
                  </w:rPr>
                  <m:t>+</m:t>
                </m:r>
                <m:d>
                  <m:dPr>
                    <m:begChr m:val="["/>
                    <m:endChr m:val="]"/>
                    <m:ctrlPr>
                      <w:rPr>
                        <w:rFonts w:ascii="Cambria Math" w:eastAsiaTheme="minorEastAsia" w:hAnsi="Cambria Math" w:cstheme="majorBidi"/>
                        <w:i/>
                      </w:rPr>
                    </m:ctrlPr>
                  </m:dPr>
                  <m:e>
                    <m:d>
                      <m:dPr>
                        <m:ctrlPr>
                          <w:rPr>
                            <w:rFonts w:ascii="Cambria Math" w:eastAsiaTheme="minorEastAsia" w:hAnsi="Cambria Math" w:cstheme="majorBidi"/>
                            <w:i/>
                          </w:rPr>
                        </m:ctrlPr>
                      </m:dPr>
                      <m:e>
                        <m:r>
                          <m:rPr>
                            <m:sty m:val="b"/>
                          </m:rPr>
                          <w:rPr>
                            <w:rFonts w:ascii="Cambria Math" w:eastAsiaTheme="minorEastAsia" w:hAnsi="Cambria Math" w:cstheme="majorBidi"/>
                          </w:rPr>
                          <m:t>V</m:t>
                        </m:r>
                        <m:r>
                          <w:rPr>
                            <w:rFonts w:ascii="Cambria Math" w:eastAsiaTheme="minorEastAsia" w:hAnsi="Cambria Math" w:cstheme="majorBidi"/>
                          </w:rPr>
                          <m:t>- </m:t>
                        </m:r>
                        <m:sSub>
                          <m:sSubPr>
                            <m:ctrlPr>
                              <w:rPr>
                                <w:rFonts w:ascii="Cambria Math" w:eastAsiaTheme="minorEastAsia" w:hAnsi="Cambria Math" w:cstheme="majorBidi"/>
                                <w:i/>
                              </w:rPr>
                            </m:ctrlPr>
                          </m:sSubPr>
                          <m:e>
                            <m:r>
                              <m:rPr>
                                <m:sty m:val="b"/>
                              </m:rPr>
                              <w:rPr>
                                <w:rFonts w:ascii="Cambria Math" w:eastAsiaTheme="minorEastAsia" w:hAnsi="Cambria Math" w:cstheme="majorBidi"/>
                              </w:rPr>
                              <m:t>V</m:t>
                            </m:r>
                          </m:e>
                          <m:sub>
                            <m:r>
                              <m:rPr>
                                <m:sty m:val="p"/>
                              </m:rPr>
                              <w:rPr>
                                <w:rFonts w:ascii="Cambria Math" w:eastAsiaTheme="minorEastAsia" w:hAnsi="Cambria Math" w:cstheme="majorBidi"/>
                              </w:rPr>
                              <m:t>mesh</m:t>
                            </m:r>
                          </m:sub>
                        </m:sSub>
                      </m:e>
                    </m:d>
                    <m:r>
                      <w:rPr>
                        <w:rFonts w:ascii="Cambria Math" w:eastAsiaTheme="minorEastAsia" w:hAnsi="Cambria Math" w:cstheme="majorBidi"/>
                      </w:rPr>
                      <m:t>.</m:t>
                    </m:r>
                    <m:r>
                      <m:rPr>
                        <m:sty m:val="b"/>
                      </m:rPr>
                      <w:rPr>
                        <w:rFonts w:ascii="Cambria Math" w:eastAsiaTheme="minorEastAsia" w:hAnsi="Cambria Math" w:cstheme="majorBidi"/>
                      </w:rPr>
                      <m:t>∇</m:t>
                    </m:r>
                  </m:e>
                </m:d>
                <m:r>
                  <m:rPr>
                    <m:sty m:val="b"/>
                  </m:rPr>
                  <w:rPr>
                    <w:rFonts w:ascii="Cambria Math" w:eastAsiaTheme="minorEastAsia" w:hAnsi="Cambria Math" w:cstheme="majorBidi"/>
                  </w:rPr>
                  <m:t>V</m:t>
                </m:r>
              </m:oMath>
            </m:oMathPara>
          </w:p>
        </w:tc>
        <w:tc>
          <w:tcPr>
            <w:tcW w:w="4675" w:type="dxa"/>
            <w:shd w:val="clear" w:color="auto" w:fill="FFFFFF" w:themeFill="background1"/>
          </w:tcPr>
          <w:p w14:paraId="478ADEEA" w14:textId="4EA93AFA" w:rsidR="00B7188D"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7</w:t>
            </w:r>
            <w:r>
              <w:rPr>
                <w:noProof/>
              </w:rPr>
              <w:fldChar w:fldCharType="end"/>
            </w:r>
          </w:p>
        </w:tc>
      </w:tr>
    </w:tbl>
    <w:p w14:paraId="1D56BAA6" w14:textId="5DB1A6EA" w:rsidR="00442DF0" w:rsidRPr="00442DF0" w:rsidRDefault="00F062F8" w:rsidP="006E213C">
      <w:pPr>
        <w:spacing w:before="240" w:after="240" w:line="480" w:lineRule="auto"/>
        <w:jc w:val="both"/>
        <w:rPr>
          <w:rFonts w:cstheme="majorBidi"/>
          <w:kern w:val="0"/>
        </w:rPr>
      </w:pPr>
      <w:r w:rsidRPr="004834D3">
        <w:rPr>
          <w:rFonts w:cstheme="majorBidi"/>
        </w:rPr>
        <w:t xml:space="preserve">where </w:t>
      </w:r>
      <m:oMath>
        <m:sSub>
          <m:sSubPr>
            <m:ctrlPr>
              <w:rPr>
                <w:rFonts w:ascii="Cambria Math" w:eastAsiaTheme="minorEastAsia" w:hAnsi="Cambria Math" w:cstheme="majorBidi"/>
                <w:i/>
              </w:rPr>
            </m:ctrlPr>
          </m:sSubPr>
          <m:e>
            <m:r>
              <m:rPr>
                <m:sty m:val="b"/>
              </m:rPr>
              <w:rPr>
                <w:rFonts w:ascii="Cambria Math" w:eastAsiaTheme="minorEastAsia" w:hAnsi="Cambria Math" w:cstheme="majorBidi"/>
              </w:rPr>
              <m:t>V</m:t>
            </m:r>
          </m:e>
          <m:sub>
            <m:r>
              <m:rPr>
                <m:sty m:val="p"/>
              </m:rPr>
              <w:rPr>
                <w:rFonts w:ascii="Cambria Math" w:eastAsiaTheme="minorEastAsia" w:hAnsi="Cambria Math" w:cstheme="majorBidi"/>
              </w:rPr>
              <m:t>mesh</m:t>
            </m:r>
          </m:sub>
        </m:sSub>
      </m:oMath>
      <w:r w:rsidRPr="004834D3">
        <w:rPr>
          <w:rFonts w:eastAsiaTheme="minorEastAsia" w:cstheme="majorBidi"/>
        </w:rPr>
        <w:t xml:space="preserve"> </w:t>
      </w:r>
      <w:r w:rsidRPr="004834D3">
        <w:rPr>
          <w:rFonts w:cstheme="majorBidi"/>
          <w:kern w:val="0"/>
        </w:rPr>
        <w:t xml:space="preserve">denotes the velocity of the mesh and </w:t>
      </w:r>
      <m:oMath>
        <m:r>
          <w:rPr>
            <w:rFonts w:ascii="Cambria Math" w:eastAsiaTheme="minorEastAsia" w:hAnsi="Cambria Math" w:cstheme="majorBidi"/>
          </w:rPr>
          <m:t>δ</m:t>
        </m:r>
        <m:r>
          <m:rPr>
            <m:sty m:val="b"/>
          </m:rPr>
          <w:rPr>
            <w:rFonts w:ascii="Cambria Math" w:eastAsiaTheme="minorEastAsia" w:hAnsi="Cambria Math" w:cstheme="majorBidi"/>
          </w:rPr>
          <m:t>V</m:t>
        </m:r>
        <m:r>
          <w:rPr>
            <w:rFonts w:ascii="Cambria Math" w:eastAsiaTheme="minorEastAsia" w:hAnsi="Cambria Math" w:cstheme="majorBidi"/>
          </w:rPr>
          <m:t xml:space="preserve">/δt </m:t>
        </m:r>
      </m:oMath>
      <w:r w:rsidRPr="004834D3">
        <w:rPr>
          <w:rFonts w:eastAsiaTheme="minorEastAsia" w:cstheme="majorBidi"/>
        </w:rPr>
        <w:t xml:space="preserve"> </w:t>
      </w:r>
      <w:r w:rsidRPr="004834D3">
        <w:rPr>
          <w:rFonts w:cstheme="majorBidi"/>
          <w:kern w:val="0"/>
        </w:rPr>
        <w:t>represents the referential time derivative. This derivative is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E60AA" w:rsidRPr="004834D3" w14:paraId="2E23DD71" w14:textId="77777777" w:rsidTr="009A4AF3">
        <w:tc>
          <w:tcPr>
            <w:tcW w:w="4675" w:type="dxa"/>
          </w:tcPr>
          <w:p w14:paraId="79D18870" w14:textId="77777777" w:rsidR="003E60AA" w:rsidRPr="004834D3" w:rsidRDefault="00000000" w:rsidP="006E213C">
            <w:pPr>
              <w:shd w:val="clear" w:color="auto" w:fill="FFFFFF" w:themeFill="background1"/>
              <w:spacing w:before="240" w:after="240" w:line="480" w:lineRule="auto"/>
              <w:jc w:val="both"/>
              <w:rPr>
                <w:rFonts w:eastAsiaTheme="minorEastAsia" w:cstheme="majorBidi"/>
                <w:shd w:val="clear" w:color="auto" w:fill="FFFFFF" w:themeFill="background1"/>
              </w:rPr>
            </w:pPr>
            <m:oMathPara>
              <m:oMathParaPr>
                <m:jc m:val="left"/>
              </m:oMathParaPr>
              <m:oMath>
                <m:f>
                  <m:fPr>
                    <m:ctrlPr>
                      <w:rPr>
                        <w:rFonts w:ascii="Cambria Math" w:eastAsiaTheme="minorEastAsia" w:hAnsi="Cambria Math" w:cstheme="majorBidi"/>
                        <w:i/>
                      </w:rPr>
                    </m:ctrlPr>
                  </m:fPr>
                  <m:num>
                    <m:r>
                      <w:rPr>
                        <w:rFonts w:ascii="Cambria Math" w:eastAsiaTheme="minorEastAsia" w:hAnsi="Cambria Math" w:cstheme="majorBidi"/>
                      </w:rPr>
                      <m:t>δ</m:t>
                    </m:r>
                  </m:num>
                  <m:den>
                    <m:r>
                      <w:rPr>
                        <w:rFonts w:ascii="Cambria Math" w:eastAsiaTheme="minorEastAsia" w:hAnsi="Cambria Math" w:cstheme="majorBidi"/>
                      </w:rPr>
                      <m:t>δt</m:t>
                    </m:r>
                  </m:den>
                </m:f>
                <m:r>
                  <m:rPr>
                    <m:sty m:val="b"/>
                  </m:rPr>
                  <w:rPr>
                    <w:rFonts w:ascii="Cambria Math" w:eastAsiaTheme="minorEastAsia" w:hAnsi="Cambria Math" w:cstheme="majorBidi"/>
                  </w:rPr>
                  <m:t>V</m:t>
                </m:r>
                <m:r>
                  <w:rPr>
                    <w:rFonts w:ascii="Cambria Math" w:eastAsiaTheme="minorEastAsia" w:hAnsi="Cambria Math" w:cstheme="majorBidi"/>
                  </w:rPr>
                  <m:t>(</m:t>
                </m:r>
                <m:r>
                  <m:rPr>
                    <m:sty m:val="b"/>
                  </m:rPr>
                  <w:rPr>
                    <w:rFonts w:ascii="Cambria Math" w:eastAsiaTheme="minorEastAsia" w:hAnsi="Cambria Math" w:cstheme="majorBidi"/>
                  </w:rPr>
                  <m:t>X</m:t>
                </m:r>
                <m:r>
                  <w:rPr>
                    <w:rFonts w:ascii="Cambria Math" w:eastAsiaTheme="minorEastAsia" w:hAnsi="Cambria Math" w:cstheme="majorBidi"/>
                  </w:rPr>
                  <m:t xml:space="preserve">, t)= </m:t>
                </m:r>
                <m:sSub>
                  <m:sSubPr>
                    <m:ctrlPr>
                      <w:rPr>
                        <w:rFonts w:ascii="Cambria Math" w:hAnsi="Cambria Math" w:cstheme="majorBidi"/>
                        <w:bCs/>
                        <w:i/>
                        <w:lang w:eastAsia="ja-JP"/>
                      </w:rPr>
                    </m:ctrlPr>
                  </m:sSubPr>
                  <m:e>
                    <m:d>
                      <m:dPr>
                        <m:begChr m:val=""/>
                        <m:endChr m:val="|"/>
                        <m:ctrlPr>
                          <w:rPr>
                            <w:rFonts w:ascii="Cambria Math" w:hAnsi="Cambria Math" w:cstheme="majorBidi"/>
                            <w:bCs/>
                            <w:i/>
                            <w:lang w:eastAsia="ja-JP"/>
                          </w:rPr>
                        </m:ctrlPr>
                      </m:dPr>
                      <m:e>
                        <m:f>
                          <m:fPr>
                            <m:ctrlPr>
                              <w:rPr>
                                <w:rFonts w:ascii="Cambria Math" w:hAnsi="Cambria Math" w:cstheme="majorBidi"/>
                                <w:bCs/>
                                <w:i/>
                                <w:lang w:eastAsia="ja-JP"/>
                              </w:rPr>
                            </m:ctrlPr>
                          </m:fPr>
                          <m:num>
                            <m:r>
                              <w:rPr>
                                <w:rFonts w:ascii="Cambria Math" w:hAnsi="Cambria Math" w:cstheme="majorBidi"/>
                              </w:rPr>
                              <m:t>∂</m:t>
                            </m:r>
                            <m:r>
                              <m:rPr>
                                <m:sty m:val="b"/>
                              </m:rPr>
                              <w:rPr>
                                <w:rFonts w:ascii="Cambria Math" w:hAnsi="Cambria Math" w:cstheme="majorBidi"/>
                              </w:rPr>
                              <m:t>V</m:t>
                            </m:r>
                          </m:num>
                          <m:den>
                            <m:r>
                              <w:rPr>
                                <w:rFonts w:ascii="Cambria Math" w:hAnsi="Cambria Math" w:cstheme="majorBidi"/>
                              </w:rPr>
                              <m:t>∂</m:t>
                            </m:r>
                            <m:r>
                              <w:rPr>
                                <w:rFonts w:ascii="Cambria Math" w:hAnsi="Cambria Math" w:cstheme="majorBidi"/>
                                <w:lang w:eastAsia="ja-JP"/>
                              </w:rPr>
                              <m:t>t</m:t>
                            </m:r>
                          </m:den>
                        </m:f>
                      </m:e>
                    </m:d>
                  </m:e>
                  <m:sub>
                    <m:r>
                      <m:rPr>
                        <m:sty m:val="p"/>
                      </m:rPr>
                      <w:rPr>
                        <w:rFonts w:ascii="Cambria Math" w:hAnsi="Cambria Math" w:cstheme="majorBidi"/>
                        <w:lang w:eastAsia="ja-JP"/>
                      </w:rPr>
                      <m:t>ref</m:t>
                    </m:r>
                  </m:sub>
                </m:sSub>
              </m:oMath>
            </m:oMathPara>
          </w:p>
        </w:tc>
        <w:tc>
          <w:tcPr>
            <w:tcW w:w="4675" w:type="dxa"/>
          </w:tcPr>
          <w:p w14:paraId="766C2712" w14:textId="59641965" w:rsidR="003E60AA" w:rsidRPr="004834D3" w:rsidRDefault="000B1B64" w:rsidP="006E213C">
            <w:pPr>
              <w:spacing w:before="240" w:after="240" w:line="480" w:lineRule="auto"/>
              <w:jc w:val="right"/>
              <w:rPr>
                <w:rFonts w:eastAsiaTheme="minorEastAsia" w:cstheme="majorBidi"/>
                <w:shd w:val="clear" w:color="auto" w:fill="FFFFFF" w:themeFill="background1"/>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8</w:t>
            </w:r>
            <w:r>
              <w:rPr>
                <w:noProof/>
              </w:rPr>
              <w:fldChar w:fldCharType="end"/>
            </w:r>
          </w:p>
        </w:tc>
      </w:tr>
    </w:tbl>
    <w:p w14:paraId="5AF06EAD" w14:textId="793182CC" w:rsidR="00F062F8" w:rsidRPr="004834D3" w:rsidRDefault="00A702EF" w:rsidP="006E213C">
      <w:pPr>
        <w:spacing w:before="240" w:after="240" w:line="480" w:lineRule="auto"/>
        <w:ind w:firstLine="720"/>
        <w:jc w:val="both"/>
        <w:rPr>
          <w:rFonts w:cstheme="majorBidi"/>
          <w:kern w:val="0"/>
        </w:rPr>
      </w:pPr>
      <w:r w:rsidRPr="004834D3">
        <w:rPr>
          <w:rFonts w:cstheme="majorBidi"/>
          <w:kern w:val="0"/>
        </w:rPr>
        <w:t>If</w:t>
      </w:r>
      <w:r w:rsidR="00DD4553" w:rsidRPr="004834D3">
        <w:rPr>
          <w:rFonts w:cstheme="majorBidi"/>
          <w:kern w:val="0"/>
        </w:rPr>
        <w:t xml:space="preserve"> the referential domain aligns with the spatial domain at the current time, such that the mesh velocity </w:t>
      </w:r>
      <m:oMath>
        <m:sSub>
          <m:sSubPr>
            <m:ctrlPr>
              <w:rPr>
                <w:rFonts w:ascii="Cambria Math" w:eastAsiaTheme="minorEastAsia" w:hAnsi="Cambria Math" w:cstheme="majorBidi"/>
                <w:i/>
              </w:rPr>
            </m:ctrlPr>
          </m:sSubPr>
          <m:e>
            <m:r>
              <m:rPr>
                <m:sty m:val="b"/>
              </m:rPr>
              <w:rPr>
                <w:rFonts w:ascii="Cambria Math" w:eastAsiaTheme="minorEastAsia" w:hAnsi="Cambria Math" w:cstheme="majorBidi"/>
              </w:rPr>
              <m:t>V</m:t>
            </m:r>
          </m:e>
          <m:sub>
            <m:r>
              <m:rPr>
                <m:sty m:val="p"/>
              </m:rPr>
              <w:rPr>
                <w:rFonts w:ascii="Cambria Math" w:eastAsiaTheme="minorEastAsia" w:hAnsi="Cambria Math" w:cstheme="majorBidi"/>
              </w:rPr>
              <m:t>mesh</m:t>
            </m:r>
          </m:sub>
        </m:sSub>
      </m:oMath>
      <w:r w:rsidR="00DD4553" w:rsidRPr="004834D3">
        <w:rPr>
          <w:rFonts w:eastAsiaTheme="minorEastAsia" w:cstheme="majorBidi"/>
        </w:rPr>
        <w:t xml:space="preserve"> </w:t>
      </w:r>
      <w:r w:rsidR="00DD4553" w:rsidRPr="004834D3">
        <w:rPr>
          <w:rFonts w:cstheme="majorBidi"/>
          <w:kern w:val="0"/>
        </w:rPr>
        <w:t>is zero, the referential time derivative simplifies to the Eulerian time derivative. This scenario implies that there is no movement of the mesh relative to the spatial coordinates. Conversely, if the mesh velocity equals the velocity of the material particle</w:t>
      </w:r>
      <w:r w:rsidRPr="004834D3">
        <w:rPr>
          <w:rFonts w:cstheme="majorBidi"/>
          <w:kern w:val="0"/>
        </w:rPr>
        <w:t>,</w:t>
      </w:r>
      <w:r w:rsidR="00DD4553" w:rsidRPr="004834D3">
        <w:rPr>
          <w:rFonts w:cstheme="majorBidi"/>
          <w:kern w:val="0"/>
        </w:rPr>
        <w:t xml:space="preserve"> </w:t>
      </w:r>
      <m:oMath>
        <m:sSub>
          <m:sSubPr>
            <m:ctrlPr>
              <w:rPr>
                <w:rFonts w:ascii="Cambria Math" w:eastAsiaTheme="minorEastAsia" w:hAnsi="Cambria Math" w:cstheme="majorBidi"/>
                <w:i/>
              </w:rPr>
            </m:ctrlPr>
          </m:sSubPr>
          <m:e>
            <m:r>
              <m:rPr>
                <m:sty m:val="b"/>
              </m:rPr>
              <w:rPr>
                <w:rFonts w:ascii="Cambria Math" w:eastAsiaTheme="minorEastAsia" w:hAnsi="Cambria Math" w:cstheme="majorBidi"/>
              </w:rPr>
              <m:t>V</m:t>
            </m:r>
          </m:e>
          <m:sub>
            <m:r>
              <m:rPr>
                <m:sty m:val="p"/>
              </m:rPr>
              <w:rPr>
                <w:rFonts w:ascii="Cambria Math" w:eastAsiaTheme="minorEastAsia" w:hAnsi="Cambria Math" w:cstheme="majorBidi"/>
              </w:rPr>
              <m:t>mesh</m:t>
            </m:r>
          </m:sub>
        </m:sSub>
        <m:r>
          <w:rPr>
            <w:rFonts w:ascii="Cambria Math" w:hAnsi="Cambria Math" w:cstheme="majorBidi"/>
            <w:shd w:val="clear" w:color="auto" w:fill="FFFFFF" w:themeFill="background1"/>
          </w:rPr>
          <m:t>=</m:t>
        </m:r>
        <m:r>
          <m:rPr>
            <m:sty m:val="b"/>
          </m:rPr>
          <w:rPr>
            <w:rFonts w:ascii="Cambria Math" w:hAnsi="Cambria Math" w:cstheme="majorBidi"/>
            <w:shd w:val="clear" w:color="auto" w:fill="FFFFFF" w:themeFill="background1"/>
          </w:rPr>
          <m:t>V</m:t>
        </m:r>
      </m:oMath>
      <w:r w:rsidR="00DD4553" w:rsidRPr="004834D3">
        <w:rPr>
          <w:rFonts w:cstheme="majorBidi"/>
          <w:kern w:val="0"/>
        </w:rPr>
        <w:t xml:space="preserve">, the referential time derivative transforms into the Lagrangian time derivative, capturing the viewpoint of an observer moving with the particle. Generally, the mesh velocity is not uniformly specified across the entire domain but is typically constrained at its boundaries to accommodate the movements of both the particle and the surrounding flow geometry. Within the interior of the domain, however, the mesh velocity can be largely arbitrary, providing flexibility in how the mesh adapts to the flow and the evolving boundaries of the simulation. </w:t>
      </w:r>
    </w:p>
    <w:p w14:paraId="15F2B079" w14:textId="4EADBCD2" w:rsidR="00A5602C" w:rsidRPr="00A5602C" w:rsidRDefault="00CD5C81" w:rsidP="006E213C">
      <w:pPr>
        <w:spacing w:before="240" w:after="240" w:line="480" w:lineRule="auto"/>
        <w:ind w:firstLine="720"/>
        <w:jc w:val="both"/>
        <w:rPr>
          <w:rFonts w:cstheme="majorBidi"/>
          <w:kern w:val="0"/>
        </w:rPr>
      </w:pPr>
      <w:r w:rsidRPr="004834D3">
        <w:rPr>
          <w:rFonts w:cstheme="majorBidi"/>
          <w:kern w:val="0"/>
        </w:rPr>
        <w:t xml:space="preserve">To effectively model natural convection within the fluid, the density is treated as a linear function of temperature in the momentum equation, represented by </w:t>
      </w:r>
      <m:oMath>
        <m:r>
          <w:rPr>
            <w:rFonts w:ascii="Cambria Math" w:hAnsi="Cambria Math" w:cstheme="majorBidi"/>
          </w:rPr>
          <m:t>ρ</m:t>
        </m:r>
        <m:d>
          <m:dPr>
            <m:begChr m:val="["/>
            <m:endChr m:val="]"/>
            <m:ctrlPr>
              <w:rPr>
                <w:rFonts w:ascii="Cambria Math" w:hAnsi="Cambria Math" w:cstheme="majorBidi"/>
                <w:i/>
              </w:rPr>
            </m:ctrlPr>
          </m:dPr>
          <m:e>
            <m:r>
              <w:rPr>
                <w:rFonts w:ascii="Cambria Math" w:hAnsi="Cambria Math" w:cstheme="majorBidi"/>
              </w:rPr>
              <m:t>1-β</m:t>
            </m:r>
            <m:d>
              <m:dPr>
                <m:ctrlPr>
                  <w:rPr>
                    <w:rFonts w:ascii="Cambria Math" w:hAnsi="Cambria Math" w:cstheme="majorBidi"/>
                    <w:i/>
                  </w:rPr>
                </m:ctrlPr>
              </m:dPr>
              <m:e>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e>
            </m:d>
          </m:e>
        </m:d>
      </m:oMath>
      <w:r w:rsidRPr="004834D3">
        <w:rPr>
          <w:rFonts w:cstheme="majorBidi"/>
          <w:kern w:val="0"/>
        </w:rPr>
        <w:t xml:space="preserve">. Here,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0</m:t>
            </m:r>
          </m:sub>
        </m:sSub>
      </m:oMath>
      <w:r w:rsidRPr="004834D3">
        <w:rPr>
          <w:rFonts w:cstheme="majorBidi"/>
          <w:kern w:val="0"/>
        </w:rPr>
        <w:t xml:space="preserve"> stands as the reference temperature, </w:t>
      </w:r>
      <m:oMath>
        <m:r>
          <w:rPr>
            <w:rFonts w:ascii="Cambria Math" w:hAnsi="Cambria Math" w:cstheme="majorBidi"/>
            <w:kern w:val="0"/>
          </w:rPr>
          <m:t>ρ</m:t>
        </m:r>
      </m:oMath>
      <w:r w:rsidRPr="004834D3">
        <w:rPr>
          <w:rFonts w:cstheme="majorBidi"/>
          <w:kern w:val="0"/>
        </w:rPr>
        <w:t xml:space="preserve"> denotes the density of the liquid at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0</m:t>
            </m:r>
          </m:sub>
        </m:sSub>
      </m:oMath>
      <w:r w:rsidRPr="004834D3">
        <w:rPr>
          <w:rFonts w:cstheme="majorBidi"/>
          <w:kern w:val="0"/>
        </w:rPr>
        <w:t xml:space="preserve">, </w:t>
      </w:r>
      <m:oMath>
        <m:r>
          <w:rPr>
            <w:rFonts w:ascii="Cambria Math" w:hAnsi="Cambria Math" w:cstheme="majorBidi"/>
            <w:kern w:val="0"/>
          </w:rPr>
          <m:t>β</m:t>
        </m:r>
      </m:oMath>
      <w:r w:rsidRPr="004834D3">
        <w:rPr>
          <w:rFonts w:cstheme="majorBidi"/>
          <w:kern w:val="0"/>
        </w:rPr>
        <w:t xml:space="preserve"> is the thermal expansion coefficient of the fluid, and </w:t>
      </w:r>
      <m:oMath>
        <m:r>
          <w:rPr>
            <w:rFonts w:ascii="Cambria Math" w:hAnsi="Cambria Math" w:cstheme="majorBidi"/>
            <w:kern w:val="0"/>
          </w:rPr>
          <m:t>T</m:t>
        </m:r>
      </m:oMath>
      <w:r w:rsidRPr="004834D3">
        <w:rPr>
          <w:rFonts w:cstheme="majorBidi"/>
          <w:kern w:val="0"/>
        </w:rPr>
        <w:t xml:space="preserve"> signifies the variable temperature within the fluid. For this model, the initial fluid temperature is set as the reference temperature</w:t>
      </w:r>
      <w:r w:rsidR="000536C1" w:rsidRPr="004834D3">
        <w:rPr>
          <w:rFonts w:cstheme="majorBidi"/>
          <w:kern w:val="0"/>
        </w:rPr>
        <w:t>,</w:t>
      </w:r>
      <w:r w:rsidRPr="004834D3">
        <w:rPr>
          <w:rFonts w:cstheme="majorBidi"/>
          <w:kern w:val="0"/>
        </w:rPr>
        <w:t xml:space="preserve">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m:t>
            </m:r>
          </m:sub>
        </m:sSub>
      </m:oMath>
      <w:r w:rsidRPr="004834D3">
        <w:rPr>
          <w:rFonts w:eastAsiaTheme="minorEastAsia" w:cstheme="majorBidi"/>
        </w:rPr>
        <w:t xml:space="preserve"> =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m:t>
            </m:r>
          </m:sub>
        </m:sSub>
      </m:oMath>
      <w:r w:rsidRPr="004834D3">
        <w:rPr>
          <w:rFonts w:cstheme="majorBidi"/>
          <w:kern w:val="0"/>
        </w:rPr>
        <w:t>. By employing the Boussinesq approximation, the model simplifies the treatment of density variations by considering them solely in the buoyancy term of the momentum equation. This approach effectively captures the impact of temperature-driven density changes on the fluid dynamics without complicating the entire fluid density profile. As a result, the body force term</w:t>
      </w:r>
      <w:r w:rsidR="000536C1" w:rsidRPr="004834D3">
        <w:rPr>
          <w:rFonts w:cstheme="majorBidi"/>
          <w:kern w:val="0"/>
        </w:rPr>
        <w:t xml:space="preserve"> in the </w:t>
      </w:r>
      <w:r w:rsidR="000536C1" w:rsidRPr="004834D3">
        <w:rPr>
          <w:rFonts w:cstheme="majorBidi"/>
          <w:kern w:val="0"/>
        </w:rPr>
        <w:lastRenderedPageBreak/>
        <w:t>momentum equation</w:t>
      </w:r>
      <w:r w:rsidRPr="004834D3">
        <w:rPr>
          <w:rFonts w:cstheme="majorBidi"/>
          <w:kern w:val="0"/>
        </w:rPr>
        <w:t>, which primarily accounts for the effects of buoyancy due to temperature differences,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12E4E" w:rsidRPr="004834D3" w14:paraId="5A083D05" w14:textId="77777777" w:rsidTr="009A4AF3">
        <w:tc>
          <w:tcPr>
            <w:tcW w:w="4675" w:type="dxa"/>
          </w:tcPr>
          <w:p w14:paraId="2811373B" w14:textId="77777777" w:rsidR="00212E4E" w:rsidRPr="004834D3" w:rsidRDefault="00212E4E" w:rsidP="006E213C">
            <w:pPr>
              <w:shd w:val="clear" w:color="auto" w:fill="FFFFFF" w:themeFill="background1"/>
              <w:spacing w:before="240" w:after="240" w:line="480" w:lineRule="auto"/>
              <w:jc w:val="both"/>
              <w:rPr>
                <w:rFonts w:cstheme="majorBidi"/>
              </w:rPr>
            </w:pPr>
            <m:oMathPara>
              <m:oMathParaPr>
                <m:jc m:val="left"/>
              </m:oMathParaPr>
              <m:oMath>
                <m:r>
                  <m:rPr>
                    <m:sty m:val="bi"/>
                  </m:rPr>
                  <w:rPr>
                    <w:rFonts w:ascii="Cambria Math" w:hAnsi="Cambria Math" w:cstheme="majorBidi"/>
                  </w:rPr>
                  <m:t>f</m:t>
                </m:r>
                <m:r>
                  <w:rPr>
                    <w:rFonts w:ascii="Cambria Math" w:hAnsi="Cambria Math" w:cstheme="majorBidi"/>
                  </w:rPr>
                  <m:t xml:space="preserve">= </m:t>
                </m:r>
                <m:d>
                  <m:dPr>
                    <m:begChr m:val="["/>
                    <m:endChr m:val="]"/>
                    <m:ctrlPr>
                      <w:rPr>
                        <w:rFonts w:ascii="Cambria Math" w:eastAsiaTheme="minorEastAsia" w:hAnsi="Cambria Math" w:cstheme="majorBidi"/>
                        <w:i/>
                      </w:rPr>
                    </m:ctrlPr>
                  </m:dPr>
                  <m:e>
                    <m:r>
                      <w:rPr>
                        <w:rFonts w:ascii="Cambria Math" w:eastAsiaTheme="minorEastAsia" w:hAnsi="Cambria Math" w:cstheme="majorBidi"/>
                      </w:rPr>
                      <m:t>1-β</m:t>
                    </m:r>
                    <m:d>
                      <m:dPr>
                        <m:ctrlPr>
                          <w:rPr>
                            <w:rFonts w:ascii="Cambria Math" w:eastAsiaTheme="minorEastAsia" w:hAnsi="Cambria Math" w:cstheme="majorBidi"/>
                            <w:i/>
                          </w:rPr>
                        </m:ctrlPr>
                      </m:dPr>
                      <m:e>
                        <m:r>
                          <w:rPr>
                            <w:rFonts w:ascii="Cambria Math" w:eastAsiaTheme="minorEastAsia" w:hAnsi="Cambria Math" w:cstheme="majorBidi"/>
                          </w:rPr>
                          <m:t>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0</m:t>
                            </m:r>
                          </m:sub>
                        </m:sSub>
                      </m:e>
                    </m:d>
                  </m:e>
                </m:d>
                <m:r>
                  <m:rPr>
                    <m:sty m:val="b"/>
                  </m:rPr>
                  <w:rPr>
                    <w:rFonts w:ascii="Cambria Math" w:eastAsiaTheme="minorEastAsia" w:hAnsi="Cambria Math" w:cstheme="majorBidi"/>
                  </w:rPr>
                  <m:t>g</m:t>
                </m:r>
              </m:oMath>
            </m:oMathPara>
          </w:p>
        </w:tc>
        <w:tc>
          <w:tcPr>
            <w:tcW w:w="4675" w:type="dxa"/>
          </w:tcPr>
          <w:p w14:paraId="37808F5A" w14:textId="4E3FA28E" w:rsidR="00212E4E" w:rsidRPr="004834D3" w:rsidRDefault="000B1B64" w:rsidP="006E213C">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9</w:t>
            </w:r>
            <w:r>
              <w:rPr>
                <w:noProof/>
              </w:rPr>
              <w:fldChar w:fldCharType="end"/>
            </w:r>
          </w:p>
        </w:tc>
      </w:tr>
    </w:tbl>
    <w:p w14:paraId="5D2F9740" w14:textId="39AADB71" w:rsidR="00A5602C" w:rsidRPr="00A5602C" w:rsidRDefault="000536C1" w:rsidP="006E213C">
      <w:pPr>
        <w:spacing w:before="240" w:after="240" w:line="480" w:lineRule="auto"/>
        <w:jc w:val="both"/>
        <w:rPr>
          <w:rFonts w:cstheme="majorBidi"/>
          <w:kern w:val="0"/>
        </w:rPr>
      </w:pPr>
      <w:r w:rsidRPr="004834D3">
        <w:rPr>
          <w:rFonts w:cstheme="majorBidi"/>
          <w:kern w:val="0"/>
        </w:rPr>
        <w:t xml:space="preserve">where </w:t>
      </w:r>
      <m:oMath>
        <m:r>
          <m:rPr>
            <m:sty m:val="b"/>
          </m:rPr>
          <w:rPr>
            <w:rFonts w:ascii="Cambria Math" w:hAnsi="Cambria Math" w:cstheme="majorBidi"/>
            <w:kern w:val="0"/>
          </w:rPr>
          <m:t>g</m:t>
        </m:r>
      </m:oMath>
      <w:r w:rsidRPr="004834D3">
        <w:rPr>
          <w:rFonts w:cstheme="majorBidi"/>
          <w:kern w:val="0"/>
        </w:rPr>
        <w:t xml:space="preserve"> represents the gravity vector. The final form of the momentum conservation equation within the ALE framework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0536C1" w:rsidRPr="004834D3" w14:paraId="066E6567" w14:textId="77777777" w:rsidTr="009A4AF3">
        <w:tc>
          <w:tcPr>
            <w:tcW w:w="8545" w:type="dxa"/>
          </w:tcPr>
          <w:p w14:paraId="0818D5CD" w14:textId="77777777" w:rsidR="000536C1" w:rsidRPr="004834D3" w:rsidRDefault="000536C1" w:rsidP="006E213C">
            <w:pPr>
              <w:spacing w:before="240" w:after="240" w:line="480" w:lineRule="auto"/>
              <w:jc w:val="both"/>
              <w:rPr>
                <w:rFonts w:eastAsiaTheme="minorEastAsia" w:cstheme="majorBidi"/>
              </w:rPr>
            </w:pPr>
            <m:oMathPara>
              <m:oMathParaPr>
                <m:jc m:val="left"/>
              </m:oMathParaPr>
              <m:oMath>
                <m:r>
                  <w:rPr>
                    <w:rStyle w:val="fontstyle01"/>
                    <w:rFonts w:ascii="Cambria Math" w:hAnsi="Cambria Math" w:cstheme="majorBidi"/>
                  </w:rPr>
                  <m:t>ρ</m:t>
                </m:r>
                <m:d>
                  <m:dPr>
                    <m:begChr m:val="["/>
                    <m:endChr m:val="]"/>
                    <m:ctrlPr>
                      <w:rPr>
                        <w:rFonts w:ascii="Cambria Math" w:hAnsi="Cambria Math" w:cstheme="majorBidi"/>
                        <w:i/>
                        <w:lang w:eastAsia="ja-JP"/>
                      </w:rPr>
                    </m:ctrlPr>
                  </m:dPr>
                  <m:e>
                    <m:sSub>
                      <m:sSubPr>
                        <m:ctrlPr>
                          <w:rPr>
                            <w:rFonts w:ascii="Cambria Math" w:hAnsi="Cambria Math" w:cstheme="majorBidi"/>
                            <w:bCs/>
                            <w:i/>
                            <w:lang w:eastAsia="ja-JP"/>
                          </w:rPr>
                        </m:ctrlPr>
                      </m:sSubPr>
                      <m:e>
                        <m:d>
                          <m:dPr>
                            <m:begChr m:val=""/>
                            <m:endChr m:val="|"/>
                            <m:ctrlPr>
                              <w:rPr>
                                <w:rFonts w:ascii="Cambria Math" w:hAnsi="Cambria Math" w:cstheme="majorBidi"/>
                                <w:bCs/>
                                <w:i/>
                                <w:lang w:eastAsia="ja-JP"/>
                              </w:rPr>
                            </m:ctrlPr>
                          </m:dPr>
                          <m:e>
                            <m:f>
                              <m:fPr>
                                <m:ctrlPr>
                                  <w:rPr>
                                    <w:rFonts w:ascii="Cambria Math" w:hAnsi="Cambria Math" w:cstheme="majorBidi"/>
                                    <w:bCs/>
                                    <w:i/>
                                    <w:lang w:eastAsia="ja-JP"/>
                                  </w:rPr>
                                </m:ctrlPr>
                              </m:fPr>
                              <m:num>
                                <m:r>
                                  <w:rPr>
                                    <w:rFonts w:ascii="Cambria Math" w:hAnsi="Cambria Math" w:cstheme="majorBidi"/>
                                  </w:rPr>
                                  <m:t>∂</m:t>
                                </m:r>
                                <m:r>
                                  <m:rPr>
                                    <m:sty m:val="b"/>
                                  </m:rPr>
                                  <w:rPr>
                                    <w:rFonts w:ascii="Cambria Math" w:hAnsi="Cambria Math" w:cstheme="majorBidi"/>
                                  </w:rPr>
                                  <m:t>V</m:t>
                                </m:r>
                              </m:num>
                              <m:den>
                                <m:r>
                                  <w:rPr>
                                    <w:rFonts w:ascii="Cambria Math" w:hAnsi="Cambria Math" w:cstheme="majorBidi"/>
                                  </w:rPr>
                                  <m:t>∂</m:t>
                                </m:r>
                                <m:r>
                                  <w:rPr>
                                    <w:rFonts w:ascii="Cambria Math" w:hAnsi="Cambria Math" w:cstheme="majorBidi"/>
                                    <w:lang w:eastAsia="ja-JP"/>
                                  </w:rPr>
                                  <m:t>t</m:t>
                                </m:r>
                              </m:den>
                            </m:f>
                          </m:e>
                        </m:d>
                      </m:e>
                      <m:sub>
                        <m:r>
                          <m:rPr>
                            <m:sty m:val="p"/>
                          </m:rPr>
                          <w:rPr>
                            <w:rFonts w:ascii="Cambria Math" w:hAnsi="Cambria Math" w:cstheme="majorBidi"/>
                            <w:lang w:eastAsia="ja-JP"/>
                          </w:rPr>
                          <m:t>ref</m:t>
                        </m:r>
                      </m:sub>
                    </m:sSub>
                    <m:r>
                      <w:rPr>
                        <w:rFonts w:ascii="Cambria Math" w:hAnsi="Cambria Math" w:cstheme="majorBidi"/>
                        <w:lang w:eastAsia="ja-JP"/>
                      </w:rPr>
                      <m:t>+</m:t>
                    </m:r>
                    <m:d>
                      <m:dPr>
                        <m:ctrlPr>
                          <w:rPr>
                            <w:rFonts w:ascii="Cambria Math" w:hAnsi="Cambria Math" w:cstheme="majorBidi"/>
                            <w:bCs/>
                            <w:i/>
                            <w:lang w:eastAsia="ja-JP"/>
                          </w:rPr>
                        </m:ctrlPr>
                      </m:dPr>
                      <m:e>
                        <m:d>
                          <m:dPr>
                            <m:ctrlPr>
                              <w:rPr>
                                <w:rFonts w:ascii="Cambria Math" w:hAnsi="Cambria Math" w:cstheme="majorBidi"/>
                                <w:bCs/>
                                <w:i/>
                                <w:lang w:eastAsia="ja-JP"/>
                              </w:rPr>
                            </m:ctrlPr>
                          </m:dPr>
                          <m:e>
                            <m:r>
                              <m:rPr>
                                <m:sty m:val="b"/>
                              </m:rPr>
                              <w:rPr>
                                <w:rFonts w:ascii="Cambria Math" w:hAnsi="Cambria Math" w:cstheme="majorBidi"/>
                              </w:rPr>
                              <m:t>V</m:t>
                            </m:r>
                            <m:r>
                              <m:rPr>
                                <m:sty m:val="bi"/>
                              </m:rPr>
                              <w:rPr>
                                <w:rFonts w:ascii="Cambria Math" w:hAnsi="Cambria Math" w:cstheme="majorBidi"/>
                              </w:rPr>
                              <m:t>-</m:t>
                            </m:r>
                            <m:sSub>
                              <m:sSubPr>
                                <m:ctrlPr>
                                  <w:rPr>
                                    <w:rFonts w:ascii="Cambria Math" w:hAnsi="Cambria Math" w:cstheme="majorBidi"/>
                                    <w:b/>
                                    <w:bCs/>
                                    <w:i/>
                                  </w:rPr>
                                </m:ctrlPr>
                              </m:sSubPr>
                              <m:e>
                                <m:r>
                                  <m:rPr>
                                    <m:sty m:val="b"/>
                                  </m:rPr>
                                  <w:rPr>
                                    <w:rFonts w:ascii="Cambria Math" w:hAnsi="Cambria Math" w:cstheme="majorBidi"/>
                                  </w:rPr>
                                  <m:t>V</m:t>
                                </m:r>
                              </m:e>
                              <m:sub>
                                <m:r>
                                  <m:rPr>
                                    <m:sty m:val="p"/>
                                  </m:rPr>
                                  <w:rPr>
                                    <w:rFonts w:ascii="Cambria Math" w:hAnsi="Cambria Math" w:cstheme="majorBidi"/>
                                  </w:rPr>
                                  <m:t>mesh</m:t>
                                </m:r>
                              </m:sub>
                            </m:sSub>
                          </m:e>
                        </m:d>
                        <m:r>
                          <w:rPr>
                            <w:rFonts w:ascii="Cambria Math" w:hAnsi="Cambria Math" w:cstheme="majorBidi"/>
                            <w:lang w:eastAsia="ja-JP"/>
                          </w:rPr>
                          <m:t>∙</m:t>
                        </m:r>
                        <m:r>
                          <m:rPr>
                            <m:sty m:val="b"/>
                          </m:rPr>
                          <w:rPr>
                            <w:rFonts w:ascii="Cambria Math" w:hAnsi="Cambria Math" w:cstheme="majorBidi"/>
                            <w:lang w:eastAsia="ja-JP"/>
                          </w:rPr>
                          <m:t>∇</m:t>
                        </m:r>
                      </m:e>
                    </m:d>
                    <m:r>
                      <m:rPr>
                        <m:sty m:val="b"/>
                      </m:rPr>
                      <w:rPr>
                        <w:rFonts w:ascii="Cambria Math" w:hAnsi="Cambria Math" w:cstheme="majorBidi"/>
                        <w:lang w:eastAsia="ja-JP"/>
                      </w:rPr>
                      <m:t>V</m:t>
                    </m:r>
                  </m:e>
                </m:d>
                <m:r>
                  <m:rPr>
                    <m:sty m:val="bi"/>
                  </m:rPr>
                  <w:rPr>
                    <w:rFonts w:ascii="Cambria Math" w:hAnsi="Cambria Math" w:cstheme="majorBidi"/>
                  </w:rPr>
                  <m:t>=-</m:t>
                </m:r>
                <m:r>
                  <m:rPr>
                    <m:sty m:val="b"/>
                  </m:rPr>
                  <w:rPr>
                    <w:rFonts w:ascii="Cambria Math" w:hAnsi="Cambria Math" w:cstheme="majorBidi"/>
                  </w:rPr>
                  <m:t>∇</m:t>
                </m:r>
                <m:r>
                  <w:rPr>
                    <w:rFonts w:ascii="Cambria Math" w:hAnsi="Cambria Math" w:cstheme="majorBidi"/>
                  </w:rPr>
                  <m:t xml:space="preserve">p+μ </m:t>
                </m:r>
                <m:sSup>
                  <m:sSupPr>
                    <m:ctrlPr>
                      <w:rPr>
                        <w:rFonts w:ascii="Cambria Math" w:hAnsi="Cambria Math" w:cstheme="majorBidi"/>
                        <w:bCs/>
                        <w:i/>
                      </w:rPr>
                    </m:ctrlPr>
                  </m:sSupPr>
                  <m:e>
                    <m:r>
                      <m:rPr>
                        <m:sty m:val="p"/>
                      </m:rPr>
                      <w:rPr>
                        <w:rFonts w:ascii="Cambria Math" w:hAnsi="Cambria Math" w:cstheme="majorBidi"/>
                      </w:rPr>
                      <m:t>∇</m:t>
                    </m:r>
                  </m:e>
                  <m:sup>
                    <m:r>
                      <w:rPr>
                        <w:rFonts w:ascii="Cambria Math" w:hAnsi="Cambria Math" w:cstheme="majorBidi"/>
                      </w:rPr>
                      <m:t>2</m:t>
                    </m:r>
                  </m:sup>
                </m:sSup>
                <m:r>
                  <m:rPr>
                    <m:sty m:val="b"/>
                  </m:rPr>
                  <w:rPr>
                    <w:rFonts w:ascii="Cambria Math" w:hAnsi="Cambria Math" w:cstheme="majorBidi"/>
                  </w:rPr>
                  <m:t>V</m:t>
                </m:r>
                <m:r>
                  <w:rPr>
                    <w:rFonts w:ascii="Cambria Math" w:hAnsi="Cambria Math" w:cstheme="majorBidi"/>
                  </w:rPr>
                  <m:t>+ρ</m:t>
                </m:r>
                <m:d>
                  <m:dPr>
                    <m:begChr m:val="["/>
                    <m:endChr m:val="]"/>
                    <m:ctrlPr>
                      <w:rPr>
                        <w:rFonts w:ascii="Cambria Math" w:eastAsiaTheme="minorEastAsia" w:hAnsi="Cambria Math" w:cstheme="majorBidi"/>
                        <w:i/>
                      </w:rPr>
                    </m:ctrlPr>
                  </m:dPr>
                  <m:e>
                    <m:r>
                      <w:rPr>
                        <w:rFonts w:ascii="Cambria Math" w:eastAsiaTheme="minorEastAsia" w:hAnsi="Cambria Math" w:cstheme="majorBidi"/>
                      </w:rPr>
                      <m:t>1-β</m:t>
                    </m:r>
                    <m:d>
                      <m:dPr>
                        <m:ctrlPr>
                          <w:rPr>
                            <w:rFonts w:ascii="Cambria Math" w:eastAsiaTheme="minorEastAsia" w:hAnsi="Cambria Math" w:cstheme="majorBidi"/>
                            <w:i/>
                          </w:rPr>
                        </m:ctrlPr>
                      </m:dPr>
                      <m:e>
                        <m:r>
                          <w:rPr>
                            <w:rFonts w:ascii="Cambria Math" w:eastAsiaTheme="minorEastAsia" w:hAnsi="Cambria Math" w:cstheme="majorBidi"/>
                          </w:rPr>
                          <m:t>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0</m:t>
                            </m:r>
                          </m:sub>
                        </m:sSub>
                      </m:e>
                    </m:d>
                  </m:e>
                </m:d>
                <m:r>
                  <m:rPr>
                    <m:sty m:val="b"/>
                  </m:rPr>
                  <w:rPr>
                    <w:rFonts w:ascii="Cambria Math" w:hAnsi="Cambria Math" w:cstheme="majorBidi"/>
                  </w:rPr>
                  <m:t>g-</m:t>
                </m:r>
                <m:r>
                  <w:rPr>
                    <w:rFonts w:ascii="Cambria Math" w:hAnsi="Cambria Math" w:cstheme="majorBidi"/>
                  </w:rPr>
                  <m:t>ρ</m:t>
                </m:r>
                <m:f>
                  <m:fPr>
                    <m:ctrlPr>
                      <w:rPr>
                        <w:rFonts w:ascii="Cambria Math" w:hAnsi="Cambria Math" w:cstheme="majorBidi"/>
                        <w:bCs/>
                        <w:i/>
                        <w:lang w:eastAsia="ja-JP"/>
                      </w:rPr>
                    </m:ctrlPr>
                  </m:fPr>
                  <m:num>
                    <m:r>
                      <w:rPr>
                        <w:rFonts w:ascii="Cambria Math" w:hAnsi="Cambria Math" w:cstheme="majorBidi"/>
                      </w:rPr>
                      <m:t>∂</m:t>
                    </m:r>
                    <m:sSub>
                      <m:sSubPr>
                        <m:ctrlPr>
                          <w:rPr>
                            <w:rFonts w:ascii="Cambria Math" w:hAnsi="Cambria Math" w:cstheme="majorBidi"/>
                            <w:b/>
                          </w:rPr>
                        </m:ctrlPr>
                      </m:sSubPr>
                      <m:e>
                        <m:r>
                          <m:rPr>
                            <m:sty m:val="b"/>
                          </m:rPr>
                          <w:rPr>
                            <w:rFonts w:ascii="Cambria Math" w:hAnsi="Cambria Math" w:cstheme="majorBidi"/>
                          </w:rPr>
                          <m:t>V</m:t>
                        </m:r>
                      </m:e>
                      <m:sub>
                        <m:r>
                          <m:rPr>
                            <m:sty m:val="p"/>
                          </m:rPr>
                          <w:rPr>
                            <w:rFonts w:ascii="Cambria Math" w:hAnsi="Cambria Math" w:cstheme="majorBidi"/>
                          </w:rPr>
                          <m:t>frame</m:t>
                        </m:r>
                      </m:sub>
                    </m:sSub>
                  </m:num>
                  <m:den>
                    <m:r>
                      <w:rPr>
                        <w:rFonts w:ascii="Cambria Math" w:hAnsi="Cambria Math" w:cstheme="majorBidi"/>
                      </w:rPr>
                      <m:t>∂</m:t>
                    </m:r>
                    <m:r>
                      <w:rPr>
                        <w:rFonts w:ascii="Cambria Math" w:hAnsi="Cambria Math" w:cstheme="majorBidi"/>
                        <w:lang w:eastAsia="ja-JP"/>
                      </w:rPr>
                      <m:t>t</m:t>
                    </m:r>
                  </m:den>
                </m:f>
              </m:oMath>
            </m:oMathPara>
          </w:p>
        </w:tc>
        <w:tc>
          <w:tcPr>
            <w:tcW w:w="805" w:type="dxa"/>
          </w:tcPr>
          <w:p w14:paraId="3BCEC528" w14:textId="03B2DA0C" w:rsidR="000536C1"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10</w:t>
            </w:r>
            <w:r>
              <w:rPr>
                <w:noProof/>
              </w:rPr>
              <w:fldChar w:fldCharType="end"/>
            </w:r>
          </w:p>
        </w:tc>
      </w:tr>
    </w:tbl>
    <w:p w14:paraId="36AD4129" w14:textId="3CAFBE39" w:rsidR="00784C78" w:rsidRPr="00CA6258" w:rsidRDefault="00142E1A" w:rsidP="006E213C">
      <w:pPr>
        <w:spacing w:before="240" w:after="240" w:line="480" w:lineRule="auto"/>
        <w:ind w:firstLine="720"/>
        <w:jc w:val="both"/>
        <w:rPr>
          <w:rFonts w:cstheme="majorBidi"/>
          <w:kern w:val="0"/>
        </w:rPr>
      </w:pPr>
      <w:r w:rsidRPr="004834D3">
        <w:rPr>
          <w:rFonts w:cstheme="majorBidi"/>
          <w:kern w:val="0"/>
        </w:rPr>
        <w:t xml:space="preserve">In Eq. </w:t>
      </w:r>
      <w:r w:rsidR="003925CC">
        <w:rPr>
          <w:rFonts w:cstheme="majorBidi"/>
          <w:kern w:val="0"/>
        </w:rPr>
        <w:t>5</w:t>
      </w:r>
      <w:r w:rsidR="00A5602C">
        <w:rPr>
          <w:rFonts w:cstheme="majorBidi"/>
          <w:kern w:val="0"/>
        </w:rPr>
        <w:t>-</w:t>
      </w:r>
      <w:r w:rsidR="000B1B64">
        <w:rPr>
          <w:rFonts w:cstheme="majorBidi"/>
          <w:kern w:val="0"/>
        </w:rPr>
        <w:t>10</w:t>
      </w:r>
      <w:r w:rsidRPr="004834D3">
        <w:rPr>
          <w:rFonts w:cstheme="majorBidi"/>
          <w:kern w:val="0"/>
        </w:rPr>
        <w:t xml:space="preserve">, the term </w:t>
      </w:r>
      <m:oMath>
        <m:r>
          <w:rPr>
            <w:rFonts w:ascii="Cambria Math" w:hAnsi="Cambria Math" w:cstheme="majorBidi"/>
          </w:rPr>
          <m:t>ρ∂</m:t>
        </m:r>
        <m:sSub>
          <m:sSubPr>
            <m:ctrlPr>
              <w:rPr>
                <w:rFonts w:ascii="Cambria Math" w:hAnsi="Cambria Math" w:cstheme="majorBidi"/>
                <w:b/>
              </w:rPr>
            </m:ctrlPr>
          </m:sSubPr>
          <m:e>
            <m:r>
              <m:rPr>
                <m:sty m:val="b"/>
              </m:rPr>
              <w:rPr>
                <w:rFonts w:ascii="Cambria Math" w:hAnsi="Cambria Math" w:cstheme="majorBidi"/>
              </w:rPr>
              <m:t>V</m:t>
            </m:r>
          </m:e>
          <m:sub>
            <m:r>
              <m:rPr>
                <m:sty m:val="p"/>
              </m:rPr>
              <w:rPr>
                <w:rFonts w:ascii="Cambria Math" w:hAnsi="Cambria Math" w:cstheme="majorBidi"/>
              </w:rPr>
              <m:t>frame</m:t>
            </m:r>
          </m:sub>
        </m:sSub>
        <m:r>
          <m:rPr>
            <m:sty m:val="bi"/>
          </m:rPr>
          <w:rPr>
            <w:rFonts w:ascii="Cambria Math" w:hAnsi="Cambria Math" w:cstheme="majorBidi"/>
          </w:rPr>
          <m:t>/</m:t>
        </m:r>
        <m:r>
          <w:rPr>
            <w:rFonts w:ascii="Cambria Math" w:hAnsi="Cambria Math" w:cstheme="majorBidi"/>
          </w:rPr>
          <m:t>∂t</m:t>
        </m:r>
      </m:oMath>
      <w:r w:rsidRPr="004834D3">
        <w:rPr>
          <w:rFonts w:cstheme="majorBidi"/>
          <w:kern w:val="0"/>
        </w:rPr>
        <w:t xml:space="preserve"> represents the linear acceleration of the reference frame </w:t>
      </w:r>
      <w:r w:rsidRPr="004834D3">
        <w:rPr>
          <w:rFonts w:cstheme="majorBidi"/>
        </w:rPr>
        <w:fldChar w:fldCharType="begin" w:fldLock="1"/>
      </w:r>
      <w:r w:rsidR="00D83446">
        <w:rPr>
          <w:rFonts w:cstheme="majorBidi"/>
        </w:rPr>
        <w:instrText>ADDIN CSL_CITATION {"citationItems":[{"id":"ITEM-1","itemData":{"DOI":"10.1002/fld.216","ISSN":"02712091","abstract":"A mathematical and numerical formulation is derived for fluid/structure interaction problems involving arbitrary geometries relevant to the simulation of bridge deck instabilities due to cross winds. A translating and rotating moving frame of reference is attached to the body to utilize an efficient fixed mesh spectral/hp element solver. The formulation is validated against experiments with flow simulations of circular cylinders at Reynolds numbers of 100-400 undergoing free and forced motion in the transverse and in-line directions. The well-documented phenomena of vortex lock-in is captured. The formulation is then applied a rectangular body at Re=250 under forced and free motion the latter of which demonstrates torsional galloping. Copyright © 2002 John Wiley &amp; Sons, Ltd.","author":[{"dropping-particle":"","family":"Li","given":"L.","non-dropping-particle":"","parse-names":false,"suffix":""},{"dropping-particle":"","family":"Sherwin","given":"S. J.","non-dropping-particle":"","parse-names":false,"suffix":""},{"dropping-particle":"","family":"Bearman","given":"P. W.","non-dropping-particle":"","parse-names":false,"suffix":""}],"container-title":"International Journal for Numerical Methods in Fluids","id":"ITEM-1","issue":"2","issued":{"date-parts":[["2002"]]},"page":"187-206","title":"A moving frame of reference algorithm for fluid/structure interaction of rotating and translating bodies","type":"article-journal","volume":"38"},"uris":["http://www.mendeley.com/documents/?uuid=63fc3545-f5da-4edd-bd3f-dba778812597"]}],"mendeley":{"formattedCitation":"[172]","plainTextFormattedCitation":"[172]","previouslyFormattedCitation":"[173]"},"properties":{"noteIndex":0},"schema":"https://github.com/citation-style-language/schema/raw/master/csl-citation.json"}</w:instrText>
      </w:r>
      <w:r w:rsidRPr="004834D3">
        <w:rPr>
          <w:rFonts w:cstheme="majorBidi"/>
        </w:rPr>
        <w:fldChar w:fldCharType="separate"/>
      </w:r>
      <w:r w:rsidR="00D83446" w:rsidRPr="00D83446">
        <w:rPr>
          <w:rFonts w:cstheme="majorBidi"/>
          <w:noProof/>
        </w:rPr>
        <w:t>[172]</w:t>
      </w:r>
      <w:r w:rsidRPr="004834D3">
        <w:rPr>
          <w:rFonts w:cstheme="majorBidi"/>
        </w:rPr>
        <w:fldChar w:fldCharType="end"/>
      </w:r>
      <w:r w:rsidRPr="004834D3">
        <w:rPr>
          <w:rFonts w:cstheme="majorBidi"/>
          <w:kern w:val="0"/>
        </w:rPr>
        <w:t xml:space="preserve">. </w:t>
      </w:r>
      <w:r w:rsidRPr="00CA6258">
        <w:rPr>
          <w:rFonts w:cstheme="majorBidi"/>
          <w:kern w:val="0"/>
        </w:rPr>
        <w:t>This term captures the acceleration due to the movement of the reference frame along with the particle in the x-direction.</w:t>
      </w:r>
    </w:p>
    <w:p w14:paraId="55936D9A" w14:textId="79B48414" w:rsidR="000A1D01" w:rsidRPr="00CA6258" w:rsidRDefault="000A1D01" w:rsidP="00784C78">
      <w:pPr>
        <w:spacing w:before="240" w:after="240" w:line="480" w:lineRule="auto"/>
        <w:jc w:val="both"/>
        <w:rPr>
          <w:rFonts w:cstheme="majorBidi"/>
          <w:kern w:val="0"/>
        </w:rPr>
      </w:pPr>
      <w:r w:rsidRPr="00CA6258">
        <w:t>To better understand the direction of each component in the momentum conservation equation, Eq. 5-</w:t>
      </w:r>
      <w:r w:rsidR="000B1B64" w:rsidRPr="00CA6258">
        <w:t>10</w:t>
      </w:r>
      <w:r w:rsidR="003925CC" w:rsidRPr="00CA6258">
        <w:t xml:space="preserve"> </w:t>
      </w:r>
      <w:r w:rsidRPr="00CA6258">
        <w:t xml:space="preserve">is rewritten for the </w:t>
      </w:r>
      <m:oMath>
        <m:r>
          <w:rPr>
            <w:rFonts w:ascii="Cambria Math" w:hAnsi="Cambria Math"/>
          </w:rPr>
          <m:t>x</m:t>
        </m:r>
      </m:oMath>
      <w:r w:rsidRPr="00CA6258">
        <w:t xml:space="preserve"> and </w:t>
      </w:r>
      <m:oMath>
        <m:r>
          <w:rPr>
            <w:rFonts w:ascii="Cambria Math" w:hAnsi="Cambria Math"/>
          </w:rPr>
          <m:t>y</m:t>
        </m:r>
      </m:oMath>
      <w:r w:rsidRPr="00CA6258">
        <w:t xml:space="preserve"> directions. In the </w:t>
      </w:r>
      <w:r w:rsidRPr="00CA6258">
        <w:rPr>
          <w:i/>
          <w:iCs/>
        </w:rPr>
        <w:t>x</w:t>
      </w:r>
      <w:r w:rsidRPr="00CA6258">
        <w:t xml:space="preserve">-direction (axial direction), the gravity term is absent because gravity acts in the </w:t>
      </w:r>
      <w:r w:rsidRPr="00CA6258">
        <w:rPr>
          <w:i/>
          <w:iCs/>
        </w:rPr>
        <w:t>y</w:t>
      </w:r>
      <w:r w:rsidR="005E3155" w:rsidRPr="00CA6258">
        <w:t>-</w:t>
      </w:r>
      <w:r w:rsidRPr="00CA6258">
        <w:t xml:space="preserve">direction. Therefore, the momentum conservation equation in the </w:t>
      </w:r>
      <w:r w:rsidRPr="00CA6258">
        <w:rPr>
          <w:i/>
          <w:iCs/>
        </w:rPr>
        <w:t>x</w:t>
      </w:r>
      <w:r w:rsidRPr="00CA6258">
        <w:t>-direction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gridCol w:w="648"/>
      </w:tblGrid>
      <w:tr w:rsidR="00784C78" w:rsidRPr="00CA6258" w14:paraId="506274E6" w14:textId="77777777" w:rsidTr="000B1B64">
        <w:tc>
          <w:tcPr>
            <w:tcW w:w="8815" w:type="dxa"/>
            <w:vAlign w:val="center"/>
          </w:tcPr>
          <w:p w14:paraId="082FBCB5" w14:textId="4FB1833C" w:rsidR="00784C78" w:rsidRPr="00CA6258" w:rsidRDefault="00784C78" w:rsidP="009A4AF3">
            <w:pPr>
              <w:spacing w:before="240" w:after="240" w:line="480" w:lineRule="auto"/>
              <w:jc w:val="both"/>
              <w:rPr>
                <w:rFonts w:eastAsiaTheme="minorEastAsia" w:cstheme="majorBidi"/>
              </w:rPr>
            </w:pPr>
            <m:oMathPara>
              <m:oMathParaPr>
                <m:jc m:val="left"/>
              </m:oMathParaPr>
              <m:oMath>
                <m:r>
                  <w:rPr>
                    <w:rStyle w:val="fontstyle01"/>
                    <w:rFonts w:ascii="Cambria Math" w:hAnsi="Cambria Math" w:cstheme="majorBidi"/>
                  </w:rPr>
                  <m:t>ρ</m:t>
                </m:r>
                <m:d>
                  <m:dPr>
                    <m:begChr m:val="["/>
                    <m:endChr m:val="]"/>
                    <m:ctrlPr>
                      <w:rPr>
                        <w:rFonts w:ascii="Cambria Math" w:hAnsi="Cambria Math" w:cstheme="majorBidi"/>
                        <w:i/>
                        <w:lang w:eastAsia="ja-JP"/>
                      </w:rPr>
                    </m:ctrlPr>
                  </m:dPr>
                  <m:e>
                    <m:sSub>
                      <m:sSubPr>
                        <m:ctrlPr>
                          <w:rPr>
                            <w:rFonts w:ascii="Cambria Math" w:hAnsi="Cambria Math" w:cstheme="majorBidi"/>
                            <w:bCs/>
                            <w:i/>
                            <w:lang w:eastAsia="ja-JP"/>
                          </w:rPr>
                        </m:ctrlPr>
                      </m:sSubPr>
                      <m:e>
                        <m:d>
                          <m:dPr>
                            <m:begChr m:val=""/>
                            <m:endChr m:val="|"/>
                            <m:ctrlPr>
                              <w:rPr>
                                <w:rFonts w:ascii="Cambria Math" w:hAnsi="Cambria Math" w:cstheme="majorBidi"/>
                                <w:bCs/>
                                <w:i/>
                                <w:lang w:eastAsia="ja-JP"/>
                              </w:rPr>
                            </m:ctrlPr>
                          </m:dPr>
                          <m:e>
                            <m:f>
                              <m:fPr>
                                <m:ctrlPr>
                                  <w:rPr>
                                    <w:rFonts w:ascii="Cambria Math" w:hAnsi="Cambria Math" w:cstheme="majorBidi"/>
                                    <w:bCs/>
                                    <w:i/>
                                    <w:lang w:eastAsia="ja-JP"/>
                                  </w:rPr>
                                </m:ctrlPr>
                              </m:fPr>
                              <m:num>
                                <m:r>
                                  <w:rPr>
                                    <w:rFonts w:ascii="Cambria Math" w:hAnsi="Cambria Math" w:cstheme="majorBidi"/>
                                  </w:rPr>
                                  <m:t>∂u</m:t>
                                </m:r>
                              </m:num>
                              <m:den>
                                <m:r>
                                  <w:rPr>
                                    <w:rFonts w:ascii="Cambria Math" w:hAnsi="Cambria Math" w:cstheme="majorBidi"/>
                                  </w:rPr>
                                  <m:t>∂</m:t>
                                </m:r>
                                <m:r>
                                  <w:rPr>
                                    <w:rFonts w:ascii="Cambria Math" w:hAnsi="Cambria Math" w:cstheme="majorBidi"/>
                                    <w:lang w:eastAsia="ja-JP"/>
                                  </w:rPr>
                                  <m:t>t</m:t>
                                </m:r>
                              </m:den>
                            </m:f>
                          </m:e>
                        </m:d>
                      </m:e>
                      <m:sub>
                        <m:r>
                          <m:rPr>
                            <m:sty m:val="p"/>
                          </m:rPr>
                          <w:rPr>
                            <w:rFonts w:ascii="Cambria Math" w:hAnsi="Cambria Math" w:cstheme="majorBidi"/>
                            <w:lang w:eastAsia="ja-JP"/>
                          </w:rPr>
                          <m:t>ref</m:t>
                        </m:r>
                      </m:sub>
                    </m:sSub>
                    <m:r>
                      <w:rPr>
                        <w:rFonts w:ascii="Cambria Math" w:hAnsi="Cambria Math" w:cstheme="majorBidi"/>
                        <w:lang w:eastAsia="ja-JP"/>
                      </w:rPr>
                      <m:t>+</m:t>
                    </m:r>
                    <m:d>
                      <m:dPr>
                        <m:ctrlPr>
                          <w:rPr>
                            <w:rFonts w:ascii="Cambria Math" w:hAnsi="Cambria Math" w:cstheme="majorBidi"/>
                            <w:i/>
                            <w:lang w:eastAsia="ja-JP"/>
                          </w:rPr>
                        </m:ctrlPr>
                      </m:dPr>
                      <m:e>
                        <m:r>
                          <w:rPr>
                            <w:rFonts w:ascii="Cambria Math" w:hAnsi="Cambria Math" w:cstheme="majorBidi"/>
                            <w:lang w:eastAsia="ja-JP"/>
                          </w:rPr>
                          <m:t>u-</m:t>
                        </m:r>
                        <m:sSub>
                          <m:sSubPr>
                            <m:ctrlPr>
                              <w:rPr>
                                <w:rFonts w:ascii="Cambria Math" w:hAnsi="Cambria Math" w:cstheme="majorBidi"/>
                                <w:i/>
                                <w:lang w:eastAsia="ja-JP"/>
                              </w:rPr>
                            </m:ctrlPr>
                          </m:sSubPr>
                          <m:e>
                            <m:r>
                              <w:rPr>
                                <w:rFonts w:ascii="Cambria Math" w:hAnsi="Cambria Math" w:cstheme="majorBidi"/>
                                <w:lang w:eastAsia="ja-JP"/>
                              </w:rPr>
                              <m:t>u</m:t>
                            </m:r>
                          </m:e>
                          <m:sub>
                            <m:r>
                              <m:rPr>
                                <m:sty m:val="p"/>
                              </m:rPr>
                              <w:rPr>
                                <w:rFonts w:ascii="Cambria Math" w:hAnsi="Cambria Math" w:cstheme="majorBidi"/>
                                <w:lang w:eastAsia="ja-JP"/>
                              </w:rPr>
                              <m:t>mesh</m:t>
                            </m:r>
                          </m:sub>
                        </m:sSub>
                      </m:e>
                    </m:d>
                    <m:f>
                      <m:fPr>
                        <m:ctrlPr>
                          <w:rPr>
                            <w:rFonts w:ascii="Cambria Math" w:hAnsi="Cambria Math" w:cstheme="majorBidi"/>
                            <w:i/>
                            <w:lang w:eastAsia="ja-JP"/>
                          </w:rPr>
                        </m:ctrlPr>
                      </m:fPr>
                      <m:num>
                        <m:r>
                          <w:rPr>
                            <w:rFonts w:ascii="Cambria Math" w:hAnsi="Cambria Math" w:cstheme="majorBidi"/>
                            <w:lang w:eastAsia="ja-JP"/>
                          </w:rPr>
                          <m:t>∂u</m:t>
                        </m:r>
                      </m:num>
                      <m:den>
                        <m:r>
                          <w:rPr>
                            <w:rFonts w:ascii="Cambria Math" w:hAnsi="Cambria Math" w:cstheme="majorBidi"/>
                            <w:lang w:eastAsia="ja-JP"/>
                          </w:rPr>
                          <m:t>∂x</m:t>
                        </m:r>
                      </m:den>
                    </m:f>
                    <m:r>
                      <w:rPr>
                        <w:rFonts w:ascii="Cambria Math" w:hAnsi="Cambria Math" w:cstheme="majorBidi"/>
                        <w:lang w:eastAsia="ja-JP"/>
                      </w:rPr>
                      <m:t>+</m:t>
                    </m:r>
                    <m:d>
                      <m:dPr>
                        <m:ctrlPr>
                          <w:rPr>
                            <w:rFonts w:ascii="Cambria Math" w:hAnsi="Cambria Math" w:cstheme="majorBidi"/>
                            <w:i/>
                            <w:lang w:eastAsia="ja-JP"/>
                          </w:rPr>
                        </m:ctrlPr>
                      </m:dPr>
                      <m:e>
                        <m:r>
                          <w:rPr>
                            <w:rFonts w:ascii="Cambria Math" w:hAnsi="Cambria Math" w:cstheme="majorBidi"/>
                            <w:lang w:eastAsia="ja-JP"/>
                          </w:rPr>
                          <m:t>v-</m:t>
                        </m:r>
                        <m:sSub>
                          <m:sSubPr>
                            <m:ctrlPr>
                              <w:rPr>
                                <w:rFonts w:ascii="Cambria Math" w:hAnsi="Cambria Math" w:cstheme="majorBidi"/>
                                <w:i/>
                                <w:lang w:eastAsia="ja-JP"/>
                              </w:rPr>
                            </m:ctrlPr>
                          </m:sSubPr>
                          <m:e>
                            <m:r>
                              <w:rPr>
                                <w:rFonts w:ascii="Cambria Math" w:hAnsi="Cambria Math" w:cstheme="majorBidi"/>
                                <w:lang w:eastAsia="ja-JP"/>
                              </w:rPr>
                              <m:t>v</m:t>
                            </m:r>
                          </m:e>
                          <m:sub>
                            <m:r>
                              <m:rPr>
                                <m:sty m:val="p"/>
                              </m:rPr>
                              <w:rPr>
                                <w:rFonts w:ascii="Cambria Math" w:hAnsi="Cambria Math" w:cstheme="majorBidi"/>
                                <w:lang w:eastAsia="ja-JP"/>
                              </w:rPr>
                              <m:t>mesh</m:t>
                            </m:r>
                          </m:sub>
                        </m:sSub>
                      </m:e>
                    </m:d>
                    <m:f>
                      <m:fPr>
                        <m:ctrlPr>
                          <w:rPr>
                            <w:rFonts w:ascii="Cambria Math" w:hAnsi="Cambria Math" w:cstheme="majorBidi"/>
                            <w:i/>
                            <w:lang w:eastAsia="ja-JP"/>
                          </w:rPr>
                        </m:ctrlPr>
                      </m:fPr>
                      <m:num>
                        <m:r>
                          <w:rPr>
                            <w:rFonts w:ascii="Cambria Math" w:hAnsi="Cambria Math" w:cstheme="majorBidi"/>
                            <w:lang w:eastAsia="ja-JP"/>
                          </w:rPr>
                          <m:t>∂u</m:t>
                        </m:r>
                      </m:num>
                      <m:den>
                        <m:r>
                          <w:rPr>
                            <w:rFonts w:ascii="Cambria Math" w:hAnsi="Cambria Math" w:cstheme="majorBidi"/>
                            <w:lang w:eastAsia="ja-JP"/>
                          </w:rPr>
                          <m:t>∂y</m:t>
                        </m:r>
                      </m:den>
                    </m:f>
                  </m:e>
                </m:d>
                <m:r>
                  <m:rPr>
                    <m:sty m:val="bi"/>
                  </m:rPr>
                  <w:rPr>
                    <w:rFonts w:ascii="Cambria Math" w:hAnsi="Cambria Math" w:cstheme="majorBidi"/>
                  </w:rPr>
                  <m:t>=-</m:t>
                </m:r>
                <m:f>
                  <m:fPr>
                    <m:ctrlPr>
                      <w:rPr>
                        <w:rFonts w:ascii="Cambria Math" w:hAnsi="Cambria Math" w:cstheme="majorBidi"/>
                        <w:i/>
                      </w:rPr>
                    </m:ctrlPr>
                  </m:fPr>
                  <m:num>
                    <m:r>
                      <w:rPr>
                        <w:rFonts w:ascii="Cambria Math" w:hAnsi="Cambria Math" w:cstheme="majorBidi"/>
                      </w:rPr>
                      <m:t>∂p</m:t>
                    </m:r>
                    <m:ctrlPr>
                      <w:rPr>
                        <w:rFonts w:ascii="Cambria Math" w:hAnsi="Cambria Math" w:cstheme="majorBidi"/>
                        <w:b/>
                        <w:i/>
                      </w:rPr>
                    </m:ctrlPr>
                  </m:num>
                  <m:den>
                    <m:r>
                      <w:rPr>
                        <w:rFonts w:ascii="Cambria Math" w:hAnsi="Cambria Math" w:cstheme="majorBidi"/>
                      </w:rPr>
                      <m:t>∂x</m:t>
                    </m:r>
                  </m:den>
                </m:f>
                <m:r>
                  <w:rPr>
                    <w:rFonts w:ascii="Cambria Math" w:hAnsi="Cambria Math" w:cstheme="majorBidi"/>
                  </w:rPr>
                  <m:t>+μ</m:t>
                </m:r>
                <m:d>
                  <m:dPr>
                    <m:ctrlPr>
                      <w:rPr>
                        <w:rFonts w:ascii="Cambria Math" w:hAnsi="Cambria Math" w:cstheme="majorBidi"/>
                        <w:bCs/>
                        <w:i/>
                      </w:rPr>
                    </m:ctrlPr>
                  </m:dPr>
                  <m:e>
                    <m:f>
                      <m:fPr>
                        <m:ctrlPr>
                          <w:rPr>
                            <w:rFonts w:ascii="Cambria Math" w:hAnsi="Cambria Math" w:cstheme="majorBidi"/>
                            <w:b/>
                            <w:i/>
                          </w:rPr>
                        </m:ctrlPr>
                      </m:fPr>
                      <m:num>
                        <m:sSup>
                          <m:sSupPr>
                            <m:ctrlPr>
                              <w:rPr>
                                <w:rFonts w:ascii="Cambria Math" w:hAnsi="Cambria Math" w:cstheme="majorBidi"/>
                                <w:bCs/>
                                <w:i/>
                              </w:rPr>
                            </m:ctrlPr>
                          </m:sSupPr>
                          <m:e>
                            <m:r>
                              <w:rPr>
                                <w:rFonts w:ascii="Cambria Math" w:hAnsi="Cambria Math" w:cstheme="majorBidi"/>
                              </w:rPr>
                              <m:t>∂</m:t>
                            </m:r>
                          </m:e>
                          <m:sup>
                            <m:r>
                              <w:rPr>
                                <w:rFonts w:ascii="Cambria Math" w:hAnsi="Cambria Math" w:cstheme="majorBidi"/>
                              </w:rPr>
                              <m:t>2</m:t>
                            </m:r>
                          </m:sup>
                        </m:sSup>
                        <m:r>
                          <w:rPr>
                            <w:rFonts w:ascii="Cambria Math" w:hAnsi="Cambria Math" w:cstheme="majorBidi"/>
                          </w:rPr>
                          <m:t>u</m:t>
                        </m:r>
                        <m:ctrlPr>
                          <w:rPr>
                            <w:rFonts w:ascii="Cambria Math" w:hAnsi="Cambria Math" w:cstheme="majorBidi"/>
                            <w:bCs/>
                            <w:i/>
                          </w:rPr>
                        </m:ctrlPr>
                      </m:num>
                      <m:den>
                        <m:r>
                          <w:rPr>
                            <w:rFonts w:ascii="Cambria Math" w:hAnsi="Cambria Math" w:cstheme="majorBidi"/>
                          </w:rPr>
                          <m:t>∂</m:t>
                        </m:r>
                        <m:sSup>
                          <m:sSupPr>
                            <m:ctrlPr>
                              <w:rPr>
                                <w:rFonts w:ascii="Cambria Math" w:hAnsi="Cambria Math" w:cstheme="majorBidi"/>
                                <w:bCs/>
                                <w:i/>
                              </w:rPr>
                            </m:ctrlPr>
                          </m:sSupPr>
                          <m:e>
                            <m:r>
                              <w:rPr>
                                <w:rFonts w:ascii="Cambria Math" w:hAnsi="Cambria Math" w:cstheme="majorBidi"/>
                              </w:rPr>
                              <m:t>x</m:t>
                            </m:r>
                          </m:e>
                          <m:sup>
                            <m:r>
                              <w:rPr>
                                <w:rFonts w:ascii="Cambria Math" w:hAnsi="Cambria Math" w:cstheme="majorBidi"/>
                              </w:rPr>
                              <m:t>2</m:t>
                            </m:r>
                          </m:sup>
                        </m:sSup>
                      </m:den>
                    </m:f>
                    <m:r>
                      <m:rPr>
                        <m:sty m:val="b"/>
                      </m:rPr>
                      <w:rPr>
                        <w:rFonts w:ascii="Cambria Math" w:hAnsi="Cambria Math" w:cstheme="majorBidi"/>
                      </w:rPr>
                      <m:t>+</m:t>
                    </m:r>
                    <m:f>
                      <m:fPr>
                        <m:ctrlPr>
                          <w:rPr>
                            <w:rFonts w:ascii="Cambria Math" w:hAnsi="Cambria Math" w:cstheme="majorBidi"/>
                            <w:b/>
                            <w:i/>
                          </w:rPr>
                        </m:ctrlPr>
                      </m:fPr>
                      <m:num>
                        <m:sSup>
                          <m:sSupPr>
                            <m:ctrlPr>
                              <w:rPr>
                                <w:rFonts w:ascii="Cambria Math" w:hAnsi="Cambria Math" w:cstheme="majorBidi"/>
                                <w:bCs/>
                                <w:i/>
                              </w:rPr>
                            </m:ctrlPr>
                          </m:sSupPr>
                          <m:e>
                            <m:r>
                              <w:rPr>
                                <w:rFonts w:ascii="Cambria Math" w:hAnsi="Cambria Math" w:cstheme="majorBidi"/>
                              </w:rPr>
                              <m:t>∂</m:t>
                            </m:r>
                          </m:e>
                          <m:sup>
                            <m:r>
                              <w:rPr>
                                <w:rFonts w:ascii="Cambria Math" w:hAnsi="Cambria Math" w:cstheme="majorBidi"/>
                              </w:rPr>
                              <m:t>2</m:t>
                            </m:r>
                          </m:sup>
                        </m:sSup>
                        <m:r>
                          <w:rPr>
                            <w:rFonts w:ascii="Cambria Math" w:hAnsi="Cambria Math" w:cstheme="majorBidi"/>
                          </w:rPr>
                          <m:t>u</m:t>
                        </m:r>
                        <m:ctrlPr>
                          <w:rPr>
                            <w:rFonts w:ascii="Cambria Math" w:hAnsi="Cambria Math" w:cstheme="majorBidi"/>
                            <w:bCs/>
                            <w:i/>
                          </w:rPr>
                        </m:ctrlPr>
                      </m:num>
                      <m:den>
                        <m:r>
                          <w:rPr>
                            <w:rFonts w:ascii="Cambria Math" w:hAnsi="Cambria Math" w:cstheme="majorBidi"/>
                          </w:rPr>
                          <m:t>∂</m:t>
                        </m:r>
                        <m:sSup>
                          <m:sSupPr>
                            <m:ctrlPr>
                              <w:rPr>
                                <w:rFonts w:ascii="Cambria Math" w:hAnsi="Cambria Math" w:cstheme="majorBidi"/>
                                <w:bCs/>
                                <w:i/>
                              </w:rPr>
                            </m:ctrlPr>
                          </m:sSupPr>
                          <m:e>
                            <m:r>
                              <w:rPr>
                                <w:rFonts w:ascii="Cambria Math" w:hAnsi="Cambria Math" w:cstheme="majorBidi"/>
                              </w:rPr>
                              <m:t>y</m:t>
                            </m:r>
                          </m:e>
                          <m:sup>
                            <m:r>
                              <w:rPr>
                                <w:rFonts w:ascii="Cambria Math" w:hAnsi="Cambria Math" w:cstheme="majorBidi"/>
                              </w:rPr>
                              <m:t>2</m:t>
                            </m:r>
                          </m:sup>
                        </m:sSup>
                      </m:den>
                    </m:f>
                    <m:ctrlPr>
                      <w:rPr>
                        <w:rFonts w:ascii="Cambria Math" w:hAnsi="Cambria Math" w:cstheme="majorBidi"/>
                        <w:b/>
                      </w:rPr>
                    </m:ctrlPr>
                  </m:e>
                </m:d>
                <m:r>
                  <m:rPr>
                    <m:sty m:val="b"/>
                  </m:rPr>
                  <w:rPr>
                    <w:rFonts w:ascii="Cambria Math" w:hAnsi="Cambria Math" w:cstheme="majorBidi"/>
                  </w:rPr>
                  <m:t>-</m:t>
                </m:r>
                <m:r>
                  <w:rPr>
                    <w:rFonts w:ascii="Cambria Math" w:hAnsi="Cambria Math" w:cstheme="majorBidi"/>
                  </w:rPr>
                  <m:t>ρ</m:t>
                </m:r>
                <m:f>
                  <m:fPr>
                    <m:ctrlPr>
                      <w:rPr>
                        <w:rFonts w:ascii="Cambria Math" w:hAnsi="Cambria Math" w:cstheme="majorBidi"/>
                        <w:bCs/>
                        <w:i/>
                        <w:lang w:eastAsia="ja-JP"/>
                      </w:rPr>
                    </m:ctrlPr>
                  </m:fPr>
                  <m:num>
                    <m:r>
                      <w:rPr>
                        <w:rFonts w:ascii="Cambria Math" w:hAnsi="Cambria Math" w:cstheme="majorBidi"/>
                      </w:rPr>
                      <m:t>∂</m:t>
                    </m:r>
                    <m:sSub>
                      <m:sSubPr>
                        <m:ctrlPr>
                          <w:rPr>
                            <w:rFonts w:ascii="Cambria Math" w:hAnsi="Cambria Math" w:cstheme="majorBidi"/>
                            <w:b/>
                          </w:rPr>
                        </m:ctrlPr>
                      </m:sSubPr>
                      <m:e>
                        <m:r>
                          <w:rPr>
                            <w:rFonts w:ascii="Cambria Math" w:hAnsi="Cambria Math" w:cstheme="majorBidi"/>
                          </w:rPr>
                          <m:t>u</m:t>
                        </m:r>
                      </m:e>
                      <m:sub>
                        <m:r>
                          <m:rPr>
                            <m:sty m:val="p"/>
                          </m:rPr>
                          <w:rPr>
                            <w:rFonts w:ascii="Cambria Math" w:hAnsi="Cambria Math" w:cstheme="majorBidi"/>
                          </w:rPr>
                          <m:t>frame</m:t>
                        </m:r>
                      </m:sub>
                    </m:sSub>
                  </m:num>
                  <m:den>
                    <m:r>
                      <w:rPr>
                        <w:rFonts w:ascii="Cambria Math" w:hAnsi="Cambria Math" w:cstheme="majorBidi"/>
                      </w:rPr>
                      <m:t>∂</m:t>
                    </m:r>
                    <m:r>
                      <w:rPr>
                        <w:rFonts w:ascii="Cambria Math" w:hAnsi="Cambria Math" w:cstheme="majorBidi"/>
                        <w:lang w:eastAsia="ja-JP"/>
                      </w:rPr>
                      <m:t>t</m:t>
                    </m:r>
                  </m:den>
                </m:f>
              </m:oMath>
            </m:oMathPara>
          </w:p>
        </w:tc>
        <w:tc>
          <w:tcPr>
            <w:tcW w:w="535" w:type="dxa"/>
            <w:vAlign w:val="center"/>
          </w:tcPr>
          <w:p w14:paraId="2A671A23" w14:textId="48CD7750" w:rsidR="00784C78" w:rsidRPr="00CA6258" w:rsidRDefault="000B1B64" w:rsidP="009A4AF3">
            <w:pPr>
              <w:spacing w:before="240" w:after="240" w:line="480" w:lineRule="auto"/>
              <w:jc w:val="right"/>
              <w:rPr>
                <w:rFonts w:eastAsiaTheme="minorEastAsia"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11</w:t>
            </w:r>
            <w:r w:rsidRPr="00CA6258">
              <w:fldChar w:fldCharType="end"/>
            </w:r>
          </w:p>
        </w:tc>
      </w:tr>
    </w:tbl>
    <w:p w14:paraId="33DE3652" w14:textId="1D2F346A" w:rsidR="000A1D01" w:rsidRPr="00CA6258" w:rsidRDefault="000B1B64" w:rsidP="00784C78">
      <w:pPr>
        <w:spacing w:before="240" w:after="240" w:line="480" w:lineRule="auto"/>
        <w:jc w:val="both"/>
        <w:rPr>
          <w:rFonts w:cstheme="majorBidi"/>
          <w:kern w:val="0"/>
        </w:rPr>
      </w:pPr>
      <w:r w:rsidRPr="00CA6258">
        <w:rPr>
          <w:rFonts w:eastAsiaTheme="minorEastAsia" w:cstheme="majorBidi"/>
        </w:rPr>
        <w:t>where</w:t>
      </w:r>
      <w:r w:rsidRPr="00CA6258">
        <w:rPr>
          <w:rFonts w:eastAsiaTheme="minorEastAsia" w:cstheme="majorBidi"/>
          <w:i/>
          <w:iCs/>
        </w:rPr>
        <w:t xml:space="preserve"> u</w:t>
      </w:r>
      <w:r w:rsidRPr="00CA6258">
        <w:rPr>
          <w:rFonts w:eastAsiaTheme="minorEastAsia" w:cstheme="majorBidi"/>
        </w:rPr>
        <w:t xml:space="preserve"> and </w:t>
      </w:r>
      <m:oMath>
        <m:r>
          <w:rPr>
            <w:rFonts w:ascii="Cambria Math" w:hAnsi="Cambria Math" w:cstheme="majorBidi"/>
            <w:sz w:val="22"/>
            <w:szCs w:val="22"/>
            <w:lang w:eastAsia="ja-JP"/>
          </w:rPr>
          <m:t>v</m:t>
        </m:r>
      </m:oMath>
      <w:r w:rsidRPr="00CA6258">
        <w:rPr>
          <w:rFonts w:eastAsiaTheme="minorEastAsia" w:cstheme="majorBidi"/>
          <w:i/>
          <w:iCs/>
        </w:rPr>
        <w:t xml:space="preserve"> </w:t>
      </w:r>
      <w:r w:rsidRPr="00CA6258">
        <w:rPr>
          <w:rFonts w:eastAsiaTheme="minorEastAsia" w:cstheme="majorBidi"/>
        </w:rPr>
        <w:t xml:space="preserve">are the velocity components in the </w:t>
      </w:r>
      <w:r w:rsidRPr="00CA6258">
        <w:rPr>
          <w:rFonts w:eastAsiaTheme="minorEastAsia" w:cstheme="majorBidi"/>
          <w:i/>
          <w:iCs/>
        </w:rPr>
        <w:t>x</w:t>
      </w:r>
      <w:r w:rsidRPr="00CA6258">
        <w:rPr>
          <w:rFonts w:eastAsiaTheme="minorEastAsia" w:cstheme="majorBidi"/>
        </w:rPr>
        <w:t xml:space="preserve"> and </w:t>
      </w:r>
      <w:r w:rsidRPr="00CA6258">
        <w:rPr>
          <w:rFonts w:eastAsiaTheme="minorEastAsia" w:cstheme="majorBidi"/>
          <w:i/>
          <w:iCs/>
        </w:rPr>
        <w:t>y</w:t>
      </w:r>
      <w:r w:rsidRPr="00CA6258">
        <w:rPr>
          <w:rFonts w:eastAsiaTheme="minorEastAsia" w:cstheme="majorBidi"/>
        </w:rPr>
        <w:t xml:space="preserve"> directions, respectively. </w:t>
      </w:r>
      <w:r w:rsidR="000A1D01" w:rsidRPr="00CA6258">
        <w:rPr>
          <w:rFonts w:cstheme="majorBidi"/>
          <w:kern w:val="0"/>
        </w:rPr>
        <w:t xml:space="preserve">In the </w:t>
      </w:r>
      <m:oMath>
        <m:r>
          <w:rPr>
            <w:rFonts w:ascii="Cambria Math" w:hAnsi="Cambria Math" w:cstheme="majorBidi"/>
            <w:kern w:val="0"/>
          </w:rPr>
          <m:t>y</m:t>
        </m:r>
      </m:oMath>
      <w:r w:rsidR="000A1D01" w:rsidRPr="00CA6258">
        <w:rPr>
          <w:rFonts w:cstheme="majorBidi"/>
          <w:kern w:val="0"/>
        </w:rPr>
        <w:t xml:space="preserve">-direction (lateral direction), the frame velocity is zero since the frame moves axially at a velocity equal to </w:t>
      </w:r>
      <w:r w:rsidR="000A1D01" w:rsidRPr="00CA6258">
        <w:rPr>
          <w:rFonts w:cstheme="majorBidi"/>
          <w:kern w:val="0"/>
        </w:rPr>
        <w:lastRenderedPageBreak/>
        <w:t xml:space="preserve">the particle velocity. Consequently, the momentum conservation equation in the </w:t>
      </w:r>
      <w:r w:rsidR="000A1D01" w:rsidRPr="00CA6258">
        <w:rPr>
          <w:rFonts w:cstheme="majorBidi"/>
          <w:i/>
          <w:iCs/>
          <w:kern w:val="0"/>
        </w:rPr>
        <w:t>y</w:t>
      </w:r>
      <w:r w:rsidR="000A1D01" w:rsidRPr="00CA6258">
        <w:rPr>
          <w:rFonts w:cstheme="majorBidi"/>
          <w:kern w:val="0"/>
        </w:rPr>
        <w:t>-direction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4"/>
        <w:gridCol w:w="656"/>
      </w:tblGrid>
      <w:tr w:rsidR="00917F52" w:rsidRPr="00CA6258" w14:paraId="1E4E8BC0" w14:textId="77777777" w:rsidTr="000B1B64">
        <w:tc>
          <w:tcPr>
            <w:tcW w:w="8905" w:type="dxa"/>
            <w:vAlign w:val="center"/>
          </w:tcPr>
          <w:p w14:paraId="00E154E2" w14:textId="0F942BC8" w:rsidR="00917F52" w:rsidRPr="00CA6258" w:rsidRDefault="00917F52" w:rsidP="009A4AF3">
            <w:pPr>
              <w:spacing w:before="240" w:after="240" w:line="480" w:lineRule="auto"/>
              <w:jc w:val="both"/>
              <w:rPr>
                <w:rFonts w:eastAsiaTheme="minorEastAsia" w:cstheme="majorBidi"/>
                <w:sz w:val="22"/>
                <w:szCs w:val="22"/>
              </w:rPr>
            </w:pPr>
            <m:oMathPara>
              <m:oMathParaPr>
                <m:jc m:val="left"/>
              </m:oMathParaPr>
              <m:oMath>
                <m:r>
                  <w:rPr>
                    <w:rStyle w:val="fontstyle01"/>
                    <w:rFonts w:ascii="Cambria Math" w:hAnsi="Cambria Math" w:cstheme="majorBidi"/>
                    <w:sz w:val="21"/>
                    <w:szCs w:val="21"/>
                  </w:rPr>
                  <m:t>ρ</m:t>
                </m:r>
                <m:d>
                  <m:dPr>
                    <m:begChr m:val="["/>
                    <m:endChr m:val="]"/>
                    <m:ctrlPr>
                      <w:rPr>
                        <w:rFonts w:ascii="Cambria Math" w:hAnsi="Cambria Math" w:cstheme="majorBidi"/>
                        <w:i/>
                        <w:sz w:val="21"/>
                        <w:szCs w:val="21"/>
                        <w:lang w:eastAsia="ja-JP"/>
                      </w:rPr>
                    </m:ctrlPr>
                  </m:dPr>
                  <m:e>
                    <m:sSub>
                      <m:sSubPr>
                        <m:ctrlPr>
                          <w:rPr>
                            <w:rFonts w:ascii="Cambria Math" w:hAnsi="Cambria Math" w:cstheme="majorBidi"/>
                            <w:bCs/>
                            <w:i/>
                            <w:sz w:val="21"/>
                            <w:szCs w:val="21"/>
                            <w:lang w:eastAsia="ja-JP"/>
                          </w:rPr>
                        </m:ctrlPr>
                      </m:sSubPr>
                      <m:e>
                        <m:d>
                          <m:dPr>
                            <m:begChr m:val=""/>
                            <m:endChr m:val="|"/>
                            <m:ctrlPr>
                              <w:rPr>
                                <w:rFonts w:ascii="Cambria Math" w:hAnsi="Cambria Math" w:cstheme="majorBidi"/>
                                <w:bCs/>
                                <w:i/>
                                <w:sz w:val="21"/>
                                <w:szCs w:val="21"/>
                                <w:lang w:eastAsia="ja-JP"/>
                              </w:rPr>
                            </m:ctrlPr>
                          </m:dPr>
                          <m:e>
                            <m:f>
                              <m:fPr>
                                <m:ctrlPr>
                                  <w:rPr>
                                    <w:rFonts w:ascii="Cambria Math" w:hAnsi="Cambria Math" w:cstheme="majorBidi"/>
                                    <w:bCs/>
                                    <w:i/>
                                    <w:sz w:val="21"/>
                                    <w:szCs w:val="21"/>
                                    <w:lang w:eastAsia="ja-JP"/>
                                  </w:rPr>
                                </m:ctrlPr>
                              </m:fPr>
                              <m:num>
                                <m:r>
                                  <w:rPr>
                                    <w:rFonts w:ascii="Cambria Math" w:hAnsi="Cambria Math" w:cstheme="majorBidi"/>
                                    <w:sz w:val="21"/>
                                    <w:szCs w:val="21"/>
                                  </w:rPr>
                                  <m:t>∂v</m:t>
                                </m:r>
                              </m:num>
                              <m:den>
                                <m:r>
                                  <w:rPr>
                                    <w:rFonts w:ascii="Cambria Math" w:hAnsi="Cambria Math" w:cstheme="majorBidi"/>
                                    <w:sz w:val="21"/>
                                    <w:szCs w:val="21"/>
                                  </w:rPr>
                                  <m:t>∂</m:t>
                                </m:r>
                                <m:r>
                                  <w:rPr>
                                    <w:rFonts w:ascii="Cambria Math" w:hAnsi="Cambria Math" w:cstheme="majorBidi"/>
                                    <w:sz w:val="21"/>
                                    <w:szCs w:val="21"/>
                                    <w:lang w:eastAsia="ja-JP"/>
                                  </w:rPr>
                                  <m:t>t</m:t>
                                </m:r>
                              </m:den>
                            </m:f>
                          </m:e>
                        </m:d>
                      </m:e>
                      <m:sub>
                        <m:r>
                          <m:rPr>
                            <m:sty m:val="p"/>
                          </m:rPr>
                          <w:rPr>
                            <w:rFonts w:ascii="Cambria Math" w:hAnsi="Cambria Math" w:cstheme="majorBidi"/>
                            <w:sz w:val="21"/>
                            <w:szCs w:val="21"/>
                            <w:lang w:eastAsia="ja-JP"/>
                          </w:rPr>
                          <m:t>ref</m:t>
                        </m:r>
                      </m:sub>
                    </m:sSub>
                    <m:r>
                      <w:rPr>
                        <w:rFonts w:ascii="Cambria Math" w:hAnsi="Cambria Math" w:cstheme="majorBidi"/>
                        <w:sz w:val="21"/>
                        <w:szCs w:val="21"/>
                        <w:lang w:eastAsia="ja-JP"/>
                      </w:rPr>
                      <m:t>+</m:t>
                    </m:r>
                    <m:d>
                      <m:dPr>
                        <m:ctrlPr>
                          <w:rPr>
                            <w:rFonts w:ascii="Cambria Math" w:hAnsi="Cambria Math" w:cstheme="majorBidi"/>
                            <w:i/>
                            <w:sz w:val="21"/>
                            <w:szCs w:val="21"/>
                            <w:lang w:eastAsia="ja-JP"/>
                          </w:rPr>
                        </m:ctrlPr>
                      </m:dPr>
                      <m:e>
                        <m:r>
                          <w:rPr>
                            <w:rFonts w:ascii="Cambria Math" w:hAnsi="Cambria Math" w:cstheme="majorBidi"/>
                            <w:sz w:val="21"/>
                            <w:szCs w:val="21"/>
                            <w:lang w:eastAsia="ja-JP"/>
                          </w:rPr>
                          <m:t>u-</m:t>
                        </m:r>
                        <m:sSub>
                          <m:sSubPr>
                            <m:ctrlPr>
                              <w:rPr>
                                <w:rFonts w:ascii="Cambria Math" w:hAnsi="Cambria Math" w:cstheme="majorBidi"/>
                                <w:i/>
                                <w:sz w:val="21"/>
                                <w:szCs w:val="21"/>
                                <w:lang w:eastAsia="ja-JP"/>
                              </w:rPr>
                            </m:ctrlPr>
                          </m:sSubPr>
                          <m:e>
                            <m:r>
                              <w:rPr>
                                <w:rFonts w:ascii="Cambria Math" w:hAnsi="Cambria Math" w:cstheme="majorBidi"/>
                                <w:sz w:val="21"/>
                                <w:szCs w:val="21"/>
                                <w:lang w:eastAsia="ja-JP"/>
                              </w:rPr>
                              <m:t>u</m:t>
                            </m:r>
                          </m:e>
                          <m:sub>
                            <m:r>
                              <m:rPr>
                                <m:sty m:val="p"/>
                              </m:rPr>
                              <w:rPr>
                                <w:rFonts w:ascii="Cambria Math" w:hAnsi="Cambria Math" w:cstheme="majorBidi"/>
                                <w:sz w:val="21"/>
                                <w:szCs w:val="21"/>
                                <w:lang w:eastAsia="ja-JP"/>
                              </w:rPr>
                              <m:t>mesh</m:t>
                            </m:r>
                          </m:sub>
                        </m:sSub>
                      </m:e>
                    </m:d>
                    <m:f>
                      <m:fPr>
                        <m:ctrlPr>
                          <w:rPr>
                            <w:rFonts w:ascii="Cambria Math" w:hAnsi="Cambria Math" w:cstheme="majorBidi"/>
                            <w:i/>
                            <w:sz w:val="21"/>
                            <w:szCs w:val="21"/>
                            <w:lang w:eastAsia="ja-JP"/>
                          </w:rPr>
                        </m:ctrlPr>
                      </m:fPr>
                      <m:num>
                        <m:r>
                          <w:rPr>
                            <w:rFonts w:ascii="Cambria Math" w:hAnsi="Cambria Math" w:cstheme="majorBidi"/>
                            <w:sz w:val="21"/>
                            <w:szCs w:val="21"/>
                            <w:lang w:eastAsia="ja-JP"/>
                          </w:rPr>
                          <m:t>∂v</m:t>
                        </m:r>
                      </m:num>
                      <m:den>
                        <m:r>
                          <w:rPr>
                            <w:rFonts w:ascii="Cambria Math" w:hAnsi="Cambria Math" w:cstheme="majorBidi"/>
                            <w:sz w:val="21"/>
                            <w:szCs w:val="21"/>
                            <w:lang w:eastAsia="ja-JP"/>
                          </w:rPr>
                          <m:t>∂x</m:t>
                        </m:r>
                      </m:den>
                    </m:f>
                    <m:r>
                      <w:rPr>
                        <w:rFonts w:ascii="Cambria Math" w:hAnsi="Cambria Math" w:cstheme="majorBidi"/>
                        <w:sz w:val="21"/>
                        <w:szCs w:val="21"/>
                        <w:lang w:eastAsia="ja-JP"/>
                      </w:rPr>
                      <m:t>+</m:t>
                    </m:r>
                    <m:d>
                      <m:dPr>
                        <m:ctrlPr>
                          <w:rPr>
                            <w:rFonts w:ascii="Cambria Math" w:hAnsi="Cambria Math" w:cstheme="majorBidi"/>
                            <w:i/>
                            <w:sz w:val="21"/>
                            <w:szCs w:val="21"/>
                            <w:lang w:eastAsia="ja-JP"/>
                          </w:rPr>
                        </m:ctrlPr>
                      </m:dPr>
                      <m:e>
                        <m:r>
                          <w:rPr>
                            <w:rFonts w:ascii="Cambria Math" w:hAnsi="Cambria Math" w:cstheme="majorBidi"/>
                            <w:sz w:val="21"/>
                            <w:szCs w:val="21"/>
                            <w:lang w:eastAsia="ja-JP"/>
                          </w:rPr>
                          <m:t>v-</m:t>
                        </m:r>
                        <m:sSub>
                          <m:sSubPr>
                            <m:ctrlPr>
                              <w:rPr>
                                <w:rFonts w:ascii="Cambria Math" w:hAnsi="Cambria Math" w:cstheme="majorBidi"/>
                                <w:i/>
                                <w:sz w:val="21"/>
                                <w:szCs w:val="21"/>
                                <w:lang w:eastAsia="ja-JP"/>
                              </w:rPr>
                            </m:ctrlPr>
                          </m:sSubPr>
                          <m:e>
                            <m:r>
                              <w:rPr>
                                <w:rFonts w:ascii="Cambria Math" w:hAnsi="Cambria Math" w:cstheme="majorBidi"/>
                                <w:sz w:val="21"/>
                                <w:szCs w:val="21"/>
                                <w:lang w:eastAsia="ja-JP"/>
                              </w:rPr>
                              <m:t>v</m:t>
                            </m:r>
                          </m:e>
                          <m:sub>
                            <m:r>
                              <m:rPr>
                                <m:sty m:val="p"/>
                              </m:rPr>
                              <w:rPr>
                                <w:rFonts w:ascii="Cambria Math" w:hAnsi="Cambria Math" w:cstheme="majorBidi"/>
                                <w:sz w:val="21"/>
                                <w:szCs w:val="21"/>
                                <w:lang w:eastAsia="ja-JP"/>
                              </w:rPr>
                              <m:t>mesh</m:t>
                            </m:r>
                          </m:sub>
                        </m:sSub>
                      </m:e>
                    </m:d>
                    <m:f>
                      <m:fPr>
                        <m:ctrlPr>
                          <w:rPr>
                            <w:rFonts w:ascii="Cambria Math" w:hAnsi="Cambria Math" w:cstheme="majorBidi"/>
                            <w:i/>
                            <w:sz w:val="21"/>
                            <w:szCs w:val="21"/>
                            <w:lang w:eastAsia="ja-JP"/>
                          </w:rPr>
                        </m:ctrlPr>
                      </m:fPr>
                      <m:num>
                        <m:r>
                          <w:rPr>
                            <w:rFonts w:ascii="Cambria Math" w:hAnsi="Cambria Math" w:cstheme="majorBidi"/>
                            <w:sz w:val="21"/>
                            <w:szCs w:val="21"/>
                            <w:lang w:eastAsia="ja-JP"/>
                          </w:rPr>
                          <m:t>∂v</m:t>
                        </m:r>
                      </m:num>
                      <m:den>
                        <m:r>
                          <w:rPr>
                            <w:rFonts w:ascii="Cambria Math" w:hAnsi="Cambria Math" w:cstheme="majorBidi"/>
                            <w:sz w:val="21"/>
                            <w:szCs w:val="21"/>
                            <w:lang w:eastAsia="ja-JP"/>
                          </w:rPr>
                          <m:t>∂y</m:t>
                        </m:r>
                      </m:den>
                    </m:f>
                  </m:e>
                </m:d>
                <m:r>
                  <m:rPr>
                    <m:sty m:val="bi"/>
                  </m:rPr>
                  <w:rPr>
                    <w:rFonts w:ascii="Cambria Math" w:hAnsi="Cambria Math" w:cstheme="majorBidi"/>
                    <w:sz w:val="21"/>
                    <w:szCs w:val="21"/>
                  </w:rPr>
                  <m:t>=-</m:t>
                </m:r>
                <m:f>
                  <m:fPr>
                    <m:ctrlPr>
                      <w:rPr>
                        <w:rFonts w:ascii="Cambria Math" w:hAnsi="Cambria Math" w:cstheme="majorBidi"/>
                        <w:i/>
                        <w:sz w:val="21"/>
                        <w:szCs w:val="21"/>
                      </w:rPr>
                    </m:ctrlPr>
                  </m:fPr>
                  <m:num>
                    <m:r>
                      <w:rPr>
                        <w:rFonts w:ascii="Cambria Math" w:hAnsi="Cambria Math" w:cstheme="majorBidi"/>
                        <w:sz w:val="21"/>
                        <w:szCs w:val="21"/>
                      </w:rPr>
                      <m:t>∂p</m:t>
                    </m:r>
                    <m:ctrlPr>
                      <w:rPr>
                        <w:rFonts w:ascii="Cambria Math" w:hAnsi="Cambria Math" w:cstheme="majorBidi"/>
                        <w:b/>
                        <w:i/>
                        <w:sz w:val="21"/>
                        <w:szCs w:val="21"/>
                      </w:rPr>
                    </m:ctrlPr>
                  </m:num>
                  <m:den>
                    <m:r>
                      <w:rPr>
                        <w:rFonts w:ascii="Cambria Math" w:hAnsi="Cambria Math" w:cstheme="majorBidi"/>
                        <w:sz w:val="21"/>
                        <w:szCs w:val="21"/>
                      </w:rPr>
                      <m:t>∂y</m:t>
                    </m:r>
                  </m:den>
                </m:f>
                <m:r>
                  <w:rPr>
                    <w:rFonts w:ascii="Cambria Math" w:hAnsi="Cambria Math" w:cstheme="majorBidi"/>
                    <w:sz w:val="21"/>
                    <w:szCs w:val="21"/>
                  </w:rPr>
                  <m:t>+μ</m:t>
                </m:r>
                <m:d>
                  <m:dPr>
                    <m:ctrlPr>
                      <w:rPr>
                        <w:rFonts w:ascii="Cambria Math" w:hAnsi="Cambria Math" w:cstheme="majorBidi"/>
                        <w:bCs/>
                        <w:i/>
                        <w:sz w:val="21"/>
                        <w:szCs w:val="21"/>
                      </w:rPr>
                    </m:ctrlPr>
                  </m:dPr>
                  <m:e>
                    <m:f>
                      <m:fPr>
                        <m:ctrlPr>
                          <w:rPr>
                            <w:rFonts w:ascii="Cambria Math" w:hAnsi="Cambria Math" w:cstheme="majorBidi"/>
                            <w:b/>
                            <w:i/>
                            <w:sz w:val="21"/>
                            <w:szCs w:val="21"/>
                          </w:rPr>
                        </m:ctrlPr>
                      </m:fPr>
                      <m:num>
                        <m:sSup>
                          <m:sSupPr>
                            <m:ctrlPr>
                              <w:rPr>
                                <w:rFonts w:ascii="Cambria Math" w:hAnsi="Cambria Math" w:cstheme="majorBidi"/>
                                <w:bCs/>
                                <w:i/>
                                <w:sz w:val="21"/>
                                <w:szCs w:val="21"/>
                              </w:rPr>
                            </m:ctrlPr>
                          </m:sSupPr>
                          <m:e>
                            <m:r>
                              <w:rPr>
                                <w:rFonts w:ascii="Cambria Math" w:hAnsi="Cambria Math" w:cstheme="majorBidi"/>
                                <w:sz w:val="21"/>
                                <w:szCs w:val="21"/>
                              </w:rPr>
                              <m:t>∂</m:t>
                            </m:r>
                          </m:e>
                          <m:sup>
                            <m:r>
                              <w:rPr>
                                <w:rFonts w:ascii="Cambria Math" w:hAnsi="Cambria Math" w:cstheme="majorBidi"/>
                                <w:sz w:val="21"/>
                                <w:szCs w:val="21"/>
                              </w:rPr>
                              <m:t>2</m:t>
                            </m:r>
                          </m:sup>
                        </m:sSup>
                        <m:r>
                          <w:rPr>
                            <w:rFonts w:ascii="Cambria Math" w:hAnsi="Cambria Math" w:cstheme="majorBidi"/>
                            <w:sz w:val="21"/>
                            <w:szCs w:val="21"/>
                          </w:rPr>
                          <m:t>v</m:t>
                        </m:r>
                        <m:ctrlPr>
                          <w:rPr>
                            <w:rFonts w:ascii="Cambria Math" w:hAnsi="Cambria Math" w:cstheme="majorBidi"/>
                            <w:bCs/>
                            <w:i/>
                            <w:sz w:val="21"/>
                            <w:szCs w:val="21"/>
                          </w:rPr>
                        </m:ctrlPr>
                      </m:num>
                      <m:den>
                        <m:r>
                          <w:rPr>
                            <w:rFonts w:ascii="Cambria Math" w:hAnsi="Cambria Math" w:cstheme="majorBidi"/>
                            <w:sz w:val="21"/>
                            <w:szCs w:val="21"/>
                          </w:rPr>
                          <m:t>∂</m:t>
                        </m:r>
                        <m:sSup>
                          <m:sSupPr>
                            <m:ctrlPr>
                              <w:rPr>
                                <w:rFonts w:ascii="Cambria Math" w:hAnsi="Cambria Math" w:cstheme="majorBidi"/>
                                <w:bCs/>
                                <w:i/>
                                <w:sz w:val="21"/>
                                <w:szCs w:val="21"/>
                              </w:rPr>
                            </m:ctrlPr>
                          </m:sSupPr>
                          <m:e>
                            <m:r>
                              <w:rPr>
                                <w:rFonts w:ascii="Cambria Math" w:hAnsi="Cambria Math" w:cstheme="majorBidi"/>
                                <w:sz w:val="21"/>
                                <w:szCs w:val="21"/>
                              </w:rPr>
                              <m:t>x</m:t>
                            </m:r>
                          </m:e>
                          <m:sup>
                            <m:r>
                              <w:rPr>
                                <w:rFonts w:ascii="Cambria Math" w:hAnsi="Cambria Math" w:cstheme="majorBidi"/>
                                <w:sz w:val="21"/>
                                <w:szCs w:val="21"/>
                              </w:rPr>
                              <m:t>2</m:t>
                            </m:r>
                          </m:sup>
                        </m:sSup>
                      </m:den>
                    </m:f>
                    <m:r>
                      <m:rPr>
                        <m:sty m:val="b"/>
                      </m:rPr>
                      <w:rPr>
                        <w:rFonts w:ascii="Cambria Math" w:hAnsi="Cambria Math" w:cstheme="majorBidi"/>
                        <w:sz w:val="21"/>
                        <w:szCs w:val="21"/>
                      </w:rPr>
                      <m:t>+</m:t>
                    </m:r>
                    <m:f>
                      <m:fPr>
                        <m:ctrlPr>
                          <w:rPr>
                            <w:rFonts w:ascii="Cambria Math" w:hAnsi="Cambria Math" w:cstheme="majorBidi"/>
                            <w:b/>
                            <w:i/>
                            <w:sz w:val="21"/>
                            <w:szCs w:val="21"/>
                          </w:rPr>
                        </m:ctrlPr>
                      </m:fPr>
                      <m:num>
                        <m:sSup>
                          <m:sSupPr>
                            <m:ctrlPr>
                              <w:rPr>
                                <w:rFonts w:ascii="Cambria Math" w:hAnsi="Cambria Math" w:cstheme="majorBidi"/>
                                <w:bCs/>
                                <w:i/>
                                <w:sz w:val="21"/>
                                <w:szCs w:val="21"/>
                              </w:rPr>
                            </m:ctrlPr>
                          </m:sSupPr>
                          <m:e>
                            <m:r>
                              <w:rPr>
                                <w:rFonts w:ascii="Cambria Math" w:hAnsi="Cambria Math" w:cstheme="majorBidi"/>
                                <w:sz w:val="21"/>
                                <w:szCs w:val="21"/>
                              </w:rPr>
                              <m:t>∂</m:t>
                            </m:r>
                          </m:e>
                          <m:sup>
                            <m:r>
                              <w:rPr>
                                <w:rFonts w:ascii="Cambria Math" w:hAnsi="Cambria Math" w:cstheme="majorBidi"/>
                                <w:sz w:val="21"/>
                                <w:szCs w:val="21"/>
                              </w:rPr>
                              <m:t>2</m:t>
                            </m:r>
                          </m:sup>
                        </m:sSup>
                        <m:r>
                          <w:rPr>
                            <w:rFonts w:ascii="Cambria Math" w:hAnsi="Cambria Math" w:cstheme="majorBidi"/>
                            <w:sz w:val="21"/>
                            <w:szCs w:val="21"/>
                          </w:rPr>
                          <m:t>v</m:t>
                        </m:r>
                        <m:ctrlPr>
                          <w:rPr>
                            <w:rFonts w:ascii="Cambria Math" w:hAnsi="Cambria Math" w:cstheme="majorBidi"/>
                            <w:bCs/>
                            <w:i/>
                            <w:sz w:val="21"/>
                            <w:szCs w:val="21"/>
                          </w:rPr>
                        </m:ctrlPr>
                      </m:num>
                      <m:den>
                        <m:r>
                          <w:rPr>
                            <w:rFonts w:ascii="Cambria Math" w:hAnsi="Cambria Math" w:cstheme="majorBidi"/>
                            <w:sz w:val="21"/>
                            <w:szCs w:val="21"/>
                          </w:rPr>
                          <m:t>∂</m:t>
                        </m:r>
                        <m:sSup>
                          <m:sSupPr>
                            <m:ctrlPr>
                              <w:rPr>
                                <w:rFonts w:ascii="Cambria Math" w:hAnsi="Cambria Math" w:cstheme="majorBidi"/>
                                <w:bCs/>
                                <w:i/>
                                <w:sz w:val="21"/>
                                <w:szCs w:val="21"/>
                              </w:rPr>
                            </m:ctrlPr>
                          </m:sSupPr>
                          <m:e>
                            <m:r>
                              <w:rPr>
                                <w:rFonts w:ascii="Cambria Math" w:hAnsi="Cambria Math" w:cstheme="majorBidi"/>
                                <w:sz w:val="21"/>
                                <w:szCs w:val="21"/>
                              </w:rPr>
                              <m:t>y</m:t>
                            </m:r>
                          </m:e>
                          <m:sup>
                            <m:r>
                              <w:rPr>
                                <w:rFonts w:ascii="Cambria Math" w:hAnsi="Cambria Math" w:cstheme="majorBidi"/>
                                <w:sz w:val="21"/>
                                <w:szCs w:val="21"/>
                              </w:rPr>
                              <m:t>2</m:t>
                            </m:r>
                          </m:sup>
                        </m:sSup>
                      </m:den>
                    </m:f>
                    <m:ctrlPr>
                      <w:rPr>
                        <w:rFonts w:ascii="Cambria Math" w:hAnsi="Cambria Math" w:cstheme="majorBidi"/>
                        <w:b/>
                        <w:sz w:val="21"/>
                        <w:szCs w:val="21"/>
                      </w:rPr>
                    </m:ctrlPr>
                  </m:e>
                </m:d>
                <m:r>
                  <w:rPr>
                    <w:rFonts w:ascii="Cambria Math" w:hAnsi="Cambria Math" w:cstheme="majorBidi"/>
                    <w:sz w:val="21"/>
                    <w:szCs w:val="21"/>
                  </w:rPr>
                  <m:t>-ρ</m:t>
                </m:r>
                <m:d>
                  <m:dPr>
                    <m:begChr m:val="["/>
                    <m:endChr m:val="]"/>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1-β</m:t>
                    </m:r>
                    <m:d>
                      <m:dPr>
                        <m:ctrlPr>
                          <w:rPr>
                            <w:rFonts w:ascii="Cambria Math" w:eastAsiaTheme="minorEastAsia" w:hAnsi="Cambria Math" w:cstheme="majorBidi"/>
                            <w:i/>
                            <w:sz w:val="21"/>
                            <w:szCs w:val="21"/>
                          </w:rPr>
                        </m:ctrlPr>
                      </m:dPr>
                      <m:e>
                        <m:r>
                          <w:rPr>
                            <w:rFonts w:ascii="Cambria Math" w:eastAsiaTheme="minorEastAsia" w:hAnsi="Cambria Math" w:cstheme="majorBidi"/>
                            <w:sz w:val="21"/>
                            <w:szCs w:val="21"/>
                          </w:rPr>
                          <m:t>T-</m:t>
                        </m:r>
                        <m:sSub>
                          <m:sSubPr>
                            <m:ctrlPr>
                              <w:rPr>
                                <w:rFonts w:ascii="Cambria Math" w:eastAsiaTheme="minorEastAsia" w:hAnsi="Cambria Math" w:cstheme="majorBidi"/>
                                <w:i/>
                                <w:sz w:val="21"/>
                                <w:szCs w:val="21"/>
                              </w:rPr>
                            </m:ctrlPr>
                          </m:sSubPr>
                          <m:e>
                            <m:r>
                              <w:rPr>
                                <w:rFonts w:ascii="Cambria Math" w:eastAsiaTheme="minorEastAsia" w:hAnsi="Cambria Math" w:cstheme="majorBidi"/>
                                <w:sz w:val="21"/>
                                <w:szCs w:val="21"/>
                              </w:rPr>
                              <m:t>T</m:t>
                            </m:r>
                          </m:e>
                          <m:sub>
                            <m:r>
                              <w:rPr>
                                <w:rFonts w:ascii="Cambria Math" w:eastAsiaTheme="minorEastAsia" w:hAnsi="Cambria Math" w:cstheme="majorBidi"/>
                                <w:sz w:val="21"/>
                                <w:szCs w:val="21"/>
                              </w:rPr>
                              <m:t>0</m:t>
                            </m:r>
                          </m:sub>
                        </m:sSub>
                      </m:e>
                    </m:d>
                  </m:e>
                </m:d>
                <m:r>
                  <m:rPr>
                    <m:sty m:val="p"/>
                  </m:rPr>
                  <w:rPr>
                    <w:rFonts w:ascii="Cambria Math" w:hAnsi="Cambria Math" w:cstheme="majorBidi"/>
                    <w:sz w:val="21"/>
                    <w:szCs w:val="21"/>
                  </w:rPr>
                  <m:t>g</m:t>
                </m:r>
              </m:oMath>
            </m:oMathPara>
          </w:p>
        </w:tc>
        <w:tc>
          <w:tcPr>
            <w:tcW w:w="445" w:type="dxa"/>
            <w:vAlign w:val="center"/>
          </w:tcPr>
          <w:p w14:paraId="5F822190" w14:textId="05BD149D" w:rsidR="00917F52" w:rsidRPr="00CA6258" w:rsidRDefault="000B1B64" w:rsidP="009A4AF3">
            <w:pPr>
              <w:spacing w:before="240" w:after="240" w:line="480" w:lineRule="auto"/>
              <w:jc w:val="right"/>
              <w:rPr>
                <w:rFonts w:eastAsiaTheme="minorEastAsia"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12</w:t>
            </w:r>
            <w:r w:rsidRPr="00CA6258">
              <w:fldChar w:fldCharType="end"/>
            </w:r>
          </w:p>
        </w:tc>
      </w:tr>
    </w:tbl>
    <w:p w14:paraId="559622CF" w14:textId="6FCB07CB" w:rsidR="00A5602C" w:rsidRPr="00CA6258" w:rsidRDefault="00DB5173" w:rsidP="006E213C">
      <w:pPr>
        <w:spacing w:before="240" w:after="240" w:line="480" w:lineRule="auto"/>
        <w:ind w:firstLine="720"/>
        <w:jc w:val="both"/>
        <w:rPr>
          <w:rFonts w:cstheme="majorBidi"/>
          <w:kern w:val="0"/>
        </w:rPr>
      </w:pPr>
      <w:r w:rsidRPr="00CA6258">
        <w:rPr>
          <w:rFonts w:cstheme="majorBidi"/>
          <w:kern w:val="0"/>
        </w:rPr>
        <w:t>T</w:t>
      </w:r>
      <w:r w:rsidR="00142E1A" w:rsidRPr="00CA6258">
        <w:rPr>
          <w:rFonts w:cstheme="majorBidi"/>
          <w:kern w:val="0"/>
        </w:rPr>
        <w:t xml:space="preserve">he conservation of energy within the liquid phase under the ALE framework can be </w:t>
      </w:r>
      <w:r w:rsidR="00A5602C" w:rsidRPr="00CA6258">
        <w:rPr>
          <w:rFonts w:cstheme="majorBidi"/>
          <w:kern w:val="0"/>
        </w:rPr>
        <w:t>described</w:t>
      </w:r>
      <w:r w:rsidR="00142E1A" w:rsidRPr="00CA6258">
        <w:rPr>
          <w:rFonts w:cstheme="majorBidi"/>
          <w:kern w:val="0"/>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700"/>
      </w:tblGrid>
      <w:tr w:rsidR="003A15A3" w:rsidRPr="00CA6258" w14:paraId="7413BD86" w14:textId="77777777" w:rsidTr="00715EB9">
        <w:tc>
          <w:tcPr>
            <w:tcW w:w="7650" w:type="dxa"/>
            <w:vAlign w:val="center"/>
          </w:tcPr>
          <w:p w14:paraId="2A399950" w14:textId="5B9C6364" w:rsidR="003A15A3" w:rsidRPr="00CA6258" w:rsidRDefault="003A15A3" w:rsidP="006E213C">
            <w:pPr>
              <w:spacing w:before="240" w:after="240" w:line="480" w:lineRule="auto"/>
              <w:jc w:val="both"/>
              <w:rPr>
                <w:rFonts w:eastAsiaTheme="minorEastAsia" w:cstheme="majorBidi"/>
              </w:rPr>
            </w:pPr>
            <m:oMathPara>
              <m:oMathParaPr>
                <m:jc m:val="left"/>
              </m:oMathParaPr>
              <m:oMath>
                <m:r>
                  <w:rPr>
                    <w:rStyle w:val="fontstyle01"/>
                    <w:rFonts w:ascii="Cambria Math" w:hAnsi="Cambria Math" w:cstheme="majorBidi"/>
                  </w:rPr>
                  <m:t>ρ</m:t>
                </m:r>
                <m:r>
                  <w:rPr>
                    <w:rFonts w:ascii="Cambria Math" w:hAnsi="Cambria Math" w:cstheme="majorBidi"/>
                    <w:lang w:eastAsia="ja-JP"/>
                  </w:rPr>
                  <m:t>c</m:t>
                </m:r>
                <m:d>
                  <m:dPr>
                    <m:begChr m:val="["/>
                    <m:endChr m:val="]"/>
                    <m:ctrlPr>
                      <w:rPr>
                        <w:rFonts w:ascii="Cambria Math" w:hAnsi="Cambria Math" w:cstheme="majorBidi"/>
                        <w:i/>
                        <w:lang w:eastAsia="ja-JP"/>
                      </w:rPr>
                    </m:ctrlPr>
                  </m:dPr>
                  <m:e>
                    <m:f>
                      <m:fPr>
                        <m:ctrlPr>
                          <w:rPr>
                            <w:rFonts w:ascii="Cambria Math" w:hAnsi="Cambria Math" w:cstheme="majorBidi"/>
                            <w:i/>
                            <w:lang w:eastAsia="ja-JP"/>
                          </w:rPr>
                        </m:ctrlPr>
                      </m:fPr>
                      <m:num>
                        <m:r>
                          <w:rPr>
                            <w:rFonts w:ascii="Cambria Math" w:hAnsi="Cambria Math" w:cstheme="majorBidi"/>
                            <w:lang w:eastAsia="ja-JP"/>
                          </w:rPr>
                          <m:t>∂T</m:t>
                        </m:r>
                      </m:num>
                      <m:den>
                        <m:r>
                          <w:rPr>
                            <w:rFonts w:ascii="Cambria Math" w:hAnsi="Cambria Math" w:cstheme="majorBidi"/>
                            <w:lang w:eastAsia="ja-JP"/>
                          </w:rPr>
                          <m:t>∂t</m:t>
                        </m:r>
                      </m:den>
                    </m:f>
                    <m:r>
                      <w:rPr>
                        <w:rFonts w:ascii="Cambria Math" w:hAnsi="Cambria Math" w:cstheme="majorBidi"/>
                        <w:lang w:eastAsia="ja-JP"/>
                      </w:rPr>
                      <m:t>+</m:t>
                    </m:r>
                    <m:d>
                      <m:dPr>
                        <m:ctrlPr>
                          <w:rPr>
                            <w:rFonts w:ascii="Cambria Math" w:hAnsi="Cambria Math" w:cstheme="majorBidi"/>
                            <w:i/>
                            <w:lang w:eastAsia="ja-JP"/>
                          </w:rPr>
                        </m:ctrlPr>
                      </m:dPr>
                      <m:e>
                        <m:r>
                          <w:rPr>
                            <w:rFonts w:ascii="Cambria Math" w:hAnsi="Cambria Math" w:cstheme="majorBidi"/>
                            <w:lang w:eastAsia="ja-JP"/>
                          </w:rPr>
                          <m:t>u-</m:t>
                        </m:r>
                        <m:sSub>
                          <m:sSubPr>
                            <m:ctrlPr>
                              <w:rPr>
                                <w:rFonts w:ascii="Cambria Math" w:hAnsi="Cambria Math" w:cstheme="majorBidi"/>
                                <w:i/>
                                <w:lang w:eastAsia="ja-JP"/>
                              </w:rPr>
                            </m:ctrlPr>
                          </m:sSubPr>
                          <m:e>
                            <m:r>
                              <w:rPr>
                                <w:rFonts w:ascii="Cambria Math" w:hAnsi="Cambria Math" w:cstheme="majorBidi"/>
                                <w:lang w:eastAsia="ja-JP"/>
                              </w:rPr>
                              <m:t>u</m:t>
                            </m:r>
                          </m:e>
                          <m:sub>
                            <m:r>
                              <m:rPr>
                                <m:sty m:val="p"/>
                              </m:rPr>
                              <w:rPr>
                                <w:rFonts w:ascii="Cambria Math" w:hAnsi="Cambria Math" w:cstheme="majorBidi"/>
                                <w:lang w:eastAsia="ja-JP"/>
                              </w:rPr>
                              <m:t>mesh</m:t>
                            </m:r>
                          </m:sub>
                        </m:sSub>
                      </m:e>
                    </m:d>
                    <m:f>
                      <m:fPr>
                        <m:ctrlPr>
                          <w:rPr>
                            <w:rFonts w:ascii="Cambria Math" w:hAnsi="Cambria Math" w:cstheme="majorBidi"/>
                            <w:i/>
                            <w:lang w:eastAsia="ja-JP"/>
                          </w:rPr>
                        </m:ctrlPr>
                      </m:fPr>
                      <m:num>
                        <m:r>
                          <w:rPr>
                            <w:rFonts w:ascii="Cambria Math" w:hAnsi="Cambria Math" w:cstheme="majorBidi"/>
                            <w:lang w:eastAsia="ja-JP"/>
                          </w:rPr>
                          <m:t>∂T</m:t>
                        </m:r>
                      </m:num>
                      <m:den>
                        <m:r>
                          <w:rPr>
                            <w:rFonts w:ascii="Cambria Math" w:hAnsi="Cambria Math" w:cstheme="majorBidi"/>
                            <w:lang w:eastAsia="ja-JP"/>
                          </w:rPr>
                          <m:t>∂x</m:t>
                        </m:r>
                      </m:den>
                    </m:f>
                    <m:r>
                      <w:rPr>
                        <w:rFonts w:ascii="Cambria Math" w:hAnsi="Cambria Math" w:cstheme="majorBidi"/>
                        <w:lang w:eastAsia="ja-JP"/>
                      </w:rPr>
                      <m:t>+</m:t>
                    </m:r>
                    <m:d>
                      <m:dPr>
                        <m:ctrlPr>
                          <w:rPr>
                            <w:rFonts w:ascii="Cambria Math" w:hAnsi="Cambria Math" w:cstheme="majorBidi"/>
                            <w:i/>
                            <w:lang w:eastAsia="ja-JP"/>
                          </w:rPr>
                        </m:ctrlPr>
                      </m:dPr>
                      <m:e>
                        <m:r>
                          <w:rPr>
                            <w:rFonts w:ascii="Cambria Math" w:hAnsi="Cambria Math" w:cstheme="majorBidi"/>
                            <w:lang w:eastAsia="ja-JP"/>
                          </w:rPr>
                          <m:t>v-</m:t>
                        </m:r>
                        <m:sSub>
                          <m:sSubPr>
                            <m:ctrlPr>
                              <w:rPr>
                                <w:rFonts w:ascii="Cambria Math" w:hAnsi="Cambria Math" w:cstheme="majorBidi"/>
                                <w:i/>
                                <w:lang w:eastAsia="ja-JP"/>
                              </w:rPr>
                            </m:ctrlPr>
                          </m:sSubPr>
                          <m:e>
                            <m:r>
                              <w:rPr>
                                <w:rFonts w:ascii="Cambria Math" w:hAnsi="Cambria Math" w:cstheme="majorBidi"/>
                                <w:lang w:eastAsia="ja-JP"/>
                              </w:rPr>
                              <m:t>v</m:t>
                            </m:r>
                          </m:e>
                          <m:sub>
                            <m:r>
                              <m:rPr>
                                <m:sty m:val="p"/>
                              </m:rPr>
                              <w:rPr>
                                <w:rFonts w:ascii="Cambria Math" w:hAnsi="Cambria Math" w:cstheme="majorBidi"/>
                                <w:lang w:eastAsia="ja-JP"/>
                              </w:rPr>
                              <m:t>mesh</m:t>
                            </m:r>
                          </m:sub>
                        </m:sSub>
                      </m:e>
                    </m:d>
                    <m:f>
                      <m:fPr>
                        <m:ctrlPr>
                          <w:rPr>
                            <w:rFonts w:ascii="Cambria Math" w:hAnsi="Cambria Math" w:cstheme="majorBidi"/>
                            <w:i/>
                            <w:lang w:eastAsia="ja-JP"/>
                          </w:rPr>
                        </m:ctrlPr>
                      </m:fPr>
                      <m:num>
                        <m:r>
                          <w:rPr>
                            <w:rFonts w:ascii="Cambria Math" w:hAnsi="Cambria Math" w:cstheme="majorBidi"/>
                            <w:lang w:eastAsia="ja-JP"/>
                          </w:rPr>
                          <m:t>∂T</m:t>
                        </m:r>
                      </m:num>
                      <m:den>
                        <m:r>
                          <w:rPr>
                            <w:rFonts w:ascii="Cambria Math" w:hAnsi="Cambria Math" w:cstheme="majorBidi"/>
                            <w:lang w:eastAsia="ja-JP"/>
                          </w:rPr>
                          <m:t>∂y</m:t>
                        </m:r>
                      </m:den>
                    </m:f>
                  </m:e>
                </m:d>
                <m:r>
                  <m:rPr>
                    <m:sty m:val="bi"/>
                  </m:rPr>
                  <w:rPr>
                    <w:rFonts w:ascii="Cambria Math" w:hAnsi="Cambria Math" w:cstheme="majorBidi"/>
                  </w:rPr>
                  <m:t>=</m:t>
                </m:r>
                <m:r>
                  <w:rPr>
                    <w:rFonts w:ascii="Cambria Math" w:hAnsi="Cambria Math" w:cstheme="majorBidi"/>
                  </w:rPr>
                  <m:t xml:space="preserve">k </m:t>
                </m:r>
                <m:d>
                  <m:dPr>
                    <m:ctrlPr>
                      <w:rPr>
                        <w:rFonts w:ascii="Cambria Math" w:hAnsi="Cambria Math" w:cstheme="majorBidi"/>
                        <w:bCs/>
                        <w:i/>
                      </w:rPr>
                    </m:ctrlPr>
                  </m:dPr>
                  <m:e>
                    <m:f>
                      <m:fPr>
                        <m:ctrlPr>
                          <w:rPr>
                            <w:rFonts w:ascii="Cambria Math" w:hAnsi="Cambria Math" w:cstheme="majorBidi"/>
                            <w:b/>
                            <w:i/>
                          </w:rPr>
                        </m:ctrlPr>
                      </m:fPr>
                      <m:num>
                        <m:sSup>
                          <m:sSupPr>
                            <m:ctrlPr>
                              <w:rPr>
                                <w:rFonts w:ascii="Cambria Math" w:hAnsi="Cambria Math" w:cstheme="majorBidi"/>
                                <w:bCs/>
                                <w:i/>
                              </w:rPr>
                            </m:ctrlPr>
                          </m:sSupPr>
                          <m:e>
                            <m:r>
                              <w:rPr>
                                <w:rFonts w:ascii="Cambria Math" w:hAnsi="Cambria Math" w:cstheme="majorBidi"/>
                              </w:rPr>
                              <m:t>∂</m:t>
                            </m:r>
                          </m:e>
                          <m:sup>
                            <m:r>
                              <w:rPr>
                                <w:rFonts w:ascii="Cambria Math" w:hAnsi="Cambria Math" w:cstheme="majorBidi"/>
                              </w:rPr>
                              <m:t>2</m:t>
                            </m:r>
                          </m:sup>
                        </m:sSup>
                        <m:r>
                          <w:rPr>
                            <w:rFonts w:ascii="Cambria Math" w:hAnsi="Cambria Math" w:cstheme="majorBidi"/>
                          </w:rPr>
                          <m:t>T</m:t>
                        </m:r>
                        <m:ctrlPr>
                          <w:rPr>
                            <w:rFonts w:ascii="Cambria Math" w:hAnsi="Cambria Math" w:cstheme="majorBidi"/>
                            <w:bCs/>
                            <w:i/>
                          </w:rPr>
                        </m:ctrlPr>
                      </m:num>
                      <m:den>
                        <m:r>
                          <w:rPr>
                            <w:rFonts w:ascii="Cambria Math" w:hAnsi="Cambria Math" w:cstheme="majorBidi"/>
                          </w:rPr>
                          <m:t>∂</m:t>
                        </m:r>
                        <m:sSup>
                          <m:sSupPr>
                            <m:ctrlPr>
                              <w:rPr>
                                <w:rFonts w:ascii="Cambria Math" w:hAnsi="Cambria Math" w:cstheme="majorBidi"/>
                                <w:bCs/>
                                <w:i/>
                              </w:rPr>
                            </m:ctrlPr>
                          </m:sSupPr>
                          <m:e>
                            <m:r>
                              <w:rPr>
                                <w:rFonts w:ascii="Cambria Math" w:hAnsi="Cambria Math" w:cstheme="majorBidi"/>
                              </w:rPr>
                              <m:t>x</m:t>
                            </m:r>
                          </m:e>
                          <m:sup>
                            <m:r>
                              <w:rPr>
                                <w:rFonts w:ascii="Cambria Math" w:hAnsi="Cambria Math" w:cstheme="majorBidi"/>
                              </w:rPr>
                              <m:t>2</m:t>
                            </m:r>
                          </m:sup>
                        </m:sSup>
                      </m:den>
                    </m:f>
                    <m:r>
                      <m:rPr>
                        <m:sty m:val="b"/>
                      </m:rPr>
                      <w:rPr>
                        <w:rFonts w:ascii="Cambria Math" w:hAnsi="Cambria Math" w:cstheme="majorBidi"/>
                      </w:rPr>
                      <m:t>+</m:t>
                    </m:r>
                    <m:f>
                      <m:fPr>
                        <m:ctrlPr>
                          <w:rPr>
                            <w:rFonts w:ascii="Cambria Math" w:hAnsi="Cambria Math" w:cstheme="majorBidi"/>
                            <w:b/>
                            <w:i/>
                          </w:rPr>
                        </m:ctrlPr>
                      </m:fPr>
                      <m:num>
                        <m:sSup>
                          <m:sSupPr>
                            <m:ctrlPr>
                              <w:rPr>
                                <w:rFonts w:ascii="Cambria Math" w:hAnsi="Cambria Math" w:cstheme="majorBidi"/>
                                <w:bCs/>
                                <w:i/>
                              </w:rPr>
                            </m:ctrlPr>
                          </m:sSupPr>
                          <m:e>
                            <m:r>
                              <w:rPr>
                                <w:rFonts w:ascii="Cambria Math" w:hAnsi="Cambria Math" w:cstheme="majorBidi"/>
                              </w:rPr>
                              <m:t>∂</m:t>
                            </m:r>
                          </m:e>
                          <m:sup>
                            <m:r>
                              <w:rPr>
                                <w:rFonts w:ascii="Cambria Math" w:hAnsi="Cambria Math" w:cstheme="majorBidi"/>
                              </w:rPr>
                              <m:t>2</m:t>
                            </m:r>
                          </m:sup>
                        </m:sSup>
                        <m:r>
                          <w:rPr>
                            <w:rFonts w:ascii="Cambria Math" w:hAnsi="Cambria Math" w:cstheme="majorBidi"/>
                          </w:rPr>
                          <m:t>T</m:t>
                        </m:r>
                        <m:ctrlPr>
                          <w:rPr>
                            <w:rFonts w:ascii="Cambria Math" w:hAnsi="Cambria Math" w:cstheme="majorBidi"/>
                            <w:bCs/>
                            <w:i/>
                          </w:rPr>
                        </m:ctrlPr>
                      </m:num>
                      <m:den>
                        <m:r>
                          <w:rPr>
                            <w:rFonts w:ascii="Cambria Math" w:hAnsi="Cambria Math" w:cstheme="majorBidi"/>
                          </w:rPr>
                          <m:t>∂</m:t>
                        </m:r>
                        <m:sSup>
                          <m:sSupPr>
                            <m:ctrlPr>
                              <w:rPr>
                                <w:rFonts w:ascii="Cambria Math" w:hAnsi="Cambria Math" w:cstheme="majorBidi"/>
                                <w:bCs/>
                                <w:i/>
                              </w:rPr>
                            </m:ctrlPr>
                          </m:sSupPr>
                          <m:e>
                            <m:r>
                              <w:rPr>
                                <w:rFonts w:ascii="Cambria Math" w:hAnsi="Cambria Math" w:cstheme="majorBidi"/>
                              </w:rPr>
                              <m:t>y</m:t>
                            </m:r>
                          </m:e>
                          <m:sup>
                            <m:r>
                              <w:rPr>
                                <w:rFonts w:ascii="Cambria Math" w:hAnsi="Cambria Math" w:cstheme="majorBidi"/>
                              </w:rPr>
                              <m:t>2</m:t>
                            </m:r>
                          </m:sup>
                        </m:sSup>
                      </m:den>
                    </m:f>
                    <m:ctrlPr>
                      <w:rPr>
                        <w:rFonts w:ascii="Cambria Math" w:hAnsi="Cambria Math" w:cstheme="majorBidi"/>
                        <w:b/>
                      </w:rPr>
                    </m:ctrlPr>
                  </m:e>
                </m:d>
              </m:oMath>
            </m:oMathPara>
          </w:p>
        </w:tc>
        <w:tc>
          <w:tcPr>
            <w:tcW w:w="1700" w:type="dxa"/>
            <w:vAlign w:val="center"/>
          </w:tcPr>
          <w:p w14:paraId="7EBB575E" w14:textId="3A479446" w:rsidR="003A15A3" w:rsidRPr="00CA6258" w:rsidRDefault="000B1B64" w:rsidP="006E213C">
            <w:pPr>
              <w:spacing w:before="240" w:after="240" w:line="480" w:lineRule="auto"/>
              <w:jc w:val="right"/>
              <w:rPr>
                <w:rFonts w:eastAsiaTheme="minorEastAsia"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13</w:t>
            </w:r>
            <w:r w:rsidRPr="00CA6258">
              <w:rPr>
                <w:noProof/>
              </w:rPr>
              <w:fldChar w:fldCharType="end"/>
            </w:r>
          </w:p>
        </w:tc>
      </w:tr>
    </w:tbl>
    <w:p w14:paraId="0AE104ED" w14:textId="297F2224" w:rsidR="003A15A3" w:rsidRPr="00CA6258" w:rsidRDefault="005E3155" w:rsidP="006E213C">
      <w:pPr>
        <w:spacing w:before="240" w:after="240" w:line="480" w:lineRule="auto"/>
        <w:jc w:val="both"/>
        <w:rPr>
          <w:rFonts w:eastAsiaTheme="minorEastAsia" w:cstheme="majorBidi"/>
        </w:rPr>
      </w:pPr>
      <w:bookmarkStart w:id="70" w:name="_Hlk153450907"/>
      <w:r w:rsidRPr="00CA6258">
        <w:rPr>
          <w:rFonts w:eastAsiaTheme="minorEastAsia" w:cstheme="majorBidi"/>
        </w:rPr>
        <w:t>w</w:t>
      </w:r>
      <w:r w:rsidR="003A15A3" w:rsidRPr="00CA6258">
        <w:rPr>
          <w:rFonts w:eastAsiaTheme="minorEastAsia" w:cstheme="majorBidi"/>
        </w:rPr>
        <w:t>here</w:t>
      </w:r>
      <w:r w:rsidRPr="00CA6258">
        <w:rPr>
          <w:rFonts w:eastAsiaTheme="minorEastAsia" w:cstheme="majorBidi"/>
        </w:rPr>
        <w:t xml:space="preserve"> and </w:t>
      </w:r>
      <m:oMath>
        <m:r>
          <w:rPr>
            <w:rFonts w:ascii="Cambria Math" w:eastAsiaTheme="minorEastAsia" w:hAnsi="Cambria Math" w:cstheme="majorBidi"/>
          </w:rPr>
          <m:t>c</m:t>
        </m:r>
      </m:oMath>
      <w:r w:rsidR="003A15A3" w:rsidRPr="00CA6258">
        <w:rPr>
          <w:rFonts w:eastAsiaTheme="minorEastAsia" w:cstheme="majorBidi"/>
        </w:rPr>
        <w:t xml:space="preserve"> and </w:t>
      </w:r>
      <m:oMath>
        <m:r>
          <w:rPr>
            <w:rFonts w:ascii="Cambria Math" w:eastAsiaTheme="minorEastAsia" w:hAnsi="Cambria Math" w:cstheme="majorBidi"/>
          </w:rPr>
          <m:t>k</m:t>
        </m:r>
      </m:oMath>
      <w:r w:rsidR="003A15A3" w:rsidRPr="00CA6258">
        <w:rPr>
          <w:rFonts w:eastAsiaTheme="minorEastAsia" w:cstheme="majorBidi"/>
        </w:rPr>
        <w:t xml:space="preserve"> are the fluid specific heat and thermal conductivity</w:t>
      </w:r>
      <w:bookmarkEnd w:id="70"/>
      <w:r w:rsidRPr="00CA6258">
        <w:rPr>
          <w:rFonts w:eastAsiaTheme="minorEastAsia" w:cstheme="majorBidi"/>
        </w:rPr>
        <w:t>, respectively</w:t>
      </w:r>
      <w:r w:rsidR="003A15A3" w:rsidRPr="00CA6258">
        <w:rPr>
          <w:rFonts w:eastAsiaTheme="minorEastAsia" w:cstheme="majorBidi"/>
        </w:rPr>
        <w:t xml:space="preserve">. </w:t>
      </w:r>
      <w:r w:rsidR="00DB5173" w:rsidRPr="00CA6258">
        <w:rPr>
          <w:rFonts w:eastAsiaTheme="minorEastAsia" w:cstheme="majorBidi"/>
        </w:rPr>
        <w:t>In the energy conservation equation, the radiation heat transfer and viscous dissipation terms are neglected.</w:t>
      </w:r>
    </w:p>
    <w:p w14:paraId="3D811C87" w14:textId="641477FA" w:rsidR="00D24CFD" w:rsidRPr="00D24CFD" w:rsidRDefault="005F4FFD" w:rsidP="006E213C">
      <w:pPr>
        <w:spacing w:before="240" w:after="240" w:line="480" w:lineRule="auto"/>
        <w:ind w:firstLine="720"/>
        <w:jc w:val="both"/>
        <w:rPr>
          <w:rFonts w:eastAsiaTheme="minorEastAsia" w:cstheme="majorBidi"/>
        </w:rPr>
      </w:pPr>
      <w:r w:rsidRPr="00CA6258">
        <w:rPr>
          <w:rFonts w:eastAsiaTheme="minorEastAsia" w:cstheme="majorBidi"/>
        </w:rPr>
        <w:t>The movement and deformation of the particle induce corresponding deformations in the cells within the fluid domain. As a result, the fluid cells surrounding the particle must be relocated and reshaped to accommodate these changes. To facilitate this, ANSYS Fluent's dynamic mesh model is utilized to manage the mesh motion and deformat</w:t>
      </w:r>
      <w:r w:rsidRPr="004834D3">
        <w:rPr>
          <w:rFonts w:eastAsiaTheme="minorEastAsia" w:cstheme="majorBidi"/>
        </w:rPr>
        <w:t xml:space="preserve">ion in the vicinity of the particle. This model automatically updates the cells at each time step, taking into account the new position of the particle surface (the solid-liquid interface). Furthermore, the conservation equations for a general scalar quantity, denoted as  </w:t>
      </w:r>
      <m:oMath>
        <m:r>
          <w:rPr>
            <w:rFonts w:ascii="Cambria Math" w:eastAsiaTheme="minorEastAsia" w:hAnsi="Cambria Math" w:cstheme="majorBidi"/>
          </w:rPr>
          <m:t>ϕ</m:t>
        </m:r>
      </m:oMath>
      <w:r w:rsidRPr="004834D3">
        <w:rPr>
          <w:rFonts w:eastAsiaTheme="minorEastAsia" w:cstheme="majorBidi"/>
        </w:rPr>
        <w:t xml:space="preserve">, within an arbitrary control volume </w:t>
      </w:r>
      <m:oMath>
        <m:sSub>
          <m:sSubPr>
            <m:ctrlPr>
              <w:rPr>
                <w:rFonts w:ascii="Cambria Math" w:hAnsi="Cambria Math" w:cstheme="majorBidi"/>
                <w:i/>
              </w:rPr>
            </m:ctrlPr>
          </m:sSubPr>
          <m:e>
            <m:r>
              <w:rPr>
                <w:rFonts w:ascii="Cambria Math" w:hAnsi="Cambria Math" w:cstheme="majorBidi"/>
              </w:rPr>
              <m:t>V</m:t>
            </m:r>
          </m:e>
          <m:sub>
            <m:r>
              <m:rPr>
                <m:sty m:val="p"/>
              </m:rPr>
              <w:rPr>
                <w:rFonts w:ascii="Cambria Math" w:hAnsi="Cambria Math" w:cstheme="majorBidi"/>
              </w:rPr>
              <m:t>CV</m:t>
            </m:r>
          </m:sub>
        </m:sSub>
      </m:oMath>
      <w:r w:rsidRPr="004834D3">
        <w:rPr>
          <w:rFonts w:eastAsiaTheme="minorEastAsia" w:cstheme="majorBidi"/>
        </w:rPr>
        <w:t xml:space="preserve"> that has a moving boundary, are formulated in integral form as follows </w:t>
      </w:r>
      <w:r w:rsidRPr="004834D3">
        <w:rPr>
          <w:rFonts w:cstheme="majorBidi"/>
        </w:rPr>
        <w:fldChar w:fldCharType="begin" w:fldLock="1"/>
      </w:r>
      <w:r w:rsidR="00D83446">
        <w:rPr>
          <w:rFonts w:cstheme="majorBidi"/>
        </w:rPr>
        <w:instrText>ADDIN CSL_CITATION {"citationItems":[{"id":"ITEM-1","itemData":{"abstract":"Моя статья об ANSYS FLUENT и рассчёте с помощью него плёночного охлаждения","container-title":"ANSYS Inc., USA","id":"ITEM-1","issue":"November","issued":{"date-parts":[["2013"]]},"page":"814","publisher":"Ansys Inc.","title":"ANSYS Fluent Theory Guide","type":"article-journal","volume":"15317"},"uris":["http://www.mendeley.com/documents/?uuid=f79be050-36e8-45d1-9725-3bb4ce56906c"]}],"mendeley":{"formattedCitation":"[169]","plainTextFormattedCitation":"[169]","previouslyFormattedCitation":"[170]"},"properties":{"noteIndex":0},"schema":"https://github.com/citation-style-language/schema/raw/master/csl-citation.json"}</w:instrText>
      </w:r>
      <w:r w:rsidRPr="004834D3">
        <w:rPr>
          <w:rFonts w:cstheme="majorBidi"/>
        </w:rPr>
        <w:fldChar w:fldCharType="separate"/>
      </w:r>
      <w:r w:rsidR="00D83446" w:rsidRPr="00D83446">
        <w:rPr>
          <w:rFonts w:cstheme="majorBidi"/>
          <w:noProof/>
        </w:rPr>
        <w:t>[169]</w:t>
      </w:r>
      <w:r w:rsidRPr="004834D3">
        <w:rPr>
          <w:rFonts w:cstheme="majorBidi"/>
        </w:rPr>
        <w:fldChar w:fldCharType="end"/>
      </w:r>
      <w:r w:rsidRPr="004834D3">
        <w:rPr>
          <w:rFonts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435"/>
      </w:tblGrid>
      <w:tr w:rsidR="00421D41" w:rsidRPr="004834D3" w14:paraId="43E09BF7" w14:textId="77777777" w:rsidTr="009A4AF3">
        <w:tc>
          <w:tcPr>
            <w:tcW w:w="7915" w:type="dxa"/>
          </w:tcPr>
          <w:p w14:paraId="2FC7921D" w14:textId="77777777" w:rsidR="00421D41" w:rsidRPr="004834D3" w:rsidRDefault="00000000" w:rsidP="006E213C">
            <w:pPr>
              <w:spacing w:before="240" w:after="240" w:line="480" w:lineRule="auto"/>
              <w:jc w:val="both"/>
              <w:rPr>
                <w:rFonts w:eastAsiaTheme="minorEastAsia" w:cstheme="majorBidi"/>
              </w:rPr>
            </w:pPr>
            <m:oMathPara>
              <m:oMathParaPr>
                <m:jc m:val="left"/>
              </m:oMathParaPr>
              <m:oMath>
                <m:f>
                  <m:fPr>
                    <m:ctrlPr>
                      <w:rPr>
                        <w:rFonts w:ascii="Cambria Math" w:hAnsi="Cambria Math" w:cstheme="majorBidi"/>
                        <w:i/>
                      </w:rPr>
                    </m:ctrlPr>
                  </m:fPr>
                  <m:num>
                    <m:r>
                      <w:rPr>
                        <w:rFonts w:ascii="Cambria Math" w:hAnsi="Cambria Math" w:cstheme="majorBidi"/>
                      </w:rPr>
                      <m:t>d</m:t>
                    </m:r>
                  </m:num>
                  <m:den>
                    <m:r>
                      <w:rPr>
                        <w:rFonts w:ascii="Cambria Math" w:hAnsi="Cambria Math" w:cstheme="majorBidi"/>
                      </w:rPr>
                      <m:t>dt</m:t>
                    </m:r>
                  </m:den>
                </m:f>
                <m:nary>
                  <m:naryPr>
                    <m:supHide m:val="1"/>
                    <m:ctrlPr>
                      <w:rPr>
                        <w:rFonts w:ascii="Cambria Math" w:hAnsi="Cambria Math" w:cstheme="majorBidi"/>
                        <w:i/>
                      </w:rPr>
                    </m:ctrlPr>
                  </m:naryPr>
                  <m:sub>
                    <m:sSub>
                      <m:sSubPr>
                        <m:ctrlPr>
                          <w:rPr>
                            <w:rFonts w:ascii="Cambria Math" w:hAnsi="Cambria Math" w:cstheme="majorBidi"/>
                            <w:i/>
                          </w:rPr>
                        </m:ctrlPr>
                      </m:sSubPr>
                      <m:e>
                        <m:r>
                          <w:rPr>
                            <w:rFonts w:ascii="Cambria Math" w:hAnsi="Cambria Math" w:cstheme="majorBidi"/>
                          </w:rPr>
                          <m:t>V</m:t>
                        </m:r>
                      </m:e>
                      <m:sub>
                        <m:r>
                          <m:rPr>
                            <m:sty m:val="p"/>
                          </m:rPr>
                          <w:rPr>
                            <w:rFonts w:ascii="Cambria Math" w:hAnsi="Cambria Math" w:cstheme="majorBidi"/>
                          </w:rPr>
                          <m:t>CV</m:t>
                        </m:r>
                      </m:sub>
                    </m:sSub>
                  </m:sub>
                  <m:sup/>
                  <m:e>
                    <m:r>
                      <w:rPr>
                        <w:rFonts w:ascii="Cambria Math" w:hAnsi="Cambria Math" w:cstheme="majorBidi"/>
                      </w:rPr>
                      <m:t>ρϕd</m:t>
                    </m:r>
                    <m:sSub>
                      <m:sSubPr>
                        <m:ctrlPr>
                          <w:rPr>
                            <w:rFonts w:ascii="Cambria Math" w:hAnsi="Cambria Math" w:cstheme="majorBidi"/>
                            <w:i/>
                          </w:rPr>
                        </m:ctrlPr>
                      </m:sSubPr>
                      <m:e>
                        <m:r>
                          <w:rPr>
                            <w:rFonts w:ascii="Cambria Math" w:hAnsi="Cambria Math" w:cstheme="majorBidi"/>
                          </w:rPr>
                          <m:t>V</m:t>
                        </m:r>
                      </m:e>
                      <m:sub>
                        <m:r>
                          <m:rPr>
                            <m:sty m:val="p"/>
                          </m:rPr>
                          <w:rPr>
                            <w:rFonts w:ascii="Cambria Math" w:hAnsi="Cambria Math" w:cstheme="majorBidi"/>
                          </w:rPr>
                          <m:t>CV</m:t>
                        </m:r>
                      </m:sub>
                    </m:sSub>
                  </m:e>
                </m:nary>
                <m:r>
                  <w:rPr>
                    <w:rFonts w:ascii="Cambria Math" w:hAnsi="Cambria Math" w:cstheme="majorBidi"/>
                  </w:rPr>
                  <m:t>+</m:t>
                </m:r>
                <m:nary>
                  <m:naryPr>
                    <m:supHide m:val="1"/>
                    <m:ctrlPr>
                      <w:rPr>
                        <w:rFonts w:ascii="Cambria Math" w:hAnsi="Cambria Math" w:cstheme="majorBidi"/>
                        <w:i/>
                      </w:rPr>
                    </m:ctrlPr>
                  </m:naryPr>
                  <m:sub>
                    <m:r>
                      <w:rPr>
                        <w:rFonts w:ascii="Cambria Math" w:hAnsi="Cambria Math" w:cstheme="majorBidi"/>
                      </w:rPr>
                      <m:t>S</m:t>
                    </m:r>
                  </m:sub>
                  <m:sup/>
                  <m:e>
                    <m:r>
                      <w:rPr>
                        <w:rFonts w:ascii="Cambria Math" w:hAnsi="Cambria Math" w:cstheme="majorBidi"/>
                      </w:rPr>
                      <m:t>ρϕ</m:t>
                    </m:r>
                    <m:d>
                      <m:dPr>
                        <m:ctrlPr>
                          <w:rPr>
                            <w:rFonts w:ascii="Cambria Math" w:hAnsi="Cambria Math" w:cstheme="majorBidi"/>
                            <w:i/>
                          </w:rPr>
                        </m:ctrlPr>
                      </m:dPr>
                      <m:e>
                        <m:r>
                          <m:rPr>
                            <m:sty m:val="b"/>
                          </m:rPr>
                          <w:rPr>
                            <w:rFonts w:ascii="Cambria Math" w:hAnsi="Cambria Math" w:cstheme="majorBidi"/>
                          </w:rPr>
                          <m:t>V</m:t>
                        </m:r>
                        <m:r>
                          <w:rPr>
                            <w:rFonts w:ascii="Cambria Math" w:hAnsi="Cambria Math" w:cstheme="majorBidi"/>
                          </w:rPr>
                          <m:t>-</m:t>
                        </m:r>
                        <m:sSub>
                          <m:sSubPr>
                            <m:ctrlPr>
                              <w:rPr>
                                <w:rFonts w:ascii="Cambria Math" w:hAnsi="Cambria Math" w:cstheme="majorBidi"/>
                                <w:i/>
                              </w:rPr>
                            </m:ctrlPr>
                          </m:sSubPr>
                          <m:e>
                            <m:r>
                              <m:rPr>
                                <m:sty m:val="b"/>
                              </m:rPr>
                              <w:rPr>
                                <w:rFonts w:ascii="Cambria Math" w:hAnsi="Cambria Math" w:cstheme="majorBidi"/>
                              </w:rPr>
                              <m:t>V</m:t>
                            </m:r>
                          </m:e>
                          <m:sub>
                            <m:r>
                              <m:rPr>
                                <m:sty m:val="p"/>
                              </m:rPr>
                              <w:rPr>
                                <w:rFonts w:ascii="Cambria Math" w:hAnsi="Cambria Math" w:cstheme="majorBidi"/>
                              </w:rPr>
                              <m:t>mesh</m:t>
                            </m:r>
                          </m:sub>
                        </m:sSub>
                      </m:e>
                    </m:d>
                    <m:r>
                      <w:rPr>
                        <w:rFonts w:ascii="Cambria Math" w:hAnsi="Cambria Math" w:cstheme="majorBidi"/>
                      </w:rPr>
                      <m:t> ∙d</m:t>
                    </m:r>
                    <m:r>
                      <m:rPr>
                        <m:sty m:val="b"/>
                      </m:rPr>
                      <w:rPr>
                        <w:rFonts w:ascii="Cambria Math" w:hAnsi="Cambria Math" w:cstheme="majorBidi"/>
                      </w:rPr>
                      <m:t>S</m:t>
                    </m:r>
                  </m:e>
                </m:nary>
                <m:r>
                  <w:rPr>
                    <w:rFonts w:ascii="Cambria Math" w:hAnsi="Cambria Math" w:cstheme="majorBidi"/>
                  </w:rPr>
                  <m:t>=</m:t>
                </m:r>
                <m:nary>
                  <m:naryPr>
                    <m:supHide m:val="1"/>
                    <m:ctrlPr>
                      <w:rPr>
                        <w:rFonts w:ascii="Cambria Math" w:hAnsi="Cambria Math" w:cstheme="majorBidi"/>
                        <w:i/>
                      </w:rPr>
                    </m:ctrlPr>
                  </m:naryPr>
                  <m:sub>
                    <m:r>
                      <w:rPr>
                        <w:rFonts w:ascii="Cambria Math" w:hAnsi="Cambria Math" w:cstheme="majorBidi"/>
                      </w:rPr>
                      <m:t>S</m:t>
                    </m:r>
                  </m:sub>
                  <m:sup/>
                  <m:e>
                    <m:r>
                      <m:rPr>
                        <m:sty m:val="p"/>
                      </m:rPr>
                      <w:rPr>
                        <w:rFonts w:ascii="Cambria Math" w:hAnsi="Cambria Math" w:cstheme="majorBidi"/>
                      </w:rPr>
                      <m:t>Γ∇</m:t>
                    </m:r>
                    <m:r>
                      <w:rPr>
                        <w:rFonts w:ascii="Cambria Math" w:hAnsi="Cambria Math" w:cstheme="majorBidi"/>
                      </w:rPr>
                      <m:t>ϕ∙d</m:t>
                    </m:r>
                    <m:r>
                      <m:rPr>
                        <m:sty m:val="b"/>
                      </m:rPr>
                      <w:rPr>
                        <w:rFonts w:ascii="Cambria Math" w:hAnsi="Cambria Math" w:cstheme="majorBidi"/>
                      </w:rPr>
                      <m:t>S</m:t>
                    </m:r>
                  </m:e>
                </m:nary>
                <m:r>
                  <w:rPr>
                    <w:rFonts w:ascii="Cambria Math" w:hAnsi="Cambria Math" w:cstheme="majorBidi"/>
                  </w:rPr>
                  <m:t>+</m:t>
                </m:r>
                <m:nary>
                  <m:naryPr>
                    <m:supHide m:val="1"/>
                    <m:ctrlPr>
                      <w:rPr>
                        <w:rFonts w:ascii="Cambria Math" w:hAnsi="Cambria Math" w:cstheme="majorBidi"/>
                        <w:i/>
                      </w:rPr>
                    </m:ctrlPr>
                  </m:naryPr>
                  <m:sub>
                    <m:sSub>
                      <m:sSubPr>
                        <m:ctrlPr>
                          <w:rPr>
                            <w:rFonts w:ascii="Cambria Math" w:hAnsi="Cambria Math" w:cstheme="majorBidi"/>
                            <w:i/>
                          </w:rPr>
                        </m:ctrlPr>
                      </m:sSubPr>
                      <m:e>
                        <m:r>
                          <w:rPr>
                            <w:rFonts w:ascii="Cambria Math" w:hAnsi="Cambria Math" w:cstheme="majorBidi"/>
                          </w:rPr>
                          <m:t>V</m:t>
                        </m:r>
                      </m:e>
                      <m:sub>
                        <m:r>
                          <m:rPr>
                            <m:sty m:val="p"/>
                          </m:rPr>
                          <w:rPr>
                            <w:rFonts w:ascii="Cambria Math" w:hAnsi="Cambria Math" w:cstheme="majorBidi"/>
                          </w:rPr>
                          <m:t>CV</m:t>
                        </m:r>
                      </m:sub>
                    </m:sSub>
                  </m:sub>
                  <m:sup/>
                  <m:e>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ϕ</m:t>
                        </m:r>
                      </m:sub>
                    </m:sSub>
                    <m:r>
                      <w:rPr>
                        <w:rFonts w:ascii="Cambria Math" w:hAnsi="Cambria Math" w:cstheme="majorBidi"/>
                      </w:rPr>
                      <m:t>d</m:t>
                    </m:r>
                    <m:sSub>
                      <m:sSubPr>
                        <m:ctrlPr>
                          <w:rPr>
                            <w:rFonts w:ascii="Cambria Math" w:hAnsi="Cambria Math" w:cstheme="majorBidi"/>
                            <w:i/>
                          </w:rPr>
                        </m:ctrlPr>
                      </m:sSubPr>
                      <m:e>
                        <m:r>
                          <w:rPr>
                            <w:rFonts w:ascii="Cambria Math" w:hAnsi="Cambria Math" w:cstheme="majorBidi"/>
                          </w:rPr>
                          <m:t>V</m:t>
                        </m:r>
                      </m:e>
                      <m:sub>
                        <m:r>
                          <m:rPr>
                            <m:sty m:val="p"/>
                          </m:rPr>
                          <w:rPr>
                            <w:rFonts w:ascii="Cambria Math" w:hAnsi="Cambria Math" w:cstheme="majorBidi"/>
                          </w:rPr>
                          <m:t>CV</m:t>
                        </m:r>
                      </m:sub>
                    </m:sSub>
                  </m:e>
                </m:nary>
              </m:oMath>
            </m:oMathPara>
          </w:p>
        </w:tc>
        <w:tc>
          <w:tcPr>
            <w:tcW w:w="1435" w:type="dxa"/>
          </w:tcPr>
          <w:p w14:paraId="163D2C7E" w14:textId="747E0D96" w:rsidR="00421D41" w:rsidRPr="004834D3" w:rsidRDefault="000B1B64" w:rsidP="006E213C">
            <w:pPr>
              <w:spacing w:before="240" w:after="240" w:line="480" w:lineRule="auto"/>
              <w:jc w:val="right"/>
              <w:rPr>
                <w:rFonts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14</w:t>
            </w:r>
            <w:r>
              <w:rPr>
                <w:noProof/>
              </w:rPr>
              <w:fldChar w:fldCharType="end"/>
            </w:r>
          </w:p>
        </w:tc>
      </w:tr>
    </w:tbl>
    <w:p w14:paraId="1ACC236E" w14:textId="77777777" w:rsidR="00421D41" w:rsidRPr="004834D3" w:rsidRDefault="00421D41" w:rsidP="006E213C">
      <w:pPr>
        <w:spacing w:before="240" w:after="240" w:line="480" w:lineRule="auto"/>
        <w:jc w:val="both"/>
        <w:rPr>
          <w:rFonts w:cstheme="majorBidi"/>
        </w:rPr>
      </w:pPr>
      <w:r w:rsidRPr="004834D3">
        <w:rPr>
          <w:rFonts w:eastAsiaTheme="minorEastAsia" w:cstheme="majorBidi"/>
        </w:rPr>
        <w:t xml:space="preserve">where </w:t>
      </w:r>
      <m:oMath>
        <m:r>
          <m:rPr>
            <m:sty m:val="p"/>
          </m:rPr>
          <w:rPr>
            <w:rFonts w:ascii="Cambria Math" w:eastAsiaTheme="minorEastAsia" w:hAnsi="Cambria Math" w:cstheme="majorBidi"/>
          </w:rPr>
          <m:t>Γ</m:t>
        </m:r>
      </m:oMath>
      <w:r w:rsidRPr="004834D3">
        <w:rPr>
          <w:rFonts w:eastAsiaTheme="minorEastAsia" w:cstheme="majorBidi"/>
        </w:rPr>
        <w:t xml:space="preserve"> is the diffusion coefficient and </w:t>
      </w:r>
      <m:oMath>
        <m:sSub>
          <m:sSubPr>
            <m:ctrlPr>
              <w:rPr>
                <w:rFonts w:ascii="Cambria Math" w:eastAsiaTheme="minorEastAsia" w:hAnsi="Cambria Math" w:cstheme="majorBidi"/>
                <w:i/>
              </w:rPr>
            </m:ctrlPr>
          </m:sSubPr>
          <m:e>
            <m:r>
              <w:rPr>
                <w:rFonts w:ascii="Cambria Math" w:eastAsiaTheme="minorEastAsia" w:hAnsi="Cambria Math" w:cstheme="majorBidi"/>
              </w:rPr>
              <m:t>S</m:t>
            </m:r>
          </m:e>
          <m:sub>
            <m:r>
              <w:rPr>
                <w:rFonts w:ascii="Cambria Math" w:eastAsiaTheme="minorEastAsia" w:hAnsi="Cambria Math" w:cstheme="majorBidi"/>
              </w:rPr>
              <m:t>ϕ</m:t>
            </m:r>
          </m:sub>
        </m:sSub>
      </m:oMath>
      <w:r w:rsidRPr="004834D3">
        <w:rPr>
          <w:rFonts w:eastAsiaTheme="minorEastAsia" w:cstheme="majorBidi"/>
        </w:rPr>
        <w:t xml:space="preserve"> is the source term. </w:t>
      </w:r>
    </w:p>
    <w:p w14:paraId="34D91043" w14:textId="661A8FA4" w:rsidR="00FE06F6" w:rsidRPr="00CA6258" w:rsidRDefault="00F47471" w:rsidP="006E213C">
      <w:pPr>
        <w:spacing w:before="240" w:after="240" w:line="480" w:lineRule="auto"/>
        <w:ind w:firstLine="720"/>
        <w:jc w:val="both"/>
        <w:rPr>
          <w:rFonts w:eastAsiaTheme="minorEastAsia" w:cstheme="majorBidi"/>
        </w:rPr>
      </w:pPr>
      <w:r w:rsidRPr="004834D3">
        <w:rPr>
          <w:rFonts w:eastAsiaTheme="minorEastAsia" w:cstheme="majorBidi"/>
        </w:rPr>
        <w:t xml:space="preserve">The motion of the </w:t>
      </w:r>
      <w:r w:rsidRPr="00CA6258">
        <w:rPr>
          <w:rFonts w:eastAsiaTheme="minorEastAsia" w:cstheme="majorBidi"/>
        </w:rPr>
        <w:t xml:space="preserve">solid particle is governed by two fundamental principles within the Lagrangian framework. Newton's second law </w:t>
      </w:r>
      <w:r w:rsidR="00FE06F6" w:rsidRPr="00CA6258">
        <w:rPr>
          <w:rFonts w:eastAsiaTheme="minorEastAsia" w:cstheme="majorBidi"/>
        </w:rPr>
        <w:t>governs</w:t>
      </w:r>
      <w:r w:rsidRPr="00CA6258">
        <w:rPr>
          <w:rFonts w:eastAsiaTheme="minorEastAsia" w:cstheme="majorBidi"/>
        </w:rPr>
        <w:t xml:space="preserve"> the translational motion of the particle, and the rotational motion of the particle is described by the Euler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8"/>
        <w:gridCol w:w="1502"/>
      </w:tblGrid>
      <w:tr w:rsidR="00CE4A9C" w:rsidRPr="00CA6258" w14:paraId="5E58C403" w14:textId="77777777" w:rsidTr="00FE06F6">
        <w:tc>
          <w:tcPr>
            <w:tcW w:w="7848" w:type="dxa"/>
            <w:vAlign w:val="center"/>
          </w:tcPr>
          <w:p w14:paraId="6D7C350E" w14:textId="70181752" w:rsidR="00CE4A9C" w:rsidRPr="00CA6258" w:rsidRDefault="00000000" w:rsidP="006E213C">
            <w:pPr>
              <w:spacing w:before="240" w:after="240" w:line="480" w:lineRule="auto"/>
              <w:ind w:firstLine="432"/>
              <w:jc w:val="both"/>
              <w:rPr>
                <w:rFonts w:cstheme="majorBidi"/>
                <w:i/>
              </w:rPr>
            </w:pPr>
            <m:oMathPara>
              <m:oMathParaPr>
                <m:jc m:val="left"/>
              </m:oMathParaPr>
              <m:oMath>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b/>
                            <w:bCs/>
                            <w:i/>
                          </w:rPr>
                        </m:ctrlPr>
                      </m:sSubPr>
                      <m:e>
                        <m:r>
                          <m:rPr>
                            <m:sty m:val="b"/>
                          </m:rPr>
                          <w:rPr>
                            <w:rFonts w:ascii="Cambria Math"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p</m:t>
                            </m:r>
                          </m:sub>
                        </m:sSub>
                        <m:r>
                          <m:rPr>
                            <m:sty m:val="b"/>
                          </m:rPr>
                          <w:rPr>
                            <w:rFonts w:ascii="Cambria Math" w:hAnsi="Cambria Math" w:cstheme="majorBidi"/>
                          </w:rPr>
                          <m:t>V</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w:rPr>
                    <w:rFonts w:ascii="Cambria Math" w:eastAsiaTheme="minorEastAsia" w:hAnsi="Cambria Math" w:cstheme="majorBidi"/>
                  </w:rPr>
                  <m:t>=</m:t>
                </m:r>
                <m:sSub>
                  <m:sSubPr>
                    <m:ctrlPr>
                      <w:rPr>
                        <w:rFonts w:ascii="Cambria Math" w:hAnsi="Cambria Math" w:cstheme="majorBidi"/>
                        <w:b/>
                        <w:bCs/>
                        <w:i/>
                      </w:rPr>
                    </m:ctrlPr>
                  </m:sSubPr>
                  <m:e>
                    <m:sSub>
                      <m:sSubPr>
                        <m:ctrlPr>
                          <w:rPr>
                            <w:rFonts w:ascii="Cambria Math" w:hAnsi="Cambria Math" w:cstheme="majorBidi"/>
                            <w:b/>
                            <w:bCs/>
                            <w:i/>
                          </w:rPr>
                        </m:ctrlPr>
                      </m:sSubPr>
                      <m:e>
                        <m:r>
                          <w:rPr>
                            <w:rFonts w:ascii="Cambria Math" w:hAnsi="Cambria Math" w:cstheme="majorBidi"/>
                          </w:rPr>
                          <m:t>m</m:t>
                        </m:r>
                      </m:e>
                      <m:sub>
                        <m:r>
                          <w:rPr>
                            <w:rFonts w:ascii="Cambria Math" w:hAnsi="Cambria Math" w:cstheme="majorBidi"/>
                          </w:rPr>
                          <m:t>p</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i/>
                              </w:rPr>
                            </m:ctrlPr>
                          </m:sSubPr>
                          <m:e>
                            <m:r>
                              <m:rPr>
                                <m:sty m:val="b"/>
                              </m:rPr>
                              <w:rPr>
                                <w:rFonts w:ascii="Cambria Math" w:hAnsi="Cambria Math" w:cstheme="majorBidi"/>
                              </w:rPr>
                              <m:t>V</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m:rPr>
                        <m:sty m:val="b"/>
                      </m:rPr>
                      <w:rPr>
                        <w:rFonts w:ascii="Cambria Math" w:hAnsi="Cambria Math" w:cstheme="majorBidi"/>
                      </w:rPr>
                      <m:t>+V</m:t>
                    </m:r>
                  </m:e>
                  <m:sub>
                    <m:r>
                      <w:rPr>
                        <w:rFonts w:ascii="Cambria Math" w:hAnsi="Cambria Math" w:cstheme="majorBidi"/>
                      </w:rPr>
                      <m:t>p</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w:rPr>
                    <w:rFonts w:ascii="Cambria Math" w:eastAsiaTheme="minorEastAsia" w:hAnsi="Cambria Math" w:cstheme="majorBidi"/>
                  </w:rPr>
                  <m:t>=</m:t>
                </m:r>
                <m:r>
                  <m:rPr>
                    <m:sty m:val="b"/>
                  </m:rPr>
                  <w:rPr>
                    <w:rFonts w:ascii="Cambria Math" w:eastAsiaTheme="minorEastAsia" w:hAnsi="Cambria Math" w:cstheme="majorBidi"/>
                  </w:rPr>
                  <m:t>F</m:t>
                </m:r>
              </m:oMath>
            </m:oMathPara>
          </w:p>
        </w:tc>
        <w:tc>
          <w:tcPr>
            <w:tcW w:w="1502" w:type="dxa"/>
            <w:vAlign w:val="center"/>
          </w:tcPr>
          <w:p w14:paraId="510C424F" w14:textId="46582259" w:rsidR="00CE4A9C" w:rsidRPr="00CA6258" w:rsidRDefault="000B1B64" w:rsidP="006E213C">
            <w:pPr>
              <w:spacing w:before="240" w:after="240" w:line="480" w:lineRule="auto"/>
              <w:ind w:firstLine="432"/>
              <w:jc w:val="right"/>
              <w:rPr>
                <w:rFonts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15</w:t>
            </w:r>
            <w:r w:rsidRPr="00CA6258">
              <w:rPr>
                <w:noProof/>
              </w:rPr>
              <w:fldChar w:fldCharType="end"/>
            </w:r>
          </w:p>
        </w:tc>
      </w:tr>
      <w:tr w:rsidR="00CE4A9C" w:rsidRPr="00CA6258" w14:paraId="5C3CE53C" w14:textId="77777777" w:rsidTr="00FE06F6">
        <w:tc>
          <w:tcPr>
            <w:tcW w:w="7848" w:type="dxa"/>
            <w:vAlign w:val="center"/>
          </w:tcPr>
          <w:p w14:paraId="0E6495D6" w14:textId="525C7451" w:rsidR="00CE4A9C" w:rsidRPr="00CA6258" w:rsidRDefault="00000000" w:rsidP="006E213C">
            <w:pPr>
              <w:spacing w:before="240" w:after="240" w:line="480" w:lineRule="auto"/>
              <w:ind w:firstLine="432"/>
              <w:jc w:val="both"/>
              <w:rPr>
                <w:rFonts w:eastAsia="Times New Roman" w:cstheme="majorBidi"/>
              </w:rPr>
            </w:pPr>
            <m:oMathPara>
              <m:oMathParaPr>
                <m:jc m:val="left"/>
              </m:oMathParaPr>
              <m:oMath>
                <m:f>
                  <m:fPr>
                    <m:ctrlPr>
                      <w:rPr>
                        <w:rFonts w:ascii="Cambria Math" w:eastAsiaTheme="minorEastAsia" w:hAnsi="Cambria Math" w:cstheme="majorBidi"/>
                        <w:i/>
                      </w:rPr>
                    </m:ctrlPr>
                  </m:fPr>
                  <m:num>
                    <m:r>
                      <w:rPr>
                        <w:rFonts w:ascii="Cambria Math" w:eastAsiaTheme="minorEastAsia" w:hAnsi="Cambria Math" w:cstheme="majorBidi"/>
                      </w:rPr>
                      <m:t>d</m:t>
                    </m:r>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p</m:t>
                        </m:r>
                      </m:sub>
                    </m:sSub>
                    <m:sSub>
                      <m:sSubPr>
                        <m:ctrlPr>
                          <w:rPr>
                            <w:rFonts w:ascii="Cambria Math" w:eastAsiaTheme="minorEastAsia" w:hAnsi="Cambria Math" w:cstheme="majorBidi"/>
                            <w:i/>
                          </w:rPr>
                        </m:ctrlPr>
                      </m:sSubPr>
                      <m:e>
                        <m:r>
                          <m:rPr>
                            <m:sty m:val="b"/>
                          </m:rPr>
                          <w:rPr>
                            <w:rFonts w:ascii="Cambria Math" w:eastAsiaTheme="minorEastAsia" w:hAnsi="Cambria Math" w:cstheme="majorBidi"/>
                          </w:rPr>
                          <m:t>ω</m:t>
                        </m:r>
                      </m:e>
                      <m:sub>
                        <m:r>
                          <w:rPr>
                            <w:rFonts w:ascii="Cambria Math" w:eastAsiaTheme="minorEastAsia" w:hAnsi="Cambria Math" w:cstheme="majorBidi"/>
                          </w:rPr>
                          <m:t>p</m:t>
                        </m:r>
                      </m:sub>
                    </m:sSub>
                    <m:r>
                      <w:rPr>
                        <w:rFonts w:ascii="Cambria Math" w:eastAsiaTheme="minorEastAsia" w:hAnsi="Cambria Math" w:cstheme="majorBidi"/>
                      </w:rPr>
                      <m:t>)</m:t>
                    </m:r>
                  </m:num>
                  <m:den>
                    <m:r>
                      <w:rPr>
                        <w:rFonts w:ascii="Cambria Math" w:eastAsiaTheme="minorEastAsia" w:hAnsi="Cambria Math" w:cstheme="majorBidi"/>
                      </w:rPr>
                      <m:t>dt</m:t>
                    </m:r>
                  </m:den>
                </m:f>
                <m:r>
                  <w:rPr>
                    <w:rFonts w:ascii="Cambria Math" w:eastAsiaTheme="minorEastAsia" w:hAnsi="Cambria Math" w:cstheme="majorBidi"/>
                  </w:rPr>
                  <m:t>=</m:t>
                </m:r>
                <m:sSub>
                  <m:sSubPr>
                    <m:ctrlPr>
                      <w:rPr>
                        <w:rFonts w:ascii="Cambria Math" w:hAnsi="Cambria Math" w:cstheme="majorBidi"/>
                        <w:b/>
                        <w:bCs/>
                        <w:i/>
                      </w:rPr>
                    </m:ctrlPr>
                  </m:sSubPr>
                  <m:e>
                    <m:sSub>
                      <m:sSubPr>
                        <m:ctrlPr>
                          <w:rPr>
                            <w:rFonts w:ascii="Cambria Math" w:hAnsi="Cambria Math" w:cstheme="majorBidi"/>
                            <w:b/>
                            <w:bCs/>
                            <w:i/>
                          </w:rPr>
                        </m:ctrlPr>
                      </m:sSubPr>
                      <m:e>
                        <m:r>
                          <w:rPr>
                            <w:rFonts w:ascii="Cambria Math" w:hAnsi="Cambria Math" w:cstheme="majorBidi"/>
                          </w:rPr>
                          <m:t>I</m:t>
                        </m:r>
                      </m:e>
                      <m:sub>
                        <m:r>
                          <w:rPr>
                            <w:rFonts w:ascii="Cambria Math" w:hAnsi="Cambria Math" w:cstheme="majorBidi"/>
                          </w:rPr>
                          <m:t>p</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i/>
                              </w:rPr>
                            </m:ctrlPr>
                          </m:sSubPr>
                          <m:e>
                            <m:r>
                              <m:rPr>
                                <m:sty m:val="b"/>
                              </m:rPr>
                              <w:rPr>
                                <w:rFonts w:ascii="Cambria Math" w:hAnsi="Cambria Math" w:cstheme="majorBidi"/>
                              </w:rPr>
                              <m:t>ω</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m:rPr>
                        <m:sty m:val="b"/>
                      </m:rPr>
                      <w:rPr>
                        <w:rFonts w:ascii="Cambria Math" w:hAnsi="Cambria Math" w:cstheme="majorBidi"/>
                      </w:rPr>
                      <m:t>+ω</m:t>
                    </m:r>
                  </m:e>
                  <m:sub>
                    <m:r>
                      <w:rPr>
                        <w:rFonts w:ascii="Cambria Math" w:hAnsi="Cambria Math" w:cstheme="majorBidi"/>
                      </w:rPr>
                      <m:t>p</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m:rPr>
                    <m:sty m:val="b"/>
                  </m:rPr>
                  <w:rPr>
                    <w:rFonts w:ascii="Cambria Math" w:eastAsiaTheme="minorEastAsia" w:hAnsi="Cambria Math" w:cstheme="majorBidi"/>
                  </w:rPr>
                  <m:t>=M</m:t>
                </m:r>
              </m:oMath>
            </m:oMathPara>
          </w:p>
        </w:tc>
        <w:tc>
          <w:tcPr>
            <w:tcW w:w="1502" w:type="dxa"/>
          </w:tcPr>
          <w:p w14:paraId="43D4F80D" w14:textId="26E8ABCE" w:rsidR="00CE4A9C" w:rsidRPr="00CA6258" w:rsidRDefault="000B1B64" w:rsidP="006E213C">
            <w:pPr>
              <w:pStyle w:val="Caption"/>
              <w:spacing w:after="240" w:line="480" w:lineRule="auto"/>
              <w:jc w:val="right"/>
              <w:rPr>
                <w:rFonts w:eastAsiaTheme="minorEastAsia" w:cstheme="majorBidi"/>
              </w:rPr>
            </w:pPr>
            <w:r w:rsidRPr="00CA6258">
              <w:rPr>
                <w:rFonts w:eastAsiaTheme="minorEastAsia" w:cstheme="majorBidi"/>
              </w:rPr>
              <w:fldChar w:fldCharType="begin"/>
            </w:r>
            <w:r w:rsidRPr="00CA6258">
              <w:rPr>
                <w:rFonts w:eastAsiaTheme="minorEastAsia" w:cstheme="majorBidi"/>
              </w:rPr>
              <w:instrText xml:space="preserve"> STYLEREF 1 \s </w:instrText>
            </w:r>
            <w:r w:rsidRPr="00CA6258">
              <w:rPr>
                <w:rFonts w:eastAsiaTheme="minorEastAsia" w:cstheme="majorBidi"/>
              </w:rPr>
              <w:fldChar w:fldCharType="separate"/>
            </w:r>
            <w:r w:rsidR="00732AAC">
              <w:rPr>
                <w:rFonts w:eastAsiaTheme="minorEastAsia" w:cstheme="majorBidi"/>
                <w:noProof/>
                <w:cs/>
              </w:rPr>
              <w:t>‎</w:t>
            </w:r>
            <w:r w:rsidR="00732AAC">
              <w:rPr>
                <w:rFonts w:eastAsiaTheme="minorEastAsia" w:cstheme="majorBidi"/>
                <w:noProof/>
              </w:rPr>
              <w:t>5</w:t>
            </w:r>
            <w:r w:rsidRPr="00CA6258">
              <w:rPr>
                <w:rFonts w:eastAsiaTheme="minorEastAsia" w:cstheme="majorBidi"/>
              </w:rPr>
              <w:fldChar w:fldCharType="end"/>
            </w:r>
            <w:r w:rsidRPr="00CA6258">
              <w:rPr>
                <w:rFonts w:eastAsiaTheme="minorEastAsia" w:cstheme="majorBidi"/>
              </w:rPr>
              <w:noBreakHyphen/>
            </w:r>
            <w:r w:rsidRPr="00CA6258">
              <w:rPr>
                <w:rFonts w:eastAsiaTheme="minorEastAsia" w:cstheme="majorBidi"/>
              </w:rPr>
              <w:fldChar w:fldCharType="begin"/>
            </w:r>
            <w:r w:rsidRPr="00CA6258">
              <w:rPr>
                <w:rFonts w:eastAsiaTheme="minorEastAsia" w:cstheme="majorBidi"/>
              </w:rPr>
              <w:instrText xml:space="preserve"> SEQ Equation \* ARABIC \s 1 </w:instrText>
            </w:r>
            <w:r w:rsidRPr="00CA6258">
              <w:rPr>
                <w:rFonts w:eastAsiaTheme="minorEastAsia" w:cstheme="majorBidi"/>
              </w:rPr>
              <w:fldChar w:fldCharType="separate"/>
            </w:r>
            <w:r w:rsidR="00732AAC">
              <w:rPr>
                <w:rFonts w:eastAsiaTheme="minorEastAsia" w:cstheme="majorBidi"/>
                <w:noProof/>
              </w:rPr>
              <w:t>16</w:t>
            </w:r>
            <w:r w:rsidRPr="00CA6258">
              <w:rPr>
                <w:rFonts w:eastAsiaTheme="minorEastAsia" w:cstheme="majorBidi"/>
              </w:rPr>
              <w:fldChar w:fldCharType="end"/>
            </w:r>
          </w:p>
        </w:tc>
      </w:tr>
    </w:tbl>
    <w:p w14:paraId="4251FE98" w14:textId="275E7917" w:rsidR="00FE06F6" w:rsidRPr="00CA6258" w:rsidRDefault="00CE4A9C" w:rsidP="006E213C">
      <w:pPr>
        <w:spacing w:before="240" w:after="240" w:line="480" w:lineRule="auto"/>
        <w:ind w:firstLine="720"/>
        <w:jc w:val="both"/>
        <w:rPr>
          <w:rFonts w:eastAsiaTheme="minorEastAsia" w:cstheme="majorBidi"/>
        </w:rPr>
      </w:pPr>
      <w:r w:rsidRPr="00CA6258">
        <w:rPr>
          <w:rFonts w:eastAsiaTheme="minorEastAsia" w:cstheme="majorBidi"/>
        </w:rPr>
        <w:t xml:space="preserve">In the described equations, </w:t>
      </w:r>
      <m:oMath>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p</m:t>
            </m:r>
          </m:sub>
        </m:sSub>
      </m:oMath>
      <w:r w:rsidRPr="00CA6258">
        <w:rPr>
          <w:rFonts w:eastAsiaTheme="minorEastAsia" w:cstheme="majorBidi"/>
        </w:rPr>
        <w:t xml:space="preserve"> r</w:t>
      </w:r>
      <w:r w:rsidRPr="004834D3">
        <w:rPr>
          <w:rFonts w:eastAsiaTheme="minorEastAsia" w:cstheme="majorBidi"/>
        </w:rPr>
        <w:t xml:space="preserve">epresents the mass of the particle, which varies with time, and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p</m:t>
            </m:r>
          </m:sub>
        </m:sSub>
      </m:oMath>
      <w:r w:rsidRPr="004834D3">
        <w:rPr>
          <w:rFonts w:eastAsiaTheme="minorEastAsia" w:cstheme="majorBidi"/>
        </w:rPr>
        <w:t xml:space="preserve"> denotes the moment of inertia, which is also a time-dependent quantity. </w:t>
      </w:r>
      <m:oMath>
        <m:sSub>
          <m:sSubPr>
            <m:ctrlPr>
              <w:rPr>
                <w:rFonts w:ascii="Cambria Math" w:eastAsiaTheme="minorEastAsia" w:hAnsi="Cambria Math" w:cstheme="majorBidi"/>
                <w:i/>
              </w:rPr>
            </m:ctrlPr>
          </m:sSubPr>
          <m:e>
            <m:r>
              <m:rPr>
                <m:sty m:val="b"/>
              </m:rPr>
              <w:rPr>
                <w:rFonts w:ascii="Cambria Math" w:eastAsiaTheme="minorEastAsia" w:hAnsi="Cambria Math" w:cstheme="majorBidi"/>
              </w:rPr>
              <m:t>V</m:t>
            </m:r>
          </m:e>
          <m:sub>
            <m:r>
              <w:rPr>
                <w:rFonts w:ascii="Cambria Math" w:eastAsiaTheme="minorEastAsia" w:hAnsi="Cambria Math" w:cstheme="majorBidi"/>
              </w:rPr>
              <m:t>p</m:t>
            </m:r>
          </m:sub>
        </m:sSub>
      </m:oMath>
      <w:r w:rsidRPr="004834D3">
        <w:rPr>
          <w:rFonts w:eastAsiaTheme="minorEastAsia" w:cstheme="majorBidi"/>
        </w:rPr>
        <w:t xml:space="preserve"> and </w:t>
      </w:r>
      <m:oMath>
        <m:sSub>
          <m:sSubPr>
            <m:ctrlPr>
              <w:rPr>
                <w:rFonts w:ascii="Cambria Math" w:eastAsiaTheme="minorEastAsia" w:hAnsi="Cambria Math" w:cstheme="majorBidi"/>
                <w:i/>
              </w:rPr>
            </m:ctrlPr>
          </m:sSubPr>
          <m:e>
            <m:r>
              <m:rPr>
                <m:sty m:val="b"/>
              </m:rPr>
              <w:rPr>
                <w:rFonts w:ascii="Cambria Math" w:eastAsiaTheme="minorEastAsia" w:hAnsi="Cambria Math" w:cstheme="majorBidi"/>
              </w:rPr>
              <m:t>ω</m:t>
            </m:r>
          </m:e>
          <m:sub>
            <m:r>
              <w:rPr>
                <w:rFonts w:ascii="Cambria Math" w:eastAsiaTheme="minorEastAsia" w:hAnsi="Cambria Math" w:cstheme="majorBidi"/>
              </w:rPr>
              <m:t>p</m:t>
            </m:r>
          </m:sub>
        </m:sSub>
      </m:oMath>
      <w:r w:rsidRPr="004834D3">
        <w:rPr>
          <w:rFonts w:eastAsiaTheme="minorEastAsia" w:cstheme="majorBidi"/>
        </w:rPr>
        <w:t xml:space="preserve"> indicate the particle's absolute translational and rotational velocities, respectively. For a neutrally buoyant solid particle, the total force </w:t>
      </w:r>
      <m:oMath>
        <m:r>
          <m:rPr>
            <m:sty m:val="b"/>
          </m:rPr>
          <w:rPr>
            <w:rFonts w:ascii="Cambria Math" w:eastAsiaTheme="minorEastAsia" w:hAnsi="Cambria Math" w:cstheme="majorBidi"/>
          </w:rPr>
          <m:t>F</m:t>
        </m:r>
      </m:oMath>
      <w:r w:rsidRPr="004834D3">
        <w:rPr>
          <w:rFonts w:eastAsiaTheme="minorEastAsia" w:cstheme="majorBidi"/>
        </w:rPr>
        <w:t xml:space="preserve"> acting on the particle includes surface forces, which arise from interactions with the surrounding fluid. These surface forces consist primarily of pressure forces, which are distributed over the particle's surface depending on the fluid's pressure field, and friction forces, which result from the </w:t>
      </w:r>
      <w:r w:rsidRPr="00CA6258">
        <w:rPr>
          <w:rFonts w:eastAsiaTheme="minorEastAsia" w:cstheme="majorBidi"/>
        </w:rPr>
        <w:t xml:space="preserve">viscosity of the fluid opposing the particle's movement. The term </w:t>
      </w:r>
      <m:oMath>
        <m:r>
          <m:rPr>
            <m:sty m:val="b"/>
          </m:rPr>
          <w:rPr>
            <w:rFonts w:ascii="Cambria Math" w:eastAsiaTheme="minorEastAsia" w:hAnsi="Cambria Math" w:cstheme="majorBidi"/>
          </w:rPr>
          <m:t>M</m:t>
        </m:r>
      </m:oMath>
      <w:r w:rsidRPr="00CA6258">
        <w:rPr>
          <w:rFonts w:eastAsiaTheme="minorEastAsia" w:cstheme="majorBidi"/>
        </w:rPr>
        <w:t xml:space="preserve"> is the moment of the total force. </w:t>
      </w:r>
    </w:p>
    <w:p w14:paraId="6CC1B6CA" w14:textId="35C37E49" w:rsidR="00105F62" w:rsidRPr="00CA6258" w:rsidRDefault="00700DBA" w:rsidP="001C34DE">
      <w:pPr>
        <w:spacing w:before="240" w:after="240" w:line="480" w:lineRule="auto"/>
        <w:jc w:val="both"/>
        <w:rPr>
          <w:rFonts w:eastAsiaTheme="minorEastAsia" w:cstheme="majorBidi"/>
        </w:rPr>
      </w:pPr>
      <w:r w:rsidRPr="00CA6258">
        <w:rPr>
          <w:rFonts w:eastAsiaTheme="minorEastAsia" w:cstheme="majorBidi"/>
        </w:rPr>
        <w:t xml:space="preserve">The melting process occurs relatively slowly as compared to the rate of change of the linear and angular velocities. As such, the melting process can be considered quasi steady-state and the </w:t>
      </w:r>
      <m:oMath>
        <m:r>
          <w:rPr>
            <w:rFonts w:ascii="Cambria Math" w:hAnsi="Cambria Math" w:cstheme="majorBidi"/>
          </w:rPr>
          <w:lastRenderedPageBreak/>
          <m:t>d</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p</m:t>
            </m:r>
          </m:sub>
        </m:sSub>
        <m:r>
          <w:rPr>
            <w:rFonts w:ascii="Cambria Math" w:hAnsi="Cambria Math" w:cstheme="majorBidi"/>
          </w:rPr>
          <m:t>/dt</m:t>
        </m:r>
      </m:oMath>
      <w:r w:rsidRPr="00CA6258">
        <w:rPr>
          <w:rFonts w:eastAsiaTheme="minorEastAsia" w:cstheme="majorBidi"/>
        </w:rPr>
        <w:t xml:space="preserve"> and </w:t>
      </w:r>
      <m:oMath>
        <m:r>
          <w:rPr>
            <w:rFonts w:ascii="Cambria Math" w:hAnsi="Cambria Math" w:cstheme="majorBidi"/>
          </w:rPr>
          <m:t>d</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p</m:t>
            </m:r>
          </m:sub>
        </m:sSub>
        <m:r>
          <w:rPr>
            <w:rFonts w:ascii="Cambria Math" w:hAnsi="Cambria Math" w:cstheme="majorBidi"/>
          </w:rPr>
          <m:t>/dt</m:t>
        </m:r>
      </m:oMath>
      <w:r w:rsidRPr="00CA6258">
        <w:rPr>
          <w:rFonts w:eastAsiaTheme="minorEastAsia" w:cstheme="majorBidi"/>
        </w:rPr>
        <w:t xml:space="preserve"> terms in the above equations can be neglected. T</w:t>
      </w:r>
      <w:r w:rsidR="00105F62" w:rsidRPr="00CA6258">
        <w:rPr>
          <w:rFonts w:eastAsiaTheme="minorEastAsia" w:cstheme="majorBidi"/>
        </w:rPr>
        <w:t xml:space="preserve">he </w:t>
      </w:r>
      <w:r w:rsidRPr="00CA6258">
        <w:rPr>
          <w:rFonts w:eastAsiaTheme="minorEastAsia" w:cstheme="majorBidi"/>
        </w:rPr>
        <w:t xml:space="preserve">simplified </w:t>
      </w:r>
      <w:r w:rsidR="00105F62" w:rsidRPr="00CA6258">
        <w:rPr>
          <w:rFonts w:eastAsiaTheme="minorEastAsia" w:cstheme="majorBidi"/>
        </w:rPr>
        <w:t>Newton's second law and Euler</w:t>
      </w:r>
      <w:r w:rsidR="006B36BE" w:rsidRPr="00CA6258">
        <w:rPr>
          <w:rFonts w:eastAsiaTheme="minorEastAsia" w:cstheme="majorBidi"/>
        </w:rPr>
        <w:t>’s</w:t>
      </w:r>
      <w:r w:rsidR="00105F62" w:rsidRPr="00CA6258">
        <w:rPr>
          <w:rFonts w:eastAsiaTheme="minorEastAsia" w:cstheme="majorBidi"/>
        </w:rPr>
        <w:t xml:space="preserve"> equations </w:t>
      </w:r>
      <w:r w:rsidRPr="00CA6258">
        <w:rPr>
          <w:rFonts w:eastAsiaTheme="minorEastAsia" w:cstheme="majorBidi"/>
        </w:rPr>
        <w:t>are</w:t>
      </w:r>
      <w:r w:rsidR="00105F62" w:rsidRPr="00CA6258">
        <w:rPr>
          <w:rFonts w:eastAsiaTheme="minorEastAsia"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8"/>
        <w:gridCol w:w="1502"/>
      </w:tblGrid>
      <w:tr w:rsidR="00105F62" w:rsidRPr="00CA6258" w14:paraId="2715975E" w14:textId="77777777" w:rsidTr="009A4AF3">
        <w:tc>
          <w:tcPr>
            <w:tcW w:w="7848" w:type="dxa"/>
            <w:vAlign w:val="center"/>
          </w:tcPr>
          <w:p w14:paraId="71E10387" w14:textId="38A17139" w:rsidR="00105F62" w:rsidRPr="00CA6258" w:rsidRDefault="00000000" w:rsidP="009A4AF3">
            <w:pPr>
              <w:spacing w:before="240" w:after="240" w:line="480" w:lineRule="auto"/>
              <w:ind w:firstLine="432"/>
              <w:jc w:val="both"/>
              <w:rPr>
                <w:rFonts w:cstheme="majorBidi"/>
                <w:i/>
              </w:rPr>
            </w:pPr>
            <m:oMathPara>
              <m:oMathParaPr>
                <m:jc m:val="left"/>
              </m:oMathParaPr>
              <m:oMath>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p</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b/>
                            <w:bCs/>
                            <w:i/>
                          </w:rPr>
                        </m:ctrlPr>
                      </m:sSubPr>
                      <m:e>
                        <m:r>
                          <m:rPr>
                            <m:sty m:val="b"/>
                          </m:rPr>
                          <w:rPr>
                            <w:rFonts w:ascii="Cambria Math" w:hAnsi="Cambria Math" w:cstheme="majorBidi"/>
                          </w:rPr>
                          <m:t>V</m:t>
                        </m:r>
                      </m:e>
                      <m:sub>
                        <m:r>
                          <w:rPr>
                            <w:rFonts w:ascii="Cambria Math" w:hAnsi="Cambria Math" w:cstheme="majorBidi"/>
                          </w:rPr>
                          <m:t>p</m:t>
                        </m:r>
                      </m:sub>
                    </m:sSub>
                    <m:r>
                      <m:rPr>
                        <m:sty m:val="bi"/>
                      </m:rPr>
                      <w:rPr>
                        <w:rFonts w:ascii="Cambria Math" w:hAnsi="Cambria Math" w:cstheme="majorBidi"/>
                      </w:rPr>
                      <m:t xml:space="preserve"> </m:t>
                    </m:r>
                  </m:num>
                  <m:den>
                    <m:r>
                      <w:rPr>
                        <w:rFonts w:ascii="Cambria Math" w:hAnsi="Cambria Math" w:cstheme="majorBidi"/>
                      </w:rPr>
                      <m:t>dt</m:t>
                    </m:r>
                  </m:den>
                </m:f>
                <m:r>
                  <w:rPr>
                    <w:rFonts w:ascii="Cambria Math" w:eastAsiaTheme="minorEastAsia" w:hAnsi="Cambria Math" w:cstheme="majorBidi"/>
                  </w:rPr>
                  <m:t>=</m:t>
                </m:r>
                <m:r>
                  <m:rPr>
                    <m:sty m:val="b"/>
                  </m:rPr>
                  <w:rPr>
                    <w:rFonts w:ascii="Cambria Math" w:eastAsiaTheme="minorEastAsia" w:hAnsi="Cambria Math" w:cstheme="majorBidi"/>
                  </w:rPr>
                  <m:t>F</m:t>
                </m:r>
              </m:oMath>
            </m:oMathPara>
          </w:p>
        </w:tc>
        <w:tc>
          <w:tcPr>
            <w:tcW w:w="1502" w:type="dxa"/>
            <w:vAlign w:val="center"/>
          </w:tcPr>
          <w:p w14:paraId="60513971" w14:textId="4B8C7ED4" w:rsidR="00105F62" w:rsidRPr="00CA6258" w:rsidRDefault="000B1B64" w:rsidP="009A4AF3">
            <w:pPr>
              <w:spacing w:before="240" w:after="240" w:line="480" w:lineRule="auto"/>
              <w:ind w:firstLine="432"/>
              <w:jc w:val="right"/>
              <w:rPr>
                <w:rFonts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17</w:t>
            </w:r>
            <w:r w:rsidRPr="00CA6258">
              <w:rPr>
                <w:noProof/>
              </w:rPr>
              <w:fldChar w:fldCharType="end"/>
            </w:r>
          </w:p>
        </w:tc>
      </w:tr>
      <w:tr w:rsidR="00105F62" w:rsidRPr="00CA6258" w14:paraId="383955FF" w14:textId="77777777" w:rsidTr="009A4AF3">
        <w:tc>
          <w:tcPr>
            <w:tcW w:w="7848" w:type="dxa"/>
            <w:vAlign w:val="center"/>
          </w:tcPr>
          <w:p w14:paraId="025CB989" w14:textId="2D638C93" w:rsidR="00105F62" w:rsidRPr="00CA6258" w:rsidRDefault="00000000" w:rsidP="009A4AF3">
            <w:pPr>
              <w:spacing w:before="240" w:after="240" w:line="480" w:lineRule="auto"/>
              <w:ind w:firstLine="432"/>
              <w:jc w:val="both"/>
              <w:rPr>
                <w:rFonts w:eastAsia="Times New Roman" w:cstheme="majorBidi"/>
              </w:rPr>
            </w:pPr>
            <m:oMathPara>
              <m:oMathParaPr>
                <m:jc m:val="left"/>
              </m:oMathParaP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p</m:t>
                    </m:r>
                  </m:sub>
                </m:sSub>
                <m:f>
                  <m:fPr>
                    <m:ctrlPr>
                      <w:rPr>
                        <w:rFonts w:ascii="Cambria Math" w:eastAsiaTheme="minorEastAsia" w:hAnsi="Cambria Math" w:cstheme="majorBidi"/>
                        <w:i/>
                      </w:rPr>
                    </m:ctrlPr>
                  </m:fPr>
                  <m:num>
                    <m:r>
                      <w:rPr>
                        <w:rFonts w:ascii="Cambria Math" w:eastAsiaTheme="minorEastAsia" w:hAnsi="Cambria Math" w:cstheme="majorBidi"/>
                      </w:rPr>
                      <m:t>d</m:t>
                    </m:r>
                    <m:sSub>
                      <m:sSubPr>
                        <m:ctrlPr>
                          <w:rPr>
                            <w:rFonts w:ascii="Cambria Math" w:eastAsiaTheme="minorEastAsia" w:hAnsi="Cambria Math" w:cstheme="majorBidi"/>
                            <w:i/>
                          </w:rPr>
                        </m:ctrlPr>
                      </m:sSubPr>
                      <m:e>
                        <m:r>
                          <m:rPr>
                            <m:sty m:val="b"/>
                          </m:rPr>
                          <w:rPr>
                            <w:rFonts w:ascii="Cambria Math" w:eastAsiaTheme="minorEastAsia" w:hAnsi="Cambria Math" w:cstheme="majorBidi"/>
                          </w:rPr>
                          <m:t>ω</m:t>
                        </m:r>
                      </m:e>
                      <m:sub>
                        <m:r>
                          <w:rPr>
                            <w:rFonts w:ascii="Cambria Math" w:eastAsiaTheme="minorEastAsia" w:hAnsi="Cambria Math" w:cstheme="majorBidi"/>
                          </w:rPr>
                          <m:t>p</m:t>
                        </m:r>
                      </m:sub>
                    </m:sSub>
                  </m:num>
                  <m:den>
                    <m:r>
                      <w:rPr>
                        <w:rFonts w:ascii="Cambria Math" w:eastAsiaTheme="minorEastAsia" w:hAnsi="Cambria Math" w:cstheme="majorBidi"/>
                      </w:rPr>
                      <m:t>dt</m:t>
                    </m:r>
                  </m:den>
                </m:f>
                <m:r>
                  <w:rPr>
                    <w:rFonts w:ascii="Cambria Math" w:eastAsiaTheme="minorEastAsia" w:hAnsi="Cambria Math" w:cstheme="majorBidi"/>
                  </w:rPr>
                  <m:t>=</m:t>
                </m:r>
                <m:r>
                  <m:rPr>
                    <m:sty m:val="b"/>
                  </m:rPr>
                  <w:rPr>
                    <w:rFonts w:ascii="Cambria Math" w:eastAsiaTheme="minorEastAsia" w:hAnsi="Cambria Math" w:cstheme="majorBidi"/>
                  </w:rPr>
                  <m:t>M</m:t>
                </m:r>
              </m:oMath>
            </m:oMathPara>
          </w:p>
        </w:tc>
        <w:tc>
          <w:tcPr>
            <w:tcW w:w="1502" w:type="dxa"/>
          </w:tcPr>
          <w:p w14:paraId="3A465BB7" w14:textId="7A7F2DAD" w:rsidR="00105F62" w:rsidRPr="00CA6258" w:rsidRDefault="000B1B64" w:rsidP="009A4AF3">
            <w:pPr>
              <w:pStyle w:val="Caption"/>
              <w:spacing w:after="240" w:line="480" w:lineRule="auto"/>
              <w:jc w:val="right"/>
              <w:rPr>
                <w:rFonts w:eastAsiaTheme="minorEastAsia" w:cstheme="majorBidi"/>
              </w:rPr>
            </w:pPr>
            <w:r w:rsidRPr="00CA6258">
              <w:rPr>
                <w:rFonts w:eastAsiaTheme="minorEastAsia" w:cstheme="majorBidi"/>
              </w:rPr>
              <w:fldChar w:fldCharType="begin"/>
            </w:r>
            <w:r w:rsidRPr="00CA6258">
              <w:rPr>
                <w:rFonts w:eastAsiaTheme="minorEastAsia" w:cstheme="majorBidi"/>
              </w:rPr>
              <w:instrText xml:space="preserve"> STYLEREF 1 \s </w:instrText>
            </w:r>
            <w:r w:rsidRPr="00CA6258">
              <w:rPr>
                <w:rFonts w:eastAsiaTheme="minorEastAsia" w:cstheme="majorBidi"/>
              </w:rPr>
              <w:fldChar w:fldCharType="separate"/>
            </w:r>
            <w:r w:rsidR="00732AAC">
              <w:rPr>
                <w:rFonts w:eastAsiaTheme="minorEastAsia" w:cstheme="majorBidi"/>
                <w:noProof/>
                <w:cs/>
              </w:rPr>
              <w:t>‎</w:t>
            </w:r>
            <w:r w:rsidR="00732AAC">
              <w:rPr>
                <w:rFonts w:eastAsiaTheme="minorEastAsia" w:cstheme="majorBidi"/>
                <w:noProof/>
              </w:rPr>
              <w:t>5</w:t>
            </w:r>
            <w:r w:rsidRPr="00CA6258">
              <w:rPr>
                <w:rFonts w:eastAsiaTheme="minorEastAsia" w:cstheme="majorBidi"/>
              </w:rPr>
              <w:fldChar w:fldCharType="end"/>
            </w:r>
            <w:r w:rsidRPr="00CA6258">
              <w:rPr>
                <w:rFonts w:eastAsiaTheme="minorEastAsia" w:cstheme="majorBidi"/>
              </w:rPr>
              <w:noBreakHyphen/>
            </w:r>
            <w:r w:rsidRPr="00CA6258">
              <w:rPr>
                <w:rFonts w:eastAsiaTheme="minorEastAsia" w:cstheme="majorBidi"/>
              </w:rPr>
              <w:fldChar w:fldCharType="begin"/>
            </w:r>
            <w:r w:rsidRPr="00CA6258">
              <w:rPr>
                <w:rFonts w:eastAsiaTheme="minorEastAsia" w:cstheme="majorBidi"/>
              </w:rPr>
              <w:instrText xml:space="preserve"> SEQ Equation \* ARABIC \s 1 </w:instrText>
            </w:r>
            <w:r w:rsidRPr="00CA6258">
              <w:rPr>
                <w:rFonts w:eastAsiaTheme="minorEastAsia" w:cstheme="majorBidi"/>
              </w:rPr>
              <w:fldChar w:fldCharType="separate"/>
            </w:r>
            <w:r w:rsidR="00732AAC">
              <w:rPr>
                <w:rFonts w:eastAsiaTheme="minorEastAsia" w:cstheme="majorBidi"/>
                <w:noProof/>
              </w:rPr>
              <w:t>18</w:t>
            </w:r>
            <w:r w:rsidRPr="00CA6258">
              <w:rPr>
                <w:rFonts w:eastAsiaTheme="minorEastAsia" w:cstheme="majorBidi"/>
              </w:rPr>
              <w:fldChar w:fldCharType="end"/>
            </w:r>
          </w:p>
        </w:tc>
      </w:tr>
    </w:tbl>
    <w:p w14:paraId="12CF70F3" w14:textId="7077D99F" w:rsidR="00105F62" w:rsidRPr="00CA6258" w:rsidRDefault="00105F62" w:rsidP="00105F62">
      <w:pPr>
        <w:spacing w:before="240" w:after="240" w:line="480" w:lineRule="auto"/>
        <w:jc w:val="both"/>
        <w:rPr>
          <w:rFonts w:eastAsiaTheme="minorEastAsia" w:cstheme="majorBidi"/>
        </w:rPr>
      </w:pPr>
      <w:r w:rsidRPr="00CA6258">
        <w:rPr>
          <w:rFonts w:eastAsiaTheme="minorEastAsia" w:cstheme="majorBidi"/>
        </w:rPr>
        <w:t>The sum of net forces acting on the particle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gridCol w:w="1142"/>
      </w:tblGrid>
      <w:tr w:rsidR="00C4383B" w:rsidRPr="004834D3" w14:paraId="6AE00ABD" w14:textId="77777777" w:rsidTr="009A4AF3">
        <w:tc>
          <w:tcPr>
            <w:tcW w:w="8208" w:type="dxa"/>
            <w:vAlign w:val="center"/>
          </w:tcPr>
          <w:p w14:paraId="5DCAAE58" w14:textId="77777777" w:rsidR="00C4383B" w:rsidRPr="00CA6258" w:rsidRDefault="00C4383B" w:rsidP="006E213C">
            <w:pPr>
              <w:spacing w:before="240" w:after="240" w:line="480" w:lineRule="auto"/>
              <w:ind w:firstLine="432"/>
              <w:jc w:val="both"/>
              <w:rPr>
                <w:rFonts w:eastAsiaTheme="minorEastAsia" w:cstheme="majorBidi"/>
              </w:rPr>
            </w:pPr>
            <m:oMathPara>
              <m:oMathParaPr>
                <m:jc m:val="left"/>
              </m:oMathParaPr>
              <m:oMath>
                <m:r>
                  <m:rPr>
                    <m:sty m:val="b"/>
                  </m:rPr>
                  <w:rPr>
                    <w:rFonts w:ascii="Cambria Math" w:eastAsiaTheme="minorEastAsia" w:hAnsi="Cambria Math" w:cstheme="majorBidi"/>
                  </w:rPr>
                  <m:t>F</m:t>
                </m:r>
                <m:r>
                  <w:rPr>
                    <w:rFonts w:ascii="Cambria Math" w:eastAsiaTheme="minorEastAsia" w:hAnsi="Cambria Math" w:cstheme="majorBidi"/>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S</m:t>
                    </m:r>
                  </m:sub>
                  <m:sup/>
                  <m:e>
                    <m:d>
                      <m:dPr>
                        <m:begChr m:val="["/>
                        <m:endChr m:val="]"/>
                        <m:ctrlPr>
                          <w:rPr>
                            <w:rFonts w:ascii="Cambria Math" w:eastAsiaTheme="minorEastAsia" w:hAnsi="Cambria Math" w:cstheme="majorBidi"/>
                            <w:i/>
                          </w:rPr>
                        </m:ctrlPr>
                      </m:dPr>
                      <m:e>
                        <m:r>
                          <w:rPr>
                            <w:rFonts w:ascii="Cambria Math" w:eastAsiaTheme="minorEastAsia" w:hAnsi="Cambria Math" w:cstheme="majorBidi"/>
                          </w:rPr>
                          <m:t>-p</m:t>
                        </m:r>
                        <m:r>
                          <m:rPr>
                            <m:sty m:val="b"/>
                          </m:rPr>
                          <w:rPr>
                            <w:rFonts w:ascii="Cambria Math" w:eastAsiaTheme="minorEastAsia" w:hAnsi="Cambria Math" w:cstheme="majorBidi"/>
                          </w:rPr>
                          <m:t>I</m:t>
                        </m:r>
                        <m:r>
                          <w:rPr>
                            <w:rFonts w:ascii="Cambria Math" w:eastAsiaTheme="minorEastAsia" w:hAnsi="Cambria Math" w:cstheme="majorBidi"/>
                          </w:rPr>
                          <m:t>+μ</m:t>
                        </m:r>
                        <m:d>
                          <m:dPr>
                            <m:ctrlPr>
                              <w:rPr>
                                <w:rFonts w:ascii="Cambria Math" w:eastAsiaTheme="minorEastAsia" w:hAnsi="Cambria Math" w:cstheme="majorBidi"/>
                                <w:i/>
                              </w:rPr>
                            </m:ctrlPr>
                          </m:dPr>
                          <m:e>
                            <m:r>
                              <m:rPr>
                                <m:sty m:val="b"/>
                              </m:rPr>
                              <w:rPr>
                                <w:rFonts w:ascii="Cambria Math" w:eastAsiaTheme="minorEastAsia" w:hAnsi="Cambria Math" w:cstheme="majorBidi"/>
                              </w:rPr>
                              <m:t>∇V</m:t>
                            </m:r>
                            <m:r>
                              <w:rPr>
                                <w:rFonts w:ascii="Cambria Math" w:eastAsiaTheme="minorEastAsia" w:hAnsi="Cambria Math" w:cstheme="majorBidi"/>
                              </w:rPr>
                              <m:t>+</m:t>
                            </m:r>
                            <m:r>
                              <m:rPr>
                                <m:sty m:val="b"/>
                              </m:rPr>
                              <w:rPr>
                                <w:rFonts w:ascii="Cambria Math" w:eastAsiaTheme="minorEastAsia" w:hAnsi="Cambria Math" w:cstheme="majorBidi"/>
                              </w:rPr>
                              <m:t>∇</m:t>
                            </m:r>
                            <m:sSup>
                              <m:sSupPr>
                                <m:ctrlPr>
                                  <w:rPr>
                                    <w:rFonts w:ascii="Cambria Math" w:eastAsiaTheme="minorEastAsia" w:hAnsi="Cambria Math" w:cstheme="majorBidi"/>
                                    <w:i/>
                                  </w:rPr>
                                </m:ctrlPr>
                              </m:sSupPr>
                              <m:e>
                                <m:r>
                                  <m:rPr>
                                    <m:sty m:val="b"/>
                                  </m:rPr>
                                  <w:rPr>
                                    <w:rFonts w:ascii="Cambria Math" w:eastAsiaTheme="minorEastAsia" w:hAnsi="Cambria Math" w:cstheme="majorBidi"/>
                                  </w:rPr>
                                  <m:t>V</m:t>
                                </m:r>
                              </m:e>
                              <m:sup>
                                <m:r>
                                  <w:rPr>
                                    <w:rFonts w:ascii="Cambria Math" w:eastAsiaTheme="minorEastAsia" w:hAnsi="Cambria Math" w:cstheme="majorBidi"/>
                                  </w:rPr>
                                  <m:t>T</m:t>
                                </m:r>
                              </m:sup>
                            </m:sSup>
                          </m:e>
                        </m:d>
                      </m:e>
                    </m:d>
                    <m:r>
                      <w:rPr>
                        <w:rFonts w:ascii="Cambria Math" w:eastAsiaTheme="minorEastAsia" w:hAnsi="Cambria Math" w:cstheme="majorBidi"/>
                      </w:rPr>
                      <m:t>∙d</m:t>
                    </m:r>
                    <m:r>
                      <m:rPr>
                        <m:sty m:val="b"/>
                      </m:rPr>
                      <w:rPr>
                        <w:rFonts w:ascii="Cambria Math" w:eastAsiaTheme="minorEastAsia" w:hAnsi="Cambria Math" w:cstheme="majorBidi"/>
                      </w:rPr>
                      <m:t>S</m:t>
                    </m:r>
                  </m:e>
                </m:nary>
              </m:oMath>
            </m:oMathPara>
          </w:p>
        </w:tc>
        <w:tc>
          <w:tcPr>
            <w:tcW w:w="1142" w:type="dxa"/>
            <w:vAlign w:val="center"/>
          </w:tcPr>
          <w:p w14:paraId="438F4893" w14:textId="7363483F" w:rsidR="00C4383B" w:rsidRPr="004834D3" w:rsidRDefault="000B1B64" w:rsidP="006E213C">
            <w:pPr>
              <w:spacing w:before="240" w:after="240" w:line="480" w:lineRule="auto"/>
              <w:ind w:firstLine="432"/>
              <w:jc w:val="right"/>
              <w:rPr>
                <w:rFonts w:cstheme="majorBidi"/>
              </w:rPr>
            </w:pPr>
            <w:r w:rsidRPr="00CA6258">
              <w:fldChar w:fldCharType="begin"/>
            </w:r>
            <w:r w:rsidRPr="00CA6258">
              <w:instrText xml:space="preserve"> STYLEREF 1 \s </w:instrText>
            </w:r>
            <w:r w:rsidRPr="00CA6258">
              <w:fldChar w:fldCharType="separate"/>
            </w:r>
            <w:r w:rsidR="00732AAC">
              <w:rPr>
                <w:noProof/>
                <w:cs/>
              </w:rPr>
              <w:t>‎</w:t>
            </w:r>
            <w:r w:rsidR="00732AAC">
              <w:rPr>
                <w:noProof/>
              </w:rPr>
              <w:t>5</w:t>
            </w:r>
            <w:r w:rsidRPr="00CA6258">
              <w:fldChar w:fldCharType="end"/>
            </w:r>
            <w:r w:rsidRPr="00CA6258">
              <w:noBreakHyphen/>
            </w:r>
            <w:r w:rsidRPr="00CA6258">
              <w:fldChar w:fldCharType="begin"/>
            </w:r>
            <w:r w:rsidRPr="00CA6258">
              <w:instrText xml:space="preserve"> SEQ Equation \* ARABIC \s 1 </w:instrText>
            </w:r>
            <w:r w:rsidRPr="00CA6258">
              <w:fldChar w:fldCharType="separate"/>
            </w:r>
            <w:r w:rsidR="00732AAC">
              <w:rPr>
                <w:noProof/>
              </w:rPr>
              <w:t>19</w:t>
            </w:r>
            <w:r w:rsidRPr="00CA6258">
              <w:rPr>
                <w:noProof/>
              </w:rPr>
              <w:fldChar w:fldCharType="end"/>
            </w:r>
          </w:p>
        </w:tc>
      </w:tr>
    </w:tbl>
    <w:p w14:paraId="0CB0873F" w14:textId="1B974980" w:rsidR="00C41FD5" w:rsidRPr="00C41FD5" w:rsidRDefault="00F2698D" w:rsidP="006E213C">
      <w:pPr>
        <w:spacing w:before="240" w:after="240" w:line="480" w:lineRule="auto"/>
        <w:ind w:firstLine="720"/>
        <w:jc w:val="both"/>
        <w:rPr>
          <w:rFonts w:eastAsiaTheme="minorEastAsia" w:cstheme="majorBidi"/>
        </w:rPr>
      </w:pPr>
      <w:r w:rsidRPr="004834D3">
        <w:rPr>
          <w:rFonts w:eastAsiaTheme="minorEastAsia" w:cstheme="majorBidi"/>
        </w:rPr>
        <w:t>T</w:t>
      </w:r>
      <w:r w:rsidR="00400056" w:rsidRPr="004834D3">
        <w:rPr>
          <w:rFonts w:eastAsiaTheme="minorEastAsia" w:cstheme="majorBidi"/>
        </w:rPr>
        <w:t xml:space="preserve">he integration is carried out over the entire surface area of the particle, denoted by </w:t>
      </w:r>
      <m:oMath>
        <m:r>
          <w:rPr>
            <w:rFonts w:ascii="Cambria Math" w:eastAsiaTheme="minorEastAsia" w:hAnsi="Cambria Math" w:cstheme="majorBidi"/>
          </w:rPr>
          <m:t>S</m:t>
        </m:r>
      </m:oMath>
      <w:r w:rsidR="00400056" w:rsidRPr="004834D3">
        <w:rPr>
          <w:rFonts w:eastAsiaTheme="minorEastAsia" w:cstheme="majorBidi"/>
        </w:rPr>
        <w:t xml:space="preserve">. Specifically, the integrand in Eq. </w:t>
      </w:r>
      <w:r w:rsidR="004B4110">
        <w:rPr>
          <w:rFonts w:eastAsiaTheme="minorEastAsia" w:cstheme="majorBidi"/>
        </w:rPr>
        <w:t>5</w:t>
      </w:r>
      <w:r w:rsidR="00C41FD5">
        <w:rPr>
          <w:rFonts w:eastAsiaTheme="minorEastAsia" w:cstheme="majorBidi"/>
        </w:rPr>
        <w:t>-</w:t>
      </w:r>
      <w:r w:rsidR="00400056" w:rsidRPr="004834D3">
        <w:rPr>
          <w:rFonts w:eastAsiaTheme="minorEastAsia" w:cstheme="majorBidi"/>
        </w:rPr>
        <w:t>1</w:t>
      </w:r>
      <w:r w:rsidR="000B1B64">
        <w:rPr>
          <w:rFonts w:eastAsiaTheme="minorEastAsia" w:cstheme="majorBidi"/>
        </w:rPr>
        <w:t>9</w:t>
      </w:r>
      <w:r w:rsidR="00400056" w:rsidRPr="004834D3">
        <w:rPr>
          <w:rFonts w:eastAsiaTheme="minorEastAsia" w:cstheme="majorBidi"/>
        </w:rPr>
        <w:t xml:space="preserve"> includes two distinct terms: the first term represents the thermodynamic pressure exerted on the particle by the surrounding fluid, while the second term accounts for the viscous stress, which arises from the fluid's viscosity resisting the particle's movement </w:t>
      </w:r>
      <w:r w:rsidR="00400056" w:rsidRPr="004834D3">
        <w:rPr>
          <w:rFonts w:eastAsiaTheme="minorEastAsia" w:cstheme="majorBidi"/>
        </w:rPr>
        <w:fldChar w:fldCharType="begin" w:fldLock="1"/>
      </w:r>
      <w:r w:rsidR="00D83446">
        <w:rPr>
          <w:rFonts w:eastAsiaTheme="minorEastAsia" w:cstheme="majorBidi"/>
        </w:rPr>
        <w:instrText>ADDIN CSL_CITATION {"citationItems":[{"id":"ITEM-1","itemData":{"ISBN":"9780123706102","abstract":"Engineering students in a wide variety of engineering disciplines from mechanical and chemical to biomedical and materials engineering must master the principles of transport phenomena as an essential tool in analyzing and designing any system or systems wherein momentum, heat and mass are transferred. This textbook was developed to address that need, with a clear presentation of the fundamentals, ample problem sets to reinforce that knowledge, and tangible examples of how this knowledge is put to use in engineering design. Professional engineers, too, will find this book invaluable as reference for everything from heat exchanger design to chemical processing system design and more. © 2006 Elsevier Inc. All rights reserved.","author":[{"dropping-particle":"","family":"Faghri","given":"Amir","non-dropping-particle":"","parse-names":false,"suffix":""},{"dropping-particle":"","family":"Zhang","given":"Yuwen","non-dropping-particle":"","parse-names":false,"suffix":""}],"container-title":"Transport Phenomena in Multiphase Systems","edition":"1st","id":"ITEM-1","issued":{"date-parts":[["2006"]]},"number-of-pages":"1-1030","publisher":"Elsevier","title":"Transport Phenomena in Multiphase Systems","type":"book"},"uris":["http://www.mendeley.com/documents/?uuid=0fa71f71-0c94-48c1-a8bf-65895c7b840d"]}],"mendeley":{"formattedCitation":"[173]","plainTextFormattedCitation":"[173]","previouslyFormattedCitation":"[174]"},"properties":{"noteIndex":0},"schema":"https://github.com/citation-style-language/schema/raw/master/csl-citation.json"}</w:instrText>
      </w:r>
      <w:r w:rsidR="00400056" w:rsidRPr="004834D3">
        <w:rPr>
          <w:rFonts w:eastAsiaTheme="minorEastAsia" w:cstheme="majorBidi"/>
        </w:rPr>
        <w:fldChar w:fldCharType="separate"/>
      </w:r>
      <w:r w:rsidR="00D83446" w:rsidRPr="00D83446">
        <w:rPr>
          <w:rFonts w:eastAsiaTheme="minorEastAsia" w:cstheme="majorBidi"/>
          <w:noProof/>
        </w:rPr>
        <w:t>[173]</w:t>
      </w:r>
      <w:r w:rsidR="00400056" w:rsidRPr="004834D3">
        <w:rPr>
          <w:rFonts w:eastAsiaTheme="minorEastAsia" w:cstheme="majorBidi"/>
        </w:rPr>
        <w:fldChar w:fldCharType="end"/>
      </w:r>
      <w:r w:rsidR="00400056" w:rsidRPr="004834D3">
        <w:rPr>
          <w:rFonts w:eastAsiaTheme="minorEastAsia" w:cstheme="majorBidi"/>
        </w:rPr>
        <w:t>. The unit tensor</w:t>
      </w:r>
      <w:r w:rsidRPr="004834D3">
        <w:rPr>
          <w:rFonts w:eastAsiaTheme="minorEastAsia" w:cstheme="majorBidi"/>
        </w:rPr>
        <w:t xml:space="preserve"> is</w:t>
      </w:r>
      <w:r w:rsidR="00400056" w:rsidRPr="004834D3">
        <w:rPr>
          <w:rFonts w:eastAsiaTheme="minorEastAsia" w:cstheme="majorBidi"/>
        </w:rPr>
        <w:t xml:space="preserve"> denoted by </w:t>
      </w:r>
      <m:oMath>
        <m:r>
          <m:rPr>
            <m:sty m:val="b"/>
          </m:rPr>
          <w:rPr>
            <w:rFonts w:ascii="Cambria Math" w:eastAsiaTheme="minorEastAsia" w:hAnsi="Cambria Math" w:cstheme="majorBidi"/>
          </w:rPr>
          <m:t>I</m:t>
        </m:r>
      </m:oMath>
      <w:r w:rsidR="00400056" w:rsidRPr="004834D3">
        <w:rPr>
          <w:rFonts w:eastAsiaTheme="minorEastAsia" w:cstheme="majorBidi"/>
        </w:rPr>
        <w:t xml:space="preserve">. Additionally, the moment of the surface forces about the particle’s center of mass can be derived using the following expression.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8"/>
        <w:gridCol w:w="1142"/>
      </w:tblGrid>
      <w:tr w:rsidR="00094DE6" w:rsidRPr="004834D3" w14:paraId="476D7E20" w14:textId="77777777" w:rsidTr="009A4AF3">
        <w:tc>
          <w:tcPr>
            <w:tcW w:w="8208" w:type="dxa"/>
            <w:vAlign w:val="center"/>
          </w:tcPr>
          <w:p w14:paraId="5FDAF6DE" w14:textId="77777777" w:rsidR="00094DE6" w:rsidRPr="004834D3" w:rsidRDefault="00094DE6" w:rsidP="006E213C">
            <w:pPr>
              <w:spacing w:before="240" w:after="240" w:line="480" w:lineRule="auto"/>
              <w:ind w:firstLine="432"/>
              <w:jc w:val="both"/>
              <w:rPr>
                <w:rFonts w:cstheme="majorBidi"/>
                <w:i/>
              </w:rPr>
            </w:pPr>
            <m:oMathPara>
              <m:oMathParaPr>
                <m:jc m:val="left"/>
              </m:oMathParaPr>
              <m:oMath>
                <m:r>
                  <m:rPr>
                    <m:sty m:val="b"/>
                  </m:rPr>
                  <w:rPr>
                    <w:rFonts w:ascii="Cambria Math" w:eastAsiaTheme="minorEastAsia" w:hAnsi="Cambria Math" w:cstheme="majorBidi"/>
                  </w:rPr>
                  <m:t>M</m:t>
                </m:r>
                <m:r>
                  <w:rPr>
                    <w:rFonts w:ascii="Cambria Math" w:eastAsiaTheme="minorEastAsia" w:hAnsi="Cambria Math" w:cstheme="majorBidi"/>
                  </w:rPr>
                  <m:t>=</m:t>
                </m:r>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S</m:t>
                    </m:r>
                  </m:sub>
                  <m:sup/>
                  <m:e>
                    <m:r>
                      <m:rPr>
                        <m:sty m:val="b"/>
                      </m:rPr>
                      <w:rPr>
                        <w:rFonts w:ascii="Cambria Math" w:eastAsiaTheme="minorEastAsia" w:hAnsi="Cambria Math" w:cstheme="majorBidi"/>
                      </w:rPr>
                      <m:t>r</m:t>
                    </m:r>
                    <m:r>
                      <w:rPr>
                        <w:rFonts w:ascii="Cambria Math" w:eastAsiaTheme="minorEastAsia" w:hAnsi="Cambria Math" w:cstheme="majorBidi"/>
                      </w:rPr>
                      <m:t>×</m:t>
                    </m:r>
                    <m:d>
                      <m:dPr>
                        <m:begChr m:val="{"/>
                        <m:endChr m:val="}"/>
                        <m:ctrlPr>
                          <w:rPr>
                            <w:rFonts w:ascii="Cambria Math" w:eastAsiaTheme="minorEastAsia" w:hAnsi="Cambria Math" w:cstheme="majorBidi"/>
                            <w:i/>
                          </w:rPr>
                        </m:ctrlPr>
                      </m:dPr>
                      <m:e>
                        <m:d>
                          <m:dPr>
                            <m:begChr m:val="["/>
                            <m:endChr m:val="]"/>
                            <m:ctrlPr>
                              <w:rPr>
                                <w:rFonts w:ascii="Cambria Math" w:eastAsiaTheme="minorEastAsia" w:hAnsi="Cambria Math" w:cstheme="majorBidi"/>
                                <w:i/>
                              </w:rPr>
                            </m:ctrlPr>
                          </m:dPr>
                          <m:e>
                            <m:r>
                              <w:rPr>
                                <w:rFonts w:ascii="Cambria Math" w:eastAsiaTheme="minorEastAsia" w:hAnsi="Cambria Math" w:cstheme="majorBidi"/>
                              </w:rPr>
                              <m:t>-p</m:t>
                            </m:r>
                            <m:r>
                              <m:rPr>
                                <m:sty m:val="b"/>
                              </m:rPr>
                              <w:rPr>
                                <w:rFonts w:ascii="Cambria Math" w:eastAsiaTheme="minorEastAsia" w:hAnsi="Cambria Math" w:cstheme="majorBidi"/>
                              </w:rPr>
                              <m:t>I</m:t>
                            </m:r>
                            <m:r>
                              <w:rPr>
                                <w:rFonts w:ascii="Cambria Math" w:eastAsiaTheme="minorEastAsia" w:hAnsi="Cambria Math" w:cstheme="majorBidi"/>
                              </w:rPr>
                              <m:t>+μ</m:t>
                            </m:r>
                            <m:d>
                              <m:dPr>
                                <m:ctrlPr>
                                  <w:rPr>
                                    <w:rFonts w:ascii="Cambria Math" w:eastAsiaTheme="minorEastAsia" w:hAnsi="Cambria Math" w:cstheme="majorBidi"/>
                                    <w:i/>
                                  </w:rPr>
                                </m:ctrlPr>
                              </m:dPr>
                              <m:e>
                                <m:r>
                                  <m:rPr>
                                    <m:sty m:val="b"/>
                                  </m:rPr>
                                  <w:rPr>
                                    <w:rFonts w:ascii="Cambria Math" w:eastAsiaTheme="minorEastAsia" w:hAnsi="Cambria Math" w:cstheme="majorBidi"/>
                                  </w:rPr>
                                  <m:t>∇V</m:t>
                                </m:r>
                                <m:r>
                                  <w:rPr>
                                    <w:rFonts w:ascii="Cambria Math" w:eastAsiaTheme="minorEastAsia" w:hAnsi="Cambria Math" w:cstheme="majorBidi"/>
                                  </w:rPr>
                                  <m:t>+</m:t>
                                </m:r>
                                <m:r>
                                  <m:rPr>
                                    <m:sty m:val="b"/>
                                  </m:rPr>
                                  <w:rPr>
                                    <w:rFonts w:ascii="Cambria Math" w:eastAsiaTheme="minorEastAsia" w:hAnsi="Cambria Math" w:cstheme="majorBidi"/>
                                  </w:rPr>
                                  <m:t>∇</m:t>
                                </m:r>
                                <m:sSup>
                                  <m:sSupPr>
                                    <m:ctrlPr>
                                      <w:rPr>
                                        <w:rFonts w:ascii="Cambria Math" w:eastAsiaTheme="minorEastAsia" w:hAnsi="Cambria Math" w:cstheme="majorBidi"/>
                                        <w:i/>
                                      </w:rPr>
                                    </m:ctrlPr>
                                  </m:sSupPr>
                                  <m:e>
                                    <m:r>
                                      <m:rPr>
                                        <m:sty m:val="b"/>
                                      </m:rPr>
                                      <w:rPr>
                                        <w:rFonts w:ascii="Cambria Math" w:eastAsiaTheme="minorEastAsia" w:hAnsi="Cambria Math" w:cstheme="majorBidi"/>
                                      </w:rPr>
                                      <m:t>V</m:t>
                                    </m:r>
                                  </m:e>
                                  <m:sup>
                                    <m:r>
                                      <w:rPr>
                                        <w:rFonts w:ascii="Cambria Math" w:eastAsiaTheme="minorEastAsia" w:hAnsi="Cambria Math" w:cstheme="majorBidi"/>
                                      </w:rPr>
                                      <m:t>T</m:t>
                                    </m:r>
                                  </m:sup>
                                </m:sSup>
                              </m:e>
                            </m:d>
                          </m:e>
                        </m:d>
                        <m:r>
                          <w:rPr>
                            <w:rFonts w:ascii="Cambria Math" w:eastAsiaTheme="minorEastAsia" w:hAnsi="Cambria Math" w:cstheme="majorBidi"/>
                          </w:rPr>
                          <m:t>∙d</m:t>
                        </m:r>
                        <m:r>
                          <m:rPr>
                            <m:sty m:val="b"/>
                          </m:rPr>
                          <w:rPr>
                            <w:rFonts w:ascii="Cambria Math" w:eastAsiaTheme="minorEastAsia" w:hAnsi="Cambria Math" w:cstheme="majorBidi"/>
                          </w:rPr>
                          <m:t>S</m:t>
                        </m:r>
                      </m:e>
                    </m:d>
                  </m:e>
                </m:nary>
              </m:oMath>
            </m:oMathPara>
          </w:p>
        </w:tc>
        <w:tc>
          <w:tcPr>
            <w:tcW w:w="1142" w:type="dxa"/>
            <w:vAlign w:val="center"/>
          </w:tcPr>
          <w:p w14:paraId="6E3D7990" w14:textId="6513B0A7" w:rsidR="00094DE6" w:rsidRPr="004834D3" w:rsidRDefault="000B1B64" w:rsidP="006E213C">
            <w:pPr>
              <w:spacing w:before="240" w:after="240" w:line="480" w:lineRule="auto"/>
              <w:ind w:firstLine="432"/>
              <w:jc w:val="right"/>
              <w:rPr>
                <w:rFonts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20</w:t>
            </w:r>
            <w:r>
              <w:rPr>
                <w:noProof/>
              </w:rPr>
              <w:fldChar w:fldCharType="end"/>
            </w:r>
          </w:p>
        </w:tc>
      </w:tr>
    </w:tbl>
    <w:p w14:paraId="79464B99" w14:textId="5DB96ADA" w:rsidR="00755A8C" w:rsidRPr="00755A8C" w:rsidRDefault="00094DE6" w:rsidP="006E213C">
      <w:pPr>
        <w:spacing w:before="240" w:after="240" w:line="480" w:lineRule="auto"/>
        <w:ind w:firstLine="720"/>
        <w:jc w:val="both"/>
        <w:rPr>
          <w:rFonts w:eastAsiaTheme="minorEastAsia" w:cstheme="majorBidi"/>
        </w:rPr>
      </w:pPr>
      <w:r w:rsidRPr="004834D3">
        <w:rPr>
          <w:rFonts w:eastAsiaTheme="minorEastAsia" w:cstheme="majorBidi"/>
        </w:rPr>
        <w:t xml:space="preserve">In the given equations, </w:t>
      </w:r>
      <m:oMath>
        <m:r>
          <m:rPr>
            <m:sty m:val="b"/>
          </m:rPr>
          <w:rPr>
            <w:rFonts w:ascii="Cambria Math" w:eastAsiaTheme="minorEastAsia" w:hAnsi="Cambria Math" w:cstheme="majorBidi"/>
          </w:rPr>
          <m:t>r</m:t>
        </m:r>
      </m:oMath>
      <w:r w:rsidRPr="004834D3">
        <w:rPr>
          <w:rFonts w:eastAsiaTheme="minorEastAsia" w:cstheme="majorBidi"/>
        </w:rPr>
        <w:t xml:space="preserve"> represents the position vector </w:t>
      </w:r>
      <w:r w:rsidR="00A01A95" w:rsidRPr="004834D3">
        <w:rPr>
          <w:rFonts w:eastAsiaTheme="minorEastAsia" w:cstheme="majorBidi"/>
        </w:rPr>
        <w:t xml:space="preserve">of the solid-liquid interface </w:t>
      </w:r>
      <w:r w:rsidRPr="004834D3">
        <w:rPr>
          <w:rFonts w:eastAsiaTheme="minorEastAsia" w:cstheme="majorBidi"/>
        </w:rPr>
        <w:t xml:space="preserve">relative to the particle's center of mass. The fields of pressure, velocity, and temperature within the liquid </w:t>
      </w:r>
      <w:r w:rsidRPr="004834D3">
        <w:rPr>
          <w:rFonts w:eastAsiaTheme="minorEastAsia" w:cstheme="majorBidi"/>
        </w:rPr>
        <w:lastRenderedPageBreak/>
        <w:t xml:space="preserve">domain are determined through the solutions of the flow and thermal fields, as specified in Eqs. </w:t>
      </w:r>
      <w:r w:rsidR="004B4110">
        <w:rPr>
          <w:rFonts w:eastAsiaTheme="minorEastAsia" w:cstheme="majorBidi"/>
        </w:rPr>
        <w:t>5</w:t>
      </w:r>
      <w:r w:rsidR="00755A8C">
        <w:rPr>
          <w:rFonts w:eastAsiaTheme="minorEastAsia" w:cstheme="majorBidi"/>
        </w:rPr>
        <w:t>-</w:t>
      </w:r>
      <w:r w:rsidR="000B1B64">
        <w:rPr>
          <w:rFonts w:eastAsiaTheme="minorEastAsia" w:cstheme="majorBidi"/>
        </w:rPr>
        <w:t>3</w:t>
      </w:r>
      <w:r w:rsidRPr="004834D3">
        <w:rPr>
          <w:rFonts w:eastAsiaTheme="minorEastAsia" w:cstheme="majorBidi"/>
        </w:rPr>
        <w:t xml:space="preserve">, </w:t>
      </w:r>
      <w:r w:rsidR="004B4110">
        <w:rPr>
          <w:rFonts w:eastAsiaTheme="minorEastAsia" w:cstheme="majorBidi"/>
        </w:rPr>
        <w:t>5</w:t>
      </w:r>
      <w:r w:rsidR="00755A8C">
        <w:rPr>
          <w:rFonts w:eastAsiaTheme="minorEastAsia" w:cstheme="majorBidi"/>
        </w:rPr>
        <w:t>-</w:t>
      </w:r>
      <w:r w:rsidR="000B1B64">
        <w:rPr>
          <w:rFonts w:eastAsiaTheme="minorEastAsia" w:cstheme="majorBidi"/>
        </w:rPr>
        <w:t>10</w:t>
      </w:r>
      <w:r w:rsidRPr="004834D3">
        <w:rPr>
          <w:rFonts w:eastAsiaTheme="minorEastAsia" w:cstheme="majorBidi"/>
        </w:rPr>
        <w:t xml:space="preserve">, and </w:t>
      </w:r>
      <w:r w:rsidR="004B4110">
        <w:rPr>
          <w:rFonts w:eastAsiaTheme="minorEastAsia" w:cstheme="majorBidi"/>
        </w:rPr>
        <w:t>5</w:t>
      </w:r>
      <w:r w:rsidR="00755A8C">
        <w:rPr>
          <w:rFonts w:eastAsiaTheme="minorEastAsia" w:cstheme="majorBidi"/>
        </w:rPr>
        <w:t>-</w:t>
      </w:r>
      <w:r w:rsidR="005920DF">
        <w:rPr>
          <w:rFonts w:eastAsiaTheme="minorEastAsia" w:cstheme="majorBidi"/>
        </w:rPr>
        <w:t>1</w:t>
      </w:r>
      <w:r w:rsidR="000B1B64">
        <w:rPr>
          <w:rFonts w:eastAsiaTheme="minorEastAsia" w:cstheme="majorBidi"/>
        </w:rPr>
        <w:t>3</w:t>
      </w:r>
      <w:r w:rsidRPr="004834D3">
        <w:rPr>
          <w:rFonts w:eastAsiaTheme="minorEastAsia" w:cstheme="majorBidi"/>
        </w:rPr>
        <w:t xml:space="preserve">. Substituting the results from the flow and thermal fields into the force and moment equations (Eqs. </w:t>
      </w:r>
      <w:r w:rsidR="004B4110">
        <w:rPr>
          <w:rFonts w:eastAsiaTheme="minorEastAsia" w:cstheme="majorBidi"/>
        </w:rPr>
        <w:t>5</w:t>
      </w:r>
      <w:r w:rsidR="00755A8C">
        <w:rPr>
          <w:rFonts w:eastAsiaTheme="minorEastAsia" w:cstheme="majorBidi"/>
        </w:rPr>
        <w:t>-</w:t>
      </w:r>
      <w:r w:rsidRPr="004834D3">
        <w:rPr>
          <w:rFonts w:eastAsiaTheme="minorEastAsia" w:cstheme="majorBidi"/>
        </w:rPr>
        <w:t>1</w:t>
      </w:r>
      <w:r w:rsidR="000B1B64">
        <w:rPr>
          <w:rFonts w:eastAsiaTheme="minorEastAsia" w:cstheme="majorBidi"/>
        </w:rPr>
        <w:t>9</w:t>
      </w:r>
      <w:r w:rsidRPr="004834D3">
        <w:rPr>
          <w:rFonts w:eastAsiaTheme="minorEastAsia" w:cstheme="majorBidi"/>
        </w:rPr>
        <w:t xml:space="preserve"> and </w:t>
      </w:r>
      <w:r w:rsidR="004B4110">
        <w:rPr>
          <w:rFonts w:eastAsiaTheme="minorEastAsia" w:cstheme="majorBidi"/>
        </w:rPr>
        <w:t>5</w:t>
      </w:r>
      <w:r w:rsidR="00755A8C">
        <w:rPr>
          <w:rFonts w:eastAsiaTheme="minorEastAsia" w:cstheme="majorBidi"/>
        </w:rPr>
        <w:t>-</w:t>
      </w:r>
      <w:r w:rsidR="000B1B64">
        <w:rPr>
          <w:rFonts w:eastAsiaTheme="minorEastAsia" w:cstheme="majorBidi"/>
        </w:rPr>
        <w:t>20</w:t>
      </w:r>
      <w:r w:rsidRPr="004834D3">
        <w:rPr>
          <w:rFonts w:eastAsiaTheme="minorEastAsia" w:cstheme="majorBidi"/>
        </w:rPr>
        <w:t xml:space="preserve">) enables the calculation of the total forces and moments exerted on the surface of the melting particle. The translational and rotational velocities at each node on the particle surface are obtained by discretizing Eqs. </w:t>
      </w:r>
      <w:r w:rsidR="004B4110">
        <w:rPr>
          <w:rFonts w:eastAsiaTheme="minorEastAsia" w:cstheme="majorBidi"/>
        </w:rPr>
        <w:t>5</w:t>
      </w:r>
      <w:r w:rsidR="00755A8C">
        <w:rPr>
          <w:rFonts w:eastAsiaTheme="minorEastAsia" w:cstheme="majorBidi"/>
        </w:rPr>
        <w:t>-</w:t>
      </w:r>
      <w:r w:rsidRPr="004834D3">
        <w:rPr>
          <w:rFonts w:eastAsiaTheme="minorEastAsia" w:cstheme="majorBidi"/>
        </w:rPr>
        <w:t>1</w:t>
      </w:r>
      <w:r w:rsidR="000B1B64">
        <w:rPr>
          <w:rFonts w:eastAsiaTheme="minorEastAsia" w:cstheme="majorBidi"/>
        </w:rPr>
        <w:t>7</w:t>
      </w:r>
      <w:r w:rsidRPr="004834D3">
        <w:rPr>
          <w:rFonts w:eastAsiaTheme="minorEastAsia" w:cstheme="majorBidi"/>
        </w:rPr>
        <w:t xml:space="preserve"> and </w:t>
      </w:r>
      <w:r w:rsidR="004B4110">
        <w:rPr>
          <w:rFonts w:eastAsiaTheme="minorEastAsia" w:cstheme="majorBidi"/>
        </w:rPr>
        <w:t>5</w:t>
      </w:r>
      <w:r w:rsidR="00755A8C">
        <w:rPr>
          <w:rFonts w:eastAsiaTheme="minorEastAsia" w:cstheme="majorBidi"/>
        </w:rPr>
        <w:t>-</w:t>
      </w:r>
      <w:r w:rsidRPr="004834D3">
        <w:rPr>
          <w:rFonts w:eastAsiaTheme="minorEastAsia" w:cstheme="majorBidi"/>
        </w:rPr>
        <w:t>1</w:t>
      </w:r>
      <w:r w:rsidR="000B1B64">
        <w:rPr>
          <w:rFonts w:eastAsiaTheme="minorEastAsia" w:cstheme="majorBidi"/>
        </w:rPr>
        <w:t>8</w:t>
      </w:r>
      <w:r w:rsidRPr="004834D3">
        <w:rPr>
          <w:rFonts w:eastAsiaTheme="minorEastAsia" w:cstheme="majorBidi"/>
        </w:rPr>
        <w:t>. This is achieved using a second-order backward finite difference method, which offers a high level of accuracy in approximating the derivatives needed to predict the particle's behavior.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872E7" w:rsidRPr="004834D3" w14:paraId="4FA1A7A2" w14:textId="77777777" w:rsidTr="009A4AF3">
        <w:tc>
          <w:tcPr>
            <w:tcW w:w="4675" w:type="dxa"/>
          </w:tcPr>
          <w:p w14:paraId="53CF651F" w14:textId="77777777" w:rsidR="000872E7" w:rsidRPr="004834D3" w:rsidRDefault="00000000" w:rsidP="006E213C">
            <w:pPr>
              <w:spacing w:before="240" w:after="240" w:line="480" w:lineRule="auto"/>
              <w:jc w:val="both"/>
              <w:rPr>
                <w:rFonts w:eastAsiaTheme="minorEastAsia" w:cstheme="majorBidi"/>
              </w:rPr>
            </w:pPr>
            <m:oMathPara>
              <m:oMathParaPr>
                <m:jc m:val="left"/>
              </m:oMathParaPr>
              <m:oMath>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V</m:t>
                    </m:r>
                  </m:e>
                  <m:sub>
                    <m:r>
                      <w:rPr>
                        <w:rFonts w:ascii="Cambria Math" w:eastAsiaTheme="minorEastAsia" w:hAnsi="Cambria Math" w:cstheme="majorBidi"/>
                      </w:rPr>
                      <m:t>p</m:t>
                    </m:r>
                  </m:sub>
                  <m:sup>
                    <m:r>
                      <w:rPr>
                        <w:rFonts w:ascii="Cambria Math" w:eastAsiaTheme="minorEastAsia" w:hAnsi="Cambria Math" w:cstheme="majorBidi"/>
                      </w:rPr>
                      <m:t>n</m:t>
                    </m:r>
                  </m:sup>
                </m:sSubSup>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2</m:t>
                    </m:r>
                  </m:num>
                  <m:den>
                    <m:r>
                      <w:rPr>
                        <w:rFonts w:ascii="Cambria Math" w:eastAsiaTheme="minorEastAsia" w:hAnsi="Cambria Math" w:cstheme="majorBidi"/>
                      </w:rPr>
                      <m:t>3</m:t>
                    </m:r>
                  </m:den>
                </m:f>
                <m:r>
                  <w:rPr>
                    <w:rFonts w:ascii="Cambria Math" w:eastAsiaTheme="minorEastAsia" w:hAnsi="Cambria Math" w:cstheme="majorBidi"/>
                  </w:rPr>
                  <m:t xml:space="preserve"> </m:t>
                </m:r>
                <m:d>
                  <m:dPr>
                    <m:begChr m:val="["/>
                    <m:endChr m:val="]"/>
                    <m:ctrlPr>
                      <w:rPr>
                        <w:rFonts w:ascii="Cambria Math" w:eastAsiaTheme="minorEastAsia" w:hAnsi="Cambria Math" w:cstheme="majorBidi"/>
                        <w:i/>
                      </w:rPr>
                    </m:ctrlPr>
                  </m:dPr>
                  <m:e>
                    <m:f>
                      <m:fPr>
                        <m:ctrlPr>
                          <w:rPr>
                            <w:rFonts w:ascii="Cambria Math" w:eastAsiaTheme="minorEastAsia" w:hAnsi="Cambria Math" w:cstheme="majorBidi"/>
                            <w:i/>
                          </w:rPr>
                        </m:ctrlPr>
                      </m:fPr>
                      <m:num>
                        <m:r>
                          <m:rPr>
                            <m:sty m:val="b"/>
                          </m:rPr>
                          <w:rPr>
                            <w:rFonts w:ascii="Cambria Math" w:eastAsiaTheme="minorEastAsia" w:hAnsi="Cambria Math" w:cstheme="majorBidi"/>
                          </w:rPr>
                          <m:t>F</m:t>
                        </m:r>
                      </m:num>
                      <m:den>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p</m:t>
                            </m:r>
                          </m:sub>
                        </m:sSub>
                      </m:den>
                    </m:f>
                    <m:r>
                      <m:rPr>
                        <m:sty m:val="p"/>
                      </m:rPr>
                      <w:rPr>
                        <w:rFonts w:ascii="Cambria Math" w:eastAsiaTheme="minorEastAsia" w:hAnsi="Cambria Math" w:cstheme="majorBidi"/>
                      </w:rPr>
                      <m:t>Δ</m:t>
                    </m:r>
                    <m:r>
                      <w:rPr>
                        <w:rFonts w:ascii="Cambria Math" w:eastAsiaTheme="minorEastAsia" w:hAnsi="Cambria Math" w:cstheme="majorBidi"/>
                      </w:rPr>
                      <m:t>t+2</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V</m:t>
                        </m:r>
                      </m:e>
                      <m:sub>
                        <m:r>
                          <w:rPr>
                            <w:rFonts w:ascii="Cambria Math" w:eastAsiaTheme="minorEastAsia" w:hAnsi="Cambria Math" w:cstheme="majorBidi"/>
                          </w:rPr>
                          <m:t>p</m:t>
                        </m:r>
                      </m:sub>
                      <m:sup>
                        <m:r>
                          <w:rPr>
                            <w:rFonts w:ascii="Cambria Math" w:eastAsiaTheme="minorEastAsia" w:hAnsi="Cambria Math" w:cstheme="majorBidi"/>
                          </w:rPr>
                          <m:t>n-1</m:t>
                        </m:r>
                      </m:sup>
                    </m:sSubSup>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1</m:t>
                        </m:r>
                      </m:num>
                      <m:den>
                        <m:r>
                          <w:rPr>
                            <w:rFonts w:ascii="Cambria Math" w:eastAsiaTheme="minorEastAsia" w:hAnsi="Cambria Math" w:cstheme="majorBidi"/>
                          </w:rPr>
                          <m:t>2</m:t>
                        </m:r>
                      </m:den>
                    </m:f>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V</m:t>
                        </m:r>
                      </m:e>
                      <m:sub>
                        <m:r>
                          <w:rPr>
                            <w:rFonts w:ascii="Cambria Math" w:eastAsiaTheme="minorEastAsia" w:hAnsi="Cambria Math" w:cstheme="majorBidi"/>
                          </w:rPr>
                          <m:t>p</m:t>
                        </m:r>
                      </m:sub>
                      <m:sup>
                        <m:r>
                          <w:rPr>
                            <w:rFonts w:ascii="Cambria Math" w:eastAsiaTheme="minorEastAsia" w:hAnsi="Cambria Math" w:cstheme="majorBidi"/>
                          </w:rPr>
                          <m:t>n-2</m:t>
                        </m:r>
                      </m:sup>
                    </m:sSubSup>
                    <m:r>
                      <w:rPr>
                        <w:rFonts w:ascii="Cambria Math" w:eastAsiaTheme="minorEastAsia" w:hAnsi="Cambria Math" w:cstheme="majorBidi"/>
                      </w:rPr>
                      <m:t xml:space="preserve"> </m:t>
                    </m:r>
                  </m:e>
                </m:d>
              </m:oMath>
            </m:oMathPara>
          </w:p>
        </w:tc>
        <w:tc>
          <w:tcPr>
            <w:tcW w:w="4675" w:type="dxa"/>
          </w:tcPr>
          <w:p w14:paraId="56672FCD" w14:textId="3B3C3D87" w:rsidR="000872E7"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21</w:t>
            </w:r>
            <w:r>
              <w:rPr>
                <w:noProof/>
              </w:rPr>
              <w:fldChar w:fldCharType="end"/>
            </w:r>
          </w:p>
        </w:tc>
      </w:tr>
      <w:tr w:rsidR="000872E7" w:rsidRPr="004834D3" w14:paraId="14A9AC74" w14:textId="77777777" w:rsidTr="009A4AF3">
        <w:tc>
          <w:tcPr>
            <w:tcW w:w="4675" w:type="dxa"/>
          </w:tcPr>
          <w:p w14:paraId="07A8DBBB" w14:textId="77777777" w:rsidR="000872E7" w:rsidRPr="004834D3" w:rsidRDefault="00000000" w:rsidP="006E213C">
            <w:pPr>
              <w:spacing w:before="240" w:after="240" w:line="480" w:lineRule="auto"/>
              <w:jc w:val="both"/>
              <w:rPr>
                <w:rFonts w:eastAsiaTheme="minorEastAsia" w:cstheme="majorBidi"/>
              </w:rPr>
            </w:pPr>
            <m:oMathPara>
              <m:oMathParaPr>
                <m:jc m:val="left"/>
              </m:oMathParaPr>
              <m:oMath>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n</m:t>
                    </m:r>
                  </m:sup>
                </m:sSubSup>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2</m:t>
                    </m:r>
                  </m:num>
                  <m:den>
                    <m:r>
                      <w:rPr>
                        <w:rFonts w:ascii="Cambria Math" w:eastAsiaTheme="minorEastAsia" w:hAnsi="Cambria Math" w:cstheme="majorBidi"/>
                      </w:rPr>
                      <m:t>3</m:t>
                    </m:r>
                  </m:den>
                </m:f>
                <m:r>
                  <w:rPr>
                    <w:rFonts w:ascii="Cambria Math" w:eastAsiaTheme="minorEastAsia" w:hAnsi="Cambria Math" w:cstheme="majorBidi"/>
                  </w:rPr>
                  <m:t xml:space="preserve"> </m:t>
                </m:r>
                <m:d>
                  <m:dPr>
                    <m:begChr m:val="["/>
                    <m:endChr m:val="]"/>
                    <m:ctrlPr>
                      <w:rPr>
                        <w:rFonts w:ascii="Cambria Math" w:eastAsiaTheme="minorEastAsia" w:hAnsi="Cambria Math" w:cstheme="majorBidi"/>
                        <w:i/>
                      </w:rPr>
                    </m:ctrlPr>
                  </m:dPr>
                  <m:e>
                    <m:f>
                      <m:fPr>
                        <m:ctrlPr>
                          <w:rPr>
                            <w:rFonts w:ascii="Cambria Math" w:eastAsiaTheme="minorEastAsia" w:hAnsi="Cambria Math" w:cstheme="majorBidi"/>
                            <w:i/>
                          </w:rPr>
                        </m:ctrlPr>
                      </m:fPr>
                      <m:num>
                        <m:r>
                          <m:rPr>
                            <m:sty m:val="b"/>
                          </m:rPr>
                          <w:rPr>
                            <w:rFonts w:ascii="Cambria Math" w:eastAsiaTheme="minorEastAsia" w:hAnsi="Cambria Math" w:cstheme="majorBidi"/>
                          </w:rPr>
                          <m:t>M</m:t>
                        </m:r>
                      </m:num>
                      <m:den>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p</m:t>
                            </m:r>
                          </m:sub>
                        </m:sSub>
                      </m:den>
                    </m:f>
                    <m:r>
                      <m:rPr>
                        <m:sty m:val="p"/>
                      </m:rPr>
                      <w:rPr>
                        <w:rFonts w:ascii="Cambria Math" w:eastAsiaTheme="minorEastAsia" w:hAnsi="Cambria Math" w:cstheme="majorBidi"/>
                      </w:rPr>
                      <m:t>Δ</m:t>
                    </m:r>
                    <m:r>
                      <w:rPr>
                        <w:rFonts w:ascii="Cambria Math" w:eastAsiaTheme="minorEastAsia" w:hAnsi="Cambria Math" w:cstheme="majorBidi"/>
                      </w:rPr>
                      <m:t>t+2</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n-1</m:t>
                        </m:r>
                      </m:sup>
                    </m:sSubSup>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1</m:t>
                        </m:r>
                      </m:num>
                      <m:den>
                        <m:r>
                          <w:rPr>
                            <w:rFonts w:ascii="Cambria Math" w:eastAsiaTheme="minorEastAsia" w:hAnsi="Cambria Math" w:cstheme="majorBidi"/>
                          </w:rPr>
                          <m:t>2</m:t>
                        </m:r>
                      </m:den>
                    </m:f>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n-2</m:t>
                        </m:r>
                      </m:sup>
                    </m:sSubSup>
                    <m:r>
                      <w:rPr>
                        <w:rFonts w:ascii="Cambria Math" w:eastAsiaTheme="minorEastAsia" w:hAnsi="Cambria Math" w:cstheme="majorBidi"/>
                      </w:rPr>
                      <m:t xml:space="preserve"> </m:t>
                    </m:r>
                  </m:e>
                </m:d>
              </m:oMath>
            </m:oMathPara>
          </w:p>
        </w:tc>
        <w:tc>
          <w:tcPr>
            <w:tcW w:w="4675" w:type="dxa"/>
          </w:tcPr>
          <w:p w14:paraId="74023B4B" w14:textId="084A8C50" w:rsidR="000872E7" w:rsidRPr="002466B5" w:rsidRDefault="000B1B64" w:rsidP="006E213C">
            <w:pPr>
              <w:pStyle w:val="Caption"/>
              <w:spacing w:after="240" w:line="480" w:lineRule="auto"/>
              <w:jc w:val="right"/>
              <w:rPr>
                <w:rFonts w:cstheme="majorBidi"/>
              </w:rPr>
            </w:pPr>
            <w:r>
              <w:rPr>
                <w:rFonts w:cstheme="majorBidi"/>
              </w:rPr>
              <w:fldChar w:fldCharType="begin"/>
            </w:r>
            <w:r>
              <w:rPr>
                <w:rFonts w:cstheme="majorBidi"/>
              </w:rPr>
              <w:instrText xml:space="preserve"> STYLEREF 1 \s </w:instrText>
            </w:r>
            <w:r>
              <w:rPr>
                <w:rFonts w:cstheme="majorBidi"/>
              </w:rPr>
              <w:fldChar w:fldCharType="separate"/>
            </w:r>
            <w:r w:rsidR="00732AAC">
              <w:rPr>
                <w:rFonts w:cstheme="majorBidi"/>
                <w:noProof/>
                <w:cs/>
              </w:rPr>
              <w:t>‎</w:t>
            </w:r>
            <w:r w:rsidR="00732AAC">
              <w:rPr>
                <w:rFonts w:cstheme="majorBidi"/>
                <w:noProof/>
              </w:rPr>
              <w:t>5</w:t>
            </w:r>
            <w:r>
              <w:rPr>
                <w:rFonts w:cstheme="majorBidi"/>
              </w:rPr>
              <w:fldChar w:fldCharType="end"/>
            </w:r>
            <w:r>
              <w:rPr>
                <w:rFonts w:cstheme="majorBidi"/>
              </w:rPr>
              <w:noBreakHyphen/>
            </w:r>
            <w:r>
              <w:rPr>
                <w:rFonts w:cstheme="majorBidi"/>
              </w:rPr>
              <w:fldChar w:fldCharType="begin"/>
            </w:r>
            <w:r>
              <w:rPr>
                <w:rFonts w:cstheme="majorBidi"/>
              </w:rPr>
              <w:instrText xml:space="preserve"> SEQ Equation \* ARABIC \s 1 </w:instrText>
            </w:r>
            <w:r>
              <w:rPr>
                <w:rFonts w:cstheme="majorBidi"/>
              </w:rPr>
              <w:fldChar w:fldCharType="separate"/>
            </w:r>
            <w:r w:rsidR="00732AAC">
              <w:rPr>
                <w:rFonts w:cstheme="majorBidi"/>
                <w:noProof/>
              </w:rPr>
              <w:t>22</w:t>
            </w:r>
            <w:r>
              <w:rPr>
                <w:rFonts w:cstheme="majorBidi"/>
              </w:rPr>
              <w:fldChar w:fldCharType="end"/>
            </w:r>
          </w:p>
        </w:tc>
      </w:tr>
    </w:tbl>
    <w:p w14:paraId="4DE81570" w14:textId="075E8B35" w:rsidR="00497624" w:rsidRPr="00497624" w:rsidRDefault="000872E7" w:rsidP="006E213C">
      <w:pPr>
        <w:spacing w:before="240" w:after="240" w:line="480" w:lineRule="auto"/>
        <w:jc w:val="both"/>
        <w:rPr>
          <w:rFonts w:eastAsiaTheme="minorEastAsia" w:cstheme="majorBidi"/>
        </w:rPr>
      </w:pPr>
      <w:r w:rsidRPr="004834D3">
        <w:rPr>
          <w:rFonts w:cstheme="majorBidi"/>
          <w:kern w:val="0"/>
        </w:rPr>
        <w:t xml:space="preserve">where </w:t>
      </w:r>
      <m:oMath>
        <m:r>
          <w:rPr>
            <w:rFonts w:ascii="Cambria Math" w:hAnsi="Cambria Math" w:cstheme="majorBidi"/>
            <w:kern w:val="0"/>
          </w:rPr>
          <m:t>n</m:t>
        </m:r>
      </m:oMath>
      <w:r w:rsidRPr="004834D3">
        <w:rPr>
          <w:rFonts w:cstheme="majorBidi"/>
          <w:kern w:val="0"/>
        </w:rPr>
        <w:t xml:space="preserve"> denotes the index of the time step and </w:t>
      </w:r>
      <m:oMath>
        <m:r>
          <m:rPr>
            <m:sty m:val="p"/>
          </m:rPr>
          <w:rPr>
            <w:rFonts w:ascii="Cambria Math" w:eastAsiaTheme="minorEastAsia" w:hAnsi="Cambria Math" w:cstheme="majorBidi"/>
          </w:rPr>
          <m:t>Δ</m:t>
        </m:r>
        <m:r>
          <w:rPr>
            <w:rFonts w:ascii="Cambria Math" w:eastAsiaTheme="minorEastAsia" w:hAnsi="Cambria Math" w:cstheme="majorBidi"/>
          </w:rPr>
          <m:t>t</m:t>
        </m:r>
      </m:oMath>
      <w:r w:rsidRPr="004834D3">
        <w:rPr>
          <w:rFonts w:cstheme="majorBidi"/>
          <w:kern w:val="0"/>
        </w:rPr>
        <w:t xml:space="preserve"> represents the time step. The translational displacement of each node on the particle surface for every time step is determined by the instantaneous translational velocity of the node </w:t>
      </w:r>
      <w:r w:rsidRPr="004834D3">
        <w:rPr>
          <w:rFonts w:eastAsiaTheme="minorEastAsia" w:cstheme="majorBidi"/>
        </w:rPr>
        <w:t>(</w:t>
      </w:r>
      <m:oMath>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V</m:t>
            </m:r>
          </m:e>
          <m:sub>
            <m:r>
              <w:rPr>
                <w:rFonts w:ascii="Cambria Math" w:eastAsiaTheme="minorEastAsia" w:hAnsi="Cambria Math" w:cstheme="majorBidi"/>
              </w:rPr>
              <m:t>p</m:t>
            </m:r>
          </m:sub>
          <m:sup>
            <m:r>
              <w:rPr>
                <w:rFonts w:ascii="Cambria Math" w:eastAsiaTheme="minorEastAsia" w:hAnsi="Cambria Math" w:cstheme="majorBidi"/>
              </w:rPr>
              <m:t>n</m:t>
            </m:r>
          </m:sup>
        </m:sSubSup>
      </m:oMath>
      <w:r w:rsidRPr="004834D3">
        <w:rPr>
          <w:rFonts w:eastAsiaTheme="minorEastAsia" w:cstheme="majorBid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80C2B" w:rsidRPr="004834D3" w14:paraId="6227D530" w14:textId="77777777" w:rsidTr="009A4AF3">
        <w:tc>
          <w:tcPr>
            <w:tcW w:w="4675" w:type="dxa"/>
          </w:tcPr>
          <w:p w14:paraId="1325B306" w14:textId="77777777" w:rsidR="00E80C2B" w:rsidRPr="004834D3" w:rsidRDefault="00E80C2B" w:rsidP="006E213C">
            <w:pPr>
              <w:spacing w:before="240" w:after="240" w:line="480" w:lineRule="auto"/>
              <w:jc w:val="both"/>
              <w:rPr>
                <w:rFonts w:eastAsiaTheme="minorEastAsia" w:cstheme="majorBidi"/>
              </w:rPr>
            </w:pPr>
            <m:oMathPara>
              <m:oMathParaPr>
                <m:jc m:val="left"/>
              </m:oMathParaPr>
              <m:oMath>
                <m:r>
                  <m:rPr>
                    <m:sty m:val="p"/>
                  </m:rPr>
                  <w:rPr>
                    <w:rFonts w:ascii="Cambria Math" w:eastAsiaTheme="minorEastAsia" w:hAnsi="Cambria Math" w:cstheme="majorBidi"/>
                  </w:rPr>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ctrlPr>
                      <w:rPr>
                        <w:rFonts w:ascii="Cambria Math" w:eastAsiaTheme="minorEastAsia" w:hAnsi="Cambria Math" w:cstheme="majorBidi"/>
                        <w:b/>
                        <w:bCs/>
                        <w:iCs/>
                      </w:rPr>
                    </m:ctrlPr>
                  </m:e>
                  <m:sub>
                    <m:r>
                      <w:rPr>
                        <w:rFonts w:ascii="Cambria Math" w:eastAsiaTheme="minorEastAsia" w:hAnsi="Cambria Math" w:cstheme="majorBidi"/>
                      </w:rPr>
                      <m:t>t</m:t>
                    </m:r>
                  </m:sub>
                  <m:sup>
                    <m:r>
                      <w:rPr>
                        <w:rFonts w:ascii="Cambria Math" w:eastAsiaTheme="minorEastAsia" w:hAnsi="Cambria Math" w:cstheme="majorBidi"/>
                      </w:rPr>
                      <m:t>n</m:t>
                    </m:r>
                  </m:sup>
                </m:sSubSup>
                <m:r>
                  <w:rPr>
                    <w:rFonts w:ascii="Cambria Math" w:eastAsiaTheme="minorEastAsia" w:hAnsi="Cambria Math" w:cstheme="majorBidi"/>
                  </w:rPr>
                  <m:t>=</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V</m:t>
                    </m:r>
                  </m:e>
                  <m:sub>
                    <m:r>
                      <w:rPr>
                        <w:rFonts w:ascii="Cambria Math" w:eastAsiaTheme="minorEastAsia" w:hAnsi="Cambria Math" w:cstheme="majorBidi"/>
                      </w:rPr>
                      <m:t>p</m:t>
                    </m:r>
                  </m:sub>
                  <m:sup>
                    <m:r>
                      <w:rPr>
                        <w:rFonts w:ascii="Cambria Math" w:eastAsiaTheme="minorEastAsia" w:hAnsi="Cambria Math" w:cstheme="majorBidi"/>
                      </w:rPr>
                      <m:t>n</m:t>
                    </m:r>
                  </m:sup>
                </m:sSubSup>
                <m:r>
                  <m:rPr>
                    <m:sty m:val="p"/>
                  </m:rPr>
                  <w:rPr>
                    <w:rFonts w:ascii="Cambria Math" w:eastAsiaTheme="minorEastAsia" w:hAnsi="Cambria Math" w:cstheme="majorBidi"/>
                  </w:rPr>
                  <m:t>Δ</m:t>
                </m:r>
                <m:r>
                  <w:rPr>
                    <w:rFonts w:ascii="Cambria Math" w:eastAsiaTheme="minorEastAsia" w:hAnsi="Cambria Math" w:cstheme="majorBidi"/>
                  </w:rPr>
                  <m:t>t</m:t>
                </m:r>
              </m:oMath>
            </m:oMathPara>
          </w:p>
        </w:tc>
        <w:tc>
          <w:tcPr>
            <w:tcW w:w="4675" w:type="dxa"/>
          </w:tcPr>
          <w:p w14:paraId="2851B8B6" w14:textId="6FA602BE" w:rsidR="00E80C2B"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23</w:t>
            </w:r>
            <w:r>
              <w:rPr>
                <w:noProof/>
              </w:rPr>
              <w:fldChar w:fldCharType="end"/>
            </w:r>
          </w:p>
        </w:tc>
      </w:tr>
    </w:tbl>
    <w:p w14:paraId="0186EFC8" w14:textId="4E0F51D7" w:rsidR="002466B5" w:rsidRPr="002466B5" w:rsidRDefault="00E80C2B" w:rsidP="006E213C">
      <w:pPr>
        <w:spacing w:before="240" w:after="240" w:line="480" w:lineRule="auto"/>
        <w:ind w:firstLine="720"/>
        <w:jc w:val="both"/>
        <w:rPr>
          <w:rFonts w:cstheme="majorBidi"/>
          <w:kern w:val="0"/>
        </w:rPr>
      </w:pPr>
      <w:r w:rsidRPr="004834D3">
        <w:rPr>
          <w:rFonts w:cstheme="majorBidi"/>
          <w:kern w:val="0"/>
        </w:rPr>
        <w:t>In th</w:t>
      </w:r>
      <w:r w:rsidR="00497624">
        <w:rPr>
          <w:rFonts w:cstheme="majorBidi"/>
          <w:kern w:val="0"/>
        </w:rPr>
        <w:t>is</w:t>
      </w:r>
      <w:r w:rsidRPr="004834D3">
        <w:rPr>
          <w:rFonts w:cstheme="majorBidi"/>
          <w:kern w:val="0"/>
        </w:rPr>
        <w:t xml:space="preserve"> formulation, </w:t>
      </w:r>
      <m:oMath>
        <m:sSup>
          <m:sSupPr>
            <m:ctrlPr>
              <w:rPr>
                <w:rFonts w:ascii="Cambria Math" w:eastAsiaTheme="minorEastAsia" w:hAnsi="Cambria Math" w:cstheme="majorBidi"/>
                <w:b/>
                <w:bCs/>
                <w:iCs/>
              </w:rPr>
            </m:ctrlPr>
          </m:sSupPr>
          <m:e>
            <m:r>
              <m:rPr>
                <m:sty m:val="b"/>
              </m:rPr>
              <w:rPr>
                <w:rFonts w:ascii="Cambria Math" w:eastAsiaTheme="minorEastAsia" w:hAnsi="Cambria Math" w:cstheme="majorBidi"/>
              </w:rPr>
              <m:t>R</m:t>
            </m:r>
          </m:e>
          <m:sup>
            <m:r>
              <w:rPr>
                <w:rFonts w:ascii="Cambria Math" w:eastAsiaTheme="minorEastAsia" w:hAnsi="Cambria Math" w:cstheme="majorBidi"/>
              </w:rPr>
              <m:t>n</m:t>
            </m:r>
          </m:sup>
        </m:sSup>
      </m:oMath>
      <w:r w:rsidRPr="004834D3">
        <w:rPr>
          <w:rFonts w:cstheme="majorBidi"/>
          <w:kern w:val="0"/>
        </w:rPr>
        <w:t xml:space="preserve"> represents the instantaneous position vector of nodes on the particle surface relative to the referential frame, while </w:t>
      </w:r>
      <m:oMath>
        <m:r>
          <m:rPr>
            <m:sty m:val="p"/>
          </m:rPr>
          <w:rPr>
            <w:rFonts w:ascii="Cambria Math" w:eastAsiaTheme="minorEastAsia" w:hAnsi="Cambria Math" w:cstheme="majorBidi"/>
          </w:rPr>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e>
          <m:sub>
            <m:r>
              <w:rPr>
                <w:rFonts w:ascii="Cambria Math" w:eastAsiaTheme="minorEastAsia" w:hAnsi="Cambria Math" w:cstheme="majorBidi"/>
              </w:rPr>
              <m:t>t</m:t>
            </m:r>
          </m:sub>
          <m:sup>
            <m:r>
              <w:rPr>
                <w:rFonts w:ascii="Cambria Math" w:eastAsiaTheme="minorEastAsia" w:hAnsi="Cambria Math" w:cstheme="majorBidi"/>
              </w:rPr>
              <m:t>n</m:t>
            </m:r>
          </m:sup>
        </m:sSubSup>
      </m:oMath>
      <w:r w:rsidRPr="004834D3">
        <w:rPr>
          <w:rFonts w:cstheme="majorBidi"/>
          <w:kern w:val="0"/>
        </w:rPr>
        <w:t xml:space="preserve"> denotes the translational displacement of each node. This displacement results from the forces exerted on the particle surface during each time step. Further, the rotational displacement of each node is converted into translational displacement through the application of a rotation matrix.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59EB" w:rsidRPr="004834D3" w14:paraId="0B4D3AF8" w14:textId="77777777" w:rsidTr="009A4AF3">
        <w:tc>
          <w:tcPr>
            <w:tcW w:w="4675" w:type="dxa"/>
          </w:tcPr>
          <w:p w14:paraId="66C06CEF" w14:textId="14F1371B" w:rsidR="00AA59EB" w:rsidRPr="004834D3" w:rsidRDefault="00AA59EB" w:rsidP="006E213C">
            <w:pPr>
              <w:spacing w:before="240" w:after="240" w:line="480" w:lineRule="auto"/>
              <w:jc w:val="both"/>
              <w:rPr>
                <w:rFonts w:eastAsiaTheme="minorEastAsia" w:cstheme="majorBidi"/>
                <w:b/>
                <w:bCs/>
                <w:iCs/>
              </w:rPr>
            </w:pPr>
            <m:oMathPara>
              <m:oMathParaPr>
                <m:jc m:val="left"/>
              </m:oMathParaPr>
              <m:oMath>
                <m:r>
                  <m:rPr>
                    <m:sty m:val="p"/>
                  </m:rPr>
                  <w:rPr>
                    <w:rFonts w:ascii="Cambria Math" w:eastAsiaTheme="minorEastAsia" w:hAnsi="Cambria Math" w:cstheme="majorBidi"/>
                  </w:rPr>
                  <w:lastRenderedPageBreak/>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ctrlPr>
                      <w:rPr>
                        <w:rFonts w:ascii="Cambria Math" w:eastAsiaTheme="minorEastAsia" w:hAnsi="Cambria Math" w:cstheme="majorBidi"/>
                        <w:b/>
                        <w:bCs/>
                        <w:iCs/>
                      </w:rPr>
                    </m:ctrlPr>
                  </m:e>
                  <m:sub>
                    <m:r>
                      <w:rPr>
                        <w:rFonts w:ascii="Cambria Math" w:eastAsiaTheme="minorEastAsia" w:hAnsi="Cambria Math" w:cstheme="majorBidi"/>
                      </w:rPr>
                      <m:t>r</m:t>
                    </m:r>
                  </m:sub>
                  <m:sup>
                    <m:r>
                      <w:rPr>
                        <w:rFonts w:ascii="Cambria Math" w:eastAsiaTheme="minorEastAsia" w:hAnsi="Cambria Math" w:cstheme="majorBidi"/>
                      </w:rPr>
                      <m:t>n</m:t>
                    </m:r>
                  </m:sup>
                </m:sSubSup>
                <m:r>
                  <w:rPr>
                    <w:rFonts w:ascii="Cambria Math" w:eastAsiaTheme="minorEastAsia" w:hAnsi="Cambria Math" w:cstheme="majorBidi"/>
                  </w:rPr>
                  <m:t>=</m:t>
                </m:r>
                <m:d>
                  <m:dPr>
                    <m:begChr m:val="["/>
                    <m:endChr m:val="]"/>
                    <m:ctrlPr>
                      <w:rPr>
                        <w:rFonts w:ascii="Cambria Math" w:eastAsiaTheme="minorEastAsia" w:hAnsi="Cambria Math" w:cstheme="majorBidi"/>
                        <w:i/>
                      </w:rPr>
                    </m:ctrlPr>
                  </m:dPr>
                  <m:e>
                    <m:m>
                      <m:mPr>
                        <m:mcs>
                          <m:mc>
                            <m:mcPr>
                              <m:count m:val="2"/>
                              <m:mcJc m:val="center"/>
                            </m:mcPr>
                          </m:mc>
                        </m:mcs>
                        <m:ctrlPr>
                          <w:rPr>
                            <w:rFonts w:ascii="Cambria Math" w:eastAsiaTheme="minorEastAsia" w:hAnsi="Cambria Math" w:cstheme="majorBidi"/>
                            <w:i/>
                          </w:rPr>
                        </m:ctrlPr>
                      </m:mPr>
                      <m:mr>
                        <m:e>
                          <m:func>
                            <m:funcPr>
                              <m:ctrlPr>
                                <w:rPr>
                                  <w:rFonts w:ascii="Cambria Math" w:eastAsiaTheme="minorEastAsia" w:hAnsi="Cambria Math" w:cstheme="majorBidi"/>
                                  <w:i/>
                                </w:rPr>
                              </m:ctrlPr>
                            </m:funcPr>
                            <m:fName>
                              <m:r>
                                <m:rPr>
                                  <m:sty m:val="p"/>
                                </m:rPr>
                                <w:rPr>
                                  <w:rFonts w:ascii="Cambria Math" w:eastAsiaTheme="minorEastAsia" w:hAnsi="Cambria Math" w:cstheme="majorBidi"/>
                                </w:rPr>
                                <m:t>cos</m:t>
                              </m:r>
                            </m:fName>
                            <m:e>
                              <m:d>
                                <m:dPr>
                                  <m:ctrlPr>
                                    <w:rPr>
                                      <w:rFonts w:ascii="Cambria Math" w:eastAsiaTheme="minorEastAsia" w:hAnsi="Cambria Math" w:cstheme="majorBidi"/>
                                      <w:i/>
                                    </w:rPr>
                                  </m:ctrlPr>
                                </m:dPr>
                                <m:e>
                                  <m:r>
                                    <m:rPr>
                                      <m:sty m:val="p"/>
                                    </m:rPr>
                                    <w:rPr>
                                      <w:rFonts w:ascii="Cambria Math" w:eastAsiaTheme="minorEastAsia" w:hAnsi="Cambria Math" w:cstheme="majorBidi"/>
                                    </w:rPr>
                                    <m:t>Δ</m:t>
                                  </m:r>
                                  <m:sSup>
                                    <m:sSupPr>
                                      <m:ctrlPr>
                                        <w:rPr>
                                          <w:rFonts w:ascii="Cambria Math" w:eastAsiaTheme="minorEastAsia" w:hAnsi="Cambria Math" w:cstheme="majorBidi"/>
                                          <w:i/>
                                        </w:rPr>
                                      </m:ctrlPr>
                                    </m:sSupPr>
                                    <m:e>
                                      <m:r>
                                        <w:rPr>
                                          <w:rFonts w:ascii="Cambria Math" w:eastAsiaTheme="minorEastAsia" w:hAnsi="Cambria Math" w:cstheme="majorBidi"/>
                                        </w:rPr>
                                        <m:t>θ</m:t>
                                      </m:r>
                                    </m:e>
                                    <m:sup>
                                      <m:r>
                                        <w:rPr>
                                          <w:rFonts w:ascii="Cambria Math" w:eastAsiaTheme="minorEastAsia" w:hAnsi="Cambria Math" w:cstheme="majorBidi"/>
                                        </w:rPr>
                                        <m:t>n</m:t>
                                      </m:r>
                                    </m:sup>
                                  </m:sSup>
                                </m:e>
                              </m:d>
                            </m:e>
                          </m:func>
                        </m:e>
                        <m:e>
                          <m:func>
                            <m:funcPr>
                              <m:ctrlPr>
                                <w:rPr>
                                  <w:rFonts w:ascii="Cambria Math" w:eastAsiaTheme="minorEastAsia" w:hAnsi="Cambria Math" w:cstheme="majorBidi"/>
                                  <w:i/>
                                </w:rPr>
                              </m:ctrlPr>
                            </m:funcPr>
                            <m:fName>
                              <m:r>
                                <m:rPr>
                                  <m:sty m:val="p"/>
                                </m:rPr>
                                <w:rPr>
                                  <w:rFonts w:ascii="Cambria Math" w:eastAsiaTheme="minorEastAsia" w:hAnsi="Cambria Math" w:cstheme="majorBidi"/>
                                </w:rPr>
                                <m:t>-sin</m:t>
                              </m:r>
                            </m:fName>
                            <m:e>
                              <m:d>
                                <m:dPr>
                                  <m:ctrlPr>
                                    <w:rPr>
                                      <w:rFonts w:ascii="Cambria Math" w:eastAsiaTheme="minorEastAsia" w:hAnsi="Cambria Math" w:cstheme="majorBidi"/>
                                      <w:i/>
                                    </w:rPr>
                                  </m:ctrlPr>
                                </m:dPr>
                                <m:e>
                                  <m:r>
                                    <m:rPr>
                                      <m:sty m:val="p"/>
                                    </m:rPr>
                                    <w:rPr>
                                      <w:rFonts w:ascii="Cambria Math" w:eastAsiaTheme="minorEastAsia" w:hAnsi="Cambria Math" w:cstheme="majorBidi"/>
                                    </w:rPr>
                                    <m:t>Δ</m:t>
                                  </m:r>
                                  <m:sSup>
                                    <m:sSupPr>
                                      <m:ctrlPr>
                                        <w:rPr>
                                          <w:rFonts w:ascii="Cambria Math" w:eastAsiaTheme="minorEastAsia" w:hAnsi="Cambria Math" w:cstheme="majorBidi"/>
                                          <w:i/>
                                        </w:rPr>
                                      </m:ctrlPr>
                                    </m:sSupPr>
                                    <m:e>
                                      <m:r>
                                        <w:rPr>
                                          <w:rFonts w:ascii="Cambria Math" w:eastAsiaTheme="minorEastAsia" w:hAnsi="Cambria Math" w:cstheme="majorBidi"/>
                                        </w:rPr>
                                        <m:t>θ</m:t>
                                      </m:r>
                                    </m:e>
                                    <m:sup>
                                      <m:r>
                                        <w:rPr>
                                          <w:rFonts w:ascii="Cambria Math" w:eastAsiaTheme="minorEastAsia" w:hAnsi="Cambria Math" w:cstheme="majorBidi"/>
                                        </w:rPr>
                                        <m:t>n</m:t>
                                      </m:r>
                                    </m:sup>
                                  </m:sSup>
                                </m:e>
                              </m:d>
                            </m:e>
                          </m:func>
                        </m:e>
                      </m:mr>
                      <m:mr>
                        <m:e>
                          <m:func>
                            <m:funcPr>
                              <m:ctrlPr>
                                <w:rPr>
                                  <w:rFonts w:ascii="Cambria Math" w:eastAsiaTheme="minorEastAsia" w:hAnsi="Cambria Math" w:cstheme="majorBidi"/>
                                </w:rPr>
                              </m:ctrlPr>
                            </m:funcPr>
                            <m:fName>
                              <m:r>
                                <m:rPr>
                                  <m:sty m:val="p"/>
                                </m:rPr>
                                <w:rPr>
                                  <w:rFonts w:ascii="Cambria Math" w:eastAsiaTheme="minorEastAsia" w:hAnsi="Cambria Math" w:cstheme="majorBidi"/>
                                </w:rPr>
                                <m:t>sin</m:t>
                              </m:r>
                            </m:fName>
                            <m:e>
                              <m:d>
                                <m:dPr>
                                  <m:ctrlPr>
                                    <w:rPr>
                                      <w:rFonts w:ascii="Cambria Math" w:eastAsiaTheme="minorEastAsia" w:hAnsi="Cambria Math" w:cstheme="majorBidi"/>
                                      <w:i/>
                                    </w:rPr>
                                  </m:ctrlPr>
                                </m:dPr>
                                <m:e>
                                  <m:r>
                                    <m:rPr>
                                      <m:sty m:val="p"/>
                                    </m:rPr>
                                    <w:rPr>
                                      <w:rFonts w:ascii="Cambria Math" w:eastAsiaTheme="minorEastAsia" w:hAnsi="Cambria Math" w:cstheme="majorBidi"/>
                                    </w:rPr>
                                    <m:t>Δ</m:t>
                                  </m:r>
                                  <m:sSup>
                                    <m:sSupPr>
                                      <m:ctrlPr>
                                        <w:rPr>
                                          <w:rFonts w:ascii="Cambria Math" w:eastAsiaTheme="minorEastAsia" w:hAnsi="Cambria Math" w:cstheme="majorBidi"/>
                                          <w:i/>
                                        </w:rPr>
                                      </m:ctrlPr>
                                    </m:sSupPr>
                                    <m:e>
                                      <m:r>
                                        <w:rPr>
                                          <w:rFonts w:ascii="Cambria Math" w:eastAsiaTheme="minorEastAsia" w:hAnsi="Cambria Math" w:cstheme="majorBidi"/>
                                        </w:rPr>
                                        <m:t>θ</m:t>
                                      </m:r>
                                    </m:e>
                                    <m:sup>
                                      <m:r>
                                        <w:rPr>
                                          <w:rFonts w:ascii="Cambria Math" w:eastAsiaTheme="minorEastAsia" w:hAnsi="Cambria Math" w:cstheme="majorBidi"/>
                                        </w:rPr>
                                        <m:t>n</m:t>
                                      </m:r>
                                    </m:sup>
                                  </m:sSup>
                                </m:e>
                              </m:d>
                            </m:e>
                          </m:func>
                        </m:e>
                        <m:e>
                          <m:func>
                            <m:funcPr>
                              <m:ctrlPr>
                                <w:rPr>
                                  <w:rFonts w:ascii="Cambria Math" w:eastAsiaTheme="minorEastAsia" w:hAnsi="Cambria Math" w:cstheme="majorBidi"/>
                                  <w:i/>
                                </w:rPr>
                              </m:ctrlPr>
                            </m:funcPr>
                            <m:fName>
                              <m:r>
                                <m:rPr>
                                  <m:sty m:val="p"/>
                                </m:rPr>
                                <w:rPr>
                                  <w:rFonts w:ascii="Cambria Math" w:eastAsiaTheme="minorEastAsia" w:hAnsi="Cambria Math" w:cstheme="majorBidi"/>
                                </w:rPr>
                                <m:t>cos</m:t>
                              </m:r>
                            </m:fName>
                            <m:e>
                              <m:d>
                                <m:dPr>
                                  <m:ctrlPr>
                                    <w:rPr>
                                      <w:rFonts w:ascii="Cambria Math" w:eastAsiaTheme="minorEastAsia" w:hAnsi="Cambria Math" w:cstheme="majorBidi"/>
                                      <w:i/>
                                    </w:rPr>
                                  </m:ctrlPr>
                                </m:dPr>
                                <m:e>
                                  <m:r>
                                    <m:rPr>
                                      <m:sty m:val="p"/>
                                    </m:rPr>
                                    <w:rPr>
                                      <w:rFonts w:ascii="Cambria Math" w:eastAsiaTheme="minorEastAsia" w:hAnsi="Cambria Math" w:cstheme="majorBidi"/>
                                    </w:rPr>
                                    <m:t>Δ</m:t>
                                  </m:r>
                                  <m:sSup>
                                    <m:sSupPr>
                                      <m:ctrlPr>
                                        <w:rPr>
                                          <w:rFonts w:ascii="Cambria Math" w:eastAsiaTheme="minorEastAsia" w:hAnsi="Cambria Math" w:cstheme="majorBidi"/>
                                          <w:i/>
                                        </w:rPr>
                                      </m:ctrlPr>
                                    </m:sSupPr>
                                    <m:e>
                                      <m:r>
                                        <w:rPr>
                                          <w:rFonts w:ascii="Cambria Math" w:eastAsiaTheme="minorEastAsia" w:hAnsi="Cambria Math" w:cstheme="majorBidi"/>
                                        </w:rPr>
                                        <m:t>θ</m:t>
                                      </m:r>
                                    </m:e>
                                    <m:sup>
                                      <m:r>
                                        <w:rPr>
                                          <w:rFonts w:ascii="Cambria Math" w:eastAsiaTheme="minorEastAsia" w:hAnsi="Cambria Math" w:cstheme="majorBidi"/>
                                        </w:rPr>
                                        <m:t>n</m:t>
                                      </m:r>
                                    </m:sup>
                                  </m:sSup>
                                </m:e>
                              </m:d>
                            </m:e>
                          </m:func>
                        </m:e>
                      </m:mr>
                    </m:m>
                  </m:e>
                </m:d>
                <m:d>
                  <m:dPr>
                    <m:ctrlPr>
                      <w:rPr>
                        <w:rFonts w:ascii="Cambria Math" w:eastAsiaTheme="minorEastAsia" w:hAnsi="Cambria Math" w:cstheme="majorBidi"/>
                        <w:i/>
                      </w:rPr>
                    </m:ctrlPr>
                  </m:dPr>
                  <m:e>
                    <m:sSup>
                      <m:sSupPr>
                        <m:ctrlPr>
                          <w:rPr>
                            <w:rFonts w:ascii="Cambria Math" w:eastAsiaTheme="minorEastAsia" w:hAnsi="Cambria Math" w:cstheme="majorBidi"/>
                            <w:b/>
                            <w:bCs/>
                            <w:iCs/>
                          </w:rPr>
                        </m:ctrlPr>
                      </m:sSupPr>
                      <m:e>
                        <m:r>
                          <m:rPr>
                            <m:sty m:val="b"/>
                          </m:rPr>
                          <w:rPr>
                            <w:rFonts w:ascii="Cambria Math" w:eastAsiaTheme="minorEastAsia" w:hAnsi="Cambria Math" w:cstheme="majorBidi"/>
                          </w:rPr>
                          <m:t>r</m:t>
                        </m:r>
                      </m:e>
                      <m:sup>
                        <m:r>
                          <w:rPr>
                            <w:rFonts w:ascii="Cambria Math" w:eastAsiaTheme="minorEastAsia" w:hAnsi="Cambria Math" w:cstheme="majorBidi"/>
                          </w:rPr>
                          <m:t>n</m:t>
                        </m:r>
                      </m:sup>
                    </m:sSup>
                  </m:e>
                </m:d>
              </m:oMath>
            </m:oMathPara>
          </w:p>
        </w:tc>
        <w:tc>
          <w:tcPr>
            <w:tcW w:w="4675" w:type="dxa"/>
          </w:tcPr>
          <w:p w14:paraId="7F200ADA" w14:textId="61826E5D" w:rsidR="00AA59EB"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24</w:t>
            </w:r>
            <w:r>
              <w:rPr>
                <w:noProof/>
              </w:rPr>
              <w:fldChar w:fldCharType="end"/>
            </w:r>
          </w:p>
        </w:tc>
      </w:tr>
    </w:tbl>
    <w:p w14:paraId="1A7C64DB" w14:textId="07923226" w:rsidR="000315F8" w:rsidRPr="004834D3" w:rsidRDefault="00AA59EB" w:rsidP="006E213C">
      <w:pPr>
        <w:spacing w:before="240" w:after="240" w:line="480" w:lineRule="auto"/>
        <w:jc w:val="both"/>
        <w:rPr>
          <w:rFonts w:cstheme="majorBidi"/>
          <w:kern w:val="0"/>
        </w:rPr>
      </w:pPr>
      <w:r w:rsidRPr="004834D3">
        <w:rPr>
          <w:rFonts w:cstheme="majorBidi"/>
          <w:kern w:val="0"/>
        </w:rPr>
        <w:t xml:space="preserve">where </w:t>
      </w:r>
      <m:oMath>
        <m:r>
          <m:rPr>
            <m:sty m:val="p"/>
          </m:rPr>
          <w:rPr>
            <w:rFonts w:ascii="Cambria Math" w:eastAsiaTheme="minorEastAsia" w:hAnsi="Cambria Math" w:cstheme="majorBidi"/>
          </w:rPr>
          <m:t>Δ</m:t>
        </m:r>
        <m:sSup>
          <m:sSupPr>
            <m:ctrlPr>
              <w:rPr>
                <w:rFonts w:ascii="Cambria Math" w:eastAsiaTheme="minorEastAsia" w:hAnsi="Cambria Math" w:cstheme="majorBidi"/>
                <w:i/>
              </w:rPr>
            </m:ctrlPr>
          </m:sSupPr>
          <m:e>
            <m:r>
              <w:rPr>
                <w:rFonts w:ascii="Cambria Math" w:eastAsiaTheme="minorEastAsia" w:hAnsi="Cambria Math" w:cstheme="majorBidi"/>
              </w:rPr>
              <m:t>θ</m:t>
            </m:r>
          </m:e>
          <m:sup>
            <m:r>
              <w:rPr>
                <w:rFonts w:ascii="Cambria Math" w:eastAsiaTheme="minorEastAsia" w:hAnsi="Cambria Math" w:cstheme="majorBidi"/>
              </w:rPr>
              <m:t>n</m:t>
            </m:r>
          </m:sup>
        </m:sSup>
        <m:r>
          <w:rPr>
            <w:rFonts w:ascii="Cambria Math" w:eastAsiaTheme="minorEastAsia" w:hAnsi="Cambria Math" w:cstheme="majorBidi"/>
          </w:rPr>
          <m:t>=</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n</m:t>
            </m:r>
          </m:sup>
        </m:sSubSup>
        <m:r>
          <m:rPr>
            <m:sty m:val="p"/>
          </m:rPr>
          <w:rPr>
            <w:rFonts w:ascii="Cambria Math" w:eastAsiaTheme="minorEastAsia" w:hAnsi="Cambria Math" w:cstheme="majorBidi"/>
          </w:rPr>
          <m:t>Δ</m:t>
        </m:r>
        <m:r>
          <w:rPr>
            <w:rFonts w:ascii="Cambria Math" w:eastAsiaTheme="minorEastAsia" w:hAnsi="Cambria Math" w:cstheme="majorBidi"/>
          </w:rPr>
          <m:t>t</m:t>
        </m:r>
      </m:oMath>
      <w:r w:rsidRPr="004834D3">
        <w:rPr>
          <w:rFonts w:cstheme="majorBidi"/>
          <w:kern w:val="0"/>
        </w:rPr>
        <w:t xml:space="preserve"> represents the instantaneous rotational displacement of the particle, where </w:t>
      </w:r>
      <m:oMath>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n</m:t>
            </m:r>
          </m:sup>
        </m:sSubSup>
      </m:oMath>
      <w:r w:rsidRPr="004834D3">
        <w:rPr>
          <w:rFonts w:cstheme="majorBidi"/>
          <w:kern w:val="0"/>
        </w:rPr>
        <w:t xml:space="preserve"> is the </w:t>
      </w:r>
      <w:r w:rsidR="000315F8" w:rsidRPr="004834D3">
        <w:rPr>
          <w:rFonts w:cstheme="majorBidi"/>
          <w:kern w:val="0"/>
        </w:rPr>
        <w:t xml:space="preserve">particle </w:t>
      </w:r>
      <w:r w:rsidRPr="004834D3">
        <w:rPr>
          <w:rFonts w:cstheme="majorBidi"/>
          <w:kern w:val="0"/>
        </w:rPr>
        <w:t xml:space="preserve">angular velocity at time step </w:t>
      </w:r>
      <m:oMath>
        <m:r>
          <w:rPr>
            <w:rFonts w:ascii="Cambria Math" w:hAnsi="Cambria Math" w:cstheme="majorBidi"/>
            <w:kern w:val="0"/>
          </w:rPr>
          <m:t>n</m:t>
        </m:r>
      </m:oMath>
      <w:r w:rsidRPr="004834D3">
        <w:rPr>
          <w:rFonts w:cstheme="majorBidi"/>
          <w:kern w:val="0"/>
        </w:rPr>
        <w:t>. It's important to note that rotational displacement is generally a vector quantity</w:t>
      </w:r>
      <w:r w:rsidR="000315F8" w:rsidRPr="004834D3">
        <w:rPr>
          <w:rFonts w:cstheme="majorBidi"/>
          <w:kern w:val="0"/>
        </w:rPr>
        <w:t>;</w:t>
      </w:r>
      <w:r w:rsidRPr="004834D3">
        <w:rPr>
          <w:rFonts w:cstheme="majorBidi"/>
          <w:kern w:val="0"/>
        </w:rPr>
        <w:t xml:space="preserve"> </w:t>
      </w:r>
      <w:r w:rsidR="000315F8" w:rsidRPr="004834D3">
        <w:rPr>
          <w:rFonts w:cstheme="majorBidi"/>
          <w:kern w:val="0"/>
        </w:rPr>
        <w:t>h</w:t>
      </w:r>
      <w:r w:rsidRPr="004834D3">
        <w:rPr>
          <w:rFonts w:cstheme="majorBidi"/>
          <w:kern w:val="0"/>
        </w:rPr>
        <w:t xml:space="preserve">owever, in the framework of a </w:t>
      </w:r>
      <w:r w:rsidR="002466B5">
        <w:rPr>
          <w:rFonts w:cstheme="majorBidi"/>
          <w:kern w:val="0"/>
        </w:rPr>
        <w:t>two</w:t>
      </w:r>
      <w:r w:rsidRPr="004834D3">
        <w:rPr>
          <w:rFonts w:cstheme="majorBidi"/>
          <w:kern w:val="0"/>
        </w:rPr>
        <w:t xml:space="preserve">-dimensional simulation, the rotational displacement is designated as positive if the rotation occurs counterclockwise and negative if clockwise. </w:t>
      </w:r>
    </w:p>
    <w:p w14:paraId="171B3359" w14:textId="79839A94" w:rsidR="002466B5" w:rsidRPr="002466B5" w:rsidRDefault="000315F8" w:rsidP="006E213C">
      <w:pPr>
        <w:spacing w:before="240" w:after="240" w:line="480" w:lineRule="auto"/>
        <w:ind w:firstLine="720"/>
        <w:jc w:val="both"/>
        <w:rPr>
          <w:rFonts w:cstheme="majorBidi"/>
          <w:kern w:val="0"/>
        </w:rPr>
      </w:pPr>
      <w:r w:rsidRPr="004834D3">
        <w:rPr>
          <w:rFonts w:cstheme="majorBidi"/>
          <w:kern w:val="0"/>
        </w:rPr>
        <w:t>T</w:t>
      </w:r>
      <w:r w:rsidR="00AA59EB" w:rsidRPr="004834D3">
        <w:rPr>
          <w:rFonts w:cstheme="majorBidi"/>
          <w:kern w:val="0"/>
        </w:rPr>
        <w:t>he deformation of the particle surface due to melting is modeled by solving the conservation of energy equation at the particle surface</w:t>
      </w:r>
      <w:r w:rsidRPr="004834D3">
        <w:rPr>
          <w:rFonts w:cstheme="majorBidi"/>
          <w:kern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4"/>
        <w:gridCol w:w="1116"/>
      </w:tblGrid>
      <w:tr w:rsidR="006D632A" w:rsidRPr="004834D3" w14:paraId="167B7419" w14:textId="77777777" w:rsidTr="009A4AF3">
        <w:tc>
          <w:tcPr>
            <w:tcW w:w="8244" w:type="dxa"/>
            <w:vAlign w:val="center"/>
          </w:tcPr>
          <w:p w14:paraId="3F739EA4" w14:textId="77777777" w:rsidR="006D632A" w:rsidRPr="004834D3" w:rsidRDefault="006D632A" w:rsidP="006E213C">
            <w:pPr>
              <w:spacing w:before="240" w:after="240" w:line="480" w:lineRule="auto"/>
              <w:ind w:firstLine="432"/>
              <w:jc w:val="both"/>
              <w:rPr>
                <w:rFonts w:cstheme="majorBidi"/>
                <w:i/>
              </w:rPr>
            </w:pPr>
            <w:bookmarkStart w:id="71" w:name="_Hlk132800305"/>
            <m:oMathPara>
              <m:oMathParaPr>
                <m:jc m:val="left"/>
              </m:oMathParaPr>
              <m:oMath>
                <m:r>
                  <w:rPr>
                    <w:rFonts w:ascii="Cambria Math" w:eastAsiaTheme="minorEastAsia" w:hAnsi="Cambria Math" w:cstheme="majorBidi"/>
                  </w:rPr>
                  <m:t>ρ</m:t>
                </m:r>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sl</m:t>
                    </m:r>
                  </m:sub>
                </m:sSub>
                <m:f>
                  <m:fPr>
                    <m:ctrlPr>
                      <w:rPr>
                        <w:rFonts w:ascii="Cambria Math" w:eastAsiaTheme="minorEastAsia" w:hAnsi="Cambria Math" w:cstheme="majorBidi"/>
                        <w:i/>
                      </w:rPr>
                    </m:ctrlPr>
                  </m:fPr>
                  <m:num>
                    <m:r>
                      <w:rPr>
                        <w:rFonts w:ascii="Cambria Math" w:hAnsi="Cambria Math" w:cstheme="majorBidi"/>
                      </w:rPr>
                      <m:t>d</m:t>
                    </m:r>
                    <m:sSub>
                      <m:sSubPr>
                        <m:ctrlPr>
                          <w:rPr>
                            <w:rFonts w:ascii="Cambria Math" w:hAnsi="Cambria Math" w:cstheme="majorBidi"/>
                            <w:b/>
                          </w:rPr>
                        </m:ctrlPr>
                      </m:sSubPr>
                      <m:e>
                        <m:r>
                          <m:rPr>
                            <m:sty m:val="b"/>
                          </m:rPr>
                          <w:rPr>
                            <w:rFonts w:ascii="Cambria Math" w:hAnsi="Cambria Math" w:cstheme="majorBidi"/>
                          </w:rPr>
                          <m:t>R</m:t>
                        </m:r>
                      </m:e>
                      <m:sub>
                        <m:r>
                          <w:rPr>
                            <w:rFonts w:ascii="Cambria Math" w:hAnsi="Cambria Math" w:cstheme="majorBidi"/>
                          </w:rPr>
                          <m:t>d</m:t>
                        </m:r>
                      </m:sub>
                    </m:sSub>
                  </m:num>
                  <m:den>
                    <m:r>
                      <w:rPr>
                        <w:rFonts w:ascii="Cambria Math" w:hAnsi="Cambria Math" w:cstheme="majorBidi"/>
                      </w:rPr>
                      <m:t>dt</m:t>
                    </m:r>
                  </m:den>
                </m:f>
                <m:r>
                  <w:rPr>
                    <w:rFonts w:ascii="Cambria Math" w:eastAsiaTheme="minorEastAsia" w:hAnsi="Cambria Math" w:cstheme="majorBidi"/>
                  </w:rPr>
                  <m:t>=-k</m:t>
                </m:r>
                <m:d>
                  <m:dPr>
                    <m:ctrlPr>
                      <w:rPr>
                        <w:rFonts w:ascii="Cambria Math" w:eastAsiaTheme="minorEastAsia" w:hAnsi="Cambria Math" w:cstheme="majorBidi"/>
                        <w:i/>
                      </w:rPr>
                    </m:ctrlPr>
                  </m:dPr>
                  <m:e>
                    <m:r>
                      <m:rPr>
                        <m:sty m:val="b"/>
                      </m:rPr>
                      <w:rPr>
                        <w:rFonts w:ascii="Cambria Math" w:eastAsiaTheme="minorEastAsia" w:hAnsi="Cambria Math" w:cstheme="majorBidi"/>
                      </w:rPr>
                      <m:t>∇</m:t>
                    </m:r>
                    <m:r>
                      <w:rPr>
                        <w:rFonts w:ascii="Cambria Math" w:eastAsiaTheme="minorEastAsia" w:hAnsi="Cambria Math" w:cstheme="majorBidi"/>
                      </w:rPr>
                      <m:t>T∙</m:t>
                    </m:r>
                    <m:r>
                      <m:rPr>
                        <m:sty m:val="b"/>
                      </m:rPr>
                      <w:rPr>
                        <w:rFonts w:ascii="Cambria Math" w:eastAsiaTheme="minorEastAsia" w:hAnsi="Cambria Math" w:cstheme="majorBidi"/>
                      </w:rPr>
                      <m:t>n</m:t>
                    </m:r>
                  </m:e>
                </m:d>
                <m:r>
                  <m:rPr>
                    <m:sty m:val="b"/>
                  </m:rPr>
                  <w:rPr>
                    <w:rFonts w:ascii="Cambria Math" w:eastAsiaTheme="minorEastAsia" w:hAnsi="Cambria Math" w:cstheme="majorBidi"/>
                  </w:rPr>
                  <m:t>n</m:t>
                </m:r>
              </m:oMath>
            </m:oMathPara>
          </w:p>
        </w:tc>
        <w:tc>
          <w:tcPr>
            <w:tcW w:w="1116" w:type="dxa"/>
            <w:vAlign w:val="center"/>
          </w:tcPr>
          <w:p w14:paraId="5199DB35" w14:textId="4474FAFE" w:rsidR="006D632A" w:rsidRPr="004834D3" w:rsidRDefault="000B1B64" w:rsidP="006E213C">
            <w:pPr>
              <w:spacing w:before="240" w:after="240" w:line="480" w:lineRule="auto"/>
              <w:ind w:firstLine="432"/>
              <w:jc w:val="right"/>
              <w:rPr>
                <w:rFonts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25</w:t>
            </w:r>
            <w:r>
              <w:rPr>
                <w:noProof/>
              </w:rPr>
              <w:fldChar w:fldCharType="end"/>
            </w:r>
          </w:p>
        </w:tc>
      </w:tr>
    </w:tbl>
    <w:bookmarkEnd w:id="71"/>
    <w:p w14:paraId="63C65B78" w14:textId="061F6B87" w:rsidR="002466B5" w:rsidRPr="002466B5" w:rsidRDefault="00A74BBD" w:rsidP="006E213C">
      <w:pPr>
        <w:spacing w:before="240" w:after="240" w:line="480" w:lineRule="auto"/>
        <w:ind w:firstLine="720"/>
        <w:jc w:val="both"/>
        <w:rPr>
          <w:rFonts w:cstheme="majorBidi"/>
          <w:kern w:val="0"/>
        </w:rPr>
      </w:pPr>
      <w:r w:rsidRPr="004834D3">
        <w:rPr>
          <w:rFonts w:cstheme="majorBidi"/>
          <w:kern w:val="0"/>
        </w:rPr>
        <w:t xml:space="preserve">In this formulation, </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sl</m:t>
            </m:r>
          </m:sub>
        </m:sSub>
      </m:oMath>
      <w:r w:rsidRPr="004834D3">
        <w:rPr>
          <w:rFonts w:cstheme="majorBidi"/>
          <w:kern w:val="0"/>
        </w:rPr>
        <w:t xml:space="preserve"> represents the latent heat of fusion of the solid particle</w:t>
      </w:r>
      <w:r w:rsidR="000E0532" w:rsidRPr="004834D3">
        <w:rPr>
          <w:rFonts w:cstheme="majorBidi"/>
          <w:kern w:val="0"/>
        </w:rPr>
        <w:t>, t</w:t>
      </w:r>
      <w:r w:rsidRPr="004834D3">
        <w:rPr>
          <w:rFonts w:cstheme="majorBidi"/>
          <w:kern w:val="0"/>
        </w:rPr>
        <w:t xml:space="preserve">he term </w:t>
      </w:r>
      <m:oMath>
        <m:r>
          <w:rPr>
            <w:rFonts w:ascii="Cambria Math" w:hAnsi="Cambria Math" w:cstheme="majorBidi"/>
          </w:rPr>
          <m:t>d</m:t>
        </m:r>
        <m:sSub>
          <m:sSubPr>
            <m:ctrlPr>
              <w:rPr>
                <w:rFonts w:ascii="Cambria Math" w:hAnsi="Cambria Math" w:cstheme="majorBidi"/>
                <w:b/>
              </w:rPr>
            </m:ctrlPr>
          </m:sSubPr>
          <m:e>
            <m:r>
              <m:rPr>
                <m:sty m:val="b"/>
              </m:rPr>
              <w:rPr>
                <w:rFonts w:ascii="Cambria Math" w:hAnsi="Cambria Math" w:cstheme="majorBidi"/>
              </w:rPr>
              <m:t>R</m:t>
            </m:r>
          </m:e>
          <m:sub>
            <m:r>
              <w:rPr>
                <w:rFonts w:ascii="Cambria Math" w:hAnsi="Cambria Math" w:cstheme="majorBidi"/>
              </w:rPr>
              <m:t>d</m:t>
            </m:r>
          </m:sub>
        </m:sSub>
      </m:oMath>
      <w:r w:rsidRPr="004834D3">
        <w:rPr>
          <w:rFonts w:cstheme="majorBidi"/>
          <w:kern w:val="0"/>
        </w:rPr>
        <w:t xml:space="preserve"> refers to the deformation displacement caused by melting, </w:t>
      </w:r>
      <m:oMath>
        <m:r>
          <m:rPr>
            <m:sty m:val="b"/>
          </m:rPr>
          <w:rPr>
            <w:rFonts w:ascii="Cambria Math" w:eastAsiaTheme="minorEastAsia" w:hAnsi="Cambria Math" w:cstheme="majorBidi"/>
          </w:rPr>
          <m:t>n</m:t>
        </m:r>
      </m:oMath>
      <w:r w:rsidRPr="004834D3">
        <w:rPr>
          <w:rFonts w:cstheme="majorBidi"/>
          <w:kern w:val="0"/>
        </w:rPr>
        <w:t xml:space="preserve"> denotes the unit normal vector at the particle surface, oriented outward, </w:t>
      </w:r>
      <w:r w:rsidR="000E0532" w:rsidRPr="004834D3">
        <w:rPr>
          <w:rFonts w:cstheme="majorBidi"/>
          <w:kern w:val="0"/>
        </w:rPr>
        <w:t>and</w:t>
      </w:r>
      <w:r w:rsidRPr="004834D3">
        <w:rPr>
          <w:rFonts w:cstheme="majorBidi"/>
          <w:kern w:val="0"/>
        </w:rPr>
        <w:t xml:space="preserve"> </w:t>
      </w:r>
      <m:oMath>
        <m:r>
          <m:rPr>
            <m:sty m:val="b"/>
          </m:rPr>
          <w:rPr>
            <w:rFonts w:ascii="Cambria Math" w:eastAsiaTheme="minorEastAsia" w:hAnsi="Cambria Math" w:cstheme="majorBidi"/>
          </w:rPr>
          <m:t>∇</m:t>
        </m:r>
        <m:r>
          <w:rPr>
            <w:rFonts w:ascii="Cambria Math" w:eastAsiaTheme="minorEastAsia" w:hAnsi="Cambria Math" w:cstheme="majorBidi"/>
          </w:rPr>
          <m:t>T∙</m:t>
        </m:r>
        <m:r>
          <m:rPr>
            <m:sty m:val="b"/>
          </m:rPr>
          <w:rPr>
            <w:rFonts w:ascii="Cambria Math" w:eastAsiaTheme="minorEastAsia" w:hAnsi="Cambria Math" w:cstheme="majorBidi"/>
          </w:rPr>
          <m:t>n</m:t>
        </m:r>
      </m:oMath>
      <w:r w:rsidRPr="004834D3">
        <w:rPr>
          <w:rFonts w:cstheme="majorBidi"/>
          <w:kern w:val="0"/>
        </w:rPr>
        <w:t xml:space="preserve"> represents the local temperature gradient normal to the particle boundary. It is important to note that the solid particle is assumed to be at its melting temperature throughout this process, meaning the internal temperature gradient within the particle is zero. The deformation displacement resulting from melting is calculated using a discretization of Eq. </w:t>
      </w:r>
      <w:r w:rsidR="004B4110">
        <w:rPr>
          <w:rFonts w:cstheme="majorBidi"/>
          <w:kern w:val="0"/>
        </w:rPr>
        <w:t>5</w:t>
      </w:r>
      <w:r w:rsidR="002466B5">
        <w:rPr>
          <w:rFonts w:cstheme="majorBidi"/>
          <w:kern w:val="0"/>
        </w:rPr>
        <w:t>-</w:t>
      </w:r>
      <w:r w:rsidR="009D14FC">
        <w:rPr>
          <w:rFonts w:cstheme="majorBidi"/>
          <w:kern w:val="0"/>
        </w:rPr>
        <w:t>2</w:t>
      </w:r>
      <w:r w:rsidR="00A36FAA">
        <w:rPr>
          <w:rFonts w:cstheme="majorBidi"/>
          <w:kern w:val="0"/>
        </w:rPr>
        <w:t>5</w:t>
      </w:r>
      <w:r w:rsidR="000E0532" w:rsidRPr="004834D3">
        <w:rPr>
          <w:rFonts w:cstheme="majorBidi"/>
          <w:kern w:val="0"/>
        </w:rPr>
        <w:t>, with</w:t>
      </w:r>
      <w:r w:rsidRPr="004834D3">
        <w:rPr>
          <w:rFonts w:cstheme="majorBidi"/>
          <w:kern w:val="0"/>
        </w:rPr>
        <w:t xml:space="preserve"> a first-order finite difference scheme</w:t>
      </w:r>
      <w:r w:rsidR="000E0532" w:rsidRPr="004834D3">
        <w:rPr>
          <w:rFonts w:cstheme="majorBidi"/>
          <w:kern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F485C" w:rsidRPr="004834D3" w14:paraId="548D1A17" w14:textId="77777777" w:rsidTr="009A4AF3">
        <w:tc>
          <w:tcPr>
            <w:tcW w:w="4675" w:type="dxa"/>
          </w:tcPr>
          <w:p w14:paraId="58543AE6" w14:textId="77777777" w:rsidR="00EF485C" w:rsidRPr="004834D3" w:rsidRDefault="00EF485C" w:rsidP="006E213C">
            <w:pPr>
              <w:spacing w:before="240" w:after="240" w:line="480" w:lineRule="auto"/>
              <w:jc w:val="both"/>
              <w:rPr>
                <w:rFonts w:eastAsiaTheme="minorEastAsia" w:cstheme="majorBidi"/>
                <w:b/>
              </w:rPr>
            </w:pPr>
            <m:oMathPara>
              <m:oMathParaPr>
                <m:jc m:val="left"/>
              </m:oMathParaPr>
              <m:oMath>
                <m:r>
                  <m:rPr>
                    <m:sty m:val="p"/>
                  </m:rPr>
                  <w:rPr>
                    <w:rFonts w:ascii="Cambria Math" w:eastAsiaTheme="minorEastAsia" w:hAnsi="Cambria Math" w:cstheme="majorBidi"/>
                  </w:rPr>
                  <w:lastRenderedPageBreak/>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e>
                  <m:sub>
                    <m:r>
                      <w:rPr>
                        <w:rFonts w:ascii="Cambria Math" w:eastAsiaTheme="minorEastAsia" w:hAnsi="Cambria Math" w:cstheme="majorBidi"/>
                      </w:rPr>
                      <m:t>d</m:t>
                    </m:r>
                  </m:sub>
                  <m:sup>
                    <m:r>
                      <w:rPr>
                        <w:rFonts w:ascii="Cambria Math" w:eastAsiaTheme="minorEastAsia" w:hAnsi="Cambria Math" w:cstheme="majorBidi"/>
                      </w:rPr>
                      <m:t>n</m:t>
                    </m:r>
                  </m:sup>
                </m:sSubSup>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k</m:t>
                    </m:r>
                    <m:r>
                      <m:rPr>
                        <m:sty m:val="p"/>
                      </m:rPr>
                      <w:rPr>
                        <w:rFonts w:ascii="Cambria Math" w:eastAsiaTheme="minorEastAsia" w:hAnsi="Cambria Math" w:cstheme="majorBidi"/>
                      </w:rPr>
                      <m:t>Δ</m:t>
                    </m:r>
                    <m:r>
                      <w:rPr>
                        <w:rFonts w:ascii="Cambria Math" w:eastAsiaTheme="minorEastAsia" w:hAnsi="Cambria Math" w:cstheme="majorBidi"/>
                      </w:rPr>
                      <m:t>t</m:t>
                    </m:r>
                  </m:num>
                  <m:den>
                    <m:r>
                      <w:rPr>
                        <w:rFonts w:ascii="Cambria Math" w:eastAsiaTheme="minorEastAsia" w:hAnsi="Cambria Math" w:cstheme="majorBidi"/>
                      </w:rPr>
                      <m:t>ρ</m:t>
                    </m:r>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sl</m:t>
                        </m:r>
                      </m:sub>
                    </m:sSub>
                  </m:den>
                </m:f>
                <m:d>
                  <m:dPr>
                    <m:ctrlPr>
                      <w:rPr>
                        <w:rFonts w:ascii="Cambria Math" w:eastAsiaTheme="minorEastAsia" w:hAnsi="Cambria Math" w:cstheme="majorBidi"/>
                        <w:i/>
                      </w:rPr>
                    </m:ctrlPr>
                  </m:dPr>
                  <m:e>
                    <m:r>
                      <m:rPr>
                        <m:sty m:val="b"/>
                      </m:rPr>
                      <w:rPr>
                        <w:rFonts w:ascii="Cambria Math" w:eastAsiaTheme="minorEastAsia" w:hAnsi="Cambria Math" w:cstheme="majorBidi"/>
                      </w:rPr>
                      <m:t>∇</m:t>
                    </m:r>
                    <m:r>
                      <w:rPr>
                        <w:rFonts w:ascii="Cambria Math" w:eastAsiaTheme="minorEastAsia" w:hAnsi="Cambria Math" w:cstheme="majorBidi"/>
                      </w:rPr>
                      <m:t>T∙</m:t>
                    </m:r>
                    <m:r>
                      <m:rPr>
                        <m:sty m:val="b"/>
                      </m:rPr>
                      <w:rPr>
                        <w:rFonts w:ascii="Cambria Math" w:eastAsiaTheme="minorEastAsia" w:hAnsi="Cambria Math" w:cstheme="majorBidi"/>
                      </w:rPr>
                      <m:t>n</m:t>
                    </m:r>
                  </m:e>
                </m:d>
                <m:r>
                  <m:rPr>
                    <m:sty m:val="b"/>
                  </m:rPr>
                  <w:rPr>
                    <w:rFonts w:ascii="Cambria Math" w:eastAsiaTheme="minorEastAsia" w:hAnsi="Cambria Math" w:cstheme="majorBidi"/>
                  </w:rPr>
                  <m:t>n</m:t>
                </m:r>
              </m:oMath>
            </m:oMathPara>
          </w:p>
        </w:tc>
        <w:tc>
          <w:tcPr>
            <w:tcW w:w="4675" w:type="dxa"/>
          </w:tcPr>
          <w:p w14:paraId="32647FF1" w14:textId="4AFD142F" w:rsidR="00EF485C" w:rsidRPr="004834D3" w:rsidRDefault="000B1B64" w:rsidP="006E213C">
            <w:pPr>
              <w:spacing w:before="240" w:after="240" w:line="480" w:lineRule="auto"/>
              <w:jc w:val="right"/>
              <w:rPr>
                <w:rFonts w:eastAsiaTheme="minorEastAsia" w:cstheme="majorBidi"/>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26</w:t>
            </w:r>
            <w:r>
              <w:rPr>
                <w:noProof/>
              </w:rPr>
              <w:fldChar w:fldCharType="end"/>
            </w:r>
          </w:p>
        </w:tc>
      </w:tr>
    </w:tbl>
    <w:p w14:paraId="38F7263A" w14:textId="22F1F851" w:rsidR="002466B5" w:rsidRPr="002466B5" w:rsidRDefault="00EF485C" w:rsidP="006E213C">
      <w:pPr>
        <w:spacing w:before="240" w:after="240" w:line="480" w:lineRule="auto"/>
        <w:ind w:firstLine="720"/>
        <w:jc w:val="both"/>
        <w:rPr>
          <w:rFonts w:cstheme="majorBidi"/>
          <w:kern w:val="0"/>
        </w:rPr>
      </w:pPr>
      <w:r w:rsidRPr="004834D3">
        <w:rPr>
          <w:rFonts w:cstheme="majorBidi"/>
          <w:kern w:val="0"/>
        </w:rPr>
        <w:t>The total displacement of each node (</w:t>
      </w:r>
      <m:oMath>
        <m:r>
          <m:rPr>
            <m:sty m:val="p"/>
          </m:rPr>
          <w:rPr>
            <w:rFonts w:ascii="Cambria Math" w:eastAsiaTheme="minorEastAsia" w:hAnsi="Cambria Math" w:cstheme="majorBidi"/>
          </w:rPr>
          <m:t>Δ</m:t>
        </m:r>
        <m:sSup>
          <m:sSupPr>
            <m:ctrlPr>
              <w:rPr>
                <w:rFonts w:ascii="Cambria Math" w:eastAsiaTheme="minorEastAsia" w:hAnsi="Cambria Math" w:cstheme="majorBidi"/>
                <w:bCs/>
                <w:i/>
              </w:rPr>
            </m:ctrlPr>
          </m:sSupPr>
          <m:e>
            <m:r>
              <m:rPr>
                <m:sty m:val="b"/>
              </m:rPr>
              <w:rPr>
                <w:rFonts w:ascii="Cambria Math" w:eastAsiaTheme="minorEastAsia" w:hAnsi="Cambria Math" w:cstheme="majorBidi"/>
              </w:rPr>
              <m:t>R</m:t>
            </m:r>
          </m:e>
          <m:sup>
            <m:r>
              <w:rPr>
                <w:rFonts w:ascii="Cambria Math" w:eastAsiaTheme="minorEastAsia" w:hAnsi="Cambria Math" w:cstheme="majorBidi"/>
              </w:rPr>
              <m:t>n</m:t>
            </m:r>
          </m:sup>
        </m:sSup>
      </m:oMath>
      <w:r w:rsidRPr="004834D3">
        <w:rPr>
          <w:rFonts w:cstheme="majorBidi"/>
          <w:kern w:val="0"/>
        </w:rPr>
        <w:t>) on the surface of the melting particle at each time step is determined by the sum of the translational, rotational, and deformational displacements</w:t>
      </w:r>
      <w:r w:rsidR="002466B5">
        <w:rPr>
          <w:rFonts w:cstheme="majorBidi"/>
          <w:kern w:val="0"/>
        </w:rPr>
        <w: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467AA" w:rsidRPr="004834D3" w14:paraId="356604A9" w14:textId="77777777" w:rsidTr="009A4AF3">
        <w:tc>
          <w:tcPr>
            <w:tcW w:w="4675" w:type="dxa"/>
          </w:tcPr>
          <w:p w14:paraId="37A66715" w14:textId="77777777" w:rsidR="00E467AA" w:rsidRPr="004834D3" w:rsidRDefault="00E467AA" w:rsidP="006E213C">
            <w:pPr>
              <w:spacing w:before="240" w:after="240" w:line="480" w:lineRule="auto"/>
              <w:jc w:val="both"/>
              <w:rPr>
                <w:rFonts w:eastAsiaTheme="minorEastAsia" w:cstheme="majorBidi"/>
              </w:rPr>
            </w:pPr>
            <m:oMathPara>
              <m:oMathParaPr>
                <m:jc m:val="left"/>
              </m:oMathParaPr>
              <m:oMath>
                <m:r>
                  <m:rPr>
                    <m:sty m:val="p"/>
                  </m:rPr>
                  <w:rPr>
                    <w:rFonts w:ascii="Cambria Math" w:eastAsiaTheme="minorEastAsia" w:hAnsi="Cambria Math" w:cstheme="majorBidi"/>
                  </w:rPr>
                  <m:t>Δ</m:t>
                </m:r>
                <m:sSup>
                  <m:sSupPr>
                    <m:ctrlPr>
                      <w:rPr>
                        <w:rFonts w:ascii="Cambria Math" w:eastAsiaTheme="minorEastAsia" w:hAnsi="Cambria Math" w:cstheme="majorBidi"/>
                        <w:bCs/>
                        <w:i/>
                      </w:rPr>
                    </m:ctrlPr>
                  </m:sSupPr>
                  <m:e>
                    <m:r>
                      <m:rPr>
                        <m:sty m:val="b"/>
                      </m:rPr>
                      <w:rPr>
                        <w:rFonts w:ascii="Cambria Math" w:eastAsiaTheme="minorEastAsia" w:hAnsi="Cambria Math" w:cstheme="majorBidi"/>
                      </w:rPr>
                      <m:t>R</m:t>
                    </m:r>
                  </m:e>
                  <m:sup>
                    <m:r>
                      <w:rPr>
                        <w:rFonts w:ascii="Cambria Math" w:eastAsiaTheme="minorEastAsia" w:hAnsi="Cambria Math" w:cstheme="majorBidi"/>
                      </w:rPr>
                      <m:t>n</m:t>
                    </m:r>
                  </m:sup>
                </m:sSup>
                <m:r>
                  <w:rPr>
                    <w:rFonts w:ascii="Cambria Math" w:eastAsiaTheme="minorEastAsia" w:hAnsi="Cambria Math" w:cstheme="majorBidi"/>
                  </w:rPr>
                  <m:t>=</m:t>
                </m:r>
                <m:r>
                  <m:rPr>
                    <m:sty m:val="p"/>
                  </m:rPr>
                  <w:rPr>
                    <w:rFonts w:ascii="Cambria Math" w:eastAsiaTheme="minorEastAsia" w:hAnsi="Cambria Math" w:cstheme="majorBidi"/>
                  </w:rPr>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e>
                  <m:sub>
                    <m:r>
                      <w:rPr>
                        <w:rFonts w:ascii="Cambria Math" w:eastAsiaTheme="minorEastAsia" w:hAnsi="Cambria Math" w:cstheme="majorBidi"/>
                      </w:rPr>
                      <m:t>t</m:t>
                    </m:r>
                  </m:sub>
                  <m:sup>
                    <m:r>
                      <w:rPr>
                        <w:rFonts w:ascii="Cambria Math" w:eastAsiaTheme="minorEastAsia" w:hAnsi="Cambria Math" w:cstheme="majorBidi"/>
                      </w:rPr>
                      <m:t>n</m:t>
                    </m:r>
                  </m:sup>
                </m:sSubSup>
                <m:r>
                  <w:rPr>
                    <w:rFonts w:ascii="Cambria Math" w:eastAsiaTheme="minorEastAsia" w:hAnsi="Cambria Math" w:cstheme="majorBidi"/>
                  </w:rPr>
                  <m:t>+</m:t>
                </m:r>
                <m:r>
                  <m:rPr>
                    <m:sty m:val="p"/>
                  </m:rPr>
                  <w:rPr>
                    <w:rFonts w:ascii="Cambria Math" w:eastAsiaTheme="minorEastAsia" w:hAnsi="Cambria Math" w:cstheme="majorBidi"/>
                  </w:rPr>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e>
                  <m:sub>
                    <m:r>
                      <w:rPr>
                        <w:rFonts w:ascii="Cambria Math" w:eastAsiaTheme="minorEastAsia" w:hAnsi="Cambria Math" w:cstheme="majorBidi"/>
                      </w:rPr>
                      <m:t>r</m:t>
                    </m:r>
                  </m:sub>
                  <m:sup>
                    <m:r>
                      <w:rPr>
                        <w:rFonts w:ascii="Cambria Math" w:eastAsiaTheme="minorEastAsia" w:hAnsi="Cambria Math" w:cstheme="majorBidi"/>
                      </w:rPr>
                      <m:t>n</m:t>
                    </m:r>
                  </m:sup>
                </m:sSubSup>
                <m:r>
                  <w:rPr>
                    <w:rFonts w:ascii="Cambria Math" w:eastAsiaTheme="minorEastAsia" w:hAnsi="Cambria Math" w:cstheme="majorBidi"/>
                  </w:rPr>
                  <m:t>+</m:t>
                </m:r>
                <m:r>
                  <m:rPr>
                    <m:sty m:val="p"/>
                  </m:rPr>
                  <w:rPr>
                    <w:rFonts w:ascii="Cambria Math" w:eastAsiaTheme="minorEastAsia" w:hAnsi="Cambria Math" w:cstheme="majorBidi"/>
                  </w:rPr>
                  <m:t>Δ</m:t>
                </m:r>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R</m:t>
                    </m:r>
                  </m:e>
                  <m:sub>
                    <m:r>
                      <w:rPr>
                        <w:rFonts w:ascii="Cambria Math" w:eastAsiaTheme="minorEastAsia" w:hAnsi="Cambria Math" w:cstheme="majorBidi"/>
                      </w:rPr>
                      <m:t>d</m:t>
                    </m:r>
                  </m:sub>
                  <m:sup>
                    <m:r>
                      <w:rPr>
                        <w:rFonts w:ascii="Cambria Math" w:eastAsiaTheme="minorEastAsia" w:hAnsi="Cambria Math" w:cstheme="majorBidi"/>
                      </w:rPr>
                      <m:t>n</m:t>
                    </m:r>
                  </m:sup>
                </m:sSubSup>
              </m:oMath>
            </m:oMathPara>
          </w:p>
        </w:tc>
        <w:tc>
          <w:tcPr>
            <w:tcW w:w="4675" w:type="dxa"/>
          </w:tcPr>
          <w:p w14:paraId="05CD709E" w14:textId="6949DC23" w:rsidR="00E467AA" w:rsidRPr="004834D3" w:rsidRDefault="000B1B64" w:rsidP="006E213C">
            <w:pPr>
              <w:spacing w:before="240" w:after="240" w:line="480" w:lineRule="auto"/>
              <w:jc w:val="right"/>
              <w:rPr>
                <w:rFonts w:eastAsiaTheme="minorEastAsia" w:cstheme="majorBidi"/>
                <w:bCs/>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27</w:t>
            </w:r>
            <w:r>
              <w:rPr>
                <w:noProof/>
              </w:rPr>
              <w:fldChar w:fldCharType="end"/>
            </w:r>
          </w:p>
        </w:tc>
      </w:tr>
    </w:tbl>
    <w:p w14:paraId="6F646AE4" w14:textId="2ED31BF7" w:rsidR="00EF485C" w:rsidRPr="004834D3" w:rsidRDefault="002466B5" w:rsidP="006E213C">
      <w:pPr>
        <w:spacing w:before="240" w:after="240" w:line="480" w:lineRule="auto"/>
        <w:ind w:firstLine="720"/>
        <w:jc w:val="both"/>
        <w:rPr>
          <w:rFonts w:cstheme="majorBidi"/>
          <w:kern w:val="0"/>
        </w:rPr>
      </w:pPr>
      <w:r>
        <w:rPr>
          <w:rFonts w:cstheme="majorBidi"/>
          <w:kern w:val="0"/>
        </w:rPr>
        <w:t>T</w:t>
      </w:r>
      <w:r w:rsidRPr="004834D3">
        <w:rPr>
          <w:rFonts w:cstheme="majorBidi"/>
          <w:kern w:val="0"/>
        </w:rPr>
        <w:t>he mass source term</w:t>
      </w:r>
      <w:r>
        <w:rPr>
          <w:rFonts w:cstheme="majorBidi"/>
          <w:kern w:val="0"/>
        </w:rPr>
        <w:t xml:space="preserve"> </w:t>
      </w:r>
      <m:oMath>
        <m:sSub>
          <m:sSubPr>
            <m:ctrlPr>
              <w:rPr>
                <w:rStyle w:val="fontstyle01"/>
                <w:rFonts w:ascii="Cambria Math" w:hAnsi="Cambria Math" w:cstheme="majorBidi"/>
                <w:bCs/>
                <w:i/>
                <w:color w:val="auto"/>
              </w:rPr>
            </m:ctrlPr>
          </m:sSubPr>
          <m:e>
            <m:acc>
              <m:accPr>
                <m:chr m:val="̇"/>
                <m:ctrlPr>
                  <w:rPr>
                    <w:rStyle w:val="fontstyle01"/>
                    <w:rFonts w:ascii="Cambria Math" w:hAnsi="Cambria Math" w:cstheme="majorBidi"/>
                    <w:bCs/>
                    <w:i/>
                    <w:color w:val="auto"/>
                  </w:rPr>
                </m:ctrlPr>
              </m:accPr>
              <m:e>
                <m:r>
                  <w:rPr>
                    <w:rStyle w:val="fontstyle01"/>
                    <w:rFonts w:ascii="Cambria Math" w:hAnsi="Cambria Math" w:cstheme="majorBidi"/>
                  </w:rPr>
                  <m:t>S</m:t>
                </m:r>
              </m:e>
            </m:acc>
          </m:e>
          <m:sub>
            <m:r>
              <m:rPr>
                <m:sty m:val="p"/>
              </m:rPr>
              <w:rPr>
                <w:rStyle w:val="fontstyle01"/>
                <w:rFonts w:ascii="Cambria Math" w:hAnsi="Cambria Math" w:cstheme="majorBidi"/>
              </w:rPr>
              <m:t>mass</m:t>
            </m:r>
          </m:sub>
        </m:sSub>
      </m:oMath>
      <w:r>
        <w:rPr>
          <w:rStyle w:val="fontstyle01"/>
          <w:rFonts w:asciiTheme="majorBidi" w:eastAsiaTheme="minorEastAsia" w:hAnsiTheme="majorBidi" w:cstheme="majorBidi"/>
          <w:bCs/>
          <w:color w:val="auto"/>
        </w:rPr>
        <w:t xml:space="preserve"> </w:t>
      </w:r>
      <w:r>
        <w:rPr>
          <w:rFonts w:cstheme="majorBidi"/>
          <w:kern w:val="0"/>
        </w:rPr>
        <w:t>i</w:t>
      </w:r>
      <w:r w:rsidR="00E467AA" w:rsidRPr="004834D3">
        <w:rPr>
          <w:rFonts w:cstheme="majorBidi"/>
          <w:kern w:val="0"/>
        </w:rPr>
        <w:t xml:space="preserve">n Eq. </w:t>
      </w:r>
      <w:r w:rsidR="004B4110">
        <w:rPr>
          <w:rFonts w:cstheme="majorBidi"/>
          <w:kern w:val="0"/>
        </w:rPr>
        <w:t>5</w:t>
      </w:r>
      <w:r>
        <w:rPr>
          <w:rFonts w:cstheme="majorBidi"/>
          <w:kern w:val="0"/>
        </w:rPr>
        <w:t>-</w:t>
      </w:r>
      <w:r w:rsidR="00A36FAA">
        <w:rPr>
          <w:rFonts w:cstheme="majorBidi"/>
          <w:kern w:val="0"/>
        </w:rPr>
        <w:t>3</w:t>
      </w:r>
      <w:r>
        <w:rPr>
          <w:rFonts w:cstheme="majorBidi"/>
          <w:kern w:val="0"/>
        </w:rPr>
        <w:t xml:space="preserve"> </w:t>
      </w:r>
      <w:r w:rsidR="00E467AA" w:rsidRPr="004834D3">
        <w:rPr>
          <w:rFonts w:cstheme="majorBidi"/>
          <w:kern w:val="0"/>
        </w:rPr>
        <w:t xml:space="preserve">is zero throughout the domain except in the control volumes adjacent to the solid particle surface. Within these control volumes, </w:t>
      </w:r>
      <m:oMath>
        <m:sSub>
          <m:sSubPr>
            <m:ctrlPr>
              <w:rPr>
                <w:rStyle w:val="fontstyle01"/>
                <w:rFonts w:ascii="Cambria Math" w:hAnsi="Cambria Math" w:cstheme="majorBidi"/>
                <w:bCs/>
                <w:i/>
                <w:color w:val="auto"/>
              </w:rPr>
            </m:ctrlPr>
          </m:sSubPr>
          <m:e>
            <m:acc>
              <m:accPr>
                <m:chr m:val="̇"/>
                <m:ctrlPr>
                  <w:rPr>
                    <w:rStyle w:val="fontstyle01"/>
                    <w:rFonts w:ascii="Cambria Math" w:hAnsi="Cambria Math" w:cstheme="majorBidi"/>
                    <w:bCs/>
                    <w:i/>
                    <w:color w:val="auto"/>
                  </w:rPr>
                </m:ctrlPr>
              </m:accPr>
              <m:e>
                <m:r>
                  <w:rPr>
                    <w:rStyle w:val="fontstyle01"/>
                    <w:rFonts w:ascii="Cambria Math" w:hAnsi="Cambria Math" w:cstheme="majorBidi"/>
                  </w:rPr>
                  <m:t>S</m:t>
                </m:r>
              </m:e>
            </m:acc>
          </m:e>
          <m:sub>
            <m:r>
              <m:rPr>
                <m:sty m:val="p"/>
              </m:rPr>
              <w:rPr>
                <w:rStyle w:val="fontstyle01"/>
                <w:rFonts w:ascii="Cambria Math" w:hAnsi="Cambria Math" w:cstheme="majorBidi"/>
              </w:rPr>
              <m:t>mass</m:t>
            </m:r>
          </m:sub>
        </m:sSub>
        <m:r>
          <w:rPr>
            <w:rStyle w:val="fontstyle01"/>
            <w:rFonts w:ascii="Cambria Math" w:hAnsi="Cambria Math" w:cstheme="majorBidi"/>
            <w:color w:val="auto"/>
          </w:rPr>
          <m:t xml:space="preserve"> </m:t>
        </m:r>
      </m:oMath>
      <w:r w:rsidR="00E467AA" w:rsidRPr="004834D3">
        <w:rPr>
          <w:rFonts w:cstheme="majorBidi"/>
          <w:kern w:val="0"/>
        </w:rPr>
        <w:t xml:space="preserve">is calculated based on the local melting rate of the particle. The formula for this term is given by </w:t>
      </w:r>
      <m:oMath>
        <m:sSub>
          <m:sSubPr>
            <m:ctrlPr>
              <w:rPr>
                <w:rStyle w:val="fontstyle01"/>
                <w:rFonts w:ascii="Cambria Math" w:hAnsi="Cambria Math" w:cstheme="majorBidi"/>
                <w:bCs/>
                <w:i/>
                <w:color w:val="auto"/>
              </w:rPr>
            </m:ctrlPr>
          </m:sSubPr>
          <m:e>
            <m:acc>
              <m:accPr>
                <m:chr m:val="̇"/>
                <m:ctrlPr>
                  <w:rPr>
                    <w:rStyle w:val="fontstyle01"/>
                    <w:rFonts w:ascii="Cambria Math" w:hAnsi="Cambria Math" w:cstheme="majorBidi"/>
                    <w:bCs/>
                    <w:i/>
                    <w:color w:val="auto"/>
                  </w:rPr>
                </m:ctrlPr>
              </m:accPr>
              <m:e>
                <m:r>
                  <w:rPr>
                    <w:rStyle w:val="fontstyle01"/>
                    <w:rFonts w:ascii="Cambria Math" w:hAnsi="Cambria Math" w:cstheme="majorBidi"/>
                  </w:rPr>
                  <m:t>S</m:t>
                </m:r>
              </m:e>
            </m:acc>
          </m:e>
          <m:sub>
            <m:r>
              <m:rPr>
                <m:sty m:val="p"/>
              </m:rPr>
              <w:rPr>
                <w:rStyle w:val="fontstyle01"/>
                <w:rFonts w:ascii="Cambria Math" w:hAnsi="Cambria Math" w:cstheme="majorBidi"/>
              </w:rPr>
              <m:t>mass</m:t>
            </m:r>
          </m:sub>
        </m:sSub>
        <m:r>
          <w:rPr>
            <w:rStyle w:val="fontstyle01"/>
            <w:rFonts w:ascii="Cambria Math" w:eastAsiaTheme="minorEastAsia" w:hAnsi="Cambria Math" w:cstheme="majorBidi"/>
          </w:rPr>
          <m:t>=[ρZ(</m:t>
        </m:r>
        <m:r>
          <w:rPr>
            <w:rFonts w:ascii="Cambria Math" w:eastAsiaTheme="minorEastAsia" w:hAnsi="Cambria Math" w:cstheme="majorBidi"/>
          </w:rPr>
          <m:t>d</m:t>
        </m:r>
        <m:r>
          <m:rPr>
            <m:sty m:val="b"/>
          </m:rPr>
          <w:rPr>
            <w:rFonts w:ascii="Cambria Math" w:eastAsiaTheme="minorEastAsia" w:hAnsi="Cambria Math" w:cstheme="majorBidi"/>
          </w:rPr>
          <m:t>r/</m:t>
        </m:r>
        <m:r>
          <w:rPr>
            <w:rFonts w:ascii="Cambria Math" w:eastAsiaTheme="minorEastAsia" w:hAnsi="Cambria Math" w:cstheme="majorBidi"/>
          </w:rPr>
          <m:t>dt)∙d</m:t>
        </m:r>
        <m:r>
          <m:rPr>
            <m:sty m:val="b"/>
          </m:rPr>
          <w:rPr>
            <w:rFonts w:ascii="Cambria Math" w:eastAsiaTheme="minorEastAsia" w:hAnsi="Cambria Math" w:cstheme="majorBidi"/>
          </w:rPr>
          <m:t>S</m:t>
        </m:r>
        <m:r>
          <m:rPr>
            <m:sty m:val="bi"/>
          </m:rPr>
          <w:rPr>
            <w:rFonts w:ascii="Cambria Math" w:eastAsiaTheme="minorEastAsia" w:hAnsi="Cambria Math" w:cstheme="majorBidi"/>
          </w:rPr>
          <m:t>]/</m:t>
        </m:r>
        <m:sSub>
          <m:sSubPr>
            <m:ctrlPr>
              <w:rPr>
                <w:rFonts w:ascii="Cambria Math" w:eastAsiaTheme="minorEastAsia" w:hAnsi="Cambria Math" w:cstheme="majorBidi"/>
                <w:b/>
                <w:i/>
              </w:rPr>
            </m:ctrlPr>
          </m:sSubPr>
          <m:e>
            <m:r>
              <m:rPr>
                <m:sty m:val="bi"/>
              </m:rPr>
              <w:rPr>
                <w:rFonts w:ascii="Cambria Math" w:eastAsiaTheme="minorEastAsia" w:hAnsi="Cambria Math" w:cstheme="majorBidi"/>
              </w:rPr>
              <m:t xml:space="preserve"> </m:t>
            </m:r>
            <m:r>
              <w:rPr>
                <w:rFonts w:ascii="Cambria Math" w:eastAsiaTheme="minorEastAsia" w:hAnsi="Cambria Math" w:cstheme="majorBidi"/>
              </w:rPr>
              <m:t>V</m:t>
            </m:r>
          </m:e>
          <m:sub>
            <m:r>
              <m:rPr>
                <m:sty m:val="p"/>
              </m:rPr>
              <w:rPr>
                <w:rFonts w:ascii="Cambria Math" w:eastAsiaTheme="minorEastAsia" w:hAnsi="Cambria Math" w:cstheme="majorBidi"/>
              </w:rPr>
              <m:t>CV</m:t>
            </m:r>
          </m:sub>
        </m:sSub>
      </m:oMath>
      <w:r w:rsidR="00E467AA" w:rsidRPr="004834D3">
        <w:rPr>
          <w:rFonts w:cstheme="majorBidi"/>
          <w:kern w:val="0"/>
        </w:rPr>
        <w:t xml:space="preserve">, where </w:t>
      </w:r>
      <m:oMath>
        <m:r>
          <w:rPr>
            <w:rFonts w:ascii="Cambria Math" w:eastAsiaTheme="minorEastAsia" w:hAnsi="Cambria Math" w:cstheme="majorBidi"/>
          </w:rPr>
          <m:t>Z</m:t>
        </m:r>
      </m:oMath>
      <w:r w:rsidR="00E467AA" w:rsidRPr="004834D3">
        <w:rPr>
          <w:rFonts w:cstheme="majorBidi"/>
          <w:kern w:val="0"/>
        </w:rPr>
        <w:t xml:space="preserve"> represents the unit depth of the particle in the direction perpendicular to the simulation plane</w:t>
      </w:r>
      <w:r w:rsidR="005D2BF5" w:rsidRPr="004834D3">
        <w:rPr>
          <w:rFonts w:cstheme="majorBidi"/>
          <w:kern w:val="0"/>
        </w:rPr>
        <w:t xml:space="preserve"> and</w:t>
      </w:r>
      <w:r w:rsidR="00E467AA" w:rsidRPr="004834D3">
        <w:rPr>
          <w:rFonts w:cstheme="majorBidi"/>
          <w:kern w:val="0"/>
        </w:rPr>
        <w:t xml:space="preserve"> </w:t>
      </w:r>
      <m:oMath>
        <m:sSub>
          <m:sSubPr>
            <m:ctrlPr>
              <w:rPr>
                <w:rFonts w:ascii="Cambria Math" w:eastAsiaTheme="minorEastAsia" w:hAnsi="Cambria Math" w:cstheme="majorBidi"/>
                <w:b/>
                <w:i/>
              </w:rPr>
            </m:ctrlPr>
          </m:sSubPr>
          <m:e>
            <m:r>
              <w:rPr>
                <w:rFonts w:ascii="Cambria Math" w:eastAsiaTheme="minorEastAsia" w:hAnsi="Cambria Math" w:cstheme="majorBidi"/>
              </w:rPr>
              <m:t>V</m:t>
            </m:r>
          </m:e>
          <m:sub>
            <m:r>
              <m:rPr>
                <m:sty m:val="p"/>
              </m:rPr>
              <w:rPr>
                <w:rFonts w:ascii="Cambria Math" w:eastAsiaTheme="minorEastAsia" w:hAnsi="Cambria Math" w:cstheme="majorBidi"/>
              </w:rPr>
              <m:t>CV</m:t>
            </m:r>
          </m:sub>
        </m:sSub>
      </m:oMath>
      <w:r w:rsidR="00E467AA" w:rsidRPr="004834D3">
        <w:rPr>
          <w:rFonts w:cstheme="majorBidi"/>
          <w:kern w:val="0"/>
        </w:rPr>
        <w:t xml:space="preserve"> denotes the volume of the control volume. </w:t>
      </w:r>
    </w:p>
    <w:p w14:paraId="2AB1AE65" w14:textId="24869D33" w:rsidR="002466B5" w:rsidRPr="002466B5" w:rsidRDefault="00883FA2" w:rsidP="006E213C">
      <w:pPr>
        <w:spacing w:before="240" w:after="240" w:line="480" w:lineRule="auto"/>
        <w:ind w:firstLine="720"/>
        <w:jc w:val="both"/>
        <w:rPr>
          <w:rFonts w:cstheme="majorBidi"/>
          <w:kern w:val="0"/>
        </w:rPr>
      </w:pPr>
      <w:r w:rsidRPr="004834D3">
        <w:rPr>
          <w:rFonts w:cstheme="majorBidi"/>
          <w:kern w:val="0"/>
        </w:rPr>
        <w:t xml:space="preserve">The governing equations for the liquid domain (Eqs. </w:t>
      </w:r>
      <w:r w:rsidR="004B4110">
        <w:rPr>
          <w:rFonts w:cstheme="majorBidi"/>
          <w:kern w:val="0"/>
        </w:rPr>
        <w:t>5</w:t>
      </w:r>
      <w:r w:rsidR="002466B5">
        <w:rPr>
          <w:rFonts w:cstheme="majorBidi"/>
          <w:kern w:val="0"/>
        </w:rPr>
        <w:t>-</w:t>
      </w:r>
      <w:r w:rsidR="00A36FAA">
        <w:rPr>
          <w:rFonts w:cstheme="majorBidi"/>
          <w:kern w:val="0"/>
        </w:rPr>
        <w:t>3</w:t>
      </w:r>
      <w:r w:rsidRPr="004834D3">
        <w:rPr>
          <w:rFonts w:cstheme="majorBidi"/>
          <w:kern w:val="0"/>
        </w:rPr>
        <w:t xml:space="preserve">, </w:t>
      </w:r>
      <w:r w:rsidR="004B4110">
        <w:rPr>
          <w:rFonts w:cstheme="majorBidi"/>
          <w:kern w:val="0"/>
        </w:rPr>
        <w:t>5</w:t>
      </w:r>
      <w:r w:rsidR="002466B5">
        <w:rPr>
          <w:rFonts w:cstheme="majorBidi"/>
          <w:kern w:val="0"/>
        </w:rPr>
        <w:t>-</w:t>
      </w:r>
      <w:r w:rsidR="00A36FAA">
        <w:rPr>
          <w:rFonts w:cstheme="majorBidi"/>
          <w:kern w:val="0"/>
        </w:rPr>
        <w:t>10</w:t>
      </w:r>
      <w:r w:rsidRPr="004834D3">
        <w:rPr>
          <w:rFonts w:cstheme="majorBidi"/>
          <w:kern w:val="0"/>
        </w:rPr>
        <w:t xml:space="preserve">, and </w:t>
      </w:r>
      <w:r w:rsidR="004B4110">
        <w:rPr>
          <w:rFonts w:cstheme="majorBidi"/>
          <w:kern w:val="0"/>
        </w:rPr>
        <w:t>5</w:t>
      </w:r>
      <w:r w:rsidR="002466B5">
        <w:rPr>
          <w:rFonts w:cstheme="majorBidi"/>
          <w:kern w:val="0"/>
        </w:rPr>
        <w:t>-</w:t>
      </w:r>
      <w:r w:rsidR="009D14FC">
        <w:rPr>
          <w:rFonts w:cstheme="majorBidi"/>
          <w:kern w:val="0"/>
        </w:rPr>
        <w:t>1</w:t>
      </w:r>
      <w:r w:rsidR="00A36FAA">
        <w:rPr>
          <w:rFonts w:cstheme="majorBidi"/>
          <w:kern w:val="0"/>
        </w:rPr>
        <w:t>3</w:t>
      </w:r>
      <w:r w:rsidRPr="004834D3">
        <w:rPr>
          <w:rFonts w:cstheme="majorBidi"/>
          <w:kern w:val="0"/>
        </w:rPr>
        <w:t xml:space="preserve">) along with the equations describing the motion of the melting particle (Eqs. </w:t>
      </w:r>
      <w:r w:rsidR="004B4110">
        <w:rPr>
          <w:rFonts w:cstheme="majorBidi"/>
          <w:kern w:val="0"/>
        </w:rPr>
        <w:t>5</w:t>
      </w:r>
      <w:r w:rsidR="002466B5">
        <w:rPr>
          <w:rFonts w:cstheme="majorBidi"/>
          <w:kern w:val="0"/>
        </w:rPr>
        <w:t>-</w:t>
      </w:r>
      <w:r w:rsidRPr="004834D3">
        <w:rPr>
          <w:rFonts w:cstheme="majorBidi"/>
          <w:kern w:val="0"/>
        </w:rPr>
        <w:t>1</w:t>
      </w:r>
      <w:r w:rsidR="00A36FAA">
        <w:rPr>
          <w:rFonts w:cstheme="majorBidi"/>
          <w:kern w:val="0"/>
        </w:rPr>
        <w:t>7</w:t>
      </w:r>
      <w:r w:rsidRPr="004834D3">
        <w:rPr>
          <w:rFonts w:cstheme="majorBidi"/>
          <w:kern w:val="0"/>
        </w:rPr>
        <w:t xml:space="preserve">, </w:t>
      </w:r>
      <w:r w:rsidR="004B4110">
        <w:rPr>
          <w:rFonts w:cstheme="majorBidi"/>
          <w:kern w:val="0"/>
        </w:rPr>
        <w:t>5</w:t>
      </w:r>
      <w:r w:rsidR="002466B5">
        <w:rPr>
          <w:rFonts w:cstheme="majorBidi"/>
          <w:kern w:val="0"/>
        </w:rPr>
        <w:t>-</w:t>
      </w:r>
      <w:r w:rsidRPr="004834D3">
        <w:rPr>
          <w:rFonts w:cstheme="majorBidi"/>
          <w:kern w:val="0"/>
        </w:rPr>
        <w:t>1</w:t>
      </w:r>
      <w:r w:rsidR="00A36FAA">
        <w:rPr>
          <w:rFonts w:cstheme="majorBidi"/>
          <w:kern w:val="0"/>
        </w:rPr>
        <w:t>8</w:t>
      </w:r>
      <w:r w:rsidRPr="004834D3">
        <w:rPr>
          <w:rFonts w:cstheme="majorBidi"/>
          <w:kern w:val="0"/>
        </w:rPr>
        <w:t xml:space="preserve">, and </w:t>
      </w:r>
      <w:r w:rsidR="004B4110">
        <w:rPr>
          <w:rFonts w:cstheme="majorBidi"/>
          <w:kern w:val="0"/>
        </w:rPr>
        <w:t>5</w:t>
      </w:r>
      <w:r w:rsidR="002466B5">
        <w:rPr>
          <w:rFonts w:cstheme="majorBidi"/>
          <w:kern w:val="0"/>
        </w:rPr>
        <w:t>-</w:t>
      </w:r>
      <w:r w:rsidR="009D14FC">
        <w:rPr>
          <w:rFonts w:cstheme="majorBidi"/>
          <w:kern w:val="0"/>
        </w:rPr>
        <w:t>2</w:t>
      </w:r>
      <w:r w:rsidR="00A36FAA">
        <w:rPr>
          <w:rFonts w:cstheme="majorBidi"/>
          <w:kern w:val="0"/>
        </w:rPr>
        <w:t>5</w:t>
      </w:r>
      <w:r w:rsidRPr="004834D3">
        <w:rPr>
          <w:rFonts w:cstheme="majorBidi"/>
          <w:kern w:val="0"/>
        </w:rPr>
        <w:t xml:space="preserve">) are non-dimensionalized to enhance their generality and applicability. This is achieved using a set of dimensionless variables defined as follows: </w:t>
      </w:r>
      <m:oMath>
        <m:sSup>
          <m:sSupPr>
            <m:ctrlPr>
              <w:rPr>
                <w:rFonts w:ascii="Cambria Math" w:eastAsiaTheme="minorEastAsia" w:hAnsi="Cambria Math" w:cstheme="majorBidi"/>
                <w:i/>
              </w:rPr>
            </m:ctrlPr>
          </m:sSupPr>
          <m:e>
            <m:r>
              <w:rPr>
                <w:rFonts w:ascii="Cambria Math" w:eastAsiaTheme="minorEastAsia" w:hAnsi="Cambria Math" w:cstheme="majorBidi"/>
              </w:rPr>
              <m:t>x</m:t>
            </m:r>
          </m:e>
          <m:sup>
            <m:r>
              <w:rPr>
                <w:rFonts w:ascii="Cambria Math" w:eastAsiaTheme="minorEastAsia" w:hAnsi="Cambria Math" w:cstheme="majorBidi"/>
              </w:rPr>
              <m:t>*</m:t>
            </m:r>
          </m:sup>
        </m:sSup>
        <m:r>
          <w:rPr>
            <w:rFonts w:ascii="Cambria Math" w:eastAsiaTheme="minorEastAsia" w:hAnsi="Cambria Math" w:cstheme="majorBidi"/>
          </w:rPr>
          <m:t>=x/D</m:t>
        </m:r>
      </m:oMath>
      <w:r w:rsidRPr="004834D3">
        <w:rPr>
          <w:rFonts w:eastAsiaTheme="minorEastAsia" w:cstheme="majorBidi"/>
        </w:rPr>
        <w:t xml:space="preserve">, </w:t>
      </w:r>
      <m:oMath>
        <m:sSup>
          <m:sSupPr>
            <m:ctrlPr>
              <w:rPr>
                <w:rFonts w:ascii="Cambria Math" w:eastAsiaTheme="minorEastAsia" w:hAnsi="Cambria Math" w:cstheme="majorBidi"/>
                <w:i/>
              </w:rPr>
            </m:ctrlPr>
          </m:sSupPr>
          <m:e>
            <m:r>
              <m:rPr>
                <m:sty m:val="b"/>
              </m:rPr>
              <w:rPr>
                <w:rFonts w:ascii="Cambria Math" w:eastAsiaTheme="minorEastAsia" w:hAnsi="Cambria Math" w:cstheme="majorBidi"/>
              </w:rPr>
              <m:t>∇</m:t>
            </m:r>
            <m:ctrlPr>
              <w:rPr>
                <w:rFonts w:ascii="Cambria Math" w:eastAsiaTheme="minorEastAsia" w:hAnsi="Cambria Math" w:cstheme="majorBidi"/>
              </w:rPr>
            </m:ctrlPr>
          </m:e>
          <m:sup>
            <m:r>
              <w:rPr>
                <w:rFonts w:ascii="Cambria Math" w:eastAsiaTheme="minorEastAsia" w:hAnsi="Cambria Math" w:cstheme="majorBidi"/>
              </w:rPr>
              <m:t>*</m:t>
            </m:r>
          </m:sup>
        </m:sSup>
        <m:r>
          <w:rPr>
            <w:rFonts w:ascii="Cambria Math" w:eastAsiaTheme="minorEastAsia" w:hAnsi="Cambria Math" w:cstheme="majorBidi"/>
          </w:rPr>
          <m:t>=</m:t>
        </m:r>
        <m:r>
          <m:rPr>
            <m:sty m:val="b"/>
          </m:rPr>
          <w:rPr>
            <w:rFonts w:ascii="Cambria Math" w:eastAsiaTheme="minorEastAsia" w:hAnsi="Cambria Math" w:cstheme="majorBidi"/>
          </w:rPr>
          <m:t>∇</m:t>
        </m:r>
        <m:r>
          <w:rPr>
            <w:rFonts w:ascii="Cambria Math" w:eastAsiaTheme="minorEastAsia" w:hAnsi="Cambria Math" w:cstheme="majorBidi"/>
          </w:rPr>
          <m:t>D</m:t>
        </m:r>
      </m:oMath>
      <w:r w:rsidRPr="004834D3">
        <w:rPr>
          <w:rFonts w:eastAsiaTheme="minorEastAsia" w:cstheme="majorBidi"/>
        </w:rPr>
        <w:t xml:space="preserve">,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=tν/</m:t>
        </m:r>
        <m:sSup>
          <m:sSupPr>
            <m:ctrlPr>
              <w:rPr>
                <w:rFonts w:ascii="Cambria Math" w:eastAsiaTheme="minorEastAsia" w:hAnsi="Cambria Math" w:cstheme="majorBidi"/>
                <w:i/>
              </w:rPr>
            </m:ctrlPr>
          </m:sSupPr>
          <m:e>
            <m:r>
              <w:rPr>
                <w:rFonts w:ascii="Cambria Math" w:eastAsiaTheme="minorEastAsia" w:hAnsi="Cambria Math" w:cstheme="majorBidi"/>
              </w:rPr>
              <m:t>D</m:t>
            </m:r>
          </m:e>
          <m:sup>
            <m:r>
              <w:rPr>
                <w:rFonts w:ascii="Cambria Math" w:eastAsiaTheme="minorEastAsia" w:hAnsi="Cambria Math" w:cstheme="majorBidi"/>
              </w:rPr>
              <m:t>2</m:t>
            </m:r>
          </m:sup>
        </m:sSup>
      </m:oMath>
      <w:r w:rsidRPr="004834D3">
        <w:rPr>
          <w:rFonts w:eastAsiaTheme="minorEastAsia" w:cstheme="majorBidi"/>
        </w:rPr>
        <w:t xml:space="preserve">, </w:t>
      </w:r>
      <m:oMath>
        <m:sSup>
          <m:sSupPr>
            <m:ctrlPr>
              <w:rPr>
                <w:rFonts w:ascii="Cambria Math" w:eastAsiaTheme="minorEastAsia" w:hAnsi="Cambria Math" w:cstheme="majorBidi"/>
                <w:i/>
              </w:rPr>
            </m:ctrlPr>
          </m:sSupPr>
          <m:e>
            <m:r>
              <m:rPr>
                <m:sty m:val="b"/>
              </m:rPr>
              <w:rPr>
                <w:rFonts w:ascii="Cambria Math" w:eastAsiaTheme="minorEastAsia" w:hAnsi="Cambria Math" w:cstheme="majorBidi"/>
              </w:rPr>
              <m:t>V</m:t>
            </m:r>
          </m:e>
          <m:sup>
            <m:r>
              <w:rPr>
                <w:rFonts w:ascii="Cambria Math" w:eastAsiaTheme="minorEastAsia" w:hAnsi="Cambria Math" w:cstheme="majorBidi"/>
              </w:rPr>
              <m:t>*</m:t>
            </m:r>
          </m:sup>
        </m:sSup>
        <m:r>
          <w:rPr>
            <w:rFonts w:ascii="Cambria Math" w:eastAsiaTheme="minorEastAsia" w:hAnsi="Cambria Math" w:cstheme="majorBidi"/>
          </w:rPr>
          <m:t>=</m:t>
        </m:r>
        <m:r>
          <m:rPr>
            <m:sty m:val="b"/>
          </m:rPr>
          <w:rPr>
            <w:rFonts w:ascii="Cambria Math" w:eastAsiaTheme="minorEastAsia" w:hAnsi="Cambria Math" w:cstheme="majorBidi"/>
          </w:rPr>
          <m:t>V</m:t>
        </m:r>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oMath>
      <w:r w:rsidRPr="004834D3">
        <w:rPr>
          <w:rFonts w:eastAsiaTheme="minorEastAsia" w:cstheme="majorBidi"/>
        </w:rPr>
        <w:t xml:space="preserve">, </w:t>
      </w:r>
      <m:oMath>
        <m:sSubSup>
          <m:sSubSupPr>
            <m:ctrlPr>
              <w:rPr>
                <w:rFonts w:ascii="Cambria Math" w:eastAsiaTheme="minorEastAsia" w:hAnsi="Cambria Math" w:cstheme="majorBidi"/>
                <w:i/>
              </w:rPr>
            </m:ctrlPr>
          </m:sSubSupPr>
          <m:e>
            <m:r>
              <m:rPr>
                <m:sty m:val="b"/>
              </m:rPr>
              <w:rPr>
                <w:rFonts w:ascii="Cambria Math" w:eastAsiaTheme="minorEastAsia" w:hAnsi="Cambria Math" w:cstheme="majorBidi"/>
              </w:rPr>
              <m:t>ω</m:t>
            </m:r>
          </m:e>
          <m:sub>
            <m:r>
              <w:rPr>
                <w:rFonts w:ascii="Cambria Math" w:eastAsiaTheme="minorEastAsia" w:hAnsi="Cambria Math" w:cstheme="majorBidi"/>
              </w:rPr>
              <m:t>p</m:t>
            </m:r>
          </m:sub>
          <m:sup>
            <m:r>
              <w:rPr>
                <w:rFonts w:ascii="Cambria Math" w:eastAsiaTheme="minorEastAsia" w:hAnsi="Cambria Math" w:cstheme="majorBidi"/>
              </w:rPr>
              <m:t>*</m:t>
            </m:r>
          </m:sup>
        </m:sSubSup>
        <m:r>
          <w:rPr>
            <w:rFonts w:ascii="Cambria Math" w:eastAsiaTheme="minorEastAsia" w:hAnsi="Cambria Math" w:cstheme="majorBidi"/>
          </w:rPr>
          <m:t>=</m:t>
        </m:r>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m:rPr>
                    <m:sty m:val="b"/>
                  </m:rPr>
                  <w:rPr>
                    <w:rFonts w:ascii="Cambria Math" w:eastAsiaTheme="minorEastAsia" w:hAnsi="Cambria Math" w:cstheme="majorBidi"/>
                  </w:rPr>
                  <m:t>ω</m:t>
                </m:r>
              </m:e>
              <m:sub>
                <m:r>
                  <w:rPr>
                    <w:rFonts w:ascii="Cambria Math" w:eastAsiaTheme="minorEastAsia" w:hAnsi="Cambria Math" w:cstheme="majorBidi"/>
                  </w:rPr>
                  <m:t>p</m:t>
                </m:r>
              </m:sub>
            </m:sSub>
            <m:r>
              <w:rPr>
                <w:rFonts w:ascii="Cambria Math" w:eastAsiaTheme="minorEastAsia" w:hAnsi="Cambria Math" w:cstheme="majorBidi"/>
              </w:rPr>
              <m:t>D</m:t>
            </m:r>
          </m:e>
        </m:d>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oMath>
      <w:r w:rsidRPr="004834D3">
        <w:rPr>
          <w:rFonts w:eastAsiaTheme="minorEastAsia" w:cstheme="majorBidi"/>
        </w:rPr>
        <w:t xml:space="preserve">, </w:t>
      </w:r>
      <m:oMath>
        <m:sSup>
          <m:sSupPr>
            <m:ctrlPr>
              <w:rPr>
                <w:rFonts w:ascii="Cambria Math" w:eastAsiaTheme="minorEastAsia" w:hAnsi="Cambria Math" w:cstheme="majorBidi"/>
                <w:i/>
              </w:rPr>
            </m:ctrlPr>
          </m:sSupPr>
          <m:e>
            <m:r>
              <w:rPr>
                <w:rFonts w:ascii="Cambria Math" w:eastAsiaTheme="minorEastAsia" w:hAnsi="Cambria Math" w:cstheme="majorBidi"/>
              </w:rPr>
              <m:t>p</m:t>
            </m:r>
          </m:e>
          <m:sup>
            <m:r>
              <w:rPr>
                <w:rFonts w:ascii="Cambria Math" w:eastAsiaTheme="minorEastAsia" w:hAnsi="Cambria Math" w:cstheme="majorBidi"/>
              </w:rPr>
              <m:t>*</m:t>
            </m:r>
          </m:sup>
        </m:sSup>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p+ρgy</m:t>
            </m:r>
          </m:e>
        </m:d>
        <m:r>
          <w:rPr>
            <w:rFonts w:ascii="Cambria Math" w:eastAsiaTheme="minorEastAsia" w:hAnsi="Cambria Math" w:cstheme="majorBidi"/>
          </w:rPr>
          <m:t>/(νρ</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r>
          <w:rPr>
            <w:rFonts w:ascii="Cambria Math" w:eastAsiaTheme="minorEastAsia" w:hAnsi="Cambria Math" w:cstheme="majorBidi"/>
          </w:rPr>
          <m:t>/D)</m:t>
        </m:r>
      </m:oMath>
      <w:r w:rsidRPr="004834D3">
        <w:rPr>
          <w:rFonts w:eastAsiaTheme="minorEastAsia" w:cstheme="majorBidi"/>
        </w:rPr>
        <w:t xml:space="preserve">,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e>
        </m:d>
        <m:r>
          <w:rPr>
            <w:rFonts w:ascii="Cambria Math" w:eastAsiaTheme="minorEastAsia" w:hAnsi="Cambria Math" w:cstheme="majorBidi"/>
          </w:rPr>
          <m:t>/</m:t>
        </m:r>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e>
        </m:d>
      </m:oMath>
      <w:r w:rsidRPr="004834D3">
        <w:rPr>
          <w:rFonts w:eastAsiaTheme="minorEastAsia" w:cstheme="majorBidi"/>
        </w:rPr>
        <w:t xml:space="preserve">, </w:t>
      </w:r>
      <m:oMath>
        <m:sSup>
          <m:sSupPr>
            <m:ctrlPr>
              <w:rPr>
                <w:rFonts w:ascii="Cambria Math" w:eastAsiaTheme="minorEastAsia" w:hAnsi="Cambria Math" w:cstheme="majorBidi"/>
                <w:i/>
              </w:rPr>
            </m:ctrlPr>
          </m:sSupPr>
          <m:e>
            <m:r>
              <m:rPr>
                <m:sty m:val="b"/>
              </m:rPr>
              <w:rPr>
                <w:rFonts w:ascii="Cambria Math" w:eastAsiaTheme="minorEastAsia" w:hAnsi="Cambria Math" w:cstheme="majorBidi"/>
              </w:rPr>
              <m:t>F</m:t>
            </m:r>
          </m:e>
          <m:sup>
            <m:r>
              <w:rPr>
                <w:rFonts w:ascii="Cambria Math" w:eastAsiaTheme="minorEastAsia" w:hAnsi="Cambria Math" w:cstheme="majorBidi"/>
              </w:rPr>
              <m:t>*</m:t>
            </m:r>
          </m:sup>
        </m:sSup>
        <m:r>
          <w:rPr>
            <w:rFonts w:ascii="Cambria Math" w:eastAsiaTheme="minorEastAsia" w:hAnsi="Cambria Math" w:cstheme="majorBidi"/>
          </w:rPr>
          <m:t>=</m:t>
        </m:r>
        <m:r>
          <m:rPr>
            <m:sty m:val="b"/>
          </m:rPr>
          <w:rPr>
            <w:rFonts w:ascii="Cambria Math" w:eastAsiaTheme="minorEastAsia" w:hAnsi="Cambria Math" w:cstheme="majorBidi"/>
          </w:rPr>
          <m:t>F</m:t>
        </m:r>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νρZ</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e>
        </m:d>
      </m:oMath>
      <w:r w:rsidRPr="004834D3">
        <w:rPr>
          <w:rFonts w:eastAsiaTheme="minorEastAsia" w:cstheme="majorBidi"/>
        </w:rPr>
        <w:t xml:space="preserve">, and </w:t>
      </w:r>
      <m:oMath>
        <m:sSup>
          <m:sSupPr>
            <m:ctrlPr>
              <w:rPr>
                <w:rFonts w:ascii="Cambria Math" w:eastAsiaTheme="minorEastAsia" w:hAnsi="Cambria Math" w:cstheme="majorBidi"/>
                <w:i/>
              </w:rPr>
            </m:ctrlPr>
          </m:sSupPr>
          <m:e>
            <m:r>
              <m:rPr>
                <m:sty m:val="b"/>
              </m:rPr>
              <w:rPr>
                <w:rFonts w:ascii="Cambria Math" w:eastAsiaTheme="minorEastAsia" w:hAnsi="Cambria Math" w:cstheme="majorBidi"/>
              </w:rPr>
              <m:t>M</m:t>
            </m:r>
          </m:e>
          <m:sup>
            <m:r>
              <w:rPr>
                <w:rFonts w:ascii="Cambria Math" w:eastAsiaTheme="minorEastAsia" w:hAnsi="Cambria Math" w:cstheme="majorBidi"/>
              </w:rPr>
              <m:t>*</m:t>
            </m:r>
          </m:sup>
        </m:sSup>
        <m:r>
          <w:rPr>
            <w:rFonts w:ascii="Cambria Math" w:eastAsiaTheme="minorEastAsia" w:hAnsi="Cambria Math" w:cstheme="majorBidi"/>
          </w:rPr>
          <m:t>=</m:t>
        </m:r>
        <m:r>
          <m:rPr>
            <m:sty m:val="b"/>
          </m:rPr>
          <w:rPr>
            <w:rFonts w:ascii="Cambria Math" w:eastAsiaTheme="minorEastAsia" w:hAnsi="Cambria Math" w:cstheme="majorBidi"/>
          </w:rPr>
          <m:t>M</m:t>
        </m:r>
        <m:r>
          <w:rPr>
            <w:rFonts w:ascii="Cambria Math" w:eastAsiaTheme="minorEastAsia" w:hAnsi="Cambria Math" w:cstheme="majorBidi"/>
          </w:rPr>
          <m:t>/</m:t>
        </m:r>
        <m:d>
          <m:dPr>
            <m:ctrlPr>
              <w:rPr>
                <w:rFonts w:ascii="Cambria Math" w:eastAsiaTheme="minorEastAsia" w:hAnsi="Cambria Math" w:cstheme="majorBidi"/>
                <w:i/>
              </w:rPr>
            </m:ctrlPr>
          </m:dPr>
          <m:e>
            <m:r>
              <w:rPr>
                <w:rFonts w:ascii="Cambria Math" w:eastAsiaTheme="minorEastAsia" w:hAnsi="Cambria Math" w:cstheme="majorBidi"/>
              </w:rPr>
              <m:t>νρZD</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e>
        </m:d>
      </m:oMath>
      <w:r w:rsidRPr="004834D3">
        <w:rPr>
          <w:rFonts w:cstheme="majorBidi"/>
          <w:kern w:val="0"/>
        </w:rPr>
        <w:t>. This non-dimensionalization scales the variables relative to their characteristic values, simplifying the equations and making them independent of specific units. The non-dimensional form of the governing equations is presented as follows:</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0"/>
        <w:gridCol w:w="980"/>
      </w:tblGrid>
      <w:tr w:rsidR="00F353B8" w:rsidRPr="004834D3" w14:paraId="58117EC5" w14:textId="77777777" w:rsidTr="009A4AF3">
        <w:trPr>
          <w:jc w:val="center"/>
        </w:trPr>
        <w:tc>
          <w:tcPr>
            <w:tcW w:w="8455" w:type="dxa"/>
            <w:vAlign w:val="center"/>
          </w:tcPr>
          <w:p w14:paraId="73D7D201" w14:textId="77777777" w:rsidR="00F353B8" w:rsidRPr="004834D3" w:rsidRDefault="00000000" w:rsidP="006E213C">
            <w:pPr>
              <w:spacing w:before="240" w:after="240" w:line="480" w:lineRule="auto"/>
              <w:ind w:firstLine="360"/>
              <w:jc w:val="both"/>
              <w:rPr>
                <w:rStyle w:val="fontstyle01"/>
                <w:rFonts w:asciiTheme="majorBidi" w:eastAsia="Times New Roman" w:hAnsiTheme="majorBidi" w:cstheme="majorBidi"/>
                <w:iCs/>
              </w:rPr>
            </w:pPr>
            <m:oMathPara>
              <m:oMathParaPr>
                <m:jc m:val="left"/>
              </m:oMathParaPr>
              <m:oMath>
                <m:sSub>
                  <m:sSubPr>
                    <m:ctrlPr>
                      <w:rPr>
                        <w:rStyle w:val="fontstyle01"/>
                        <w:rFonts w:ascii="Cambria Math" w:eastAsia="Times New Roman" w:hAnsi="Cambria Math" w:cstheme="majorBidi"/>
                        <w:i/>
                        <w:iCs/>
                        <w:color w:val="auto"/>
                      </w:rPr>
                    </m:ctrlPr>
                  </m:sSubPr>
                  <m:e>
                    <m:r>
                      <m:rPr>
                        <m:sty m:val="p"/>
                      </m:rPr>
                      <w:rPr>
                        <w:rStyle w:val="fontstyle01"/>
                        <w:rFonts w:ascii="Cambria Math" w:eastAsia="Times New Roman" w:hAnsi="Cambria Math" w:cstheme="majorBidi"/>
                      </w:rPr>
                      <m:t>Re</m:t>
                    </m:r>
                  </m:e>
                  <m:sub>
                    <m:r>
                      <w:rPr>
                        <w:rStyle w:val="fontstyle01"/>
                        <w:rFonts w:ascii="Cambria Math" w:eastAsia="Times New Roman" w:hAnsi="Cambria Math" w:cstheme="majorBidi"/>
                      </w:rPr>
                      <m:t>D</m:t>
                    </m:r>
                  </m:sub>
                </m:sSub>
                <m:d>
                  <m:dPr>
                    <m:ctrlPr>
                      <w:rPr>
                        <w:rStyle w:val="fontstyle01"/>
                        <w:rFonts w:ascii="Cambria Math" w:eastAsia="Times New Roman" w:hAnsi="Cambria Math" w:cstheme="majorBidi"/>
                        <w:i/>
                        <w:iCs/>
                        <w:color w:val="auto"/>
                      </w:rPr>
                    </m:ctrlPr>
                  </m:dPr>
                  <m:e>
                    <m:sSup>
                      <m:sSupPr>
                        <m:ctrlPr>
                          <w:rPr>
                            <w:rStyle w:val="fontstyle01"/>
                            <w:rFonts w:ascii="Cambria Math" w:eastAsia="Times New Roman" w:hAnsi="Cambria Math" w:cstheme="majorBidi"/>
                            <w:b/>
                            <w:bCs/>
                            <w:color w:val="auto"/>
                          </w:rPr>
                        </m:ctrlPr>
                      </m:sSupPr>
                      <m:e>
                        <m:r>
                          <m:rPr>
                            <m:sty m:val="b"/>
                          </m:rPr>
                          <w:rPr>
                            <w:rStyle w:val="fontstyle01"/>
                            <w:rFonts w:ascii="Cambria Math" w:eastAsia="Times New Roman" w:hAnsi="Cambria Math" w:cstheme="majorBidi"/>
                          </w:rPr>
                          <m:t>∇</m:t>
                        </m:r>
                      </m:e>
                      <m:sup>
                        <m:r>
                          <m:rPr>
                            <m:sty m:val="b"/>
                          </m:rPr>
                          <w:rPr>
                            <w:rStyle w:val="fontstyle01"/>
                            <w:rFonts w:ascii="Cambria Math" w:eastAsia="Times New Roman" w:hAnsi="Cambria Math" w:cstheme="majorBidi"/>
                          </w:rPr>
                          <m:t>*</m:t>
                        </m:r>
                      </m:sup>
                    </m:sSup>
                    <m:r>
                      <m:rPr>
                        <m:sty m:val="p"/>
                      </m:rPr>
                      <w:rPr>
                        <w:rStyle w:val="fontstyle01"/>
                        <w:rFonts w:ascii="Cambria Math" w:eastAsia="Times New Roman" w:hAnsi="Cambria Math" w:cstheme="majorBidi"/>
                      </w:rPr>
                      <m:t>∙</m:t>
                    </m:r>
                    <m:sSup>
                      <m:sSupPr>
                        <m:ctrlPr>
                          <w:rPr>
                            <w:rStyle w:val="fontstyle01"/>
                            <w:rFonts w:ascii="Cambria Math" w:eastAsia="Times New Roman" w:hAnsi="Cambria Math" w:cstheme="majorBidi"/>
                            <w:b/>
                            <w:color w:val="auto"/>
                          </w:rPr>
                        </m:ctrlPr>
                      </m:sSupPr>
                      <m:e>
                        <m:r>
                          <m:rPr>
                            <m:sty m:val="b"/>
                          </m:rPr>
                          <w:rPr>
                            <w:rStyle w:val="fontstyle01"/>
                            <w:rFonts w:ascii="Cambria Math" w:eastAsia="Times New Roman" w:hAnsi="Cambria Math" w:cstheme="majorBidi"/>
                          </w:rPr>
                          <m:t>V</m:t>
                        </m:r>
                      </m:e>
                      <m:sup>
                        <m:r>
                          <m:rPr>
                            <m:sty m:val="bi"/>
                          </m:rPr>
                          <w:rPr>
                            <w:rStyle w:val="fontstyle01"/>
                            <w:rFonts w:ascii="Cambria Math" w:eastAsia="Times New Roman" w:hAnsi="Cambria Math" w:cstheme="majorBidi"/>
                          </w:rPr>
                          <m:t>*</m:t>
                        </m:r>
                      </m:sup>
                    </m:sSup>
                  </m:e>
                </m:d>
                <m:r>
                  <w:rPr>
                    <w:rStyle w:val="fontstyle01"/>
                    <w:rFonts w:ascii="Cambria Math" w:eastAsia="Times New Roman" w:hAnsi="Cambria Math" w:cstheme="majorBidi"/>
                  </w:rPr>
                  <m:t>+</m:t>
                </m:r>
                <m:sSup>
                  <m:sSupPr>
                    <m:ctrlPr>
                      <w:rPr>
                        <w:rStyle w:val="fontstyle01"/>
                        <w:rFonts w:ascii="Cambria Math" w:eastAsia="Times New Roman" w:hAnsi="Cambria Math" w:cstheme="majorBidi"/>
                        <w:i/>
                        <w:color w:val="auto"/>
                      </w:rPr>
                    </m:ctrlPr>
                  </m:sSupPr>
                  <m:e>
                    <m:acc>
                      <m:accPr>
                        <m:chr m:val="̇"/>
                        <m:ctrlPr>
                          <w:rPr>
                            <w:rStyle w:val="fontstyle01"/>
                            <w:rFonts w:ascii="Cambria Math" w:eastAsia="Times New Roman" w:hAnsi="Cambria Math" w:cstheme="majorBidi"/>
                            <w:i/>
                            <w:color w:val="auto"/>
                          </w:rPr>
                        </m:ctrlPr>
                      </m:accPr>
                      <m:e>
                        <m:r>
                          <w:rPr>
                            <w:rStyle w:val="fontstyle01"/>
                            <w:rFonts w:ascii="Cambria Math" w:eastAsia="Times New Roman" w:hAnsi="Cambria Math" w:cstheme="majorBidi"/>
                          </w:rPr>
                          <m:t>S</m:t>
                        </m:r>
                      </m:e>
                    </m:acc>
                  </m:e>
                  <m:sup>
                    <m:r>
                      <w:rPr>
                        <w:rStyle w:val="fontstyle01"/>
                        <w:rFonts w:ascii="Cambria Math" w:eastAsia="Times New Roman" w:hAnsi="Cambria Math" w:cstheme="majorBidi"/>
                      </w:rPr>
                      <m:t>*</m:t>
                    </m:r>
                  </m:sup>
                </m:sSup>
                <m:r>
                  <w:rPr>
                    <w:rStyle w:val="fontstyle01"/>
                    <w:rFonts w:ascii="Cambria Math" w:eastAsia="Times New Roman" w:hAnsi="Cambria Math" w:cstheme="majorBidi"/>
                  </w:rPr>
                  <m:t>=0</m:t>
                </m:r>
              </m:oMath>
            </m:oMathPara>
          </w:p>
        </w:tc>
        <w:tc>
          <w:tcPr>
            <w:tcW w:w="895" w:type="dxa"/>
            <w:vAlign w:val="center"/>
          </w:tcPr>
          <w:p w14:paraId="39A05CB6" w14:textId="303DDA16" w:rsidR="00F353B8" w:rsidRPr="004834D3" w:rsidRDefault="000B1B64" w:rsidP="006E213C">
            <w:pPr>
              <w:spacing w:before="240" w:after="240" w:line="480" w:lineRule="auto"/>
              <w:ind w:firstLine="360"/>
              <w:jc w:val="right"/>
              <w:rPr>
                <w:rFonts w:cstheme="majorBidi"/>
                <w:sz w:val="24"/>
                <w:szCs w:val="24"/>
              </w:rPr>
            </w:pPr>
            <w:r>
              <w:fldChar w:fldCharType="begin"/>
            </w:r>
            <w:r>
              <w:instrText xml:space="preserve"> STYLEREF 1 \s </w:instrText>
            </w:r>
            <w:r>
              <w:fldChar w:fldCharType="separate"/>
            </w:r>
            <w:r w:rsidR="00732AAC">
              <w:rPr>
                <w:noProof/>
                <w:cs/>
              </w:rPr>
              <w:t>‎</w:t>
            </w:r>
            <w:r w:rsidR="00732AAC">
              <w:rPr>
                <w:noProof/>
              </w:rPr>
              <w:t>5</w:t>
            </w:r>
            <w:r>
              <w:fldChar w:fldCharType="end"/>
            </w:r>
            <w:r>
              <w:noBreakHyphen/>
            </w:r>
            <w:r>
              <w:fldChar w:fldCharType="begin"/>
            </w:r>
            <w:r>
              <w:instrText xml:space="preserve"> SEQ Equation \* ARABIC \s 1 </w:instrText>
            </w:r>
            <w:r>
              <w:fldChar w:fldCharType="separate"/>
            </w:r>
            <w:r w:rsidR="00732AAC">
              <w:rPr>
                <w:noProof/>
              </w:rPr>
              <w:t>28</w:t>
            </w:r>
            <w:r>
              <w:rPr>
                <w:noProof/>
              </w:rPr>
              <w:fldChar w:fldCharType="end"/>
            </w:r>
          </w:p>
        </w:tc>
      </w:tr>
      <w:tr w:rsidR="00F353B8" w:rsidRPr="004834D3" w14:paraId="56543BB3" w14:textId="77777777" w:rsidTr="009A4AF3">
        <w:trPr>
          <w:jc w:val="center"/>
        </w:trPr>
        <w:tc>
          <w:tcPr>
            <w:tcW w:w="8455" w:type="dxa"/>
            <w:vAlign w:val="center"/>
          </w:tcPr>
          <w:p w14:paraId="32391E70" w14:textId="77777777" w:rsidR="00F353B8" w:rsidRPr="004834D3" w:rsidRDefault="00000000" w:rsidP="006E213C">
            <w:pPr>
              <w:spacing w:before="240" w:after="240" w:line="480" w:lineRule="auto"/>
              <w:ind w:firstLine="360"/>
              <w:jc w:val="both"/>
              <w:rPr>
                <w:rStyle w:val="fontstyle01"/>
                <w:rFonts w:asciiTheme="majorBidi" w:eastAsia="Calibri" w:hAnsiTheme="majorBidi" w:cstheme="majorBidi"/>
                <w:iCs/>
              </w:rPr>
            </w:pPr>
            <m:oMathPara>
              <m:oMathParaPr>
                <m:jc m:val="left"/>
              </m:oMathParaPr>
              <m:oMath>
                <m:sSub>
                  <m:sSubPr>
                    <m:ctrlPr>
                      <w:rPr>
                        <w:rStyle w:val="fontstyle01"/>
                        <w:rFonts w:ascii="Cambria Math" w:eastAsia="Calibri" w:hAnsi="Cambria Math" w:cstheme="majorBidi"/>
                        <w:i/>
                        <w:color w:val="auto"/>
                      </w:rPr>
                    </m:ctrlPr>
                  </m:sSubPr>
                  <m:e>
                    <m:d>
                      <m:dPr>
                        <m:begChr m:val=""/>
                        <m:endChr m:val="|"/>
                        <m:ctrlPr>
                          <w:rPr>
                            <w:rStyle w:val="fontstyle01"/>
                            <w:rFonts w:ascii="Cambria Math" w:eastAsia="Calibri" w:hAnsi="Cambria Math" w:cstheme="majorBidi"/>
                            <w:i/>
                            <w:color w:val="auto"/>
                          </w:rPr>
                        </m:ctrlPr>
                      </m:dPr>
                      <m:e>
                        <m:f>
                          <m:fPr>
                            <m:ctrlPr>
                              <w:rPr>
                                <w:rStyle w:val="fontstyle01"/>
                                <w:rFonts w:ascii="Cambria Math" w:eastAsia="Calibri" w:hAnsi="Cambria Math" w:cstheme="majorBidi"/>
                                <w:i/>
                                <w:color w:val="auto"/>
                              </w:rPr>
                            </m:ctrlPr>
                          </m:fPr>
                          <m:num>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V</m:t>
                                </m:r>
                              </m:e>
                              <m:sup>
                                <m:r>
                                  <w:rPr>
                                    <w:rStyle w:val="fontstyle01"/>
                                    <w:rFonts w:ascii="Cambria Math" w:eastAsia="Calibri" w:hAnsi="Cambria Math" w:cstheme="majorBidi"/>
                                  </w:rPr>
                                  <m:t>*</m:t>
                                </m:r>
                              </m:sup>
                            </m:sSup>
                          </m:num>
                          <m:den>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e>
                    </m:d>
                  </m:e>
                  <m:sub>
                    <m:r>
                      <m:rPr>
                        <m:sty m:val="p"/>
                      </m:rPr>
                      <w:rPr>
                        <w:rStyle w:val="fontstyle01"/>
                        <w:rFonts w:ascii="Cambria Math" w:eastAsia="Calibri" w:hAnsi="Cambria Math" w:cstheme="majorBidi"/>
                      </w:rPr>
                      <m:t>ref</m:t>
                    </m:r>
                  </m:sub>
                </m:sSub>
                <m:r>
                  <m:rPr>
                    <m:sty m:val="p"/>
                  </m:rPr>
                  <w:rPr>
                    <w:rStyle w:val="fontstyle01"/>
                    <w:rFonts w:ascii="Cambria Math" w:eastAsia="Calibri" w:hAnsi="Cambria Math" w:cstheme="majorBidi"/>
                  </w:rPr>
                  <m:t>+</m:t>
                </m:r>
                <m:sSub>
                  <m:sSubPr>
                    <m:ctrlPr>
                      <w:rPr>
                        <w:rStyle w:val="fontstyle01"/>
                        <w:rFonts w:ascii="Cambria Math" w:eastAsia="Calibri" w:hAnsi="Cambria Math" w:cstheme="majorBidi"/>
                        <w:iCs/>
                        <w:color w:val="auto"/>
                      </w:rPr>
                    </m:ctrlPr>
                  </m:sSubPr>
                  <m:e>
                    <m:r>
                      <m:rPr>
                        <m:sty m:val="p"/>
                      </m:rPr>
                      <w:rPr>
                        <w:rStyle w:val="fontstyle01"/>
                        <w:rFonts w:ascii="Cambria Math" w:eastAsia="Calibri" w:hAnsi="Cambria Math" w:cstheme="majorBidi"/>
                      </w:rPr>
                      <m:t>Re</m:t>
                    </m:r>
                  </m:e>
                  <m:sub>
                    <m:r>
                      <w:rPr>
                        <w:rStyle w:val="fontstyle01"/>
                        <w:rFonts w:ascii="Cambria Math" w:eastAsia="Calibri" w:hAnsi="Cambria Math" w:cstheme="majorBidi"/>
                      </w:rPr>
                      <m:t>D</m:t>
                    </m:r>
                  </m:sub>
                </m:sSub>
                <m:d>
                  <m:dPr>
                    <m:ctrlPr>
                      <w:rPr>
                        <w:rStyle w:val="fontstyle01"/>
                        <w:rFonts w:ascii="Cambria Math" w:eastAsia="Calibri" w:hAnsi="Cambria Math" w:cstheme="majorBidi"/>
                        <w:i/>
                        <w:color w:val="auto"/>
                      </w:rPr>
                    </m:ctrlPr>
                  </m:dPr>
                  <m:e>
                    <m:d>
                      <m:dPr>
                        <m:ctrlPr>
                          <w:rPr>
                            <w:rStyle w:val="fontstyle01"/>
                            <w:rFonts w:ascii="Cambria Math" w:eastAsia="Calibri" w:hAnsi="Cambria Math" w:cstheme="majorBidi"/>
                            <w:i/>
                            <w:color w:val="auto"/>
                          </w:rPr>
                        </m:ctrlPr>
                      </m:dPr>
                      <m:e>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V</m:t>
                            </m:r>
                          </m:e>
                          <m:sup>
                            <m:r>
                              <w:rPr>
                                <w:rStyle w:val="fontstyle01"/>
                                <w:rFonts w:ascii="Cambria Math" w:eastAsia="Calibri" w:hAnsi="Cambria Math" w:cstheme="majorBidi"/>
                              </w:rPr>
                              <m:t>*</m:t>
                            </m:r>
                          </m:sup>
                        </m:sSup>
                        <m:r>
                          <w:rPr>
                            <w:rStyle w:val="fontstyle01"/>
                            <w:rFonts w:ascii="Cambria Math" w:eastAsia="Calibri" w:hAnsi="Cambria Math" w:cstheme="majorBidi"/>
                          </w:rPr>
                          <m:t>-</m:t>
                        </m:r>
                        <m:sSubSup>
                          <m:sSubSupPr>
                            <m:ctrlPr>
                              <w:rPr>
                                <w:rStyle w:val="fontstyle01"/>
                                <w:rFonts w:ascii="Cambria Math" w:eastAsia="Calibri" w:hAnsi="Cambria Math" w:cstheme="majorBidi"/>
                                <w:i/>
                                <w:color w:val="auto"/>
                              </w:rPr>
                            </m:ctrlPr>
                          </m:sSubSupPr>
                          <m:e>
                            <m:r>
                              <m:rPr>
                                <m:sty m:val="b"/>
                              </m:rPr>
                              <w:rPr>
                                <w:rStyle w:val="fontstyle01"/>
                                <w:rFonts w:ascii="Cambria Math" w:eastAsia="Calibri" w:hAnsi="Cambria Math" w:cstheme="majorBidi"/>
                              </w:rPr>
                              <m:t>V</m:t>
                            </m:r>
                          </m:e>
                          <m:sub>
                            <m:r>
                              <m:rPr>
                                <m:sty m:val="p"/>
                              </m:rPr>
                              <w:rPr>
                                <w:rStyle w:val="fontstyle01"/>
                                <w:rFonts w:ascii="Cambria Math" w:eastAsia="Calibri" w:hAnsi="Cambria Math" w:cstheme="majorBidi"/>
                              </w:rPr>
                              <m:t>mesh</m:t>
                            </m:r>
                          </m:sub>
                          <m:sup>
                            <m:r>
                              <w:rPr>
                                <w:rStyle w:val="fontstyle01"/>
                                <w:rFonts w:ascii="Cambria Math" w:eastAsia="Calibri" w:hAnsi="Cambria Math" w:cstheme="majorBidi"/>
                              </w:rPr>
                              <m:t>*</m:t>
                            </m:r>
                          </m:sup>
                        </m:sSubSup>
                      </m:e>
                    </m:d>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m:t>
                        </m:r>
                      </m:e>
                      <m:sup>
                        <m:r>
                          <w:rPr>
                            <w:rStyle w:val="fontstyle01"/>
                            <w:rFonts w:ascii="Cambria Math" w:eastAsia="Calibri" w:hAnsi="Cambria Math" w:cstheme="majorBidi"/>
                          </w:rPr>
                          <m:t>*</m:t>
                        </m:r>
                      </m:sup>
                    </m:sSup>
                  </m:e>
                </m:d>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V</m:t>
                    </m:r>
                  </m:e>
                  <m:sup>
                    <m:r>
                      <w:rPr>
                        <w:rStyle w:val="fontstyle01"/>
                        <w:rFonts w:ascii="Cambria Math" w:eastAsia="Calibri" w:hAnsi="Cambria Math" w:cstheme="majorBidi"/>
                      </w:rPr>
                      <m:t>*</m:t>
                    </m:r>
                  </m:sup>
                </m:sSup>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m:t>
                    </m:r>
                  </m:e>
                  <m:sup>
                    <m:r>
                      <w:rPr>
                        <w:rStyle w:val="fontstyle01"/>
                        <w:rFonts w:ascii="Cambria Math" w:eastAsia="Calibri" w:hAnsi="Cambria Math" w:cstheme="majorBidi"/>
                      </w:rPr>
                      <m:t>*</m:t>
                    </m:r>
                  </m:sup>
                </m:sSup>
                <m:sSup>
                  <m:sSupPr>
                    <m:ctrlPr>
                      <w:rPr>
                        <w:rStyle w:val="fontstyle01"/>
                        <w:rFonts w:ascii="Cambria Math" w:eastAsia="Calibri" w:hAnsi="Cambria Math" w:cstheme="majorBidi"/>
                        <w:color w:val="auto"/>
                      </w:rPr>
                    </m:ctrlPr>
                  </m:sSupPr>
                  <m:e>
                    <m:r>
                      <w:rPr>
                        <w:rStyle w:val="fontstyle01"/>
                        <w:rFonts w:ascii="Cambria Math" w:eastAsia="Calibri" w:hAnsi="Cambria Math" w:cstheme="majorBidi"/>
                      </w:rPr>
                      <m:t>p</m:t>
                    </m:r>
                  </m:e>
                  <m:sup>
                    <m:r>
                      <w:rPr>
                        <w:rStyle w:val="fontstyle01"/>
                        <w:rFonts w:ascii="Cambria Math" w:eastAsia="Calibri" w:hAnsi="Cambria Math" w:cstheme="majorBidi"/>
                      </w:rPr>
                      <m:t>*</m:t>
                    </m:r>
                  </m:sup>
                </m:sSup>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sSup>
                      <m:sSupPr>
                        <m:ctrlPr>
                          <w:rPr>
                            <w:rStyle w:val="fontstyle01"/>
                            <w:rFonts w:ascii="Cambria Math" w:eastAsia="Calibri" w:hAnsi="Cambria Math" w:cstheme="majorBidi"/>
                            <w:color w:val="auto"/>
                          </w:rPr>
                        </m:ctrlPr>
                      </m:sSupPr>
                      <m:e>
                        <m:r>
                          <m:rPr>
                            <m:sty m:val="p"/>
                          </m:rPr>
                          <w:rPr>
                            <w:rStyle w:val="fontstyle01"/>
                            <w:rFonts w:ascii="Cambria Math" w:eastAsia="Calibri" w:hAnsi="Cambria Math" w:cstheme="majorBidi"/>
                          </w:rPr>
                          <m:t>∇</m:t>
                        </m:r>
                      </m:e>
                      <m:sup>
                        <m:r>
                          <m:rPr>
                            <m:sty m:val="p"/>
                          </m:rPr>
                          <w:rPr>
                            <w:rStyle w:val="fontstyle01"/>
                            <w:rFonts w:ascii="Cambria Math" w:eastAsia="Calibri" w:hAnsi="Cambria Math" w:cstheme="majorBidi"/>
                          </w:rPr>
                          <m:t>*</m:t>
                        </m:r>
                      </m:sup>
                    </m:sSup>
                  </m:e>
                  <m:sup>
                    <m:r>
                      <w:rPr>
                        <w:rStyle w:val="fontstyle01"/>
                        <w:rFonts w:ascii="Cambria Math" w:eastAsia="Calibri" w:hAnsi="Cambria Math" w:cstheme="majorBidi"/>
                      </w:rPr>
                      <m:t>2</m:t>
                    </m:r>
                  </m:sup>
                </m:sSup>
                <m:sSup>
                  <m:sSupPr>
                    <m:ctrlPr>
                      <w:rPr>
                        <w:rStyle w:val="fontstyle01"/>
                        <w:rFonts w:ascii="Cambria Math" w:eastAsia="Calibri" w:hAnsi="Cambria Math" w:cstheme="majorBidi"/>
                        <w:i/>
                        <w:color w:val="auto"/>
                      </w:rPr>
                    </m:ctrlPr>
                  </m:sSupPr>
                  <m:e>
                    <m:r>
                      <m:rPr>
                        <m:sty m:val="b"/>
                      </m:rPr>
                      <w:rPr>
                        <w:rStyle w:val="fontstyle01"/>
                        <w:rFonts w:ascii="Cambria Math" w:eastAsia="Calibri" w:hAnsi="Cambria Math" w:cstheme="majorBidi"/>
                      </w:rPr>
                      <m:t>V</m:t>
                    </m:r>
                  </m:e>
                  <m:sup>
                    <m:r>
                      <w:rPr>
                        <w:rStyle w:val="fontstyle01"/>
                        <w:rFonts w:ascii="Cambria Math" w:eastAsia="Calibri" w:hAnsi="Cambria Math" w:cstheme="majorBidi"/>
                      </w:rPr>
                      <m:t>*</m:t>
                    </m:r>
                  </m:sup>
                </m:sSup>
                <m:r>
                  <w:rPr>
                    <w:rStyle w:val="fontstyle01"/>
                    <w:rFonts w:ascii="Cambria Math" w:eastAsia="Calibri" w:hAnsi="Cambria Math" w:cstheme="majorBidi"/>
                  </w:rPr>
                  <m:t>-</m:t>
                </m:r>
                <m:f>
                  <m:fPr>
                    <m:ctrlPr>
                      <w:rPr>
                        <w:rStyle w:val="fontstyle01"/>
                        <w:rFonts w:ascii="Cambria Math" w:eastAsia="Calibri" w:hAnsi="Cambria Math" w:cstheme="majorBidi"/>
                        <w:i/>
                        <w:color w:val="auto"/>
                      </w:rPr>
                    </m:ctrlPr>
                  </m:fPr>
                  <m:num>
                    <m:r>
                      <m:rPr>
                        <m:sty m:val="p"/>
                      </m:rPr>
                      <w:rPr>
                        <w:rStyle w:val="fontstyle01"/>
                        <w:rFonts w:ascii="Cambria Math" w:eastAsia="Calibri" w:hAnsi="Cambria Math" w:cstheme="majorBidi"/>
                      </w:rPr>
                      <m:t>Gr</m:t>
                    </m:r>
                  </m:num>
                  <m:den>
                    <m:sSub>
                      <m:sSubPr>
                        <m:ctrlPr>
                          <w:rPr>
                            <w:rStyle w:val="fontstyle01"/>
                            <w:rFonts w:ascii="Cambria Math" w:eastAsia="Calibri" w:hAnsi="Cambria Math" w:cstheme="majorBidi"/>
                            <w:iCs/>
                            <w:color w:val="auto"/>
                          </w:rPr>
                        </m:ctrlPr>
                      </m:sSubPr>
                      <m:e>
                        <m:r>
                          <m:rPr>
                            <m:sty m:val="p"/>
                          </m:rPr>
                          <w:rPr>
                            <w:rStyle w:val="fontstyle01"/>
                            <w:rFonts w:ascii="Cambria Math" w:eastAsia="Calibri" w:hAnsi="Cambria Math" w:cstheme="majorBidi"/>
                          </w:rPr>
                          <m:t>Re</m:t>
                        </m:r>
                      </m:e>
                      <m:sub>
                        <m:r>
                          <w:rPr>
                            <w:rStyle w:val="fontstyle01"/>
                            <w:rFonts w:ascii="Cambria Math" w:eastAsia="Calibri" w:hAnsi="Cambria Math" w:cstheme="majorBidi"/>
                          </w:rPr>
                          <m:t>D</m:t>
                        </m:r>
                      </m:sub>
                    </m:sSub>
                  </m:den>
                </m:f>
                <m:sSup>
                  <m:sSupPr>
                    <m:ctrlPr>
                      <w:rPr>
                        <w:rStyle w:val="fontstyle01"/>
                        <w:rFonts w:ascii="Cambria Math" w:eastAsia="Calibri" w:hAnsi="Cambria Math" w:cstheme="majorBidi"/>
                        <w:i/>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r>
                  <m:rPr>
                    <m:sty m:val="b"/>
                  </m:rPr>
                  <w:rPr>
                    <w:rStyle w:val="fontstyle01"/>
                    <w:rFonts w:ascii="Cambria Math" w:eastAsia="Calibri" w:hAnsi="Cambria Math" w:cstheme="majorBidi"/>
                  </w:rPr>
                  <m:t>j</m:t>
                </m:r>
                <m:r>
                  <w:rPr>
                    <w:rStyle w:val="fontstyle01"/>
                    <w:rFonts w:ascii="Cambria Math" w:eastAsia="Calibri" w:hAnsi="Cambria Math" w:cstheme="majorBidi"/>
                  </w:rPr>
                  <m:t>-</m:t>
                </m:r>
                <m:f>
                  <m:fPr>
                    <m:ctrlPr>
                      <w:rPr>
                        <w:rStyle w:val="fontstyle01"/>
                        <w:rFonts w:ascii="Cambria Math" w:eastAsia="Calibri" w:hAnsi="Cambria Math" w:cstheme="majorBidi"/>
                        <w:i/>
                        <w:color w:val="auto"/>
                      </w:rPr>
                    </m:ctrlPr>
                  </m:fPr>
                  <m:num>
                    <m:r>
                      <w:rPr>
                        <w:rStyle w:val="fontstyle01"/>
                        <w:rFonts w:ascii="Cambria Math" w:eastAsia="Calibri" w:hAnsi="Cambria Math" w:cstheme="majorBidi"/>
                      </w:rPr>
                      <m:t>∂</m:t>
                    </m:r>
                    <m:sSubSup>
                      <m:sSubSupPr>
                        <m:ctrlPr>
                          <w:rPr>
                            <w:rStyle w:val="fontstyle01"/>
                            <w:rFonts w:ascii="Cambria Math" w:eastAsia="Calibri" w:hAnsi="Cambria Math" w:cstheme="majorBidi"/>
                            <w:i/>
                            <w:color w:val="auto"/>
                          </w:rPr>
                        </m:ctrlPr>
                      </m:sSubSupPr>
                      <m:e>
                        <m:r>
                          <m:rPr>
                            <m:sty m:val="b"/>
                          </m:rPr>
                          <w:rPr>
                            <w:rStyle w:val="fontstyle01"/>
                            <w:rFonts w:ascii="Cambria Math" w:eastAsia="Calibri" w:hAnsi="Cambria Math" w:cstheme="majorBidi"/>
                          </w:rPr>
                          <m:t>V</m:t>
                        </m:r>
                      </m:e>
                      <m:sub>
                        <m:r>
                          <m:rPr>
                            <m:sty m:val="p"/>
                          </m:rPr>
                          <w:rPr>
                            <w:rStyle w:val="fontstyle01"/>
                            <w:rFonts w:ascii="Cambria Math" w:eastAsia="Calibri" w:hAnsi="Cambria Math" w:cstheme="majorBidi"/>
                          </w:rPr>
                          <m:t>frame</m:t>
                        </m:r>
                      </m:sub>
                      <m:sup>
                        <m:r>
                          <w:rPr>
                            <w:rStyle w:val="fontstyle01"/>
                            <w:rFonts w:ascii="Cambria Math" w:eastAsia="Calibri" w:hAnsi="Cambria Math" w:cstheme="majorBidi"/>
                          </w:rPr>
                          <m:t>*</m:t>
                        </m:r>
                      </m:sup>
                    </m:sSubSup>
                  </m:num>
                  <m:den>
                    <m:r>
                      <w:rPr>
                        <w:rStyle w:val="fontstyle01"/>
                        <w:rFonts w:ascii="Cambria Math" w:eastAsia="Calibri" w:hAnsi="Cambria Math" w:cstheme="majorBidi"/>
                      </w:rPr>
                      <m:t>∂</m:t>
                    </m:r>
                    <m:sSup>
                      <m:sSupPr>
                        <m:ctrlPr>
                          <w:rPr>
                            <w:rStyle w:val="fontstyle01"/>
                            <w:rFonts w:ascii="Cambria Math" w:eastAsia="Calibri" w:hAnsi="Cambria Math" w:cstheme="majorBidi"/>
                            <w:i/>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oMath>
            </m:oMathPara>
          </w:p>
        </w:tc>
        <w:tc>
          <w:tcPr>
            <w:tcW w:w="895" w:type="dxa"/>
            <w:vAlign w:val="center"/>
          </w:tcPr>
          <w:p w14:paraId="5451847B" w14:textId="4A722DC5" w:rsidR="00F353B8" w:rsidRPr="002466B5" w:rsidRDefault="000B1B64" w:rsidP="006E213C">
            <w:pPr>
              <w:pStyle w:val="Caption"/>
              <w:spacing w:after="240" w:line="480" w:lineRule="auto"/>
              <w:ind w:firstLine="360"/>
              <w:jc w:val="right"/>
              <w:rPr>
                <w:rFonts w:cstheme="majorBidi"/>
                <w:sz w:val="24"/>
                <w:szCs w:val="24"/>
              </w:rPr>
            </w:pPr>
            <w:r>
              <w:rPr>
                <w:rFonts w:cstheme="majorBidi"/>
                <w:szCs w:val="24"/>
              </w:rPr>
              <w:fldChar w:fldCharType="begin"/>
            </w:r>
            <w:r>
              <w:rPr>
                <w:rFonts w:cstheme="majorBidi"/>
                <w:szCs w:val="24"/>
              </w:rPr>
              <w:instrText xml:space="preserve"> STYLEREF 1 \s </w:instrText>
            </w:r>
            <w:r>
              <w:rPr>
                <w:rFonts w:cstheme="majorBidi"/>
                <w:szCs w:val="24"/>
              </w:rPr>
              <w:fldChar w:fldCharType="separate"/>
            </w:r>
            <w:r w:rsidR="00732AAC">
              <w:rPr>
                <w:rFonts w:cstheme="majorBidi"/>
                <w:noProof/>
                <w:szCs w:val="24"/>
                <w:cs/>
              </w:rPr>
              <w:t>‎</w:t>
            </w:r>
            <w:r w:rsidR="00732AAC">
              <w:rPr>
                <w:rFonts w:cstheme="majorBidi"/>
                <w:noProof/>
                <w:szCs w:val="24"/>
              </w:rPr>
              <w:t>5</w:t>
            </w:r>
            <w:r>
              <w:rPr>
                <w:rFonts w:cstheme="majorBidi"/>
                <w:szCs w:val="24"/>
              </w:rPr>
              <w:fldChar w:fldCharType="end"/>
            </w:r>
            <w:r>
              <w:rPr>
                <w:rFonts w:cstheme="majorBidi"/>
                <w:szCs w:val="24"/>
              </w:rPr>
              <w:noBreakHyphen/>
            </w:r>
            <w:r>
              <w:rPr>
                <w:rFonts w:cstheme="majorBidi"/>
                <w:szCs w:val="24"/>
              </w:rPr>
              <w:fldChar w:fldCharType="begin"/>
            </w:r>
            <w:r>
              <w:rPr>
                <w:rFonts w:cstheme="majorBidi"/>
                <w:szCs w:val="24"/>
              </w:rPr>
              <w:instrText xml:space="preserve"> SEQ Equation \* ARABIC \s 1 </w:instrText>
            </w:r>
            <w:r>
              <w:rPr>
                <w:rFonts w:cstheme="majorBidi"/>
                <w:szCs w:val="24"/>
              </w:rPr>
              <w:fldChar w:fldCharType="separate"/>
            </w:r>
            <w:r w:rsidR="00732AAC">
              <w:rPr>
                <w:rFonts w:cstheme="majorBidi"/>
                <w:noProof/>
                <w:szCs w:val="24"/>
              </w:rPr>
              <w:t>29</w:t>
            </w:r>
            <w:r>
              <w:rPr>
                <w:rFonts w:cstheme="majorBidi"/>
                <w:szCs w:val="24"/>
              </w:rPr>
              <w:fldChar w:fldCharType="end"/>
            </w:r>
          </w:p>
        </w:tc>
      </w:tr>
      <w:tr w:rsidR="00F353B8" w:rsidRPr="004834D3" w14:paraId="5B45A823" w14:textId="77777777" w:rsidTr="009A4AF3">
        <w:trPr>
          <w:jc w:val="center"/>
        </w:trPr>
        <w:tc>
          <w:tcPr>
            <w:tcW w:w="8455" w:type="dxa"/>
            <w:vAlign w:val="center"/>
          </w:tcPr>
          <w:p w14:paraId="788313C5" w14:textId="77777777" w:rsidR="00F353B8" w:rsidRPr="004834D3" w:rsidRDefault="00000000" w:rsidP="006E213C">
            <w:pPr>
              <w:spacing w:before="240" w:after="240" w:line="480" w:lineRule="auto"/>
              <w:ind w:firstLine="360"/>
              <w:jc w:val="both"/>
              <w:rPr>
                <w:rStyle w:val="fontstyle01"/>
                <w:rFonts w:asciiTheme="majorBidi" w:eastAsia="Calibri" w:hAnsiTheme="majorBidi" w:cstheme="majorBidi"/>
                <w:iCs/>
              </w:rPr>
            </w:pPr>
            <m:oMathPara>
              <m:oMathParaPr>
                <m:jc m:val="left"/>
              </m:oMathParaPr>
              <m:oMath>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m:t>
                    </m:r>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num>
                  <m:den>
                    <m:r>
                      <w:rPr>
                        <w:rStyle w:val="fontstyle01"/>
                        <w:rFonts w:ascii="Cambria Math" w:eastAsia="Calibri" w:hAnsi="Cambria Math" w:cstheme="majorBidi"/>
                      </w:rPr>
                      <m:t>∂</m:t>
                    </m:r>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r>
                  <w:rPr>
                    <w:rStyle w:val="fontstyle01"/>
                    <w:rFonts w:ascii="Cambria Math" w:eastAsia="Calibri" w:hAnsi="Cambria Math" w:cstheme="majorBidi"/>
                  </w:rPr>
                  <m:t>+</m:t>
                </m:r>
                <m:sSub>
                  <m:sSubPr>
                    <m:ctrlPr>
                      <w:rPr>
                        <w:rStyle w:val="fontstyle01"/>
                        <w:rFonts w:ascii="Cambria Math" w:eastAsia="Calibri" w:hAnsi="Cambria Math" w:cstheme="majorBidi"/>
                        <w:color w:val="auto"/>
                      </w:rPr>
                    </m:ctrlPr>
                  </m:sSubPr>
                  <m:e>
                    <m:r>
                      <m:rPr>
                        <m:sty m:val="p"/>
                      </m:rPr>
                      <w:rPr>
                        <w:rStyle w:val="fontstyle01"/>
                        <w:rFonts w:ascii="Cambria Math" w:eastAsia="Calibri" w:hAnsi="Cambria Math" w:cstheme="majorBidi"/>
                      </w:rPr>
                      <m:t>Re</m:t>
                    </m:r>
                  </m:e>
                  <m:sub>
                    <m:r>
                      <w:rPr>
                        <w:rStyle w:val="fontstyle01"/>
                        <w:rFonts w:ascii="Cambria Math" w:eastAsia="Calibri" w:hAnsi="Cambria Math" w:cstheme="majorBidi"/>
                      </w:rPr>
                      <m:t>D</m:t>
                    </m:r>
                  </m:sub>
                </m:sSub>
                <m:d>
                  <m:dPr>
                    <m:ctrlPr>
                      <w:rPr>
                        <w:rStyle w:val="fontstyle01"/>
                        <w:rFonts w:ascii="Cambria Math" w:eastAsia="Calibri" w:hAnsi="Cambria Math" w:cstheme="majorBidi"/>
                        <w:i/>
                        <w:iCs/>
                        <w:color w:val="auto"/>
                      </w:rPr>
                    </m:ctrlPr>
                  </m:dPr>
                  <m:e>
                    <m:sSup>
                      <m:sSupPr>
                        <m:ctrlPr>
                          <w:rPr>
                            <w:rStyle w:val="fontstyle01"/>
                            <w:rFonts w:ascii="Cambria Math" w:eastAsia="Calibri" w:hAnsi="Cambria Math" w:cstheme="majorBidi"/>
                            <w:i/>
                            <w:iCs/>
                            <w:color w:val="auto"/>
                          </w:rPr>
                        </m:ctrlPr>
                      </m:sSupPr>
                      <m:e>
                        <m:r>
                          <m:rPr>
                            <m:sty m:val="b"/>
                          </m:rPr>
                          <w:rPr>
                            <w:rStyle w:val="fontstyle01"/>
                            <w:rFonts w:ascii="Cambria Math" w:eastAsia="Calibri" w:hAnsi="Cambria Math" w:cstheme="majorBidi"/>
                          </w:rPr>
                          <m:t>V</m:t>
                        </m:r>
                      </m:e>
                      <m:sup>
                        <m:r>
                          <w:rPr>
                            <w:rStyle w:val="fontstyle01"/>
                            <w:rFonts w:ascii="Cambria Math" w:eastAsia="Calibri" w:hAnsi="Cambria Math" w:cstheme="majorBidi"/>
                          </w:rPr>
                          <m:t>*</m:t>
                        </m:r>
                      </m:sup>
                    </m:sSup>
                    <m:r>
                      <w:rPr>
                        <w:rStyle w:val="fontstyle01"/>
                        <w:rFonts w:ascii="Cambria Math" w:eastAsia="Calibri" w:hAnsi="Cambria Math" w:cstheme="majorBidi"/>
                      </w:rPr>
                      <m:t>-</m:t>
                    </m:r>
                    <m:sSubSup>
                      <m:sSubSupPr>
                        <m:ctrlPr>
                          <w:rPr>
                            <w:rStyle w:val="fontstyle01"/>
                            <w:rFonts w:ascii="Cambria Math" w:eastAsia="Calibri" w:hAnsi="Cambria Math" w:cstheme="majorBidi"/>
                            <w:i/>
                            <w:iCs/>
                            <w:color w:val="auto"/>
                          </w:rPr>
                        </m:ctrlPr>
                      </m:sSubSupPr>
                      <m:e>
                        <m:r>
                          <m:rPr>
                            <m:sty m:val="b"/>
                          </m:rPr>
                          <w:rPr>
                            <w:rStyle w:val="fontstyle01"/>
                            <w:rFonts w:ascii="Cambria Math" w:eastAsia="Calibri" w:hAnsi="Cambria Math" w:cstheme="majorBidi"/>
                          </w:rPr>
                          <m:t>V</m:t>
                        </m:r>
                      </m:e>
                      <m:sub>
                        <m:r>
                          <m:rPr>
                            <m:sty m:val="p"/>
                          </m:rPr>
                          <w:rPr>
                            <w:rStyle w:val="fontstyle01"/>
                            <w:rFonts w:ascii="Cambria Math" w:eastAsia="Calibri" w:hAnsi="Cambria Math" w:cstheme="majorBidi"/>
                          </w:rPr>
                          <m:t>mesh</m:t>
                        </m:r>
                      </m:sub>
                      <m:sup>
                        <m:r>
                          <w:rPr>
                            <w:rStyle w:val="fontstyle01"/>
                            <w:rFonts w:ascii="Cambria Math" w:eastAsia="Calibri" w:hAnsi="Cambria Math" w:cstheme="majorBidi"/>
                          </w:rPr>
                          <m:t>*</m:t>
                        </m:r>
                      </m:sup>
                    </m:sSubSup>
                  </m:e>
                </m:d>
                <m:r>
                  <w:rPr>
                    <w:rStyle w:val="fontstyle01"/>
                    <w:rFonts w:ascii="Cambria Math" w:eastAsia="Calibri" w:hAnsi="Cambria Math" w:cstheme="majorBidi"/>
                  </w:rPr>
                  <m:t>∙</m:t>
                </m:r>
                <m:sSup>
                  <m:sSupPr>
                    <m:ctrlPr>
                      <w:rPr>
                        <w:rStyle w:val="fontstyle01"/>
                        <w:rFonts w:ascii="Cambria Math" w:eastAsia="Calibri" w:hAnsi="Cambria Math" w:cstheme="majorBidi"/>
                        <w:i/>
                        <w:iCs/>
                        <w:color w:val="auto"/>
                      </w:rPr>
                    </m:ctrlPr>
                  </m:sSupPr>
                  <m:e>
                    <m:r>
                      <m:rPr>
                        <m:sty m:val="b"/>
                      </m:rPr>
                      <w:rPr>
                        <w:rStyle w:val="fontstyle01"/>
                        <w:rFonts w:ascii="Cambria Math" w:eastAsia="Calibri" w:hAnsi="Cambria Math" w:cstheme="majorBidi"/>
                      </w:rPr>
                      <m:t>∇</m:t>
                    </m:r>
                    <m:ctrlPr>
                      <w:rPr>
                        <w:rStyle w:val="fontstyle01"/>
                        <w:rFonts w:ascii="Cambria Math" w:eastAsia="Calibri" w:hAnsi="Cambria Math" w:cstheme="majorBidi"/>
                        <w:i/>
                        <w:color w:val="auto"/>
                      </w:rPr>
                    </m:ctrlPr>
                  </m:e>
                  <m:sup>
                    <m:r>
                      <w:rPr>
                        <w:rStyle w:val="fontstyle01"/>
                        <w:rFonts w:ascii="Cambria Math" w:eastAsia="Calibri" w:hAnsi="Cambria Math" w:cstheme="majorBidi"/>
                      </w:rPr>
                      <m:t>*</m:t>
                    </m:r>
                  </m:sup>
                </m:sSup>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r>
                  <w:rPr>
                    <w:rStyle w:val="fontstyle01"/>
                    <w:rFonts w:ascii="Cambria Math" w:eastAsia="Calibri" w:hAnsi="Cambria Math" w:cstheme="majorBidi"/>
                  </w:rPr>
                  <m:t>=</m:t>
                </m:r>
                <m:f>
                  <m:fPr>
                    <m:ctrlPr>
                      <w:rPr>
                        <w:rStyle w:val="fontstyle01"/>
                        <w:rFonts w:ascii="Cambria Math" w:eastAsia="Calibri" w:hAnsi="Cambria Math" w:cstheme="majorBidi"/>
                        <w:color w:val="auto"/>
                      </w:rPr>
                    </m:ctrlPr>
                  </m:fPr>
                  <m:num>
                    <m:r>
                      <m:rPr>
                        <m:sty m:val="p"/>
                      </m:rPr>
                      <w:rPr>
                        <w:rStyle w:val="fontstyle01"/>
                        <w:rFonts w:ascii="Cambria Math" w:eastAsia="Calibri" w:hAnsi="Cambria Math" w:cstheme="majorBidi"/>
                      </w:rPr>
                      <m:t>1</m:t>
                    </m:r>
                  </m:num>
                  <m:den>
                    <m:r>
                      <m:rPr>
                        <m:sty m:val="p"/>
                      </m:rPr>
                      <w:rPr>
                        <w:rStyle w:val="fontstyle01"/>
                        <w:rFonts w:ascii="Cambria Math" w:eastAsia="Calibri" w:hAnsi="Cambria Math" w:cstheme="majorBidi"/>
                      </w:rPr>
                      <m:t>Pr</m:t>
                    </m:r>
                  </m:den>
                </m:f>
                <m:sSup>
                  <m:sSupPr>
                    <m:ctrlPr>
                      <w:rPr>
                        <w:rStyle w:val="fontstyle01"/>
                        <w:rFonts w:ascii="Cambria Math" w:eastAsia="Calibri" w:hAnsi="Cambria Math" w:cstheme="majorBidi"/>
                        <w:i/>
                        <w:iCs/>
                        <w:color w:val="auto"/>
                      </w:rPr>
                    </m:ctrlPr>
                  </m:sSupPr>
                  <m:e>
                    <m:sSup>
                      <m:sSupPr>
                        <m:ctrlPr>
                          <w:rPr>
                            <w:rStyle w:val="fontstyle01"/>
                            <w:rFonts w:ascii="Cambria Math" w:eastAsia="Calibri" w:hAnsi="Cambria Math" w:cstheme="majorBidi"/>
                            <w:color w:val="auto"/>
                          </w:rPr>
                        </m:ctrlPr>
                      </m:sSupPr>
                      <m:e>
                        <m:r>
                          <m:rPr>
                            <m:sty m:val="p"/>
                          </m:rPr>
                          <w:rPr>
                            <w:rStyle w:val="fontstyle01"/>
                            <w:rFonts w:ascii="Cambria Math" w:eastAsia="Calibri" w:hAnsi="Cambria Math" w:cstheme="majorBidi"/>
                          </w:rPr>
                          <m:t>∇</m:t>
                        </m:r>
                      </m:e>
                      <m:sup>
                        <m:r>
                          <m:rPr>
                            <m:sty m:val="p"/>
                          </m:rPr>
                          <w:rPr>
                            <w:rStyle w:val="fontstyle01"/>
                            <w:rFonts w:ascii="Cambria Math" w:eastAsia="Calibri" w:hAnsi="Cambria Math" w:cstheme="majorBidi"/>
                          </w:rPr>
                          <m:t>*</m:t>
                        </m:r>
                      </m:sup>
                    </m:sSup>
                  </m:e>
                  <m:sup>
                    <m:r>
                      <w:rPr>
                        <w:rStyle w:val="fontstyle01"/>
                        <w:rFonts w:ascii="Cambria Math" w:eastAsia="Calibri" w:hAnsi="Cambria Math" w:cstheme="majorBidi"/>
                      </w:rPr>
                      <m:t>2</m:t>
                    </m:r>
                  </m:sup>
                </m:sSup>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oMath>
            </m:oMathPara>
          </w:p>
        </w:tc>
        <w:tc>
          <w:tcPr>
            <w:tcW w:w="895" w:type="dxa"/>
            <w:vAlign w:val="center"/>
          </w:tcPr>
          <w:p w14:paraId="579A7349" w14:textId="7E8A5E45" w:rsidR="00F353B8" w:rsidRPr="002466B5" w:rsidRDefault="000B1B64" w:rsidP="006E213C">
            <w:pPr>
              <w:pStyle w:val="Caption"/>
              <w:spacing w:after="240" w:line="480" w:lineRule="auto"/>
              <w:ind w:firstLine="360"/>
              <w:jc w:val="right"/>
              <w:rPr>
                <w:rFonts w:cstheme="majorBidi"/>
                <w:sz w:val="24"/>
                <w:szCs w:val="24"/>
              </w:rPr>
            </w:pPr>
            <w:r>
              <w:rPr>
                <w:rFonts w:cstheme="majorBidi"/>
                <w:szCs w:val="24"/>
              </w:rPr>
              <w:fldChar w:fldCharType="begin"/>
            </w:r>
            <w:r>
              <w:rPr>
                <w:rFonts w:cstheme="majorBidi"/>
                <w:szCs w:val="24"/>
              </w:rPr>
              <w:instrText xml:space="preserve"> STYLEREF 1 \s </w:instrText>
            </w:r>
            <w:r>
              <w:rPr>
                <w:rFonts w:cstheme="majorBidi"/>
                <w:szCs w:val="24"/>
              </w:rPr>
              <w:fldChar w:fldCharType="separate"/>
            </w:r>
            <w:r w:rsidR="00732AAC">
              <w:rPr>
                <w:rFonts w:cstheme="majorBidi"/>
                <w:noProof/>
                <w:szCs w:val="24"/>
                <w:cs/>
              </w:rPr>
              <w:t>‎</w:t>
            </w:r>
            <w:r w:rsidR="00732AAC">
              <w:rPr>
                <w:rFonts w:cstheme="majorBidi"/>
                <w:noProof/>
                <w:szCs w:val="24"/>
              </w:rPr>
              <w:t>5</w:t>
            </w:r>
            <w:r>
              <w:rPr>
                <w:rFonts w:cstheme="majorBidi"/>
                <w:szCs w:val="24"/>
              </w:rPr>
              <w:fldChar w:fldCharType="end"/>
            </w:r>
            <w:r>
              <w:rPr>
                <w:rFonts w:cstheme="majorBidi"/>
                <w:szCs w:val="24"/>
              </w:rPr>
              <w:noBreakHyphen/>
            </w:r>
            <w:r>
              <w:rPr>
                <w:rFonts w:cstheme="majorBidi"/>
                <w:szCs w:val="24"/>
              </w:rPr>
              <w:fldChar w:fldCharType="begin"/>
            </w:r>
            <w:r>
              <w:rPr>
                <w:rFonts w:cstheme="majorBidi"/>
                <w:szCs w:val="24"/>
              </w:rPr>
              <w:instrText xml:space="preserve"> SEQ Equation \* ARABIC \s 1 </w:instrText>
            </w:r>
            <w:r>
              <w:rPr>
                <w:rFonts w:cstheme="majorBidi"/>
                <w:szCs w:val="24"/>
              </w:rPr>
              <w:fldChar w:fldCharType="separate"/>
            </w:r>
            <w:r w:rsidR="00732AAC">
              <w:rPr>
                <w:rFonts w:cstheme="majorBidi"/>
                <w:noProof/>
                <w:szCs w:val="24"/>
              </w:rPr>
              <w:t>30</w:t>
            </w:r>
            <w:r>
              <w:rPr>
                <w:rFonts w:cstheme="majorBidi"/>
                <w:szCs w:val="24"/>
              </w:rPr>
              <w:fldChar w:fldCharType="end"/>
            </w:r>
          </w:p>
        </w:tc>
      </w:tr>
      <w:tr w:rsidR="00F353B8" w:rsidRPr="004834D3" w14:paraId="018C300B" w14:textId="77777777" w:rsidTr="009A4AF3">
        <w:trPr>
          <w:jc w:val="center"/>
        </w:trPr>
        <w:tc>
          <w:tcPr>
            <w:tcW w:w="8455" w:type="dxa"/>
            <w:vAlign w:val="center"/>
          </w:tcPr>
          <w:p w14:paraId="1A5020C8" w14:textId="77777777" w:rsidR="00F353B8" w:rsidRPr="004834D3" w:rsidRDefault="00000000" w:rsidP="006E213C">
            <w:pPr>
              <w:spacing w:before="240" w:after="240" w:line="480" w:lineRule="auto"/>
              <w:ind w:firstLine="360"/>
              <w:jc w:val="both"/>
              <w:rPr>
                <w:rStyle w:val="fontstyle01"/>
                <w:rFonts w:asciiTheme="majorBidi" w:eastAsia="Calibri" w:hAnsiTheme="majorBidi" w:cstheme="majorBidi"/>
                <w:iCs/>
              </w:rPr>
            </w:pPr>
            <m:oMathPara>
              <m:oMathParaPr>
                <m:jc m:val="left"/>
              </m:oMathParaPr>
              <m:oMath>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π</m:t>
                    </m:r>
                  </m:num>
                  <m:den>
                    <m:r>
                      <w:rPr>
                        <w:rStyle w:val="fontstyle01"/>
                        <w:rFonts w:ascii="Cambria Math" w:eastAsia="Calibri" w:hAnsi="Cambria Math" w:cstheme="majorBidi"/>
                      </w:rPr>
                      <m:t>4</m:t>
                    </m:r>
                  </m:den>
                </m:f>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m</m:t>
                    </m:r>
                  </m:e>
                  <m:sup>
                    <m:r>
                      <w:rPr>
                        <w:rStyle w:val="fontstyle01"/>
                        <w:rFonts w:ascii="Cambria Math" w:eastAsia="Calibri" w:hAnsi="Cambria Math" w:cstheme="majorBidi"/>
                      </w:rPr>
                      <m:t>*</m:t>
                    </m:r>
                  </m:sup>
                </m:sSup>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d</m:t>
                    </m:r>
                    <m:sSubSup>
                      <m:sSubSupPr>
                        <m:ctrlPr>
                          <w:rPr>
                            <w:rStyle w:val="fontstyle01"/>
                            <w:rFonts w:ascii="Cambria Math" w:eastAsia="Calibri" w:hAnsi="Cambria Math" w:cstheme="majorBidi"/>
                            <w:i/>
                            <w:iCs/>
                            <w:color w:val="auto"/>
                          </w:rPr>
                        </m:ctrlPr>
                      </m:sSubSupPr>
                      <m:e>
                        <m:r>
                          <m:rPr>
                            <m:sty m:val="b"/>
                          </m:rPr>
                          <w:rPr>
                            <w:rStyle w:val="fontstyle01"/>
                            <w:rFonts w:ascii="Cambria Math" w:eastAsia="Calibri" w:hAnsi="Cambria Math" w:cstheme="majorBidi"/>
                          </w:rPr>
                          <m:t>V</m:t>
                        </m:r>
                      </m:e>
                      <m:sub>
                        <m:r>
                          <w:rPr>
                            <w:rStyle w:val="fontstyle01"/>
                            <w:rFonts w:ascii="Cambria Math" w:eastAsia="Calibri" w:hAnsi="Cambria Math" w:cstheme="majorBidi"/>
                          </w:rPr>
                          <m:t>p</m:t>
                        </m:r>
                      </m:sub>
                      <m:sup>
                        <m:r>
                          <w:rPr>
                            <w:rStyle w:val="fontstyle01"/>
                            <w:rFonts w:ascii="Cambria Math" w:eastAsia="Calibri" w:hAnsi="Cambria Math" w:cstheme="majorBidi"/>
                          </w:rPr>
                          <m:t>*</m:t>
                        </m:r>
                      </m:sup>
                    </m:sSubSup>
                  </m:num>
                  <m:den>
                    <m:r>
                      <w:rPr>
                        <w:rStyle w:val="fontstyle01"/>
                        <w:rFonts w:ascii="Cambria Math" w:eastAsia="Calibri" w:hAnsi="Cambria Math" w:cstheme="majorBidi"/>
                      </w:rPr>
                      <m:t>d</m:t>
                    </m:r>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r>
                  <w:rPr>
                    <w:rStyle w:val="fontstyle01"/>
                    <w:rFonts w:ascii="Cambria Math" w:eastAsia="Calibri" w:hAnsi="Cambria Math" w:cstheme="majorBidi"/>
                  </w:rPr>
                  <m:t>=</m:t>
                </m:r>
                <m:sSup>
                  <m:sSupPr>
                    <m:ctrlPr>
                      <w:rPr>
                        <w:rStyle w:val="fontstyle01"/>
                        <w:rFonts w:ascii="Cambria Math" w:eastAsia="Calibri" w:hAnsi="Cambria Math" w:cstheme="majorBidi"/>
                        <w:i/>
                        <w:iCs/>
                        <w:color w:val="auto"/>
                      </w:rPr>
                    </m:ctrlPr>
                  </m:sSupPr>
                  <m:e>
                    <m:r>
                      <m:rPr>
                        <m:sty m:val="b"/>
                      </m:rPr>
                      <w:rPr>
                        <w:rStyle w:val="fontstyle01"/>
                        <w:rFonts w:ascii="Cambria Math" w:eastAsia="Calibri" w:hAnsi="Cambria Math" w:cstheme="majorBidi"/>
                      </w:rPr>
                      <m:t>F</m:t>
                    </m:r>
                  </m:e>
                  <m:sup>
                    <m:r>
                      <w:rPr>
                        <w:rStyle w:val="fontstyle01"/>
                        <w:rFonts w:ascii="Cambria Math" w:eastAsia="Calibri" w:hAnsi="Cambria Math" w:cstheme="majorBidi"/>
                      </w:rPr>
                      <m:t>*</m:t>
                    </m:r>
                  </m:sup>
                </m:sSup>
              </m:oMath>
            </m:oMathPara>
          </w:p>
        </w:tc>
        <w:tc>
          <w:tcPr>
            <w:tcW w:w="895" w:type="dxa"/>
            <w:vAlign w:val="center"/>
          </w:tcPr>
          <w:p w14:paraId="0F0658E0" w14:textId="51CEEE00" w:rsidR="00F353B8" w:rsidRPr="00847AE3" w:rsidRDefault="000B1B64" w:rsidP="006E213C">
            <w:pPr>
              <w:pStyle w:val="Caption"/>
              <w:spacing w:after="240" w:line="480" w:lineRule="auto"/>
              <w:ind w:firstLine="360"/>
              <w:jc w:val="right"/>
              <w:rPr>
                <w:rFonts w:cstheme="majorBidi"/>
                <w:sz w:val="24"/>
                <w:szCs w:val="24"/>
              </w:rPr>
            </w:pPr>
            <w:r>
              <w:rPr>
                <w:rFonts w:cstheme="majorBidi"/>
                <w:szCs w:val="24"/>
              </w:rPr>
              <w:fldChar w:fldCharType="begin"/>
            </w:r>
            <w:r>
              <w:rPr>
                <w:rFonts w:cstheme="majorBidi"/>
                <w:szCs w:val="24"/>
              </w:rPr>
              <w:instrText xml:space="preserve"> STYLEREF 1 \s </w:instrText>
            </w:r>
            <w:r>
              <w:rPr>
                <w:rFonts w:cstheme="majorBidi"/>
                <w:szCs w:val="24"/>
              </w:rPr>
              <w:fldChar w:fldCharType="separate"/>
            </w:r>
            <w:r w:rsidR="00732AAC">
              <w:rPr>
                <w:rFonts w:cstheme="majorBidi"/>
                <w:noProof/>
                <w:szCs w:val="24"/>
                <w:cs/>
              </w:rPr>
              <w:t>‎</w:t>
            </w:r>
            <w:r w:rsidR="00732AAC">
              <w:rPr>
                <w:rFonts w:cstheme="majorBidi"/>
                <w:noProof/>
                <w:szCs w:val="24"/>
              </w:rPr>
              <w:t>5</w:t>
            </w:r>
            <w:r>
              <w:rPr>
                <w:rFonts w:cstheme="majorBidi"/>
                <w:szCs w:val="24"/>
              </w:rPr>
              <w:fldChar w:fldCharType="end"/>
            </w:r>
            <w:r>
              <w:rPr>
                <w:rFonts w:cstheme="majorBidi"/>
                <w:szCs w:val="24"/>
              </w:rPr>
              <w:noBreakHyphen/>
            </w:r>
            <w:r>
              <w:rPr>
                <w:rFonts w:cstheme="majorBidi"/>
                <w:szCs w:val="24"/>
              </w:rPr>
              <w:fldChar w:fldCharType="begin"/>
            </w:r>
            <w:r>
              <w:rPr>
                <w:rFonts w:cstheme="majorBidi"/>
                <w:szCs w:val="24"/>
              </w:rPr>
              <w:instrText xml:space="preserve"> SEQ Equation \* ARABIC \s 1 </w:instrText>
            </w:r>
            <w:r>
              <w:rPr>
                <w:rFonts w:cstheme="majorBidi"/>
                <w:szCs w:val="24"/>
              </w:rPr>
              <w:fldChar w:fldCharType="separate"/>
            </w:r>
            <w:r w:rsidR="00732AAC">
              <w:rPr>
                <w:rFonts w:cstheme="majorBidi"/>
                <w:noProof/>
                <w:szCs w:val="24"/>
              </w:rPr>
              <w:t>31</w:t>
            </w:r>
            <w:r>
              <w:rPr>
                <w:rFonts w:cstheme="majorBidi"/>
                <w:szCs w:val="24"/>
              </w:rPr>
              <w:fldChar w:fldCharType="end"/>
            </w:r>
          </w:p>
        </w:tc>
      </w:tr>
      <w:tr w:rsidR="00F353B8" w:rsidRPr="004834D3" w14:paraId="192934BA" w14:textId="77777777" w:rsidTr="009A4AF3">
        <w:trPr>
          <w:jc w:val="center"/>
        </w:trPr>
        <w:tc>
          <w:tcPr>
            <w:tcW w:w="8455" w:type="dxa"/>
            <w:vAlign w:val="center"/>
          </w:tcPr>
          <w:p w14:paraId="7A1BBEFB" w14:textId="77777777" w:rsidR="00F353B8" w:rsidRPr="004834D3" w:rsidRDefault="00000000" w:rsidP="006E213C">
            <w:pPr>
              <w:spacing w:before="240" w:after="240" w:line="480" w:lineRule="auto"/>
              <w:ind w:firstLine="360"/>
              <w:jc w:val="both"/>
              <w:rPr>
                <w:rStyle w:val="fontstyle01"/>
                <w:rFonts w:asciiTheme="majorBidi" w:eastAsia="Calibri" w:hAnsiTheme="majorBidi" w:cstheme="majorBidi"/>
                <w:iCs/>
              </w:rPr>
            </w:pPr>
            <m:oMathPara>
              <m:oMathParaPr>
                <m:jc m:val="left"/>
              </m:oMathParaPr>
              <m:oMath>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π</m:t>
                    </m:r>
                  </m:num>
                  <m:den>
                    <m:r>
                      <w:rPr>
                        <w:rStyle w:val="fontstyle01"/>
                        <w:rFonts w:ascii="Cambria Math" w:eastAsia="Calibri" w:hAnsi="Cambria Math" w:cstheme="majorBidi"/>
                      </w:rPr>
                      <m:t>32</m:t>
                    </m:r>
                  </m:den>
                </m:f>
                <m:d>
                  <m:dPr>
                    <m:ctrlPr>
                      <w:rPr>
                        <w:rStyle w:val="fontstyle01"/>
                        <w:rFonts w:ascii="Cambria Math" w:eastAsia="Calibri" w:hAnsi="Cambria Math" w:cstheme="majorBidi"/>
                        <w:i/>
                        <w:iCs/>
                        <w:color w:val="auto"/>
                      </w:rPr>
                    </m:ctrlPr>
                  </m:dPr>
                  <m:e>
                    <m:f>
                      <m:fPr>
                        <m:ctrlPr>
                          <w:rPr>
                            <w:rStyle w:val="fontstyle01"/>
                            <w:rFonts w:ascii="Cambria Math" w:eastAsia="Calibri" w:hAnsi="Cambria Math" w:cstheme="majorBidi"/>
                            <w:i/>
                            <w:iCs/>
                            <w:color w:val="auto"/>
                          </w:rPr>
                        </m:ctrlPr>
                      </m:fPr>
                      <m:num>
                        <m:sSub>
                          <m:sSubPr>
                            <m:ctrlPr>
                              <w:rPr>
                                <w:rStyle w:val="fontstyle01"/>
                                <w:rFonts w:ascii="Cambria Math" w:eastAsia="Calibri" w:hAnsi="Cambria Math" w:cstheme="majorBidi"/>
                                <w:i/>
                                <w:iCs/>
                                <w:color w:val="auto"/>
                              </w:rPr>
                            </m:ctrlPr>
                          </m:sSubPr>
                          <m:e>
                            <m:r>
                              <w:rPr>
                                <w:rStyle w:val="fontstyle01"/>
                                <w:rFonts w:ascii="Cambria Math" w:eastAsia="Calibri" w:hAnsi="Cambria Math" w:cstheme="majorBidi"/>
                              </w:rPr>
                              <m:t>I</m:t>
                            </m:r>
                          </m:e>
                          <m:sub>
                            <m:r>
                              <w:rPr>
                                <w:rStyle w:val="fontstyle01"/>
                                <w:rFonts w:ascii="Cambria Math" w:eastAsia="Calibri" w:hAnsi="Cambria Math" w:cstheme="majorBidi"/>
                              </w:rPr>
                              <m:t>p</m:t>
                            </m:r>
                          </m:sub>
                        </m:sSub>
                      </m:num>
                      <m:den>
                        <m:sSub>
                          <m:sSubPr>
                            <m:ctrlPr>
                              <w:rPr>
                                <w:rStyle w:val="fontstyle01"/>
                                <w:rFonts w:ascii="Cambria Math" w:eastAsia="Calibri" w:hAnsi="Cambria Math" w:cstheme="majorBidi"/>
                                <w:i/>
                                <w:iCs/>
                                <w:color w:val="auto"/>
                              </w:rPr>
                            </m:ctrlPr>
                          </m:sSubPr>
                          <m:e>
                            <m:r>
                              <w:rPr>
                                <w:rStyle w:val="fontstyle01"/>
                                <w:rFonts w:ascii="Cambria Math" w:eastAsia="Calibri" w:hAnsi="Cambria Math" w:cstheme="majorBidi"/>
                              </w:rPr>
                              <m:t>I</m:t>
                            </m:r>
                          </m:e>
                          <m:sub>
                            <m:r>
                              <w:rPr>
                                <w:rStyle w:val="fontstyle01"/>
                                <w:rFonts w:ascii="Cambria Math" w:eastAsia="Calibri" w:hAnsi="Cambria Math" w:cstheme="majorBidi"/>
                              </w:rPr>
                              <m:t>p,0</m:t>
                            </m:r>
                          </m:sub>
                        </m:sSub>
                      </m:den>
                    </m:f>
                  </m:e>
                </m:d>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d</m:t>
                    </m:r>
                    <m:sSubSup>
                      <m:sSubSupPr>
                        <m:ctrlPr>
                          <w:rPr>
                            <w:rStyle w:val="fontstyle01"/>
                            <w:rFonts w:ascii="Cambria Math" w:eastAsia="Calibri" w:hAnsi="Cambria Math" w:cstheme="majorBidi"/>
                            <w:i/>
                            <w:iCs/>
                            <w:color w:val="auto"/>
                          </w:rPr>
                        </m:ctrlPr>
                      </m:sSubSupPr>
                      <m:e>
                        <m:r>
                          <m:rPr>
                            <m:sty m:val="b"/>
                          </m:rPr>
                          <w:rPr>
                            <w:rStyle w:val="fontstyle01"/>
                            <w:rFonts w:ascii="Cambria Math" w:eastAsia="Calibri" w:hAnsi="Cambria Math" w:cstheme="majorBidi"/>
                          </w:rPr>
                          <m:t>ω</m:t>
                        </m:r>
                      </m:e>
                      <m:sub>
                        <m:r>
                          <w:rPr>
                            <w:rStyle w:val="fontstyle01"/>
                            <w:rFonts w:ascii="Cambria Math" w:eastAsia="Calibri" w:hAnsi="Cambria Math" w:cstheme="majorBidi"/>
                          </w:rPr>
                          <m:t>p</m:t>
                        </m:r>
                      </m:sub>
                      <m:sup>
                        <m:r>
                          <w:rPr>
                            <w:rStyle w:val="fontstyle01"/>
                            <w:rFonts w:ascii="Cambria Math" w:eastAsia="Calibri" w:hAnsi="Cambria Math" w:cstheme="majorBidi"/>
                          </w:rPr>
                          <m:t>*</m:t>
                        </m:r>
                      </m:sup>
                    </m:sSubSup>
                  </m:num>
                  <m:den>
                    <m:r>
                      <w:rPr>
                        <w:rStyle w:val="fontstyle01"/>
                        <w:rFonts w:ascii="Cambria Math" w:eastAsia="Calibri" w:hAnsi="Cambria Math" w:cstheme="majorBidi"/>
                      </w:rPr>
                      <m:t>d</m:t>
                    </m:r>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r>
                  <w:rPr>
                    <w:rStyle w:val="fontstyle01"/>
                    <w:rFonts w:ascii="Cambria Math" w:eastAsia="Calibri" w:hAnsi="Cambria Math" w:cstheme="majorBidi"/>
                  </w:rPr>
                  <m:t>=</m:t>
                </m:r>
                <m:sSup>
                  <m:sSupPr>
                    <m:ctrlPr>
                      <w:rPr>
                        <w:rStyle w:val="fontstyle01"/>
                        <w:rFonts w:ascii="Cambria Math" w:eastAsia="Calibri" w:hAnsi="Cambria Math" w:cstheme="majorBidi"/>
                        <w:i/>
                        <w:iCs/>
                        <w:color w:val="auto"/>
                      </w:rPr>
                    </m:ctrlPr>
                  </m:sSupPr>
                  <m:e>
                    <m:r>
                      <m:rPr>
                        <m:sty m:val="b"/>
                      </m:rPr>
                      <w:rPr>
                        <w:rStyle w:val="fontstyle01"/>
                        <w:rFonts w:ascii="Cambria Math" w:eastAsia="Calibri" w:hAnsi="Cambria Math" w:cstheme="majorBidi"/>
                      </w:rPr>
                      <m:t>M</m:t>
                    </m:r>
                  </m:e>
                  <m:sup>
                    <m:r>
                      <w:rPr>
                        <w:rStyle w:val="fontstyle01"/>
                        <w:rFonts w:ascii="Cambria Math" w:eastAsia="Calibri" w:hAnsi="Cambria Math" w:cstheme="majorBidi"/>
                      </w:rPr>
                      <m:t>*</m:t>
                    </m:r>
                  </m:sup>
                </m:sSup>
              </m:oMath>
            </m:oMathPara>
          </w:p>
        </w:tc>
        <w:tc>
          <w:tcPr>
            <w:tcW w:w="895" w:type="dxa"/>
            <w:vAlign w:val="center"/>
          </w:tcPr>
          <w:p w14:paraId="157A8ABD" w14:textId="77FC77AB" w:rsidR="00F353B8" w:rsidRPr="00847AE3" w:rsidRDefault="000B1B64" w:rsidP="006E213C">
            <w:pPr>
              <w:pStyle w:val="Caption"/>
              <w:spacing w:after="240" w:line="480" w:lineRule="auto"/>
              <w:ind w:firstLine="360"/>
              <w:jc w:val="right"/>
              <w:rPr>
                <w:rFonts w:cstheme="majorBidi"/>
                <w:sz w:val="24"/>
                <w:szCs w:val="24"/>
              </w:rPr>
            </w:pPr>
            <w:r>
              <w:rPr>
                <w:rFonts w:cstheme="majorBidi"/>
                <w:szCs w:val="24"/>
              </w:rPr>
              <w:fldChar w:fldCharType="begin"/>
            </w:r>
            <w:r>
              <w:rPr>
                <w:rFonts w:cstheme="majorBidi"/>
                <w:szCs w:val="24"/>
              </w:rPr>
              <w:instrText xml:space="preserve"> STYLEREF 1 \s </w:instrText>
            </w:r>
            <w:r>
              <w:rPr>
                <w:rFonts w:cstheme="majorBidi"/>
                <w:szCs w:val="24"/>
              </w:rPr>
              <w:fldChar w:fldCharType="separate"/>
            </w:r>
            <w:r w:rsidR="00732AAC">
              <w:rPr>
                <w:rFonts w:cstheme="majorBidi"/>
                <w:noProof/>
                <w:szCs w:val="24"/>
                <w:cs/>
              </w:rPr>
              <w:t>‎</w:t>
            </w:r>
            <w:r w:rsidR="00732AAC">
              <w:rPr>
                <w:rFonts w:cstheme="majorBidi"/>
                <w:noProof/>
                <w:szCs w:val="24"/>
              </w:rPr>
              <w:t>5</w:t>
            </w:r>
            <w:r>
              <w:rPr>
                <w:rFonts w:cstheme="majorBidi"/>
                <w:szCs w:val="24"/>
              </w:rPr>
              <w:fldChar w:fldCharType="end"/>
            </w:r>
            <w:r>
              <w:rPr>
                <w:rFonts w:cstheme="majorBidi"/>
                <w:szCs w:val="24"/>
              </w:rPr>
              <w:noBreakHyphen/>
            </w:r>
            <w:r>
              <w:rPr>
                <w:rFonts w:cstheme="majorBidi"/>
                <w:szCs w:val="24"/>
              </w:rPr>
              <w:fldChar w:fldCharType="begin"/>
            </w:r>
            <w:r>
              <w:rPr>
                <w:rFonts w:cstheme="majorBidi"/>
                <w:szCs w:val="24"/>
              </w:rPr>
              <w:instrText xml:space="preserve"> SEQ Equation \* ARABIC \s 1 </w:instrText>
            </w:r>
            <w:r>
              <w:rPr>
                <w:rFonts w:cstheme="majorBidi"/>
                <w:szCs w:val="24"/>
              </w:rPr>
              <w:fldChar w:fldCharType="separate"/>
            </w:r>
            <w:r w:rsidR="00732AAC">
              <w:rPr>
                <w:rFonts w:cstheme="majorBidi"/>
                <w:noProof/>
                <w:szCs w:val="24"/>
              </w:rPr>
              <w:t>32</w:t>
            </w:r>
            <w:r>
              <w:rPr>
                <w:rFonts w:cstheme="majorBidi"/>
                <w:szCs w:val="24"/>
              </w:rPr>
              <w:fldChar w:fldCharType="end"/>
            </w:r>
          </w:p>
        </w:tc>
      </w:tr>
      <w:tr w:rsidR="00F353B8" w:rsidRPr="004834D3" w14:paraId="5E43FE59" w14:textId="77777777" w:rsidTr="009A4AF3">
        <w:trPr>
          <w:jc w:val="center"/>
        </w:trPr>
        <w:tc>
          <w:tcPr>
            <w:tcW w:w="8455" w:type="dxa"/>
            <w:vAlign w:val="center"/>
          </w:tcPr>
          <w:p w14:paraId="5CD882A9" w14:textId="77777777" w:rsidR="00F353B8" w:rsidRPr="004834D3" w:rsidRDefault="00000000" w:rsidP="006E213C">
            <w:pPr>
              <w:spacing w:before="240" w:after="240" w:line="480" w:lineRule="auto"/>
              <w:ind w:firstLine="360"/>
              <w:jc w:val="both"/>
              <w:rPr>
                <w:rStyle w:val="fontstyle01"/>
                <w:rFonts w:asciiTheme="majorBidi" w:eastAsia="Calibri" w:hAnsiTheme="majorBidi" w:cstheme="majorBidi"/>
                <w:iCs/>
              </w:rPr>
            </w:pPr>
            <m:oMathPara>
              <m:oMathParaPr>
                <m:jc m:val="left"/>
              </m:oMathParaPr>
              <m:oMath>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1</m:t>
                    </m:r>
                  </m:num>
                  <m:den>
                    <m:r>
                      <m:rPr>
                        <m:sty m:val="p"/>
                      </m:rPr>
                      <w:rPr>
                        <w:rStyle w:val="fontstyle01"/>
                        <w:rFonts w:ascii="Cambria Math" w:eastAsia="Calibri" w:hAnsi="Cambria Math" w:cstheme="majorBidi"/>
                      </w:rPr>
                      <m:t>Ste</m:t>
                    </m:r>
                  </m:den>
                </m:f>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d</m:t>
                    </m:r>
                    <m:sSubSup>
                      <m:sSubSupPr>
                        <m:ctrlPr>
                          <w:rPr>
                            <w:rStyle w:val="fontstyle01"/>
                            <w:rFonts w:ascii="Cambria Math" w:eastAsia="Calibri" w:hAnsi="Cambria Math" w:cstheme="majorBidi"/>
                            <w:b/>
                          </w:rPr>
                        </m:ctrlPr>
                      </m:sSubSupPr>
                      <m:e>
                        <m:r>
                          <m:rPr>
                            <m:sty m:val="b"/>
                          </m:rPr>
                          <w:rPr>
                            <w:rStyle w:val="fontstyle01"/>
                            <w:rFonts w:ascii="Cambria Math" w:eastAsia="Calibri" w:hAnsi="Cambria Math" w:cstheme="majorBidi"/>
                          </w:rPr>
                          <m:t>R</m:t>
                        </m:r>
                        <m:ctrlPr>
                          <w:rPr>
                            <w:rStyle w:val="fontstyle01"/>
                            <w:rFonts w:ascii="Cambria Math" w:eastAsia="Calibri" w:hAnsi="Cambria Math" w:cstheme="majorBidi"/>
                            <w:b/>
                            <w:color w:val="auto"/>
                          </w:rPr>
                        </m:ctrlPr>
                      </m:e>
                      <m:sub>
                        <m:r>
                          <w:rPr>
                            <w:rStyle w:val="fontstyle01"/>
                            <w:rFonts w:ascii="Cambria Math" w:eastAsia="Calibri" w:hAnsi="Cambria Math" w:cstheme="majorBidi"/>
                          </w:rPr>
                          <m:t>d</m:t>
                        </m:r>
                      </m:sub>
                      <m:sup>
                        <m:r>
                          <w:rPr>
                            <w:rStyle w:val="fontstyle01"/>
                            <w:rFonts w:ascii="Cambria Math" w:eastAsia="Calibri" w:hAnsi="Cambria Math" w:cstheme="majorBidi"/>
                          </w:rPr>
                          <m:t>*</m:t>
                        </m:r>
                        <m:ctrlPr>
                          <w:rPr>
                            <w:rStyle w:val="fontstyle01"/>
                            <w:rFonts w:ascii="Cambria Math" w:eastAsia="Calibri" w:hAnsi="Cambria Math" w:cstheme="majorBidi"/>
                            <w:i/>
                            <w:color w:val="auto"/>
                          </w:rPr>
                        </m:ctrlPr>
                      </m:sup>
                    </m:sSubSup>
                  </m:num>
                  <m:den>
                    <m:r>
                      <w:rPr>
                        <w:rStyle w:val="fontstyle01"/>
                        <w:rFonts w:ascii="Cambria Math" w:eastAsia="Calibri" w:hAnsi="Cambria Math" w:cstheme="majorBidi"/>
                      </w:rPr>
                      <m:t>d</m:t>
                    </m:r>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den>
                </m:f>
                <m:r>
                  <w:rPr>
                    <w:rStyle w:val="fontstyle01"/>
                    <w:rFonts w:ascii="Cambria Math" w:eastAsia="Calibri" w:hAnsi="Cambria Math" w:cstheme="majorBidi"/>
                  </w:rPr>
                  <m:t>=-</m:t>
                </m:r>
                <m:f>
                  <m:fPr>
                    <m:ctrlPr>
                      <w:rPr>
                        <w:rStyle w:val="fontstyle01"/>
                        <w:rFonts w:ascii="Cambria Math" w:eastAsia="Calibri" w:hAnsi="Cambria Math" w:cstheme="majorBidi"/>
                        <w:i/>
                        <w:iCs/>
                        <w:color w:val="auto"/>
                      </w:rPr>
                    </m:ctrlPr>
                  </m:fPr>
                  <m:num>
                    <m:r>
                      <w:rPr>
                        <w:rStyle w:val="fontstyle01"/>
                        <w:rFonts w:ascii="Cambria Math" w:eastAsia="Calibri" w:hAnsi="Cambria Math" w:cstheme="majorBidi"/>
                      </w:rPr>
                      <m:t>1</m:t>
                    </m:r>
                  </m:num>
                  <m:den>
                    <m:r>
                      <m:rPr>
                        <m:sty m:val="p"/>
                      </m:rPr>
                      <w:rPr>
                        <w:rStyle w:val="fontstyle01"/>
                        <w:rFonts w:ascii="Cambria Math" w:eastAsia="Calibri" w:hAnsi="Cambria Math" w:cstheme="majorBidi"/>
                      </w:rPr>
                      <m:t>Pr</m:t>
                    </m:r>
                  </m:den>
                </m:f>
                <m:d>
                  <m:dPr>
                    <m:ctrlPr>
                      <w:rPr>
                        <w:rStyle w:val="fontstyle01"/>
                        <w:rFonts w:ascii="Cambria Math" w:eastAsia="Calibri" w:hAnsi="Cambria Math" w:cstheme="majorBidi"/>
                        <w:i/>
                        <w:iCs/>
                        <w:color w:val="auto"/>
                      </w:rPr>
                    </m:ctrlPr>
                  </m:dPr>
                  <m:e>
                    <m:sSup>
                      <m:sSupPr>
                        <m:ctrlPr>
                          <w:rPr>
                            <w:rStyle w:val="fontstyle01"/>
                            <w:rFonts w:ascii="Cambria Math" w:eastAsia="Calibri" w:hAnsi="Cambria Math" w:cstheme="majorBidi"/>
                            <w:i/>
                            <w:iCs/>
                            <w:color w:val="auto"/>
                          </w:rPr>
                        </m:ctrlPr>
                      </m:sSupPr>
                      <m:e>
                        <m:r>
                          <m:rPr>
                            <m:sty m:val="b"/>
                          </m:rPr>
                          <w:rPr>
                            <w:rStyle w:val="fontstyle01"/>
                            <w:rFonts w:ascii="Cambria Math" w:eastAsia="Calibri" w:hAnsi="Cambria Math" w:cstheme="majorBidi"/>
                          </w:rPr>
                          <m:t>∇</m:t>
                        </m:r>
                        <m:ctrlPr>
                          <w:rPr>
                            <w:rStyle w:val="fontstyle01"/>
                            <w:rFonts w:ascii="Cambria Math" w:eastAsia="Calibri" w:hAnsi="Cambria Math" w:cstheme="majorBidi"/>
                            <w:b/>
                            <w:bCs/>
                            <w:color w:val="auto"/>
                          </w:rPr>
                        </m:ctrlPr>
                      </m:e>
                      <m:sup>
                        <m:r>
                          <w:rPr>
                            <w:rStyle w:val="fontstyle01"/>
                            <w:rFonts w:ascii="Cambria Math" w:eastAsia="Calibri" w:hAnsi="Cambria Math" w:cstheme="majorBidi"/>
                          </w:rPr>
                          <m:t>*</m:t>
                        </m:r>
                      </m:sup>
                    </m:sSup>
                    <m:sSup>
                      <m:sSupPr>
                        <m:ctrlPr>
                          <w:rPr>
                            <w:rStyle w:val="fontstyle01"/>
                            <w:rFonts w:ascii="Cambria Math" w:eastAsia="Calibri" w:hAnsi="Cambria Math" w:cstheme="majorBidi"/>
                            <w:i/>
                            <w:iCs/>
                            <w:color w:val="auto"/>
                          </w:rPr>
                        </m:ctrlPr>
                      </m:sSupPr>
                      <m:e>
                        <m:r>
                          <w:rPr>
                            <w:rStyle w:val="fontstyle01"/>
                            <w:rFonts w:ascii="Cambria Math" w:eastAsia="Calibri" w:hAnsi="Cambria Math" w:cstheme="majorBidi"/>
                          </w:rPr>
                          <m:t>T</m:t>
                        </m:r>
                      </m:e>
                      <m:sup>
                        <m:r>
                          <w:rPr>
                            <w:rStyle w:val="fontstyle01"/>
                            <w:rFonts w:ascii="Cambria Math" w:eastAsia="Calibri" w:hAnsi="Cambria Math" w:cstheme="majorBidi"/>
                          </w:rPr>
                          <m:t>*</m:t>
                        </m:r>
                      </m:sup>
                    </m:sSup>
                    <m:r>
                      <w:rPr>
                        <w:rStyle w:val="fontstyle01"/>
                        <w:rFonts w:ascii="Cambria Math" w:eastAsia="Calibri" w:hAnsi="Cambria Math" w:cstheme="majorBidi"/>
                      </w:rPr>
                      <m:t>∙</m:t>
                    </m:r>
                    <m:r>
                      <m:rPr>
                        <m:sty m:val="b"/>
                      </m:rPr>
                      <w:rPr>
                        <w:rStyle w:val="fontstyle01"/>
                        <w:rFonts w:ascii="Cambria Math" w:eastAsia="Calibri" w:hAnsi="Cambria Math" w:cstheme="majorBidi"/>
                      </w:rPr>
                      <m:t>n</m:t>
                    </m:r>
                  </m:e>
                </m:d>
                <m:r>
                  <m:rPr>
                    <m:sty m:val="b"/>
                  </m:rPr>
                  <w:rPr>
                    <w:rStyle w:val="fontstyle01"/>
                    <w:rFonts w:ascii="Cambria Math" w:eastAsia="Calibri" w:hAnsi="Cambria Math" w:cstheme="majorBidi"/>
                  </w:rPr>
                  <m:t>n</m:t>
                </m:r>
              </m:oMath>
            </m:oMathPara>
          </w:p>
        </w:tc>
        <w:tc>
          <w:tcPr>
            <w:tcW w:w="895" w:type="dxa"/>
            <w:vAlign w:val="center"/>
          </w:tcPr>
          <w:p w14:paraId="791964FC" w14:textId="71D6C63D" w:rsidR="00F353B8" w:rsidRPr="00847AE3" w:rsidRDefault="000B1B64" w:rsidP="006E213C">
            <w:pPr>
              <w:pStyle w:val="Caption"/>
              <w:spacing w:after="240" w:line="480" w:lineRule="auto"/>
              <w:ind w:firstLine="360"/>
              <w:jc w:val="right"/>
              <w:rPr>
                <w:rFonts w:cstheme="majorBidi"/>
                <w:sz w:val="24"/>
                <w:szCs w:val="24"/>
              </w:rPr>
            </w:pPr>
            <w:r>
              <w:rPr>
                <w:rFonts w:cstheme="majorBidi"/>
                <w:szCs w:val="24"/>
              </w:rPr>
              <w:fldChar w:fldCharType="begin"/>
            </w:r>
            <w:r>
              <w:rPr>
                <w:rFonts w:cstheme="majorBidi"/>
                <w:szCs w:val="24"/>
              </w:rPr>
              <w:instrText xml:space="preserve"> STYLEREF 1 \s </w:instrText>
            </w:r>
            <w:r>
              <w:rPr>
                <w:rFonts w:cstheme="majorBidi"/>
                <w:szCs w:val="24"/>
              </w:rPr>
              <w:fldChar w:fldCharType="separate"/>
            </w:r>
            <w:r w:rsidR="00732AAC">
              <w:rPr>
                <w:rFonts w:cstheme="majorBidi"/>
                <w:noProof/>
                <w:szCs w:val="24"/>
                <w:cs/>
              </w:rPr>
              <w:t>‎</w:t>
            </w:r>
            <w:r w:rsidR="00732AAC">
              <w:rPr>
                <w:rFonts w:cstheme="majorBidi"/>
                <w:noProof/>
                <w:szCs w:val="24"/>
              </w:rPr>
              <w:t>5</w:t>
            </w:r>
            <w:r>
              <w:rPr>
                <w:rFonts w:cstheme="majorBidi"/>
                <w:szCs w:val="24"/>
              </w:rPr>
              <w:fldChar w:fldCharType="end"/>
            </w:r>
            <w:r>
              <w:rPr>
                <w:rFonts w:cstheme="majorBidi"/>
                <w:szCs w:val="24"/>
              </w:rPr>
              <w:noBreakHyphen/>
            </w:r>
            <w:r>
              <w:rPr>
                <w:rFonts w:cstheme="majorBidi"/>
                <w:szCs w:val="24"/>
              </w:rPr>
              <w:fldChar w:fldCharType="begin"/>
            </w:r>
            <w:r>
              <w:rPr>
                <w:rFonts w:cstheme="majorBidi"/>
                <w:szCs w:val="24"/>
              </w:rPr>
              <w:instrText xml:space="preserve"> SEQ Equation \* ARABIC \s 1 </w:instrText>
            </w:r>
            <w:r>
              <w:rPr>
                <w:rFonts w:cstheme="majorBidi"/>
                <w:szCs w:val="24"/>
              </w:rPr>
              <w:fldChar w:fldCharType="separate"/>
            </w:r>
            <w:r w:rsidR="00732AAC">
              <w:rPr>
                <w:rFonts w:cstheme="majorBidi"/>
                <w:noProof/>
                <w:szCs w:val="24"/>
              </w:rPr>
              <w:t>33</w:t>
            </w:r>
            <w:r>
              <w:rPr>
                <w:rFonts w:cstheme="majorBidi"/>
                <w:szCs w:val="24"/>
              </w:rPr>
              <w:fldChar w:fldCharType="end"/>
            </w:r>
          </w:p>
        </w:tc>
      </w:tr>
    </w:tbl>
    <w:p w14:paraId="0E250E35" w14:textId="5C94C945" w:rsidR="00E2246B" w:rsidRPr="004834D3" w:rsidRDefault="00E2246B" w:rsidP="006E213C">
      <w:pPr>
        <w:spacing w:before="240" w:after="240" w:line="480" w:lineRule="auto"/>
        <w:ind w:firstLine="720"/>
        <w:jc w:val="both"/>
        <w:rPr>
          <w:rFonts w:cstheme="majorBidi"/>
          <w:kern w:val="0"/>
        </w:rPr>
      </w:pPr>
      <w:r w:rsidRPr="004834D3">
        <w:rPr>
          <w:rFonts w:cstheme="majorBidi"/>
          <w:kern w:val="0"/>
        </w:rPr>
        <w:t>The dimensionless numbers used to characterize the fluid dynamics and heat transfer in this model include the Prandtl number (</w:t>
      </w:r>
      <m:oMath>
        <m:r>
          <m:rPr>
            <m:sty m:val="p"/>
          </m:rPr>
          <w:rPr>
            <w:rFonts w:ascii="Cambria Math" w:hAnsi="Cambria Math" w:cstheme="majorBidi"/>
            <w:kern w:val="0"/>
          </w:rPr>
          <m:t>Pr</m:t>
        </m:r>
      </m:oMath>
      <w:r w:rsidRPr="004834D3">
        <w:rPr>
          <w:rFonts w:cstheme="majorBidi"/>
          <w:kern w:val="0"/>
        </w:rPr>
        <w:t>), Reynolds number based on particle diameter (</w:t>
      </w:r>
      <m:oMath>
        <m:sSub>
          <m:sSubPr>
            <m:ctrlPr>
              <w:rPr>
                <w:rFonts w:ascii="Cambria Math" w:hAnsi="Cambria Math" w:cstheme="majorBidi"/>
                <w:iCs/>
                <w:kern w:val="0"/>
              </w:rPr>
            </m:ctrlPr>
          </m:sSubPr>
          <m:e>
            <m:r>
              <m:rPr>
                <m:sty m:val="p"/>
              </m:rPr>
              <w:rPr>
                <w:rFonts w:ascii="Cambria Math" w:hAnsi="Cambria Math" w:cstheme="majorBidi"/>
                <w:kern w:val="0"/>
              </w:rPr>
              <m:t>Re</m:t>
            </m:r>
          </m:e>
          <m:sub>
            <m:r>
              <w:rPr>
                <w:rFonts w:ascii="Cambria Math" w:hAnsi="Cambria Math" w:cstheme="majorBidi"/>
                <w:kern w:val="0"/>
              </w:rPr>
              <m:t>D</m:t>
            </m:r>
          </m:sub>
        </m:sSub>
      </m:oMath>
      <w:r w:rsidRPr="004834D3">
        <w:rPr>
          <w:rFonts w:cstheme="majorBidi"/>
          <w:kern w:val="0"/>
        </w:rPr>
        <w:t>), Grashof number (</w:t>
      </w:r>
      <m:oMath>
        <m:r>
          <m:rPr>
            <m:sty m:val="p"/>
          </m:rPr>
          <w:rPr>
            <w:rFonts w:ascii="Cambria Math" w:hAnsi="Cambria Math" w:cstheme="majorBidi"/>
            <w:kern w:val="0"/>
          </w:rPr>
          <m:t>Gr</m:t>
        </m:r>
      </m:oMath>
      <w:r w:rsidRPr="004834D3">
        <w:rPr>
          <w:rFonts w:cstheme="majorBidi"/>
          <w:kern w:val="0"/>
        </w:rPr>
        <w:t>), and Stefan number (</w:t>
      </w:r>
      <m:oMath>
        <m:r>
          <m:rPr>
            <m:sty m:val="p"/>
          </m:rPr>
          <w:rPr>
            <w:rFonts w:ascii="Cambria Math" w:hAnsi="Cambria Math" w:cstheme="majorBidi"/>
            <w:kern w:val="0"/>
          </w:rPr>
          <m:t>Ste</m:t>
        </m:r>
      </m:oMath>
      <w:r w:rsidRPr="004834D3">
        <w:rPr>
          <w:rFonts w:cstheme="majorBidi"/>
          <w:kern w:val="0"/>
        </w:rPr>
        <w:t xml:space="preserve">). The Prandtl number is defined as </w:t>
      </w:r>
      <m:oMath>
        <m:r>
          <m:rPr>
            <m:sty m:val="p"/>
          </m:rPr>
          <w:rPr>
            <w:rFonts w:ascii="Cambria Math" w:eastAsiaTheme="minorEastAsia" w:hAnsi="Cambria Math" w:cstheme="majorBidi"/>
          </w:rPr>
          <m:t>Pr=</m:t>
        </m:r>
        <m:r>
          <w:rPr>
            <w:rFonts w:ascii="Cambria Math" w:eastAsiaTheme="minorEastAsia" w:hAnsi="Cambria Math" w:cstheme="majorBidi"/>
          </w:rPr>
          <m:t>ν</m:t>
        </m:r>
        <m:r>
          <m:rPr>
            <m:sty m:val="p"/>
          </m:rPr>
          <w:rPr>
            <w:rFonts w:ascii="Cambria Math" w:eastAsiaTheme="minorEastAsia" w:hAnsi="Cambria Math" w:cstheme="majorBidi"/>
          </w:rPr>
          <m:t>/</m:t>
        </m:r>
        <m:r>
          <w:rPr>
            <w:rFonts w:ascii="Cambria Math" w:eastAsiaTheme="minorEastAsia" w:hAnsi="Cambria Math" w:cstheme="majorBidi"/>
          </w:rPr>
          <m:t>α</m:t>
        </m:r>
      </m:oMath>
      <w:r w:rsidRPr="004834D3">
        <w:rPr>
          <w:rFonts w:cstheme="majorBidi"/>
          <w:kern w:val="0"/>
        </w:rPr>
        <w:t xml:space="preserve">, </w:t>
      </w:r>
      <w:r w:rsidR="00026335" w:rsidRPr="004834D3">
        <w:rPr>
          <w:rFonts w:cstheme="majorBidi"/>
          <w:kern w:val="0"/>
        </w:rPr>
        <w:t>which</w:t>
      </w:r>
      <w:r w:rsidRPr="004834D3">
        <w:rPr>
          <w:rFonts w:cstheme="majorBidi"/>
          <w:kern w:val="0"/>
        </w:rPr>
        <w:t xml:space="preserve"> represents the ratio of momentum diffusivity to thermal diffusivity of the fluid. The Reynolds number is defined as </w:t>
      </w:r>
      <m:oMath>
        <m:sSub>
          <m:sSubPr>
            <m:ctrlPr>
              <w:rPr>
                <w:rFonts w:ascii="Cambria Math" w:hAnsi="Cambria Math" w:cstheme="majorBidi"/>
                <w:iCs/>
              </w:rPr>
            </m:ctrlPr>
          </m:sSubPr>
          <m:e>
            <m:r>
              <m:rPr>
                <m:sty m:val="p"/>
              </m:rPr>
              <w:rPr>
                <w:rFonts w:ascii="Cambria Math" w:hAnsi="Cambria Math" w:cstheme="majorBidi"/>
              </w:rPr>
              <m:t>Re</m:t>
            </m:r>
          </m:e>
          <m:sub>
            <m:r>
              <w:rPr>
                <w:rFonts w:ascii="Cambria Math" w:hAnsi="Cambria Math" w:cstheme="majorBidi"/>
              </w:rPr>
              <m:t>D</m:t>
            </m:r>
          </m:sub>
        </m:sSub>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u</m:t>
            </m:r>
          </m:e>
          <m:sub>
            <m:r>
              <m:rPr>
                <m:sty m:val="p"/>
              </m:rPr>
              <w:rPr>
                <w:rFonts w:ascii="Cambria Math" w:hAnsi="Cambria Math" w:cstheme="majorBidi"/>
              </w:rPr>
              <m:t>max</m:t>
            </m:r>
          </m:sub>
        </m:sSub>
        <m:r>
          <w:rPr>
            <w:rFonts w:ascii="Cambria Math" w:hAnsi="Cambria Math" w:cstheme="majorBidi"/>
          </w:rPr>
          <m:t>D/ν</m:t>
        </m:r>
      </m:oMath>
      <w:r w:rsidRPr="004834D3">
        <w:rPr>
          <w:rFonts w:cstheme="majorBidi"/>
          <w:kern w:val="0"/>
        </w:rPr>
        <w:t>, indicates the ratio of inertial forces to viscous forces. It is characterized by the maximum flow velocity and the particle</w:t>
      </w:r>
      <w:r w:rsidR="008008F6">
        <w:rPr>
          <w:rFonts w:cstheme="majorBidi"/>
          <w:kern w:val="0"/>
        </w:rPr>
        <w:t>'s</w:t>
      </w:r>
      <w:r w:rsidRPr="004834D3">
        <w:rPr>
          <w:rFonts w:cstheme="majorBidi"/>
          <w:kern w:val="0"/>
        </w:rPr>
        <w:t xml:space="preserve"> </w:t>
      </w:r>
      <w:r w:rsidR="00026335" w:rsidRPr="004834D3">
        <w:rPr>
          <w:rFonts w:cstheme="majorBidi"/>
          <w:kern w:val="0"/>
        </w:rPr>
        <w:t xml:space="preserve">initial </w:t>
      </w:r>
      <w:r w:rsidRPr="004834D3">
        <w:rPr>
          <w:rFonts w:cstheme="majorBidi"/>
          <w:kern w:val="0"/>
        </w:rPr>
        <w:t xml:space="preserve">diameter. Given that the initial particle diameter and liquid kinematic viscosity are constants, </w:t>
      </w:r>
      <m:oMath>
        <m:sSub>
          <m:sSubPr>
            <m:ctrlPr>
              <w:rPr>
                <w:rFonts w:ascii="Cambria Math" w:hAnsi="Cambria Math" w:cstheme="majorBidi"/>
                <w:i/>
                <w:kern w:val="0"/>
              </w:rPr>
            </m:ctrlPr>
          </m:sSubPr>
          <m:e>
            <m:r>
              <m:rPr>
                <m:sty m:val="p"/>
              </m:rPr>
              <w:rPr>
                <w:rFonts w:ascii="Cambria Math" w:hAnsi="Cambria Math" w:cstheme="majorBidi"/>
                <w:kern w:val="0"/>
              </w:rPr>
              <m:t>Re</m:t>
            </m:r>
          </m:e>
          <m:sub>
            <m:r>
              <w:rPr>
                <w:rFonts w:ascii="Cambria Math" w:hAnsi="Cambria Math" w:cstheme="majorBidi"/>
                <w:kern w:val="0"/>
              </w:rPr>
              <m:t>D</m:t>
            </m:r>
          </m:sub>
        </m:sSub>
      </m:oMath>
      <w:r w:rsidRPr="004834D3">
        <w:rPr>
          <w:rFonts w:cstheme="majorBidi"/>
          <w:kern w:val="0"/>
        </w:rPr>
        <w:t xml:space="preserve"> serves as an indicator of the inlet flow velocity, highlighting the flow's inertial characteristics. Grashof number expressed as </w:t>
      </w:r>
      <m:oMath>
        <m:r>
          <m:rPr>
            <m:sty m:val="p"/>
          </m:rPr>
          <w:rPr>
            <w:rFonts w:ascii="Cambria Math" w:eastAsiaTheme="minorEastAsia" w:hAnsi="Cambria Math" w:cstheme="majorBidi"/>
          </w:rPr>
          <m:t>Gr=</m:t>
        </m:r>
        <m:r>
          <w:rPr>
            <w:rFonts w:ascii="Cambria Math" w:hAnsi="Cambria Math" w:cstheme="majorBidi"/>
          </w:rPr>
          <m:t>gβ</m:t>
        </m:r>
        <m:sSup>
          <m:sSupPr>
            <m:ctrlPr>
              <w:rPr>
                <w:rFonts w:ascii="Cambria Math" w:hAnsi="Cambria Math" w:cstheme="majorBidi"/>
                <w:i/>
              </w:rPr>
            </m:ctrlPr>
          </m:sSupPr>
          <m:e>
            <m:r>
              <w:rPr>
                <w:rFonts w:ascii="Cambria Math" w:hAnsi="Cambria Math" w:cstheme="majorBidi"/>
              </w:rPr>
              <m:t>D</m:t>
            </m:r>
          </m:e>
          <m:sup>
            <m:r>
              <w:rPr>
                <w:rFonts w:ascii="Cambria Math" w:hAnsi="Cambria Math" w:cstheme="majorBidi"/>
              </w:rPr>
              <m:t>3</m:t>
            </m:r>
          </m:sup>
        </m:sSup>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m</m:t>
                </m:r>
              </m:sub>
            </m:sSub>
          </m:e>
        </m:d>
        <m:r>
          <m:rPr>
            <m:sty m:val="p"/>
          </m:rPr>
          <w:rPr>
            <w:rFonts w:ascii="Cambria Math" w:eastAsiaTheme="minorEastAsia" w:hAnsi="Cambria Math" w:cstheme="majorBidi"/>
          </w:rPr>
          <m:t>/</m:t>
        </m:r>
        <m:sSup>
          <m:sSupPr>
            <m:ctrlPr>
              <w:rPr>
                <w:rFonts w:ascii="Cambria Math" w:eastAsiaTheme="minorEastAsia" w:hAnsi="Cambria Math" w:cstheme="majorBidi"/>
              </w:rPr>
            </m:ctrlPr>
          </m:sSupPr>
          <m:e>
            <m:r>
              <w:rPr>
                <w:rFonts w:ascii="Cambria Math" w:eastAsiaTheme="minorEastAsia" w:hAnsi="Cambria Math" w:cstheme="majorBidi"/>
              </w:rPr>
              <m:t>ν</m:t>
            </m:r>
          </m:e>
          <m:sup>
            <m:r>
              <m:rPr>
                <m:sty m:val="p"/>
              </m:rPr>
              <w:rPr>
                <w:rFonts w:ascii="Cambria Math" w:eastAsiaTheme="minorEastAsia" w:hAnsi="Cambria Math" w:cstheme="majorBidi"/>
              </w:rPr>
              <m:t>2</m:t>
            </m:r>
          </m:sup>
        </m:sSup>
      </m:oMath>
      <w:r w:rsidRPr="004834D3">
        <w:rPr>
          <w:rFonts w:cstheme="majorBidi"/>
          <w:kern w:val="0"/>
        </w:rPr>
        <w:t xml:space="preserve">, quantifies the ratio of buoyancy forces to viscous forces in the fluid. </w:t>
      </w:r>
      <w:r w:rsidRPr="004834D3">
        <w:rPr>
          <w:rFonts w:cstheme="majorBidi"/>
          <w:kern w:val="0"/>
        </w:rPr>
        <w:lastRenderedPageBreak/>
        <w:t xml:space="preserve">It reflects the strength of the buoyancy forces acting on the particle due to natural convection, influenced by </w:t>
      </w:r>
      <w:r w:rsidR="008008F6">
        <w:rPr>
          <w:rFonts w:cstheme="majorBidi"/>
          <w:kern w:val="0"/>
        </w:rPr>
        <w:t xml:space="preserve">the </w:t>
      </w:r>
      <w:r w:rsidRPr="004834D3">
        <w:rPr>
          <w:rFonts w:cstheme="majorBidi"/>
          <w:kern w:val="0"/>
        </w:rPr>
        <w:t>temperature difference between the particle surface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m</m:t>
            </m:r>
          </m:sub>
        </m:sSub>
      </m:oMath>
      <w:r w:rsidRPr="004834D3">
        <w:rPr>
          <w:rFonts w:cstheme="majorBidi"/>
          <w:kern w:val="0"/>
        </w:rPr>
        <w:t>) and the walls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h</m:t>
            </m:r>
          </m:sub>
        </m:sSub>
      </m:oMath>
      <w:r w:rsidRPr="004834D3">
        <w:rPr>
          <w:rFonts w:cstheme="majorBidi"/>
          <w:kern w:val="0"/>
        </w:rPr>
        <w:t xml:space="preserve">). </w:t>
      </w:r>
      <w:r w:rsidR="00026335" w:rsidRPr="004834D3">
        <w:rPr>
          <w:rFonts w:cstheme="majorBidi"/>
          <w:kern w:val="0"/>
        </w:rPr>
        <w:t xml:space="preserve">The </w:t>
      </w:r>
      <w:r w:rsidRPr="004834D3">
        <w:rPr>
          <w:rFonts w:cstheme="majorBidi"/>
          <w:kern w:val="0"/>
        </w:rPr>
        <w:t xml:space="preserve">Stefan number defined by </w:t>
      </w:r>
      <m:oMath>
        <m:r>
          <m:rPr>
            <m:sty m:val="p"/>
          </m:rPr>
          <w:rPr>
            <w:rFonts w:ascii="Cambria Math" w:eastAsiaTheme="minorEastAsia" w:hAnsi="Cambria Math" w:cstheme="majorBidi"/>
          </w:rPr>
          <m:t>Ste=</m:t>
        </m:r>
        <m:r>
          <w:rPr>
            <w:rFonts w:ascii="Cambria Math" w:eastAsiaTheme="minorEastAsia" w:hAnsi="Cambria Math" w:cstheme="majorBidi"/>
          </w:rPr>
          <m:t>c(</m:t>
        </m:r>
        <m:sSub>
          <m:sSubPr>
            <m:ctrlPr>
              <w:rPr>
                <w:rFonts w:ascii="Cambria Math" w:eastAsiaTheme="minorEastAsia" w:hAnsi="Cambria Math" w:cstheme="majorBidi"/>
                <w:i/>
                <w:iCs/>
              </w:rPr>
            </m:ctrlPr>
          </m:sSubPr>
          <m:e>
            <m:r>
              <w:rPr>
                <w:rFonts w:ascii="Cambria Math" w:eastAsiaTheme="minorEastAsia" w:hAnsi="Cambria Math" w:cstheme="majorBidi"/>
              </w:rPr>
              <m:t>T</m:t>
            </m:r>
          </m:e>
          <m:sub>
            <m:r>
              <w:rPr>
                <w:rFonts w:ascii="Cambria Math" w:eastAsiaTheme="minorEastAsia" w:hAnsi="Cambria Math" w:cstheme="majorBidi"/>
              </w:rPr>
              <m:t>h</m:t>
            </m:r>
          </m:sub>
        </m:sSub>
        <m:r>
          <w:rPr>
            <w:rFonts w:ascii="Cambria Math" w:eastAsiaTheme="minorEastAsia" w:hAnsi="Cambria Math" w:cstheme="majorBidi"/>
          </w:rPr>
          <m:t>-</m:t>
        </m:r>
        <m:sSub>
          <m:sSubPr>
            <m:ctrlPr>
              <w:rPr>
                <w:rFonts w:ascii="Cambria Math" w:eastAsiaTheme="minorEastAsia" w:hAnsi="Cambria Math" w:cstheme="majorBidi"/>
                <w:i/>
                <w:iCs/>
              </w:rPr>
            </m:ctrlPr>
          </m:sSubPr>
          <m:e>
            <m:r>
              <w:rPr>
                <w:rFonts w:ascii="Cambria Math" w:eastAsiaTheme="minorEastAsia" w:hAnsi="Cambria Math" w:cstheme="majorBidi"/>
              </w:rPr>
              <m:t>T</m:t>
            </m:r>
          </m:e>
          <m:sub>
            <m:r>
              <w:rPr>
                <w:rFonts w:ascii="Cambria Math" w:eastAsiaTheme="minorEastAsia" w:hAnsi="Cambria Math" w:cstheme="majorBidi"/>
              </w:rPr>
              <m:t>m</m:t>
            </m:r>
          </m:sub>
        </m:sSub>
        <m:r>
          <w:rPr>
            <w:rFonts w:ascii="Cambria Math" w:eastAsiaTheme="minorEastAsia" w:hAnsi="Cambria Math" w:cstheme="majorBidi"/>
          </w:rPr>
          <m:t>)/</m:t>
        </m:r>
        <m:sSub>
          <m:sSubPr>
            <m:ctrlPr>
              <w:rPr>
                <w:rFonts w:ascii="Cambria Math" w:eastAsiaTheme="minorEastAsia" w:hAnsi="Cambria Math" w:cstheme="majorBidi"/>
                <w:i/>
                <w:iCs/>
              </w:rPr>
            </m:ctrlPr>
          </m:sSubPr>
          <m:e>
            <m:r>
              <w:rPr>
                <w:rFonts w:ascii="Cambria Math" w:eastAsiaTheme="minorEastAsia" w:hAnsi="Cambria Math" w:cstheme="majorBidi"/>
              </w:rPr>
              <m:t>h</m:t>
            </m:r>
          </m:e>
          <m:sub>
            <m:r>
              <m:rPr>
                <m:sty m:val="p"/>
              </m:rPr>
              <w:rPr>
                <w:rFonts w:ascii="Cambria Math" w:eastAsiaTheme="minorEastAsia" w:hAnsi="Cambria Math" w:cstheme="majorBidi"/>
              </w:rPr>
              <m:t>sl</m:t>
            </m:r>
          </m:sub>
        </m:sSub>
      </m:oMath>
      <w:r w:rsidRPr="004834D3">
        <w:rPr>
          <w:rFonts w:cstheme="majorBidi"/>
          <w:kern w:val="0"/>
        </w:rPr>
        <w:t>, is the ratio of sensible heat to latent heat of fusion. It is based on the temperature difference between the particle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m</m:t>
            </m:r>
          </m:sub>
        </m:sSub>
      </m:oMath>
      <w:r w:rsidRPr="004834D3">
        <w:rPr>
          <w:rFonts w:cstheme="majorBidi"/>
          <w:kern w:val="0"/>
        </w:rPr>
        <w:t>) and the walls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h</m:t>
            </m:r>
          </m:sub>
        </m:sSub>
      </m:oMath>
      <w:r w:rsidRPr="004834D3">
        <w:rPr>
          <w:rFonts w:cstheme="majorBidi"/>
          <w:kern w:val="0"/>
        </w:rPr>
        <w:t xml:space="preserve">). A higher Stefan number suggests a dominance of sensible heat over latent heat, leading to a greater rate of melting. It determines the characteristic melting time. In the calculations of these dimensionless numbers, </w:t>
      </w:r>
      <m:oMath>
        <m:r>
          <w:rPr>
            <w:rFonts w:ascii="Cambria Math" w:hAnsi="Cambria Math" w:cstheme="majorBidi"/>
            <w:kern w:val="0"/>
          </w:rPr>
          <m:t>ν</m:t>
        </m:r>
      </m:oMath>
      <w:r w:rsidRPr="004834D3">
        <w:rPr>
          <w:rFonts w:cstheme="majorBidi"/>
          <w:kern w:val="0"/>
        </w:rPr>
        <w:t xml:space="preserve"> represents the kinematic viscosity, </w:t>
      </w:r>
      <m:oMath>
        <m:r>
          <w:rPr>
            <w:rFonts w:ascii="Cambria Math" w:hAnsi="Cambria Math" w:cstheme="majorBidi"/>
            <w:kern w:val="0"/>
          </w:rPr>
          <m:t>α</m:t>
        </m:r>
      </m:oMath>
      <w:r w:rsidRPr="004834D3">
        <w:rPr>
          <w:rFonts w:cstheme="majorBidi"/>
          <w:kern w:val="0"/>
        </w:rPr>
        <w:t xml:space="preserve"> denotes the thermal diffusivity, and </w:t>
      </w:r>
      <m:oMath>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r>
          <w:rPr>
            <w:rFonts w:ascii="Cambria Math" w:eastAsiaTheme="minorEastAsia" w:hAnsi="Cambria Math" w:cstheme="majorBidi"/>
          </w:rPr>
          <m:t>=</m:t>
        </m:r>
        <m:f>
          <m:fPr>
            <m:type m:val="lin"/>
            <m:ctrlPr>
              <w:rPr>
                <w:rFonts w:ascii="Cambria Math" w:eastAsiaTheme="minorEastAsia" w:hAnsi="Cambria Math" w:cstheme="majorBidi"/>
                <w:i/>
              </w:rPr>
            </m:ctrlPr>
          </m:fPr>
          <m:num>
            <m:r>
              <m:rPr>
                <m:sty m:val="p"/>
              </m:rPr>
              <w:rPr>
                <w:rFonts w:ascii="Cambria Math" w:eastAsiaTheme="minorEastAsia" w:hAnsi="Cambria Math" w:cstheme="majorBidi"/>
              </w:rPr>
              <m:t>Δ</m:t>
            </m:r>
            <m:r>
              <w:rPr>
                <w:rFonts w:ascii="Cambria Math" w:eastAsiaTheme="minorEastAsia" w:hAnsi="Cambria Math" w:cstheme="majorBidi"/>
              </w:rPr>
              <m:t>p</m:t>
            </m:r>
            <m:sSup>
              <m:sSupPr>
                <m:ctrlPr>
                  <w:rPr>
                    <w:rFonts w:ascii="Cambria Math" w:eastAsiaTheme="minorEastAsia" w:hAnsi="Cambria Math" w:cstheme="majorBidi"/>
                    <w:i/>
                  </w:rPr>
                </m:ctrlPr>
              </m:sSupPr>
              <m:e>
                <m:r>
                  <w:rPr>
                    <w:rFonts w:ascii="Cambria Math" w:eastAsiaTheme="minorEastAsia" w:hAnsi="Cambria Math" w:cstheme="majorBidi"/>
                  </w:rPr>
                  <m:t>W</m:t>
                </m:r>
              </m:e>
              <m:sup>
                <m:r>
                  <w:rPr>
                    <w:rFonts w:ascii="Cambria Math" w:eastAsiaTheme="minorEastAsia" w:hAnsi="Cambria Math" w:cstheme="majorBidi"/>
                  </w:rPr>
                  <m:t>2</m:t>
                </m:r>
              </m:sup>
            </m:sSup>
          </m:num>
          <m:den>
            <m:r>
              <w:rPr>
                <w:rFonts w:ascii="Cambria Math" w:eastAsiaTheme="minorEastAsia" w:hAnsi="Cambria Math" w:cstheme="majorBidi"/>
              </w:rPr>
              <m:t>(8Lμ)</m:t>
            </m:r>
          </m:den>
        </m:f>
      </m:oMath>
      <w:r w:rsidRPr="004834D3">
        <w:rPr>
          <w:rFonts w:eastAsiaTheme="minorEastAsia" w:cstheme="majorBidi"/>
        </w:rPr>
        <w:t xml:space="preserve"> </w:t>
      </w:r>
      <w:r w:rsidRPr="004834D3">
        <w:rPr>
          <w:rFonts w:cstheme="majorBidi"/>
          <w:kern w:val="0"/>
        </w:rPr>
        <w:t xml:space="preserve">is the maximum velocity of the undisturbed flow. </w:t>
      </w:r>
    </w:p>
    <w:p w14:paraId="71951098" w14:textId="5CA2477D" w:rsidR="00026335" w:rsidRPr="004651FF" w:rsidRDefault="0010161E" w:rsidP="00700DBA">
      <w:pPr>
        <w:pStyle w:val="Heading3"/>
        <w:numPr>
          <w:ilvl w:val="2"/>
          <w:numId w:val="4"/>
        </w:numPr>
        <w:spacing w:before="360" w:after="0" w:line="480" w:lineRule="auto"/>
        <w:ind w:left="432" w:hanging="432"/>
        <w:rPr>
          <w:sz w:val="24"/>
          <w:szCs w:val="24"/>
        </w:rPr>
      </w:pPr>
      <w:bookmarkStart w:id="72" w:name="_Toc172367697"/>
      <w:r w:rsidRPr="004651FF">
        <w:rPr>
          <w:sz w:val="24"/>
          <w:szCs w:val="24"/>
        </w:rPr>
        <w:t xml:space="preserve">Measurement </w:t>
      </w:r>
      <w:r w:rsidR="00C74FFD" w:rsidRPr="004651FF">
        <w:rPr>
          <w:sz w:val="24"/>
          <w:szCs w:val="24"/>
        </w:rPr>
        <w:t>A</w:t>
      </w:r>
      <w:r w:rsidRPr="004651FF">
        <w:rPr>
          <w:sz w:val="24"/>
          <w:szCs w:val="24"/>
        </w:rPr>
        <w:t>pproach</w:t>
      </w:r>
      <w:bookmarkEnd w:id="72"/>
    </w:p>
    <w:p w14:paraId="1F5EF7AA" w14:textId="3BDBD509" w:rsidR="00D93348" w:rsidRPr="006737DE" w:rsidRDefault="00106F61" w:rsidP="00A74C43">
      <w:pPr>
        <w:spacing w:before="240" w:after="240" w:line="480" w:lineRule="auto"/>
        <w:jc w:val="both"/>
        <w:rPr>
          <w:rFonts w:cstheme="majorBidi"/>
          <w:kern w:val="0"/>
        </w:rPr>
      </w:pPr>
      <w:r w:rsidRPr="004834D3">
        <w:rPr>
          <w:rFonts w:cstheme="majorBidi"/>
          <w:kern w:val="0"/>
        </w:rPr>
        <w:t xml:space="preserve">The dimensionless parameters employed in the simulations, along with the values explored, are outlined in Table 1. This table includes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Pr="004834D3">
        <w:rPr>
          <w:rFonts w:cstheme="majorBidi"/>
          <w:kern w:val="0"/>
        </w:rPr>
        <w:t xml:space="preserve">, which is the dimensionless initial lateral position of the particle, calculated as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r>
          <w:rPr>
            <w:rFonts w:ascii="Cambria Math" w:hAnsi="Cambria Math" w:cstheme="majorBidi"/>
          </w:rPr>
          <m:t>=</m:t>
        </m:r>
        <m:f>
          <m:fPr>
            <m:type m:val="lin"/>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0</m:t>
                </m:r>
              </m:sub>
            </m:sSub>
          </m:num>
          <m:den>
            <m:r>
              <w:rPr>
                <w:rFonts w:ascii="Cambria Math" w:hAnsi="Cambria Math" w:cstheme="majorBidi"/>
              </w:rPr>
              <m:t>W</m:t>
            </m:r>
          </m:den>
        </m:f>
      </m:oMath>
      <w:r w:rsidRPr="004834D3">
        <w:rPr>
          <w:rFonts w:cstheme="majorBidi"/>
          <w:kern w:val="0"/>
        </w:rPr>
        <w:t xml:space="preserve">. The channel </w:t>
      </w:r>
      <w:r w:rsidR="002F3561" w:rsidRPr="004834D3">
        <w:rPr>
          <w:rFonts w:cstheme="majorBidi"/>
          <w:kern w:val="0"/>
        </w:rPr>
        <w:t xml:space="preserve">Re </w:t>
      </w:r>
      <w:r w:rsidRPr="004834D3">
        <w:rPr>
          <w:rFonts w:cstheme="majorBidi"/>
          <w:kern w:val="0"/>
        </w:rPr>
        <w:t xml:space="preserve">number is also detailed in Table </w:t>
      </w:r>
      <w:r w:rsidR="00AF46EA">
        <w:rPr>
          <w:rFonts w:cstheme="majorBidi"/>
          <w:kern w:val="0"/>
        </w:rPr>
        <w:t>5-</w:t>
      </w:r>
      <w:r w:rsidRPr="004834D3">
        <w:rPr>
          <w:rFonts w:cstheme="majorBidi"/>
          <w:kern w:val="0"/>
        </w:rPr>
        <w:t xml:space="preserve">1, defined as </w:t>
      </w:r>
      <m:oMath>
        <m:r>
          <m:rPr>
            <m:sty m:val="p"/>
          </m:rPr>
          <w:rPr>
            <w:rFonts w:ascii="Cambria Math" w:hAnsi="Cambria Math" w:cstheme="majorBidi"/>
          </w:rPr>
          <m:t>Re</m:t>
        </m:r>
        <m:r>
          <w:rPr>
            <w:rFonts w:ascii="Cambria Math" w:hAnsi="Cambria Math" w:cstheme="majorBidi"/>
          </w:rPr>
          <m:t>=</m:t>
        </m:r>
        <m:sSub>
          <m:sSubPr>
            <m:ctrlPr>
              <w:rPr>
                <w:rFonts w:ascii="Cambria Math" w:hAnsi="Cambria Math" w:cstheme="majorBidi"/>
                <w:i/>
                <w:iCs/>
              </w:rPr>
            </m:ctrlPr>
          </m:sSubPr>
          <m:e>
            <m:r>
              <w:rPr>
                <w:rFonts w:ascii="Cambria Math" w:hAnsi="Cambria Math" w:cstheme="majorBidi"/>
              </w:rPr>
              <m:t>u</m:t>
            </m:r>
          </m:e>
          <m:sub>
            <m:r>
              <m:rPr>
                <m:sty m:val="p"/>
              </m:rPr>
              <w:rPr>
                <w:rFonts w:ascii="Cambria Math" w:hAnsi="Cambria Math" w:cstheme="majorBidi"/>
              </w:rPr>
              <m:t>max</m:t>
            </m:r>
          </m:sub>
        </m:sSub>
        <m:r>
          <w:rPr>
            <w:rFonts w:ascii="Cambria Math" w:hAnsi="Cambria Math" w:cstheme="majorBidi"/>
          </w:rPr>
          <m:t>W/ν</m:t>
        </m:r>
      </m:oMath>
      <w:r w:rsidRPr="004834D3">
        <w:rPr>
          <w:rFonts w:cstheme="majorBidi"/>
          <w:kern w:val="0"/>
        </w:rPr>
        <w:t>, is based on the channel width.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3631"/>
      </w:tblGrid>
      <w:tr w:rsidR="00106F61" w:rsidRPr="004834D3" w14:paraId="74891BC1" w14:textId="77777777" w:rsidTr="006737DE">
        <w:trPr>
          <w:jc w:val="center"/>
        </w:trPr>
        <w:tc>
          <w:tcPr>
            <w:tcW w:w="0" w:type="auto"/>
            <w:gridSpan w:val="2"/>
            <w:tcBorders>
              <w:bottom w:val="single" w:sz="4" w:space="0" w:color="auto"/>
            </w:tcBorders>
            <w:vAlign w:val="center"/>
          </w:tcPr>
          <w:p w14:paraId="2E119B8C" w14:textId="79B7B012" w:rsidR="00106F61" w:rsidRPr="004834D3" w:rsidRDefault="006737DE" w:rsidP="006E213C">
            <w:pPr>
              <w:spacing w:line="480" w:lineRule="auto"/>
              <w:ind w:firstLine="360"/>
              <w:jc w:val="center"/>
              <w:rPr>
                <w:rFonts w:cstheme="majorBidi"/>
              </w:rPr>
            </w:pPr>
            <w:bookmarkStart w:id="73" w:name="_Toc172708779"/>
            <w:r w:rsidRPr="006737DE">
              <w:rPr>
                <w:b/>
                <w:bCs/>
              </w:rPr>
              <w:t xml:space="preserve">Table </w:t>
            </w:r>
            <w:r w:rsidR="00015A16">
              <w:rPr>
                <w:b/>
                <w:bCs/>
              </w:rPr>
              <w:fldChar w:fldCharType="begin"/>
            </w:r>
            <w:r w:rsidR="00015A16">
              <w:rPr>
                <w:b/>
                <w:bCs/>
              </w:rPr>
              <w:instrText xml:space="preserve"> STYLEREF 1 \s </w:instrText>
            </w:r>
            <w:r w:rsidR="00015A16">
              <w:rPr>
                <w:b/>
                <w:bCs/>
              </w:rPr>
              <w:fldChar w:fldCharType="separate"/>
            </w:r>
            <w:r w:rsidR="00732AAC">
              <w:rPr>
                <w:b/>
                <w:bCs/>
                <w:noProof/>
                <w:cs/>
              </w:rPr>
              <w:t>‎</w:t>
            </w:r>
            <w:r w:rsidR="00732AAC">
              <w:rPr>
                <w:b/>
                <w:bCs/>
                <w:noProof/>
              </w:rPr>
              <w:t>5</w:t>
            </w:r>
            <w:r w:rsidR="00015A16">
              <w:rPr>
                <w:b/>
                <w:bCs/>
              </w:rPr>
              <w:fldChar w:fldCharType="end"/>
            </w:r>
            <w:r w:rsidR="00015A16">
              <w:rPr>
                <w:b/>
                <w:bCs/>
              </w:rPr>
              <w:noBreakHyphen/>
            </w:r>
            <w:r w:rsidR="00015A16">
              <w:rPr>
                <w:b/>
                <w:bCs/>
              </w:rPr>
              <w:fldChar w:fldCharType="begin"/>
            </w:r>
            <w:r w:rsidR="00015A16">
              <w:rPr>
                <w:b/>
                <w:bCs/>
              </w:rPr>
              <w:instrText xml:space="preserve"> SEQ Table \* ARABIC \s 1 </w:instrText>
            </w:r>
            <w:r w:rsidR="00015A16">
              <w:rPr>
                <w:b/>
                <w:bCs/>
              </w:rPr>
              <w:fldChar w:fldCharType="separate"/>
            </w:r>
            <w:r w:rsidR="00732AAC">
              <w:rPr>
                <w:b/>
                <w:bCs/>
                <w:noProof/>
              </w:rPr>
              <w:t>1</w:t>
            </w:r>
            <w:r w:rsidR="00015A16">
              <w:rPr>
                <w:b/>
                <w:bCs/>
              </w:rPr>
              <w:fldChar w:fldCharType="end"/>
            </w:r>
            <w:r w:rsidR="00106F61" w:rsidRPr="004834D3">
              <w:rPr>
                <w:rFonts w:cstheme="majorBidi"/>
              </w:rPr>
              <w:t xml:space="preserve"> The dimensionless parameters </w:t>
            </w:r>
            <w:r w:rsidR="007573F0" w:rsidRPr="004834D3">
              <w:rPr>
                <w:rFonts w:cstheme="majorBidi"/>
              </w:rPr>
              <w:t>employed</w:t>
            </w:r>
            <w:r w:rsidR="00106F61" w:rsidRPr="004834D3">
              <w:rPr>
                <w:rFonts w:cstheme="majorBidi"/>
              </w:rPr>
              <w:t xml:space="preserve"> in the numerical </w:t>
            </w:r>
            <w:r w:rsidR="007573F0" w:rsidRPr="004834D3">
              <w:rPr>
                <w:rFonts w:cstheme="majorBidi"/>
              </w:rPr>
              <w:t>simulation</w:t>
            </w:r>
            <w:r w:rsidR="00054B7D">
              <w:rPr>
                <w:rFonts w:cstheme="majorBidi"/>
              </w:rPr>
              <w:t>.</w:t>
            </w:r>
            <w:bookmarkEnd w:id="73"/>
          </w:p>
        </w:tc>
      </w:tr>
      <w:tr w:rsidR="00106F61" w:rsidRPr="004834D3" w14:paraId="33AE909B" w14:textId="77777777" w:rsidTr="00054B7D">
        <w:trPr>
          <w:jc w:val="center"/>
        </w:trPr>
        <w:tc>
          <w:tcPr>
            <w:tcW w:w="0" w:type="auto"/>
            <w:tcBorders>
              <w:top w:val="single" w:sz="4" w:space="0" w:color="auto"/>
              <w:bottom w:val="single" w:sz="4" w:space="0" w:color="auto"/>
            </w:tcBorders>
            <w:vAlign w:val="center"/>
          </w:tcPr>
          <w:p w14:paraId="4AFAA968" w14:textId="754EF671" w:rsidR="00106F61" w:rsidRPr="008008F6" w:rsidRDefault="007573F0" w:rsidP="006E213C">
            <w:pPr>
              <w:spacing w:before="240" w:line="480" w:lineRule="auto"/>
              <w:ind w:firstLine="360"/>
              <w:jc w:val="center"/>
              <w:rPr>
                <w:rFonts w:cstheme="majorBidi"/>
                <w:b/>
                <w:bCs/>
              </w:rPr>
            </w:pPr>
            <w:r w:rsidRPr="008008F6">
              <w:rPr>
                <w:rFonts w:cstheme="majorBidi"/>
                <w:b/>
                <w:bCs/>
              </w:rPr>
              <w:t>D</w:t>
            </w:r>
            <w:r w:rsidR="00106F61" w:rsidRPr="008008F6">
              <w:rPr>
                <w:rFonts w:cstheme="majorBidi"/>
                <w:b/>
                <w:bCs/>
              </w:rPr>
              <w:t>imensionless parameter</w:t>
            </w:r>
          </w:p>
        </w:tc>
        <w:tc>
          <w:tcPr>
            <w:tcW w:w="0" w:type="auto"/>
            <w:tcBorders>
              <w:top w:val="single" w:sz="4" w:space="0" w:color="auto"/>
              <w:bottom w:val="single" w:sz="4" w:space="0" w:color="auto"/>
            </w:tcBorders>
            <w:vAlign w:val="center"/>
          </w:tcPr>
          <w:p w14:paraId="0D41E303" w14:textId="77777777" w:rsidR="00106F61" w:rsidRPr="008008F6" w:rsidRDefault="00106F61" w:rsidP="006E213C">
            <w:pPr>
              <w:spacing w:before="240" w:line="480" w:lineRule="auto"/>
              <w:ind w:firstLine="360"/>
              <w:jc w:val="center"/>
              <w:rPr>
                <w:rFonts w:cstheme="majorBidi"/>
                <w:b/>
                <w:bCs/>
              </w:rPr>
            </w:pPr>
            <w:r w:rsidRPr="008008F6">
              <w:rPr>
                <w:rFonts w:cstheme="majorBidi"/>
                <w:b/>
                <w:bCs/>
              </w:rPr>
              <w:t>Value</w:t>
            </w:r>
          </w:p>
        </w:tc>
      </w:tr>
      <w:tr w:rsidR="00106F61" w:rsidRPr="004834D3" w14:paraId="33A0645B" w14:textId="77777777" w:rsidTr="00054B7D">
        <w:trPr>
          <w:jc w:val="center"/>
        </w:trPr>
        <w:tc>
          <w:tcPr>
            <w:tcW w:w="0" w:type="auto"/>
            <w:tcBorders>
              <w:top w:val="single" w:sz="4" w:space="0" w:color="auto"/>
            </w:tcBorders>
            <w:vAlign w:val="center"/>
          </w:tcPr>
          <w:p w14:paraId="4AEE4BB8" w14:textId="77777777" w:rsidR="00106F61" w:rsidRPr="004834D3" w:rsidRDefault="00000000" w:rsidP="006E213C">
            <w:pPr>
              <w:spacing w:before="240" w:line="480" w:lineRule="auto"/>
              <w:ind w:firstLine="360"/>
              <w:jc w:val="center"/>
              <w:rPr>
                <w:rFonts w:cstheme="majorBidi"/>
              </w:rPr>
            </w:pPr>
            <m:oMathPara>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m:oMathPara>
          </w:p>
        </w:tc>
        <w:tc>
          <w:tcPr>
            <w:tcW w:w="0" w:type="auto"/>
            <w:tcBorders>
              <w:top w:val="single" w:sz="4" w:space="0" w:color="auto"/>
            </w:tcBorders>
            <w:vAlign w:val="center"/>
          </w:tcPr>
          <w:p w14:paraId="32DBC1A3" w14:textId="77777777" w:rsidR="00106F61" w:rsidRPr="004834D3" w:rsidRDefault="00106F61" w:rsidP="006E213C">
            <w:pPr>
              <w:spacing w:before="240" w:line="480" w:lineRule="auto"/>
              <w:ind w:firstLine="360"/>
              <w:jc w:val="center"/>
              <w:rPr>
                <w:rFonts w:cstheme="majorBidi"/>
              </w:rPr>
            </w:pPr>
            <w:r w:rsidRPr="004834D3">
              <w:rPr>
                <w:rFonts w:cstheme="majorBidi"/>
              </w:rPr>
              <w:t>0.25, 0.5, 0.75</w:t>
            </w:r>
          </w:p>
        </w:tc>
      </w:tr>
      <w:tr w:rsidR="00106F61" w:rsidRPr="004834D3" w14:paraId="533560AF" w14:textId="77777777" w:rsidTr="000D5333">
        <w:trPr>
          <w:jc w:val="center"/>
        </w:trPr>
        <w:tc>
          <w:tcPr>
            <w:tcW w:w="0" w:type="auto"/>
            <w:vAlign w:val="center"/>
          </w:tcPr>
          <w:p w14:paraId="2B36BE3E" w14:textId="6925696D" w:rsidR="00106F61" w:rsidRPr="00054B7D" w:rsidRDefault="00054B7D" w:rsidP="006E213C">
            <w:pPr>
              <w:spacing w:line="480" w:lineRule="auto"/>
              <w:ind w:firstLine="360"/>
              <w:jc w:val="center"/>
              <w:rPr>
                <w:rFonts w:cstheme="majorBidi"/>
                <w:iCs/>
              </w:rPr>
            </w:pPr>
            <m:oMathPara>
              <m:oMath>
                <m:r>
                  <m:rPr>
                    <m:sty m:val="p"/>
                  </m:rPr>
                  <w:rPr>
                    <w:rFonts w:ascii="Cambria Math" w:hAnsi="Cambria Math" w:cstheme="majorBidi"/>
                  </w:rPr>
                  <m:t>Pr</m:t>
                </m:r>
              </m:oMath>
            </m:oMathPara>
          </w:p>
        </w:tc>
        <w:tc>
          <w:tcPr>
            <w:tcW w:w="0" w:type="auto"/>
            <w:vAlign w:val="center"/>
          </w:tcPr>
          <w:p w14:paraId="6E2D196D" w14:textId="77777777" w:rsidR="00106F61" w:rsidRPr="004834D3" w:rsidRDefault="00106F61" w:rsidP="006E213C">
            <w:pPr>
              <w:spacing w:line="480" w:lineRule="auto"/>
              <w:ind w:firstLine="360"/>
              <w:jc w:val="center"/>
              <w:rPr>
                <w:rFonts w:cstheme="majorBidi"/>
              </w:rPr>
            </w:pPr>
            <w:r w:rsidRPr="004834D3">
              <w:rPr>
                <w:rFonts w:cstheme="majorBidi"/>
              </w:rPr>
              <w:t>0.7</w:t>
            </w:r>
          </w:p>
        </w:tc>
      </w:tr>
      <w:tr w:rsidR="00106F61" w:rsidRPr="004834D3" w14:paraId="17612E3C" w14:textId="77777777" w:rsidTr="00054B7D">
        <w:trPr>
          <w:jc w:val="center"/>
        </w:trPr>
        <w:tc>
          <w:tcPr>
            <w:tcW w:w="0" w:type="auto"/>
            <w:vAlign w:val="center"/>
          </w:tcPr>
          <w:p w14:paraId="41CAFD9B" w14:textId="71A45FB5" w:rsidR="00106F61" w:rsidRPr="00054B7D" w:rsidRDefault="00054B7D" w:rsidP="006E213C">
            <w:pPr>
              <w:spacing w:line="480" w:lineRule="auto"/>
              <w:ind w:firstLine="360"/>
              <w:jc w:val="center"/>
              <w:rPr>
                <w:rFonts w:cstheme="majorBidi"/>
                <w:iCs/>
              </w:rPr>
            </w:pPr>
            <m:oMathPara>
              <m:oMath>
                <m:r>
                  <m:rPr>
                    <m:sty m:val="p"/>
                  </m:rPr>
                  <w:rPr>
                    <w:rFonts w:ascii="Cambria Math" w:hAnsi="Cambria Math" w:cstheme="majorBidi"/>
                  </w:rPr>
                  <m:t>Re</m:t>
                </m:r>
              </m:oMath>
            </m:oMathPara>
          </w:p>
        </w:tc>
        <w:tc>
          <w:tcPr>
            <w:tcW w:w="0" w:type="auto"/>
            <w:vAlign w:val="center"/>
          </w:tcPr>
          <w:p w14:paraId="236FE998" w14:textId="77777777" w:rsidR="00106F61" w:rsidRPr="004834D3" w:rsidRDefault="00106F61" w:rsidP="006E213C">
            <w:pPr>
              <w:spacing w:line="480" w:lineRule="auto"/>
              <w:ind w:firstLine="360"/>
              <w:jc w:val="center"/>
              <w:rPr>
                <w:rFonts w:cstheme="majorBidi"/>
              </w:rPr>
            </w:pPr>
            <w:r w:rsidRPr="004834D3">
              <w:rPr>
                <w:rFonts w:cstheme="majorBidi"/>
              </w:rPr>
              <w:t>0, 100, 500, 1000</w:t>
            </w:r>
          </w:p>
        </w:tc>
      </w:tr>
      <w:tr w:rsidR="00106F61" w:rsidRPr="004834D3" w14:paraId="2360B16A" w14:textId="77777777" w:rsidTr="00054B7D">
        <w:trPr>
          <w:jc w:val="center"/>
        </w:trPr>
        <w:tc>
          <w:tcPr>
            <w:tcW w:w="0" w:type="auto"/>
            <w:vAlign w:val="center"/>
          </w:tcPr>
          <w:p w14:paraId="06376840" w14:textId="2E19D282" w:rsidR="00106F61" w:rsidRPr="00054B7D" w:rsidRDefault="00054B7D" w:rsidP="006E213C">
            <w:pPr>
              <w:spacing w:line="480" w:lineRule="auto"/>
              <w:ind w:firstLine="360"/>
              <w:jc w:val="center"/>
              <w:rPr>
                <w:rFonts w:cstheme="majorBidi"/>
                <w:iCs/>
              </w:rPr>
            </w:pPr>
            <m:oMathPara>
              <m:oMath>
                <m:r>
                  <m:rPr>
                    <m:sty m:val="p"/>
                  </m:rPr>
                  <w:rPr>
                    <w:rFonts w:ascii="Cambria Math" w:hAnsi="Cambria Math" w:cstheme="majorBidi"/>
                  </w:rPr>
                  <m:t>Gr</m:t>
                </m:r>
              </m:oMath>
            </m:oMathPara>
          </w:p>
        </w:tc>
        <w:tc>
          <w:tcPr>
            <w:tcW w:w="0" w:type="auto"/>
            <w:vAlign w:val="center"/>
          </w:tcPr>
          <w:p w14:paraId="16A7186C" w14:textId="77777777" w:rsidR="00106F61" w:rsidRPr="004834D3" w:rsidRDefault="00106F61" w:rsidP="006E213C">
            <w:pPr>
              <w:spacing w:line="480" w:lineRule="auto"/>
              <w:ind w:firstLine="360"/>
              <w:jc w:val="center"/>
              <w:rPr>
                <w:rFonts w:cstheme="majorBidi"/>
              </w:rPr>
            </w:pPr>
            <w:r w:rsidRPr="004834D3">
              <w:rPr>
                <w:rFonts w:cstheme="majorBidi"/>
              </w:rPr>
              <w:t>0, 100, 1000, 10000</w:t>
            </w:r>
          </w:p>
        </w:tc>
      </w:tr>
      <w:tr w:rsidR="00106F61" w:rsidRPr="004834D3" w14:paraId="73435E97" w14:textId="77777777" w:rsidTr="00054B7D">
        <w:trPr>
          <w:jc w:val="center"/>
        </w:trPr>
        <w:tc>
          <w:tcPr>
            <w:tcW w:w="0" w:type="auto"/>
            <w:tcBorders>
              <w:bottom w:val="single" w:sz="4" w:space="0" w:color="auto"/>
            </w:tcBorders>
            <w:vAlign w:val="center"/>
          </w:tcPr>
          <w:p w14:paraId="4F83029A" w14:textId="4B4CDEEA" w:rsidR="00106F61" w:rsidRPr="00054B7D" w:rsidRDefault="00054B7D" w:rsidP="006E213C">
            <w:pPr>
              <w:spacing w:line="480" w:lineRule="auto"/>
              <w:ind w:firstLine="360"/>
              <w:jc w:val="center"/>
              <w:rPr>
                <w:rFonts w:cstheme="majorBidi"/>
                <w:iCs/>
              </w:rPr>
            </w:pPr>
            <m:oMathPara>
              <m:oMath>
                <m:r>
                  <m:rPr>
                    <m:sty m:val="p"/>
                  </m:rPr>
                  <w:rPr>
                    <w:rFonts w:ascii="Cambria Math" w:hAnsi="Cambria Math" w:cstheme="majorBidi"/>
                  </w:rPr>
                  <m:t>Ste</m:t>
                </m:r>
              </m:oMath>
            </m:oMathPara>
          </w:p>
        </w:tc>
        <w:tc>
          <w:tcPr>
            <w:tcW w:w="0" w:type="auto"/>
            <w:tcBorders>
              <w:bottom w:val="single" w:sz="4" w:space="0" w:color="auto"/>
            </w:tcBorders>
            <w:vAlign w:val="center"/>
          </w:tcPr>
          <w:p w14:paraId="7007B8A4" w14:textId="77777777" w:rsidR="00106F61" w:rsidRPr="004834D3" w:rsidRDefault="00106F61" w:rsidP="006E213C">
            <w:pPr>
              <w:spacing w:line="480" w:lineRule="auto"/>
              <w:ind w:firstLine="360"/>
              <w:jc w:val="center"/>
              <w:rPr>
                <w:rFonts w:cstheme="majorBidi"/>
              </w:rPr>
            </w:pPr>
            <w:r w:rsidRPr="004834D3">
              <w:rPr>
                <w:rFonts w:cstheme="majorBidi"/>
              </w:rPr>
              <w:t>0, 0.01, 0.1, 0.5</w:t>
            </w:r>
          </w:p>
        </w:tc>
      </w:tr>
    </w:tbl>
    <w:p w14:paraId="17020924" w14:textId="568B9D55" w:rsidR="004C3318" w:rsidRPr="00CA6258" w:rsidRDefault="002F3561" w:rsidP="004333F6">
      <w:pPr>
        <w:spacing w:before="480" w:after="240" w:line="480" w:lineRule="auto"/>
        <w:ind w:firstLine="720"/>
        <w:jc w:val="both"/>
        <w:rPr>
          <w:rFonts w:cstheme="majorBidi"/>
          <w:kern w:val="0"/>
        </w:rPr>
      </w:pPr>
      <w:r w:rsidRPr="004834D3">
        <w:rPr>
          <w:rFonts w:cstheme="majorBidi"/>
          <w:kern w:val="0"/>
        </w:rPr>
        <w:lastRenderedPageBreak/>
        <w:t xml:space="preserve">To explore the behavior of fluids in the laminar flow regime, the </w:t>
      </w:r>
      <m:oMath>
        <m:r>
          <m:rPr>
            <m:sty m:val="p"/>
          </m:rPr>
          <w:rPr>
            <w:rFonts w:ascii="Cambria Math" w:hAnsi="Cambria Math" w:cstheme="majorBidi"/>
            <w:kern w:val="0"/>
          </w:rPr>
          <m:t>Re</m:t>
        </m:r>
      </m:oMath>
      <w:r w:rsidRPr="004834D3">
        <w:rPr>
          <w:rFonts w:cstheme="majorBidi"/>
          <w:kern w:val="0"/>
        </w:rPr>
        <w:t xml:space="preserve"> is maintained below 1</w:t>
      </w:r>
      <w:r w:rsidR="000D5333">
        <w:rPr>
          <w:rFonts w:cstheme="majorBidi"/>
          <w:kern w:val="0"/>
        </w:rPr>
        <w:t>,</w:t>
      </w:r>
      <w:r w:rsidRPr="004834D3">
        <w:rPr>
          <w:rFonts w:cstheme="majorBidi"/>
          <w:kern w:val="0"/>
        </w:rPr>
        <w:t>000. This ensures that the flow conditions remain within the laminar range</w:t>
      </w:r>
      <w:r w:rsidR="007B2301" w:rsidRPr="004834D3">
        <w:rPr>
          <w:rFonts w:cstheme="majorBidi"/>
          <w:kern w:val="0"/>
        </w:rPr>
        <w:t xml:space="preserve">. </w:t>
      </w:r>
      <w:r w:rsidRPr="004834D3">
        <w:rPr>
          <w:rFonts w:cstheme="majorBidi"/>
          <w:kern w:val="0"/>
        </w:rPr>
        <w:t xml:space="preserve">A broad spectrum of values is considered for the </w:t>
      </w:r>
      <m:oMath>
        <m:r>
          <m:rPr>
            <m:sty m:val="p"/>
          </m:rPr>
          <w:rPr>
            <w:rFonts w:ascii="Cambria Math" w:hAnsi="Cambria Math" w:cstheme="majorBidi"/>
            <w:kern w:val="0"/>
          </w:rPr>
          <m:t>Gr</m:t>
        </m:r>
      </m:oMath>
      <w:r w:rsidRPr="004834D3">
        <w:rPr>
          <w:rFonts w:cstheme="majorBidi"/>
          <w:kern w:val="0"/>
        </w:rPr>
        <w:t xml:space="preserve"> number, ranging from 0 to 10,000. This extensive range allows for the examination of varying degrees of buoyancy effects on the particle, from negligible to substantial</w:t>
      </w:r>
      <w:r w:rsidR="007B2301" w:rsidRPr="004834D3">
        <w:rPr>
          <w:rFonts w:cstheme="majorBidi"/>
          <w:kern w:val="0"/>
        </w:rPr>
        <w:t xml:space="preserve">. </w:t>
      </w:r>
      <w:r w:rsidRPr="004834D3">
        <w:rPr>
          <w:rFonts w:cstheme="majorBidi"/>
          <w:kern w:val="0"/>
        </w:rPr>
        <w:t xml:space="preserve">The </w:t>
      </w:r>
      <m:oMath>
        <m:r>
          <m:rPr>
            <m:sty m:val="p"/>
          </m:rPr>
          <w:rPr>
            <w:rFonts w:ascii="Cambria Math" w:hAnsi="Cambria Math" w:cstheme="majorBidi"/>
            <w:kern w:val="0"/>
          </w:rPr>
          <m:t>Ste</m:t>
        </m:r>
      </m:oMath>
      <w:r w:rsidRPr="004834D3">
        <w:rPr>
          <w:rFonts w:cstheme="majorBidi"/>
          <w:kern w:val="0"/>
        </w:rPr>
        <w:t xml:space="preserve"> number is deliberately kept below 0.5 to avoid rapid melting of the particle. Higher values of </w:t>
      </w:r>
      <m:oMath>
        <m:r>
          <m:rPr>
            <m:sty m:val="p"/>
          </m:rPr>
          <w:rPr>
            <w:rFonts w:ascii="Cambria Math" w:hAnsi="Cambria Math" w:cstheme="majorBidi"/>
            <w:kern w:val="0"/>
          </w:rPr>
          <m:t>Ste</m:t>
        </m:r>
      </m:oMath>
      <w:r w:rsidRPr="004834D3">
        <w:rPr>
          <w:rFonts w:cstheme="majorBidi"/>
          <w:kern w:val="0"/>
        </w:rPr>
        <w:t xml:space="preserve"> lead to quicker phase changes, which might not be ideal for detailed observational studies of the melting process over time. Lastly, the </w:t>
      </w:r>
      <m:oMath>
        <m:r>
          <m:rPr>
            <m:sty m:val="p"/>
          </m:rPr>
          <w:rPr>
            <w:rFonts w:ascii="Cambria Math" w:hAnsi="Cambria Math" w:cstheme="majorBidi"/>
            <w:kern w:val="0"/>
          </w:rPr>
          <m:t>Pr</m:t>
        </m:r>
      </m:oMath>
      <w:r w:rsidRPr="004834D3">
        <w:rPr>
          <w:rFonts w:cstheme="majorBidi"/>
          <w:kern w:val="0"/>
        </w:rPr>
        <w:t xml:space="preserve"> number is held constant throughout all simulations. This decision is based on preliminary </w:t>
      </w:r>
      <w:r w:rsidRPr="00CA6258">
        <w:rPr>
          <w:rFonts w:cstheme="majorBidi"/>
          <w:kern w:val="0"/>
        </w:rPr>
        <w:t xml:space="preserve">findings that variations in </w:t>
      </w:r>
      <m:oMath>
        <m:r>
          <m:rPr>
            <m:sty m:val="p"/>
          </m:rPr>
          <w:rPr>
            <w:rFonts w:ascii="Cambria Math" w:hAnsi="Cambria Math" w:cstheme="majorBidi"/>
            <w:kern w:val="0"/>
          </w:rPr>
          <m:t>Pr</m:t>
        </m:r>
      </m:oMath>
      <w:r w:rsidRPr="00CA6258">
        <w:rPr>
          <w:rFonts w:cstheme="majorBidi"/>
          <w:kern w:val="0"/>
        </w:rPr>
        <w:t xml:space="preserve"> show minimal impact on both the rate of melting and the migration paths of the particle.</w:t>
      </w:r>
      <w:r w:rsidR="002E5CE3" w:rsidRPr="00CA6258">
        <w:rPr>
          <w:rFonts w:cstheme="majorBidi"/>
          <w:kern w:val="0"/>
        </w:rPr>
        <w:t xml:space="preserve"> </w:t>
      </w:r>
      <w:r w:rsidR="002E5CE3" w:rsidRPr="00CA6258">
        <w:t>For the melting of an ice particle with a presumed diameter of 2 mm</w:t>
      </w:r>
      <w:r w:rsidR="002A1215" w:rsidRPr="00CA6258">
        <w:t>, 3 mm, and 4 mm</w:t>
      </w:r>
      <w:r w:rsidR="002E5CE3" w:rsidRPr="00CA6258">
        <w:t xml:space="preserve"> in water, Gr number of 10,000 can be achieved with </w:t>
      </w:r>
      <w:r w:rsidR="002A1215" w:rsidRPr="00CA6258">
        <w:t xml:space="preserve">wall </w:t>
      </w:r>
      <w:r w:rsidR="002E5CE3" w:rsidRPr="00CA6258">
        <w:t xml:space="preserve">temperature </w:t>
      </w:r>
      <w:r w:rsidR="002A1215" w:rsidRPr="00CA6258">
        <w:t xml:space="preserve">of </w:t>
      </w:r>
      <w:r w:rsidR="002E5CE3" w:rsidRPr="00CA6258">
        <w:t>6</w:t>
      </w:r>
      <w:r w:rsidR="002A1215" w:rsidRPr="00CA6258">
        <w:t>4</w:t>
      </w:r>
      <w:r w:rsidR="002E5CE3" w:rsidRPr="00CA6258">
        <w:t>°C</w:t>
      </w:r>
      <w:r w:rsidR="002A1215" w:rsidRPr="00CA6258">
        <w:t>, 19°C, and 8°C, respectively</w:t>
      </w:r>
      <w:r w:rsidR="002E5CE3" w:rsidRPr="00CA6258">
        <w:t>.</w:t>
      </w:r>
    </w:p>
    <w:p w14:paraId="42290FAE" w14:textId="28485F5E" w:rsidR="007B2301" w:rsidRPr="00CA6258" w:rsidRDefault="00725431" w:rsidP="00700DBA">
      <w:pPr>
        <w:pStyle w:val="Heading3"/>
        <w:numPr>
          <w:ilvl w:val="2"/>
          <w:numId w:val="4"/>
        </w:numPr>
        <w:spacing w:before="360" w:after="0" w:line="480" w:lineRule="auto"/>
        <w:ind w:left="432" w:hanging="432"/>
        <w:rPr>
          <w:sz w:val="24"/>
          <w:szCs w:val="24"/>
        </w:rPr>
      </w:pPr>
      <w:bookmarkStart w:id="74" w:name="_Toc172367698"/>
      <w:r w:rsidRPr="00CA6258">
        <w:rPr>
          <w:sz w:val="24"/>
          <w:szCs w:val="24"/>
        </w:rPr>
        <w:t xml:space="preserve">Numerical </w:t>
      </w:r>
      <w:r w:rsidR="00BB666A" w:rsidRPr="00CA6258">
        <w:rPr>
          <w:sz w:val="24"/>
          <w:szCs w:val="24"/>
        </w:rPr>
        <w:t>P</w:t>
      </w:r>
      <w:r w:rsidRPr="00CA6258">
        <w:rPr>
          <w:sz w:val="24"/>
          <w:szCs w:val="24"/>
        </w:rPr>
        <w:t>rocedure</w:t>
      </w:r>
      <w:bookmarkEnd w:id="74"/>
      <w:r w:rsidRPr="00CA6258">
        <w:rPr>
          <w:sz w:val="24"/>
          <w:szCs w:val="24"/>
        </w:rPr>
        <w:t xml:space="preserve"> </w:t>
      </w:r>
    </w:p>
    <w:p w14:paraId="3A250506" w14:textId="77777777" w:rsidR="00D93348" w:rsidRDefault="00DA44AB" w:rsidP="006E213C">
      <w:pPr>
        <w:spacing w:before="240" w:after="240" w:line="480" w:lineRule="auto"/>
        <w:jc w:val="both"/>
        <w:rPr>
          <w:rFonts w:cstheme="majorBidi"/>
          <w:kern w:val="0"/>
        </w:rPr>
      </w:pPr>
      <w:r w:rsidRPr="00CA6258">
        <w:rPr>
          <w:rFonts w:cstheme="majorBidi"/>
          <w:kern w:val="0"/>
        </w:rPr>
        <w:t>The governing equations were resolved using a pressure</w:t>
      </w:r>
      <w:r w:rsidRPr="004834D3">
        <w:rPr>
          <w:rFonts w:cstheme="majorBidi"/>
          <w:kern w:val="0"/>
        </w:rPr>
        <w:t xml:space="preserve">-based finite volume method, implemented in the commercial Computational Fluid Dynamics (CFD) software, ANSYS Fluent version 19.1. </w:t>
      </w:r>
      <w:r w:rsidR="008008F6">
        <w:rPr>
          <w:rFonts w:cstheme="majorBidi"/>
          <w:kern w:val="0"/>
        </w:rPr>
        <w:t>T</w:t>
      </w:r>
      <w:r w:rsidRPr="004834D3">
        <w:rPr>
          <w:rFonts w:cstheme="majorBidi"/>
          <w:kern w:val="0"/>
        </w:rPr>
        <w:t xml:space="preserve">o couple the pressure and velocity fields within the simulation, the </w:t>
      </w:r>
      <w:r w:rsidR="00F472EE" w:rsidRPr="004834D3">
        <w:rPr>
          <w:rFonts w:cstheme="majorBidi"/>
          <w:kern w:val="0"/>
        </w:rPr>
        <w:t>SIMPLE</w:t>
      </w:r>
      <w:r w:rsidRPr="004834D3">
        <w:rPr>
          <w:rFonts w:cstheme="majorBidi"/>
          <w:kern w:val="0"/>
        </w:rPr>
        <w:t xml:space="preserve"> algorithm was utilized</w:t>
      </w:r>
      <w:r w:rsidR="00B72A42" w:rsidRPr="004834D3">
        <w:rPr>
          <w:rFonts w:cstheme="majorBidi"/>
          <w:kern w:val="0"/>
        </w:rPr>
        <w:t xml:space="preserve"> </w:t>
      </w:r>
      <w:r w:rsidR="00B72A42" w:rsidRPr="004834D3">
        <w:rPr>
          <w:rFonts w:cstheme="majorBidi"/>
        </w:rPr>
        <w:fldChar w:fldCharType="begin" w:fldLock="1"/>
      </w:r>
      <w:r w:rsidR="00D83446">
        <w:rPr>
          <w:rFonts w:cstheme="majorBidi"/>
        </w:rPr>
        <w:instrText>ADDIN CSL_CITATION {"citationItems":[{"id":"ITEM-1","itemData":{"DOI":"10.13182/nse81-a20112","ISBN":"0070487405","ISSN":"0029-5639","abstract":"Presents introductory skills needed for prediction of heat transfer and fluid flow, using the numerical method based on physical considerations. The author begins by discussing physical phenomena and moves to the concept and practice of the numerical solution. The book concludes with special topics and possible applications of the method.","author":[{"dropping-particle":"V.","family":"Patankar","given":"S.","non-dropping-particle":"","parse-names":false,"suffix":""}],"edition":"1st","id":"ITEM-1","issued":{"date-parts":[["1980"]]},"number-of-pages":"214","publisher":"CRC Press","title":"Numerical heat transfer and fluid flow.","type":"book"},"uris":["http://www.mendeley.com/documents/?uuid=71d05dc1-f2cd-42f0-ad05-84384e96f9c5"]}],"mendeley":{"formattedCitation":"[174]","plainTextFormattedCitation":"[174]","previouslyFormattedCitation":"[175]"},"properties":{"noteIndex":0},"schema":"https://github.com/citation-style-language/schema/raw/master/csl-citation.json"}</w:instrText>
      </w:r>
      <w:r w:rsidR="00B72A42" w:rsidRPr="004834D3">
        <w:rPr>
          <w:rFonts w:cstheme="majorBidi"/>
        </w:rPr>
        <w:fldChar w:fldCharType="separate"/>
      </w:r>
      <w:r w:rsidR="00D83446" w:rsidRPr="00D83446">
        <w:rPr>
          <w:rFonts w:cstheme="majorBidi"/>
          <w:noProof/>
        </w:rPr>
        <w:t>[174]</w:t>
      </w:r>
      <w:r w:rsidR="00B72A42" w:rsidRPr="004834D3">
        <w:rPr>
          <w:rFonts w:cstheme="majorBidi"/>
        </w:rPr>
        <w:fldChar w:fldCharType="end"/>
      </w:r>
      <w:r w:rsidRPr="004834D3">
        <w:rPr>
          <w:rFonts w:cstheme="majorBidi"/>
          <w:kern w:val="0"/>
        </w:rPr>
        <w:t>. For the discretization of advective terms within the governing equations, the Quadratic Upstream Interpolation for Convective Kinematics (QUICK) scheme was employed. This second-order differencing method uses a parabolic curve to approximate the variable profile between two nodes. To construct the parabolic curve, a third point is selected on the upstream side of the flow to capture the influence of convection. The pressure gradient term was computed using the Standard method, wherein pressure values are interpolated at the cell faces using coefficients derived from the momentum equation</w:t>
      </w:r>
      <w:r w:rsidR="00B72A42" w:rsidRPr="004834D3">
        <w:rPr>
          <w:rFonts w:cstheme="majorBidi"/>
          <w:kern w:val="0"/>
        </w:rPr>
        <w:t xml:space="preserve"> </w:t>
      </w:r>
      <w:r w:rsidR="00B72A42" w:rsidRPr="004834D3">
        <w:rPr>
          <w:rFonts w:cstheme="majorBidi"/>
        </w:rPr>
        <w:fldChar w:fldCharType="begin" w:fldLock="1"/>
      </w:r>
      <w:r w:rsidR="00D83446">
        <w:rPr>
          <w:rFonts w:cstheme="majorBidi"/>
        </w:rPr>
        <w:instrText>ADDIN CSL_CITATION {"citationItems":[{"id":"ITEM-1","itemData":{"DOI":"10.1007/978-3-319-99693-6","ISBN":"9783319996936","abstract":"This book is a guide to numerical methods for solving fluid dynamics problems. The most widely used discretization and solution methods, which are also found in most commercial CFD-programs, are described in detail. Some advanced topics, like moving grids, simulation of turbulence, computation of free-surface flows, multigrid methods and parallel computing, are also covered. Since CFD is a very broad field, we provide fundamental methods and ideas, with some illustrative examples, upon which more advanced techniques are built. Numerical accuracy and estimation of errors are important aspects and are discussed in many examples. Computer codes that include many of the methods described in the book can be obtained online. This 4th edition includes major revision of all chapters; some new methods are described and references to more recent publications with new approaches are included. Former Chapter 7 on solution of the Navier-Stokes equations has been split into two Chapters to allow for a more detailed description of several variants of the Fractional Step Method and a comparison with SIMPLE-like approaches. In Chapters 7 to 13, most examples have been replaced or recomputed, and hints regarding practical applications are made. Several new sections have been added, to cover, e.g., immersed-boundary methods, overset grids methods, fluid-structure interaction and conjugate heat transfer.","author":[{"dropping-particle":"","family":"Ferziger","given":"Joel H.","non-dropping-particle":"","parse-names":false,"suffix":""},{"dropping-particle":"","family":"Perić","given":"Milovan","non-dropping-particle":"","parse-names":false,"suffix":""},{"dropping-particle":"","family":"Street","given":"Robert L.","non-dropping-particle":"","parse-names":false,"suffix":""}],"container-title":"Computational Methods for Fluid Dynamics","edition":"4","id":"ITEM-1","issued":{"date-parts":[["2019"]]},"number-of-pages":"1-596","publisher":"Springer Berlin Heidelberg","title":"Computational Methods for Fluid Dynamics","type":"book"},"uris":["http://www.mendeley.com/documents/?uuid=89ae909e-e966-4dac-a6fe-ec156886b7b1"]}],"mendeley":{"formattedCitation":"[175]","plainTextFormattedCitation":"[175]","previouslyFormattedCitation":"[176]"},"properties":{"noteIndex":0},"schema":"https://github.com/citation-style-language/schema/raw/master/csl-citation.json"}</w:instrText>
      </w:r>
      <w:r w:rsidR="00B72A42" w:rsidRPr="004834D3">
        <w:rPr>
          <w:rFonts w:cstheme="majorBidi"/>
        </w:rPr>
        <w:fldChar w:fldCharType="separate"/>
      </w:r>
      <w:r w:rsidR="00D83446" w:rsidRPr="00D83446">
        <w:rPr>
          <w:rFonts w:cstheme="majorBidi"/>
          <w:noProof/>
        </w:rPr>
        <w:t>[175]</w:t>
      </w:r>
      <w:r w:rsidR="00B72A42" w:rsidRPr="004834D3">
        <w:rPr>
          <w:rFonts w:cstheme="majorBidi"/>
        </w:rPr>
        <w:fldChar w:fldCharType="end"/>
      </w:r>
      <w:r w:rsidRPr="004834D3">
        <w:rPr>
          <w:rFonts w:cstheme="majorBidi"/>
          <w:kern w:val="0"/>
        </w:rPr>
        <w:t xml:space="preserve">. Time discretization was handled using a first-order </w:t>
      </w:r>
      <w:r w:rsidRPr="004834D3">
        <w:rPr>
          <w:rFonts w:cstheme="majorBidi"/>
          <w:kern w:val="0"/>
        </w:rPr>
        <w:lastRenderedPageBreak/>
        <w:t>implicit scheme</w:t>
      </w:r>
      <w:r w:rsidR="00F472EE" w:rsidRPr="004834D3">
        <w:rPr>
          <w:rFonts w:cstheme="majorBidi"/>
          <w:kern w:val="0"/>
        </w:rPr>
        <w:t>. S</w:t>
      </w:r>
      <w:r w:rsidRPr="004834D3">
        <w:rPr>
          <w:rFonts w:cstheme="majorBidi"/>
          <w:kern w:val="0"/>
        </w:rPr>
        <w:t xml:space="preserve">everal User Defined Functions (UDFs) were developed in C++ and integrated into the solver. These functions were </w:t>
      </w:r>
      <w:r w:rsidR="00F472EE" w:rsidRPr="004834D3">
        <w:rPr>
          <w:rFonts w:cstheme="majorBidi"/>
          <w:kern w:val="0"/>
        </w:rPr>
        <w:t>employed</w:t>
      </w:r>
      <w:r w:rsidRPr="004834D3">
        <w:rPr>
          <w:rFonts w:cstheme="majorBidi"/>
          <w:kern w:val="0"/>
        </w:rPr>
        <w:t xml:space="preserve"> for: (i) calculating the net force and moment exerted on the particle, as well as the heat transfer rate at the solid-liquid interface, and the consequent translational, rotational, and deformational motions; (ii) updating the positions of computational nodes on the particle surface; and (iii) determining the mass source term added to the fluid control volumes adjacent to the particle boundary due to melting. To ensure the stability of the solution and convergence in each time step, under-relaxation factors of 0.2, 0.5, and 0.7 were applied to the pressure, momentum, and energy equations, respectively. The convergence criterion was set such that the solution was </w:t>
      </w:r>
      <w:r w:rsidR="00F472EE" w:rsidRPr="004834D3">
        <w:rPr>
          <w:rFonts w:cstheme="majorBidi"/>
          <w:kern w:val="0"/>
        </w:rPr>
        <w:t>considered</w:t>
      </w:r>
      <w:r w:rsidRPr="004834D3">
        <w:rPr>
          <w:rFonts w:cstheme="majorBidi"/>
          <w:kern w:val="0"/>
        </w:rPr>
        <w:t xml:space="preserve"> converged when the scaled residuals decreased to 10</w:t>
      </w:r>
      <w:r w:rsidRPr="004834D3">
        <w:rPr>
          <w:rFonts w:cstheme="majorBidi"/>
          <w:kern w:val="0"/>
          <w:vertAlign w:val="superscript"/>
        </w:rPr>
        <w:t>-4</w:t>
      </w:r>
      <w:r w:rsidRPr="004834D3">
        <w:rPr>
          <w:rFonts w:cstheme="majorBidi"/>
          <w:kern w:val="0"/>
        </w:rPr>
        <w:t xml:space="preserve"> for the continuity and momentum equations, and 10</w:t>
      </w:r>
      <w:r w:rsidRPr="004834D3">
        <w:rPr>
          <w:rFonts w:cstheme="majorBidi"/>
          <w:kern w:val="0"/>
          <w:vertAlign w:val="superscript"/>
        </w:rPr>
        <w:t>-7</w:t>
      </w:r>
      <w:r w:rsidRPr="004834D3">
        <w:rPr>
          <w:rFonts w:cstheme="majorBidi"/>
          <w:kern w:val="0"/>
        </w:rPr>
        <w:t xml:space="preserve"> for the energy equation. </w:t>
      </w:r>
    </w:p>
    <w:p w14:paraId="4862822D" w14:textId="648E07F0" w:rsidR="008C1379" w:rsidRPr="004834D3" w:rsidRDefault="008C1379" w:rsidP="006E213C">
      <w:pPr>
        <w:spacing w:before="240" w:after="240" w:line="480" w:lineRule="auto"/>
        <w:ind w:firstLine="720"/>
        <w:jc w:val="both"/>
        <w:rPr>
          <w:rFonts w:cstheme="majorBidi"/>
          <w:kern w:val="0"/>
        </w:rPr>
      </w:pPr>
      <w:r w:rsidRPr="004834D3">
        <w:rPr>
          <w:rFonts w:cstheme="majorBidi"/>
          <w:kern w:val="0"/>
        </w:rPr>
        <w:t xml:space="preserve">The governing equations were solved on a multi-block hybrid grid, incorporating triangular and quadrilateral elements as illustrated in Fig. </w:t>
      </w:r>
      <w:r w:rsidR="00AF46EA">
        <w:rPr>
          <w:rFonts w:cstheme="majorBidi"/>
          <w:kern w:val="0"/>
        </w:rPr>
        <w:t>5</w:t>
      </w:r>
      <w:r w:rsidR="00A2675D">
        <w:rPr>
          <w:rFonts w:cstheme="majorBidi"/>
          <w:kern w:val="0"/>
        </w:rPr>
        <w:t>-3</w:t>
      </w:r>
      <w:r w:rsidRPr="004834D3">
        <w:rPr>
          <w:rFonts w:cstheme="majorBidi"/>
          <w:kern w:val="0"/>
        </w:rPr>
        <w:t xml:space="preserve">. Specifically, the rectangular region surrounding the particle, which is centrally located within the domain, was meshed with triangular elements. This choice facilitates grid deformation and remeshing, necessary for modeling the dynamic interactions and transformations occurring around the melting particle. Additionally, the displacement of the particle surface nodes is depicted. Outside this central area, the remainder of the domain was structured using a fixed grid composed of quadrilateral elements. This structured region is less affected by direct interactions with the particle. Moreover, a boundary layer mesh was implemented along the channel walls. This enhancement is critical for capturing the velocity and temperature gradients near the walls with greater precision.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53B6E" w:rsidRPr="004834D3" w14:paraId="7E27E318" w14:textId="77777777" w:rsidTr="009A4AF3">
        <w:trPr>
          <w:jc w:val="center"/>
        </w:trPr>
        <w:tc>
          <w:tcPr>
            <w:tcW w:w="9350" w:type="dxa"/>
          </w:tcPr>
          <w:p w14:paraId="4AF39855" w14:textId="77777777" w:rsidR="00353B6E" w:rsidRPr="004834D3" w:rsidRDefault="00353B6E" w:rsidP="006E213C">
            <w:pPr>
              <w:spacing w:line="480" w:lineRule="auto"/>
              <w:ind w:firstLine="360"/>
              <w:jc w:val="center"/>
              <w:rPr>
                <w:rFonts w:cstheme="majorBidi"/>
              </w:rPr>
            </w:pPr>
            <w:bookmarkStart w:id="75" w:name="_Hlk132577961"/>
            <w:r w:rsidRPr="004834D3">
              <w:rPr>
                <w:rFonts w:cstheme="majorBidi"/>
                <w:noProof/>
              </w:rPr>
              <w:lastRenderedPageBreak/>
              <w:drawing>
                <wp:inline distT="0" distB="0" distL="0" distR="0" wp14:anchorId="6936FC16" wp14:editId="180BAF7E">
                  <wp:extent cx="3661516" cy="3657600"/>
                  <wp:effectExtent l="0" t="0" r="0" b="0"/>
                  <wp:docPr id="195872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3661516" cy="3657600"/>
                          </a:xfrm>
                          <a:prstGeom prst="rect">
                            <a:avLst/>
                          </a:prstGeom>
                          <a:noFill/>
                          <a:ln>
                            <a:noFill/>
                          </a:ln>
                        </pic:spPr>
                      </pic:pic>
                    </a:graphicData>
                  </a:graphic>
                </wp:inline>
              </w:drawing>
            </w:r>
          </w:p>
        </w:tc>
      </w:tr>
      <w:tr w:rsidR="00353B6E" w:rsidRPr="004834D3" w14:paraId="44CC35C1" w14:textId="77777777" w:rsidTr="009A4AF3">
        <w:trPr>
          <w:jc w:val="center"/>
        </w:trPr>
        <w:tc>
          <w:tcPr>
            <w:tcW w:w="9350" w:type="dxa"/>
          </w:tcPr>
          <w:p w14:paraId="5B401756" w14:textId="496DD474" w:rsidR="00353B6E" w:rsidRPr="006737DE" w:rsidRDefault="006737DE" w:rsidP="006E213C">
            <w:pPr>
              <w:pStyle w:val="Caption"/>
              <w:spacing w:before="0" w:after="0" w:line="480" w:lineRule="auto"/>
              <w:jc w:val="center"/>
            </w:pPr>
            <w:bookmarkStart w:id="76" w:name="_Toc172708822"/>
            <w:r w:rsidRPr="006737DE">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5</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3</w:t>
            </w:r>
            <w:r w:rsidR="00996526">
              <w:rPr>
                <w:b/>
                <w:bCs/>
                <w:szCs w:val="24"/>
              </w:rPr>
              <w:fldChar w:fldCharType="end"/>
            </w:r>
            <w:r w:rsidR="00353B6E" w:rsidRPr="004834D3">
              <w:rPr>
                <w:rFonts w:cstheme="majorBidi"/>
              </w:rPr>
              <w:t xml:space="preserve"> Snapshot of the initial grid configuration, featuring a close-up of the finely meshed area around the particle, </w:t>
            </w:r>
            <w:r w:rsidR="00AF46EA" w:rsidRPr="004834D3">
              <w:rPr>
                <w:rFonts w:cstheme="majorBidi"/>
              </w:rPr>
              <w:t>the</w:t>
            </w:r>
            <w:r w:rsidR="00353B6E" w:rsidRPr="004834D3">
              <w:rPr>
                <w:rFonts w:cstheme="majorBidi"/>
              </w:rPr>
              <w:t xml:space="preserve"> displacement of the particle surface nodes, and the boundary layer mesh near the channel walls.</w:t>
            </w:r>
            <w:bookmarkEnd w:id="76"/>
          </w:p>
        </w:tc>
      </w:tr>
    </w:tbl>
    <w:p w14:paraId="26F5A063" w14:textId="70874861" w:rsidR="00353B6E" w:rsidRPr="004651FF" w:rsidRDefault="00D3063E" w:rsidP="00700DBA">
      <w:pPr>
        <w:pStyle w:val="Heading3"/>
        <w:numPr>
          <w:ilvl w:val="2"/>
          <w:numId w:val="4"/>
        </w:numPr>
        <w:spacing w:before="360" w:after="0" w:line="480" w:lineRule="auto"/>
        <w:ind w:left="432" w:hanging="432"/>
        <w:rPr>
          <w:sz w:val="24"/>
          <w:szCs w:val="24"/>
        </w:rPr>
      </w:pPr>
      <w:bookmarkStart w:id="77" w:name="_Toc172367699"/>
      <w:bookmarkEnd w:id="75"/>
      <w:r w:rsidRPr="004651FF">
        <w:rPr>
          <w:sz w:val="24"/>
          <w:szCs w:val="24"/>
        </w:rPr>
        <w:t xml:space="preserve">Grid </w:t>
      </w:r>
      <w:r w:rsidR="00BB666A" w:rsidRPr="004651FF">
        <w:rPr>
          <w:sz w:val="24"/>
          <w:szCs w:val="24"/>
        </w:rPr>
        <w:t>&amp;</w:t>
      </w:r>
      <w:r w:rsidRPr="004651FF">
        <w:rPr>
          <w:sz w:val="24"/>
          <w:szCs w:val="24"/>
        </w:rPr>
        <w:t xml:space="preserve"> </w:t>
      </w:r>
      <w:r w:rsidR="00BB666A" w:rsidRPr="004651FF">
        <w:rPr>
          <w:sz w:val="24"/>
          <w:szCs w:val="24"/>
        </w:rPr>
        <w:t>T</w:t>
      </w:r>
      <w:r w:rsidRPr="004651FF">
        <w:rPr>
          <w:sz w:val="24"/>
          <w:szCs w:val="24"/>
        </w:rPr>
        <w:t xml:space="preserve">ime </w:t>
      </w:r>
      <w:r w:rsidR="00BB666A" w:rsidRPr="004651FF">
        <w:rPr>
          <w:sz w:val="24"/>
          <w:szCs w:val="24"/>
        </w:rPr>
        <w:t>S</w:t>
      </w:r>
      <w:r w:rsidRPr="004651FF">
        <w:rPr>
          <w:sz w:val="24"/>
          <w:szCs w:val="24"/>
        </w:rPr>
        <w:t xml:space="preserve">tep </w:t>
      </w:r>
      <w:r w:rsidR="00BB666A" w:rsidRPr="004651FF">
        <w:rPr>
          <w:sz w:val="24"/>
          <w:szCs w:val="24"/>
        </w:rPr>
        <w:t>S</w:t>
      </w:r>
      <w:r w:rsidRPr="004651FF">
        <w:rPr>
          <w:sz w:val="24"/>
          <w:szCs w:val="24"/>
        </w:rPr>
        <w:t xml:space="preserve">ize </w:t>
      </w:r>
      <w:r w:rsidR="00BB666A" w:rsidRPr="004651FF">
        <w:rPr>
          <w:sz w:val="24"/>
          <w:szCs w:val="24"/>
        </w:rPr>
        <w:t>I</w:t>
      </w:r>
      <w:r w:rsidRPr="004651FF">
        <w:rPr>
          <w:sz w:val="24"/>
          <w:szCs w:val="24"/>
        </w:rPr>
        <w:t>ndependence</w:t>
      </w:r>
      <w:bookmarkEnd w:id="77"/>
    </w:p>
    <w:p w14:paraId="341DC8CA" w14:textId="06A87BBE" w:rsidR="00940C66" w:rsidRPr="004834D3" w:rsidRDefault="00A96AA7" w:rsidP="006E213C">
      <w:pPr>
        <w:spacing w:before="240" w:after="0" w:line="480" w:lineRule="auto"/>
        <w:jc w:val="both"/>
        <w:rPr>
          <w:rFonts w:cstheme="majorBidi"/>
          <w:kern w:val="0"/>
        </w:rPr>
      </w:pPr>
      <w:r w:rsidRPr="004834D3">
        <w:rPr>
          <w:rFonts w:cstheme="majorBidi"/>
          <w:kern w:val="0"/>
        </w:rPr>
        <w:t xml:space="preserve">To ensure the reliability of the simulation results, a grid independence test was conducted to evaluate the impact of grid size on the predicted lateral position and the melting rate of the </w:t>
      </w:r>
      <w:r w:rsidR="00841894" w:rsidRPr="004834D3">
        <w:rPr>
          <w:rFonts w:cstheme="majorBidi"/>
          <w:kern w:val="0"/>
        </w:rPr>
        <w:t xml:space="preserve">melting </w:t>
      </w:r>
      <w:r w:rsidRPr="004834D3">
        <w:rPr>
          <w:rFonts w:cstheme="majorBidi"/>
          <w:kern w:val="0"/>
        </w:rPr>
        <w:t xml:space="preserve">particle. Figure </w:t>
      </w:r>
      <w:r w:rsidR="00AF46EA">
        <w:rPr>
          <w:rFonts w:cstheme="majorBidi"/>
          <w:kern w:val="0"/>
        </w:rPr>
        <w:t>5</w:t>
      </w:r>
      <w:r w:rsidR="00A2675D">
        <w:rPr>
          <w:rFonts w:cstheme="majorBidi"/>
          <w:kern w:val="0"/>
        </w:rPr>
        <w:t>-4</w:t>
      </w:r>
      <w:r w:rsidRPr="004834D3">
        <w:rPr>
          <w:rFonts w:cstheme="majorBidi"/>
          <w:kern w:val="0"/>
        </w:rPr>
        <w:t xml:space="preserve"> illustrates </w:t>
      </w:r>
      <w:r w:rsidR="00841894" w:rsidRPr="004834D3">
        <w:rPr>
          <w:rFonts w:cstheme="majorBidi"/>
          <w:kern w:val="0"/>
        </w:rPr>
        <w:t xml:space="preserve">the </w:t>
      </w:r>
      <w:r w:rsidRPr="004834D3">
        <w:rPr>
          <w:rFonts w:cstheme="majorBidi"/>
          <w:kern w:val="0"/>
        </w:rPr>
        <w:t>influence</w:t>
      </w:r>
      <w:r w:rsidR="00841894" w:rsidRPr="004834D3">
        <w:rPr>
          <w:rFonts w:cstheme="majorBidi"/>
          <w:kern w:val="0"/>
        </w:rPr>
        <w:t xml:space="preserve"> of grid refinement on </w:t>
      </w:r>
      <w:r w:rsidRPr="004834D3">
        <w:rPr>
          <w:rFonts w:cstheme="majorBidi"/>
          <w:kern w:val="0"/>
        </w:rPr>
        <w:t xml:space="preserve">these predictions. </w:t>
      </w:r>
      <w:r w:rsidR="00841894" w:rsidRPr="004834D3">
        <w:rPr>
          <w:rFonts w:cstheme="majorBidi"/>
          <w:kern w:val="0"/>
        </w:rPr>
        <w:t>I</w:t>
      </w:r>
      <w:r w:rsidRPr="004834D3">
        <w:rPr>
          <w:rFonts w:cstheme="majorBidi"/>
          <w:kern w:val="0"/>
        </w:rPr>
        <w:t xml:space="preserve">ncreasing the number of control volumes from </w:t>
      </w:r>
      <m:oMath>
        <m:r>
          <w:rPr>
            <w:rFonts w:ascii="Cambria Math" w:hAnsi="Cambria Math" w:cstheme="majorBidi"/>
            <w:kern w:val="0"/>
          </w:rPr>
          <m:t>N</m:t>
        </m:r>
      </m:oMath>
      <w:r w:rsidR="00A2675D">
        <w:rPr>
          <w:rFonts w:cstheme="majorBidi"/>
          <w:kern w:val="0"/>
        </w:rPr>
        <w:t xml:space="preserve"> </w:t>
      </w:r>
      <w:r w:rsidRPr="004834D3">
        <w:rPr>
          <w:rFonts w:cstheme="majorBidi"/>
          <w:kern w:val="0"/>
        </w:rPr>
        <w:t xml:space="preserve">= 47,000 to </w:t>
      </w:r>
      <m:oMath>
        <m:r>
          <w:rPr>
            <w:rFonts w:ascii="Cambria Math" w:hAnsi="Cambria Math" w:cstheme="majorBidi"/>
            <w:kern w:val="0"/>
          </w:rPr>
          <m:t>N</m:t>
        </m:r>
      </m:oMath>
      <w:r w:rsidRPr="004834D3">
        <w:rPr>
          <w:rFonts w:cstheme="majorBidi"/>
          <w:kern w:val="0"/>
        </w:rPr>
        <w:t xml:space="preserve"> = 75,000 does not significantly alter the outcomes. This observation suggests that the finer grid does not provide substantial additional accuracy for these specific simulation parameters. Consequently, a grid with 47,000 control </w:t>
      </w:r>
      <w:r w:rsidRPr="004834D3">
        <w:rPr>
          <w:rFonts w:cstheme="majorBidi"/>
          <w:kern w:val="0"/>
        </w:rPr>
        <w:lastRenderedPageBreak/>
        <w:t xml:space="preserve">volumes, which includes 75 control surfaces on the particle surface, has been </w:t>
      </w:r>
      <w:r w:rsidR="00841894" w:rsidRPr="004834D3">
        <w:rPr>
          <w:rFonts w:cstheme="majorBidi"/>
          <w:kern w:val="0"/>
        </w:rPr>
        <w:t>considered</w:t>
      </w:r>
      <w:r w:rsidRPr="004834D3">
        <w:rPr>
          <w:rFonts w:cstheme="majorBidi"/>
          <w:kern w:val="0"/>
        </w:rPr>
        <w:t xml:space="preserve"> sufficient for the numerical simulations.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113FF" w:rsidRPr="004834D3" w14:paraId="74CF690E" w14:textId="77777777" w:rsidTr="002113FF">
        <w:tc>
          <w:tcPr>
            <w:tcW w:w="9350" w:type="dxa"/>
            <w:shd w:val="clear" w:color="auto" w:fill="auto"/>
          </w:tcPr>
          <w:p w14:paraId="733FE209" w14:textId="0BE11BB5" w:rsidR="002113FF" w:rsidRPr="004834D3" w:rsidRDefault="002113FF" w:rsidP="006E213C">
            <w:pPr>
              <w:spacing w:line="480" w:lineRule="auto"/>
              <w:jc w:val="center"/>
              <w:rPr>
                <w:rFonts w:cstheme="majorBidi"/>
                <w:noProof/>
              </w:rPr>
            </w:pPr>
            <w:bookmarkStart w:id="78" w:name="_Hlk132596782"/>
            <w:r w:rsidRPr="004834D3">
              <w:rPr>
                <w:rFonts w:cstheme="majorBidi"/>
                <w:noProof/>
              </w:rPr>
              <w:drawing>
                <wp:inline distT="0" distB="0" distL="0" distR="0" wp14:anchorId="3EBF58A6" wp14:editId="29AAE569">
                  <wp:extent cx="3786524" cy="2697480"/>
                  <wp:effectExtent l="0" t="0" r="4445" b="7620"/>
                  <wp:docPr id="964963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786524" cy="2697480"/>
                          </a:xfrm>
                          <a:prstGeom prst="rect">
                            <a:avLst/>
                          </a:prstGeom>
                          <a:noFill/>
                          <a:ln>
                            <a:noFill/>
                          </a:ln>
                        </pic:spPr>
                      </pic:pic>
                    </a:graphicData>
                  </a:graphic>
                </wp:inline>
              </w:drawing>
            </w:r>
          </w:p>
        </w:tc>
      </w:tr>
      <w:tr w:rsidR="002113FF" w:rsidRPr="004834D3" w14:paraId="2A3575F1" w14:textId="77777777" w:rsidTr="002113FF">
        <w:tc>
          <w:tcPr>
            <w:tcW w:w="9350" w:type="dxa"/>
            <w:shd w:val="clear" w:color="auto" w:fill="auto"/>
          </w:tcPr>
          <w:p w14:paraId="37434186" w14:textId="4D2AA2C1" w:rsidR="002113FF" w:rsidRPr="006737DE" w:rsidRDefault="002113FF" w:rsidP="006E213C">
            <w:pPr>
              <w:pStyle w:val="Caption"/>
              <w:spacing w:before="0" w:after="0" w:line="480" w:lineRule="auto"/>
              <w:jc w:val="center"/>
              <w:rPr>
                <w:b/>
                <w:bCs/>
                <w:szCs w:val="24"/>
              </w:rPr>
            </w:pPr>
            <w:r w:rsidRPr="004834D3">
              <w:rPr>
                <w:rFonts w:cstheme="majorBidi"/>
                <w:noProof/>
              </w:rPr>
              <w:drawing>
                <wp:inline distT="0" distB="0" distL="0" distR="0" wp14:anchorId="77B298C2" wp14:editId="6028BBF4">
                  <wp:extent cx="3786525" cy="2697480"/>
                  <wp:effectExtent l="0" t="0" r="4445" b="7620"/>
                  <wp:docPr id="1413351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786525" cy="2697480"/>
                          </a:xfrm>
                          <a:prstGeom prst="rect">
                            <a:avLst/>
                          </a:prstGeom>
                          <a:noFill/>
                          <a:ln>
                            <a:noFill/>
                          </a:ln>
                        </pic:spPr>
                      </pic:pic>
                    </a:graphicData>
                  </a:graphic>
                </wp:inline>
              </w:drawing>
            </w:r>
          </w:p>
        </w:tc>
      </w:tr>
      <w:tr w:rsidR="00841894" w:rsidRPr="004834D3" w14:paraId="59020D26" w14:textId="77777777" w:rsidTr="002113FF">
        <w:tc>
          <w:tcPr>
            <w:tcW w:w="9350" w:type="dxa"/>
            <w:shd w:val="clear" w:color="auto" w:fill="auto"/>
          </w:tcPr>
          <w:p w14:paraId="53FE2C9B" w14:textId="2487C1CA" w:rsidR="00841894" w:rsidRPr="006737DE" w:rsidRDefault="006737DE" w:rsidP="006E213C">
            <w:pPr>
              <w:pStyle w:val="Caption"/>
              <w:spacing w:before="0" w:after="0" w:line="480" w:lineRule="auto"/>
              <w:jc w:val="center"/>
            </w:pPr>
            <w:bookmarkStart w:id="79" w:name="_Hlk132593794"/>
            <w:bookmarkStart w:id="80" w:name="_Toc172708823"/>
            <w:r w:rsidRPr="006737DE">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5</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4</w:t>
            </w:r>
            <w:r w:rsidR="00996526">
              <w:rPr>
                <w:b/>
                <w:bCs/>
                <w:szCs w:val="24"/>
              </w:rPr>
              <w:fldChar w:fldCharType="end"/>
            </w:r>
            <w:r w:rsidR="00841894" w:rsidRPr="004834D3">
              <w:rPr>
                <w:rFonts w:cstheme="majorBidi"/>
              </w:rPr>
              <w:t xml:space="preserve"> </w:t>
            </w:r>
            <w:r w:rsidR="009341D7">
              <w:rPr>
                <w:rFonts w:cstheme="majorBidi"/>
              </w:rPr>
              <w:t>G</w:t>
            </w:r>
            <w:r w:rsidR="00841894" w:rsidRPr="004834D3">
              <w:rPr>
                <w:rFonts w:cstheme="majorBidi"/>
              </w:rPr>
              <w:t xml:space="preserve">rid size </w:t>
            </w:r>
            <w:r w:rsidR="009341D7">
              <w:rPr>
                <w:rFonts w:cstheme="majorBidi"/>
              </w:rPr>
              <w:t xml:space="preserve">impact </w:t>
            </w:r>
            <w:r w:rsidR="00841894" w:rsidRPr="004834D3">
              <w:rPr>
                <w:rFonts w:cstheme="majorBidi"/>
              </w:rPr>
              <w:t xml:space="preserve">on (a) lateral position, and (b) mass of the particle over dimensionless time, </w:t>
            </w:r>
            <w:r w:rsidR="009341D7">
              <w:rPr>
                <w:rFonts w:cstheme="majorBidi"/>
              </w:rPr>
              <w:t>f</w:t>
            </w:r>
            <w:r w:rsidR="009341D7">
              <w:t>or</w:t>
            </w:r>
            <w:r w:rsidR="00841894" w:rsidRPr="004834D3">
              <w:rPr>
                <w:rFonts w:cstheme="majorBidi"/>
              </w:rPr>
              <w:t xml:space="preserve"> </w:t>
            </w:r>
            <m:oMath>
              <m:r>
                <m:rPr>
                  <m:sty m:val="p"/>
                </m:rPr>
                <w:rPr>
                  <w:rStyle w:val="fontstyle01"/>
                  <w:rFonts w:ascii="Cambria Math" w:eastAsiaTheme="minorEastAsia" w:hAnsi="Cambria Math" w:cstheme="majorBidi"/>
                  <w:lang w:eastAsia="ja-JP"/>
                </w:rPr>
                <m:t>Re</m:t>
              </m:r>
            </m:oMath>
            <w:r w:rsidR="00841894" w:rsidRPr="004834D3">
              <w:rPr>
                <w:rStyle w:val="fontstyle01"/>
                <w:rFonts w:asciiTheme="majorBidi" w:eastAsiaTheme="minorEastAsia" w:hAnsiTheme="majorBidi" w:cstheme="majorBidi"/>
                <w:lang w:eastAsia="ja-JP"/>
              </w:rPr>
              <w:t xml:space="preserve"> =</w:t>
            </w:r>
            <w:r w:rsidR="009341D7">
              <w:rPr>
                <w:rStyle w:val="fontstyle01"/>
                <w:rFonts w:asciiTheme="majorBidi" w:eastAsiaTheme="minorEastAsia" w:hAnsiTheme="majorBidi" w:cstheme="majorBidi"/>
                <w:lang w:eastAsia="ja-JP"/>
              </w:rPr>
              <w:t xml:space="preserve"> </w:t>
            </w:r>
            <w:r w:rsidR="00841894" w:rsidRPr="004834D3">
              <w:rPr>
                <w:rStyle w:val="fontstyle01"/>
                <w:rFonts w:asciiTheme="majorBidi" w:eastAsiaTheme="minorEastAsia" w:hAnsiTheme="majorBidi" w:cstheme="majorBidi"/>
                <w:lang w:eastAsia="ja-JP"/>
              </w:rPr>
              <w:t xml:space="preserve">100, </w:t>
            </w:r>
            <m:oMath>
              <m:r>
                <m:rPr>
                  <m:sty m:val="p"/>
                </m:rPr>
                <w:rPr>
                  <w:rFonts w:ascii="Cambria Math" w:hAnsi="Cambria Math" w:cstheme="majorBidi"/>
                </w:rPr>
                <m:t>Gr</m:t>
              </m:r>
            </m:oMath>
            <w:r w:rsidR="00841894" w:rsidRPr="004834D3">
              <w:rPr>
                <w:rFonts w:eastAsiaTheme="minorEastAsia" w:cstheme="majorBidi"/>
              </w:rPr>
              <w:t xml:space="preserve"> =1</w:t>
            </w:r>
            <w:r w:rsidR="00A2675D">
              <w:rPr>
                <w:rFonts w:eastAsiaTheme="minorEastAsia" w:cstheme="majorBidi"/>
              </w:rPr>
              <w:t>,</w:t>
            </w:r>
            <w:r w:rsidR="00841894" w:rsidRPr="004834D3">
              <w:rPr>
                <w:rFonts w:eastAsiaTheme="minorEastAsia" w:cstheme="majorBidi"/>
              </w:rPr>
              <w:t>000</w:t>
            </w:r>
            <w:r w:rsidR="00841894" w:rsidRPr="004834D3">
              <w:rPr>
                <w:rFonts w:cstheme="majorBidi"/>
              </w:rPr>
              <w:t xml:space="preserve">, </w:t>
            </w:r>
            <m:oMath>
              <m:r>
                <m:rPr>
                  <m:sty m:val="p"/>
                </m:rPr>
                <w:rPr>
                  <w:rFonts w:ascii="Cambria Math" w:hAnsi="Cambria Math" w:cstheme="majorBidi"/>
                </w:rPr>
                <m:t>Ste</m:t>
              </m:r>
            </m:oMath>
            <w:r w:rsidR="00841894" w:rsidRPr="004834D3">
              <w:rPr>
                <w:rFonts w:eastAsiaTheme="minorEastAsia" w:cstheme="majorBidi"/>
              </w:rPr>
              <w:t xml:space="preserve"> =</w:t>
            </w:r>
            <w:r w:rsidR="009341D7">
              <w:rPr>
                <w:rFonts w:eastAsiaTheme="minorEastAsia" w:cstheme="majorBidi"/>
              </w:rPr>
              <w:t xml:space="preserve"> </w:t>
            </w:r>
            <w:r w:rsidR="00841894" w:rsidRPr="004834D3">
              <w:rPr>
                <w:rFonts w:eastAsiaTheme="minorEastAsia" w:cstheme="majorBidi"/>
              </w:rPr>
              <w:t>0.1</w:t>
            </w:r>
            <w:r w:rsidR="00841894" w:rsidRPr="004834D3">
              <w:rPr>
                <w:rFonts w:cstheme="majorBidi"/>
              </w:rPr>
              <w:t xml:space="preserve">,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00841894" w:rsidRPr="004834D3">
              <w:rPr>
                <w:rFonts w:eastAsiaTheme="minorEastAsia" w:cstheme="majorBidi"/>
              </w:rPr>
              <w:t xml:space="preserve"> =</w:t>
            </w:r>
            <w:r w:rsidR="009341D7">
              <w:rPr>
                <w:rFonts w:eastAsiaTheme="minorEastAsia" w:cstheme="majorBidi"/>
              </w:rPr>
              <w:t xml:space="preserve"> </w:t>
            </w:r>
            <w:r w:rsidR="00841894" w:rsidRPr="004834D3">
              <w:rPr>
                <w:rFonts w:eastAsiaTheme="minorEastAsia" w:cstheme="majorBidi"/>
              </w:rPr>
              <w:t xml:space="preserve">0.5, and </w:t>
            </w:r>
            <m:oMath>
              <m:r>
                <w:rPr>
                  <w:rStyle w:val="fontstyle01"/>
                  <w:rFonts w:ascii="Cambria Math" w:hAnsi="Cambria Math" w:cstheme="majorBidi"/>
                  <w:lang w:eastAsia="ja-JP"/>
                </w:rPr>
                <m:t>Δt</m:t>
              </m:r>
            </m:oMath>
            <w:r w:rsidR="009341D7">
              <w:rPr>
                <w:rStyle w:val="fontstyle01"/>
                <w:rFonts w:asciiTheme="majorBidi" w:eastAsiaTheme="minorEastAsia" w:hAnsiTheme="majorBidi" w:cstheme="majorBidi"/>
                <w:lang w:eastAsia="ja-JP"/>
              </w:rPr>
              <w:t xml:space="preserve"> </w:t>
            </w:r>
            <w:r w:rsidR="00841894" w:rsidRPr="004834D3">
              <w:rPr>
                <w:rStyle w:val="fontstyle01"/>
                <w:rFonts w:asciiTheme="majorBidi" w:hAnsiTheme="majorBidi" w:cstheme="majorBidi"/>
                <w:lang w:eastAsia="ja-JP"/>
              </w:rPr>
              <w:t>=</w:t>
            </w:r>
            <w:r w:rsidR="009341D7">
              <w:rPr>
                <w:rStyle w:val="fontstyle01"/>
                <w:rFonts w:asciiTheme="majorBidi" w:hAnsiTheme="majorBidi" w:cstheme="majorBidi"/>
                <w:lang w:eastAsia="ja-JP"/>
              </w:rPr>
              <w:t xml:space="preserve"> </w:t>
            </w:r>
            <w:r w:rsidR="00841894" w:rsidRPr="004834D3">
              <w:rPr>
                <w:rStyle w:val="fontstyle01"/>
                <w:rFonts w:asciiTheme="majorBidi" w:hAnsiTheme="majorBidi" w:cstheme="majorBidi"/>
                <w:lang w:eastAsia="ja-JP"/>
              </w:rPr>
              <w:t>0.01 s.</w:t>
            </w:r>
            <w:bookmarkEnd w:id="79"/>
            <w:bookmarkEnd w:id="80"/>
          </w:p>
        </w:tc>
      </w:tr>
    </w:tbl>
    <w:bookmarkEnd w:id="78"/>
    <w:p w14:paraId="55BE35B9" w14:textId="4117B3EC" w:rsidR="00717A46" w:rsidRPr="004834D3" w:rsidRDefault="00A7019E" w:rsidP="00CA239E">
      <w:pPr>
        <w:spacing w:before="240" w:after="0" w:line="480" w:lineRule="auto"/>
        <w:ind w:firstLine="720"/>
        <w:jc w:val="both"/>
        <w:rPr>
          <w:rFonts w:cstheme="majorBidi"/>
          <w:kern w:val="0"/>
        </w:rPr>
      </w:pPr>
      <w:r w:rsidRPr="004834D3">
        <w:rPr>
          <w:rFonts w:cstheme="majorBidi"/>
          <w:kern w:val="0"/>
        </w:rPr>
        <w:t xml:space="preserve">The independence of simulation results from the time step size was conducted using varying time steps: </w:t>
      </w:r>
      <m:oMath>
        <m:r>
          <w:rPr>
            <w:rFonts w:ascii="Cambria Math" w:hAnsi="Cambria Math" w:cstheme="majorBidi"/>
            <w:kern w:val="0"/>
          </w:rPr>
          <m:t>Δt</m:t>
        </m:r>
      </m:oMath>
      <w:r w:rsidRPr="004834D3">
        <w:rPr>
          <w:rFonts w:cstheme="majorBidi"/>
          <w:kern w:val="0"/>
        </w:rPr>
        <w:t xml:space="preserve"> = 0.005 s, 0.010 s, and 0.050 s. Figure </w:t>
      </w:r>
      <w:r w:rsidR="00FD3C90">
        <w:rPr>
          <w:rFonts w:cstheme="majorBidi"/>
          <w:kern w:val="0"/>
        </w:rPr>
        <w:t>5</w:t>
      </w:r>
      <w:r w:rsidR="00C90D91">
        <w:rPr>
          <w:rFonts w:cstheme="majorBidi"/>
          <w:kern w:val="0"/>
        </w:rPr>
        <w:t>-5</w:t>
      </w:r>
      <w:r w:rsidRPr="004834D3">
        <w:rPr>
          <w:rFonts w:cstheme="majorBidi"/>
          <w:kern w:val="0"/>
        </w:rPr>
        <w:t xml:space="preserve"> illustrates the influence of these different time step sizes on the lateral position of the particle and its mass throughout the </w:t>
      </w:r>
      <w:r w:rsidRPr="004834D3">
        <w:rPr>
          <w:rFonts w:cstheme="majorBidi"/>
          <w:kern w:val="0"/>
        </w:rPr>
        <w:lastRenderedPageBreak/>
        <w:t xml:space="preserve">simulation. The analysis indicates that the results are consistent across the range of time steps tested, showing no significant dependency on the time step size. Based on these findings, a time step size of </w:t>
      </w:r>
      <m:oMath>
        <m:r>
          <w:rPr>
            <w:rFonts w:ascii="Cambria Math" w:hAnsi="Cambria Math" w:cstheme="majorBidi"/>
            <w:kern w:val="0"/>
          </w:rPr>
          <m:t>Δt</m:t>
        </m:r>
      </m:oMath>
      <w:r w:rsidRPr="004834D3">
        <w:rPr>
          <w:rFonts w:cstheme="majorBidi"/>
          <w:kern w:val="0"/>
        </w:rPr>
        <w:t xml:space="preserve"> = 0.010 s has been selected for use in the numerical simulations.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113FF" w:rsidRPr="004834D3" w14:paraId="3610D03B" w14:textId="77777777" w:rsidTr="002113FF">
        <w:tc>
          <w:tcPr>
            <w:tcW w:w="9350" w:type="dxa"/>
          </w:tcPr>
          <w:p w14:paraId="6A9A21D5" w14:textId="7CD6798A" w:rsidR="002113FF" w:rsidRPr="004834D3" w:rsidRDefault="002113FF" w:rsidP="006E213C">
            <w:pPr>
              <w:spacing w:line="360" w:lineRule="auto"/>
              <w:jc w:val="center"/>
              <w:rPr>
                <w:rFonts w:cstheme="majorBidi"/>
                <w:noProof/>
              </w:rPr>
            </w:pPr>
            <w:bookmarkStart w:id="81" w:name="_Hlk132596881"/>
            <w:r w:rsidRPr="004834D3">
              <w:rPr>
                <w:rFonts w:cstheme="majorBidi"/>
                <w:noProof/>
              </w:rPr>
              <w:drawing>
                <wp:inline distT="0" distB="0" distL="0" distR="0" wp14:anchorId="19235C9D" wp14:editId="743DB74B">
                  <wp:extent cx="3658169" cy="2606040"/>
                  <wp:effectExtent l="0" t="0" r="0" b="3810"/>
                  <wp:docPr id="1971230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3658169" cy="2606040"/>
                          </a:xfrm>
                          <a:prstGeom prst="rect">
                            <a:avLst/>
                          </a:prstGeom>
                          <a:noFill/>
                          <a:ln>
                            <a:noFill/>
                          </a:ln>
                        </pic:spPr>
                      </pic:pic>
                    </a:graphicData>
                  </a:graphic>
                </wp:inline>
              </w:drawing>
            </w:r>
          </w:p>
        </w:tc>
      </w:tr>
      <w:tr w:rsidR="002113FF" w:rsidRPr="004834D3" w14:paraId="7BF9A641" w14:textId="77777777" w:rsidTr="002113FF">
        <w:tc>
          <w:tcPr>
            <w:tcW w:w="9350" w:type="dxa"/>
          </w:tcPr>
          <w:p w14:paraId="4DEF9A27" w14:textId="21AD0522" w:rsidR="002113FF" w:rsidRPr="006737DE" w:rsidRDefault="002113FF" w:rsidP="006E213C">
            <w:pPr>
              <w:pStyle w:val="Caption"/>
              <w:spacing w:before="0" w:after="0"/>
              <w:jc w:val="center"/>
              <w:rPr>
                <w:b/>
                <w:bCs/>
              </w:rPr>
            </w:pPr>
            <w:r w:rsidRPr="004834D3">
              <w:rPr>
                <w:rFonts w:cstheme="majorBidi"/>
                <w:noProof/>
              </w:rPr>
              <w:drawing>
                <wp:inline distT="0" distB="0" distL="0" distR="0" wp14:anchorId="05AA9DCE" wp14:editId="3F66A3DA">
                  <wp:extent cx="3698633" cy="2606040"/>
                  <wp:effectExtent l="0" t="0" r="0" b="3810"/>
                  <wp:docPr id="1849870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3698633" cy="2606040"/>
                          </a:xfrm>
                          <a:prstGeom prst="rect">
                            <a:avLst/>
                          </a:prstGeom>
                          <a:noFill/>
                          <a:ln>
                            <a:noFill/>
                          </a:ln>
                        </pic:spPr>
                      </pic:pic>
                    </a:graphicData>
                  </a:graphic>
                </wp:inline>
              </w:drawing>
            </w:r>
          </w:p>
        </w:tc>
      </w:tr>
      <w:tr w:rsidR="002A4541" w:rsidRPr="004834D3" w14:paraId="3597BC66" w14:textId="77777777" w:rsidTr="002113FF">
        <w:tc>
          <w:tcPr>
            <w:tcW w:w="9350" w:type="dxa"/>
          </w:tcPr>
          <w:p w14:paraId="3E1137D5" w14:textId="095FAB1B" w:rsidR="002A4541" w:rsidRPr="00FC4283" w:rsidRDefault="006737DE" w:rsidP="006E213C">
            <w:pPr>
              <w:pStyle w:val="Caption"/>
              <w:spacing w:before="0" w:after="0"/>
              <w:jc w:val="center"/>
              <w:rPr>
                <w:szCs w:val="24"/>
              </w:rPr>
            </w:pPr>
            <w:bookmarkStart w:id="82" w:name="_Hlk132593901"/>
            <w:bookmarkStart w:id="83" w:name="_Toc172708824"/>
            <w:r w:rsidRPr="00FC4283">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5</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5</w:t>
            </w:r>
            <w:r w:rsidR="00996526">
              <w:rPr>
                <w:b/>
                <w:bCs/>
                <w:szCs w:val="24"/>
              </w:rPr>
              <w:fldChar w:fldCharType="end"/>
            </w:r>
            <w:r w:rsidR="002A4541" w:rsidRPr="00FC4283">
              <w:rPr>
                <w:rFonts w:cstheme="majorBidi"/>
                <w:szCs w:val="24"/>
              </w:rPr>
              <w:t xml:space="preserve"> </w:t>
            </w:r>
            <w:bookmarkEnd w:id="82"/>
            <w:r w:rsidR="002A4541" w:rsidRPr="00FC4283">
              <w:rPr>
                <w:rFonts w:cstheme="majorBidi"/>
                <w:szCs w:val="24"/>
              </w:rPr>
              <w:t xml:space="preserve">The time step size </w:t>
            </w:r>
            <w:r w:rsidR="00FC4283">
              <w:rPr>
                <w:rFonts w:cstheme="majorBidi"/>
                <w:szCs w:val="24"/>
              </w:rPr>
              <w:t xml:space="preserve">influence </w:t>
            </w:r>
            <w:r w:rsidR="002A4541" w:rsidRPr="00FC4283">
              <w:rPr>
                <w:rFonts w:cstheme="majorBidi"/>
                <w:szCs w:val="24"/>
              </w:rPr>
              <w:t>on the numerically predicted (a) lateral position, and (b) mass of the particle (</w:t>
            </w:r>
            <w:r w:rsidR="002A4541" w:rsidRPr="00FC4283">
              <w:rPr>
                <w:rFonts w:eastAsiaTheme="minorEastAsia" w:cstheme="majorBidi"/>
                <w:szCs w:val="24"/>
                <w:lang w:eastAsia="ja-JP"/>
              </w:rPr>
              <w:t xml:space="preserve">for </w:t>
            </w:r>
            <w:r w:rsidR="005C7148" w:rsidRPr="00FC4283">
              <w:rPr>
                <w:rFonts w:eastAsiaTheme="minorEastAsia" w:cstheme="majorBidi"/>
                <w:szCs w:val="24"/>
                <w:lang w:eastAsia="ja-JP"/>
              </w:rPr>
              <w:t>Re</w:t>
            </w:r>
            <w:r w:rsidR="002A4541" w:rsidRPr="00FC4283">
              <w:rPr>
                <w:rFonts w:eastAsiaTheme="minorEastAsia" w:cstheme="majorBidi"/>
                <w:szCs w:val="24"/>
                <w:lang w:eastAsia="ja-JP"/>
              </w:rPr>
              <w:t xml:space="preserve"> = 100, </w:t>
            </w:r>
            <w:r w:rsidR="005C7148" w:rsidRPr="00FC4283">
              <w:rPr>
                <w:rFonts w:eastAsiaTheme="minorEastAsia" w:cstheme="majorBidi"/>
                <w:szCs w:val="24"/>
                <w:lang w:eastAsia="ja-JP"/>
              </w:rPr>
              <w:t>Gr</w:t>
            </w:r>
            <w:r w:rsidR="002A4541" w:rsidRPr="00FC4283">
              <w:rPr>
                <w:rFonts w:eastAsiaTheme="minorEastAsia" w:cstheme="majorBidi"/>
                <w:szCs w:val="24"/>
                <w:lang w:eastAsia="ja-JP"/>
              </w:rPr>
              <w:t xml:space="preserve"> = 1</w:t>
            </w:r>
            <w:r w:rsidR="005C7148" w:rsidRPr="00FC4283">
              <w:rPr>
                <w:rFonts w:eastAsiaTheme="minorEastAsia" w:cstheme="majorBidi"/>
                <w:szCs w:val="24"/>
                <w:lang w:eastAsia="ja-JP"/>
              </w:rPr>
              <w:t>,</w:t>
            </w:r>
            <w:r w:rsidR="002A4541" w:rsidRPr="00FC4283">
              <w:rPr>
                <w:rFonts w:eastAsiaTheme="minorEastAsia" w:cstheme="majorBidi"/>
                <w:szCs w:val="24"/>
                <w:lang w:eastAsia="ja-JP"/>
              </w:rPr>
              <w:t xml:space="preserve">000, </w:t>
            </w:r>
            <m:oMath>
              <m:r>
                <m:rPr>
                  <m:sty m:val="p"/>
                </m:rPr>
                <w:rPr>
                  <w:rFonts w:ascii="Cambria Math" w:eastAsiaTheme="minorEastAsia" w:hAnsi="Cambria Math" w:cstheme="majorBidi"/>
                  <w:szCs w:val="24"/>
                  <w:lang w:eastAsia="ja-JP"/>
                </w:rPr>
                <m:t>Ste</m:t>
              </m:r>
            </m:oMath>
            <w:r w:rsidR="002A4541" w:rsidRPr="00FC4283">
              <w:rPr>
                <w:rFonts w:eastAsiaTheme="minorEastAsia" w:cstheme="majorBidi"/>
                <w:szCs w:val="24"/>
                <w:lang w:eastAsia="ja-JP"/>
              </w:rPr>
              <w:t xml:space="preserve"> = 0.1, </w:t>
            </w:r>
            <m:oMath>
              <m:sSubSup>
                <m:sSubSupPr>
                  <m:ctrlPr>
                    <w:rPr>
                      <w:rFonts w:ascii="Cambria Math" w:eastAsiaTheme="minorEastAsia" w:hAnsi="Cambria Math" w:cstheme="majorBidi"/>
                      <w:szCs w:val="24"/>
                      <w:lang w:eastAsia="ja-JP"/>
                    </w:rPr>
                  </m:ctrlPr>
                </m:sSubSupPr>
                <m:e>
                  <m:r>
                    <w:rPr>
                      <w:rFonts w:ascii="Cambria Math" w:eastAsiaTheme="minorEastAsia" w:hAnsi="Cambria Math" w:cstheme="majorBidi"/>
                      <w:szCs w:val="24"/>
                      <w:lang w:eastAsia="ja-JP"/>
                    </w:rPr>
                    <m:t>Y</m:t>
                  </m:r>
                </m:e>
                <m:sub>
                  <m:r>
                    <w:rPr>
                      <w:rFonts w:ascii="Cambria Math" w:eastAsiaTheme="minorEastAsia" w:hAnsi="Cambria Math" w:cstheme="majorBidi"/>
                      <w:szCs w:val="24"/>
                      <w:lang w:eastAsia="ja-JP"/>
                    </w:rPr>
                    <m:t>0</m:t>
                  </m:r>
                </m:sub>
                <m:sup>
                  <m:r>
                    <w:rPr>
                      <w:rFonts w:ascii="Cambria Math" w:eastAsiaTheme="minorEastAsia" w:hAnsi="Cambria Math" w:cstheme="majorBidi"/>
                      <w:szCs w:val="24"/>
                      <w:lang w:eastAsia="ja-JP"/>
                    </w:rPr>
                    <m:t>*</m:t>
                  </m:r>
                </m:sup>
              </m:sSubSup>
            </m:oMath>
            <w:r w:rsidR="002A4541" w:rsidRPr="00FC4283">
              <w:rPr>
                <w:rFonts w:eastAsiaTheme="minorEastAsia" w:cstheme="majorBidi"/>
                <w:szCs w:val="24"/>
                <w:lang w:eastAsia="ja-JP"/>
              </w:rPr>
              <w:t xml:space="preserve"> = 0.5, and </w:t>
            </w:r>
            <m:oMath>
              <m:r>
                <w:rPr>
                  <w:rFonts w:ascii="Cambria Math" w:eastAsiaTheme="minorEastAsia" w:hAnsi="Cambria Math" w:cstheme="majorBidi"/>
                  <w:szCs w:val="24"/>
                  <w:lang w:eastAsia="ja-JP"/>
                </w:rPr>
                <m:t>N</m:t>
              </m:r>
            </m:oMath>
            <w:r w:rsidR="002A4541" w:rsidRPr="00FC4283">
              <w:rPr>
                <w:rFonts w:cstheme="majorBidi"/>
                <w:szCs w:val="24"/>
              </w:rPr>
              <w:t xml:space="preserve"> = 47,000).</w:t>
            </w:r>
            <w:bookmarkEnd w:id="83"/>
          </w:p>
        </w:tc>
      </w:tr>
    </w:tbl>
    <w:p w14:paraId="75DA8E73" w14:textId="3A9F1133" w:rsidR="00DA44AB" w:rsidRPr="004651FF" w:rsidRDefault="007308CA" w:rsidP="00CA6258">
      <w:pPr>
        <w:pStyle w:val="Heading3"/>
        <w:numPr>
          <w:ilvl w:val="2"/>
          <w:numId w:val="4"/>
        </w:numPr>
        <w:spacing w:before="600" w:after="0" w:line="480" w:lineRule="auto"/>
        <w:ind w:left="432" w:hanging="432"/>
        <w:rPr>
          <w:sz w:val="24"/>
          <w:szCs w:val="24"/>
        </w:rPr>
      </w:pPr>
      <w:bookmarkStart w:id="84" w:name="_Toc172367700"/>
      <w:bookmarkEnd w:id="81"/>
      <w:r w:rsidRPr="004651FF">
        <w:rPr>
          <w:sz w:val="24"/>
          <w:szCs w:val="24"/>
        </w:rPr>
        <w:lastRenderedPageBreak/>
        <w:t xml:space="preserve">Model </w:t>
      </w:r>
      <w:r w:rsidR="00BB666A" w:rsidRPr="004651FF">
        <w:rPr>
          <w:sz w:val="24"/>
          <w:szCs w:val="24"/>
        </w:rPr>
        <w:t>V</w:t>
      </w:r>
      <w:r w:rsidRPr="004651FF">
        <w:rPr>
          <w:sz w:val="24"/>
          <w:szCs w:val="24"/>
        </w:rPr>
        <w:t>alidation</w:t>
      </w:r>
      <w:bookmarkEnd w:id="84"/>
    </w:p>
    <w:p w14:paraId="16F9C66D" w14:textId="7CB6BCA5" w:rsidR="00E214E5" w:rsidRPr="004834D3" w:rsidRDefault="00E214E5" w:rsidP="006E213C">
      <w:pPr>
        <w:spacing w:before="240" w:after="240" w:line="480" w:lineRule="auto"/>
        <w:jc w:val="both"/>
        <w:rPr>
          <w:rFonts w:cstheme="majorBidi"/>
          <w:kern w:val="0"/>
        </w:rPr>
      </w:pPr>
      <w:r w:rsidRPr="004834D3">
        <w:rPr>
          <w:rFonts w:cstheme="majorBidi"/>
          <w:kern w:val="0"/>
        </w:rPr>
        <w:t>The model was validated by comparing the simulation results with established findings from the literature across three distinct scenarios: (i) the migration of a neutrally buoyant particle in a horizontal channel under Poiseuille flow with thermal convection, (ii) the sedimentation of a cylindrical particle in a vertical channel with natural convection, and (iii) the sedimentation and melting of an initially cylindrical particle in a vertical channel. For the first two cases, comparisons were made regarding the lateral migration of the particle against the results documented in multiple studies. For the third scenario, the sedimentation velocity and melting rate were benchmarked against the findings reported by</w:t>
      </w:r>
      <w:r w:rsidRPr="004834D3">
        <w:rPr>
          <w:rFonts w:cstheme="majorBidi"/>
        </w:rPr>
        <w:t xml:space="preserve"> Gan et al. </w:t>
      </w:r>
      <w:r w:rsidRPr="004834D3">
        <w:rPr>
          <w:rFonts w:cstheme="majorBidi"/>
        </w:rPr>
        <w:fldChar w:fldCharType="begin" w:fldLock="1"/>
      </w:r>
      <w:r w:rsidR="00D83446">
        <w:rPr>
          <w:rFonts w:cstheme="majorBidi"/>
        </w:rPr>
        <w:instrText>ADDIN CSL_CITATION {"citationItems":[{"id":"ITEM-1","itemData":{"DOI":"10.1017/S0022112003003938","ISSN":"00221120","abstract":"Dispersed two-phase flows often involve interfacial activities such as chemical reaction and phase change, which couple the fluid dynamics with heat and mass transfer. As a step toward understanding such problems, we numerically simulate the sedimentation of solid bodies in a Newtonian fluid with convection heat transfer. The two-dimensional Navier-Stokes and energy equations are solved at moderate Reynolds numbers by a finite-element method, and the motion of solid particles is tracked using an arbitrary Lagrangian-Eulerian scheme. Results show that thermal convection may fundamentally change the way that particles move and interact. For a single particle settling in a channel, various Grashof-number regimes are identified, where the particle may settle straight down or migrate toward a wall or oscillate laterally. A pair of particles tend to separate if they are colder than the fluid and aggregate if they are hotter. These effects are analysed in terms of the competition between the thermal convection and the external flow relative to the particle. The mechanisms thus revealed have interesting implications for the formation of microstructures in interfacially active two-phase flows.","author":[{"dropping-particle":"","family":"Gan","given":"Hui","non-dropping-particle":"","parse-names":false,"suffix":""},{"dropping-particle":"","family":"Chang","given":"Jianzhong","non-dropping-particle":"","parse-names":false,"suffix":""},{"dropping-particle":"","family":"Feng","given":"James J.","non-dropping-particle":"","parse-names":false,"suffix":""},{"dropping-particle":"","family":"Hu","given":"Howard H.","non-dropping-particle":"","parse-names":false,"suffix":""}],"container-title":"Journal of Fluid Mechanics","id":"ITEM-1","issued":{"date-parts":[["2003"]]},"page":"385-411","title":"Direct numerical simulation of the sedimentation of solid particles with thermal convection","type":"article-journal","volume":"481"},"uris":["http://www.mendeley.com/documents/?uuid=80c9df3b-634b-4373-ac7a-a05e87466c8d"]}],"mendeley":{"formattedCitation":"[176]","plainTextFormattedCitation":"[176]","previouslyFormattedCitation":"[177]"},"properties":{"noteIndex":0},"schema":"https://github.com/citation-style-language/schema/raw/master/csl-citation.json"}</w:instrText>
      </w:r>
      <w:r w:rsidRPr="004834D3">
        <w:rPr>
          <w:rFonts w:cstheme="majorBidi"/>
        </w:rPr>
        <w:fldChar w:fldCharType="separate"/>
      </w:r>
      <w:r w:rsidR="00D83446" w:rsidRPr="00D83446">
        <w:rPr>
          <w:rFonts w:cstheme="majorBidi"/>
          <w:noProof/>
        </w:rPr>
        <w:t>[176]</w:t>
      </w:r>
      <w:r w:rsidRPr="004834D3">
        <w:rPr>
          <w:rFonts w:cstheme="majorBidi"/>
        </w:rPr>
        <w:fldChar w:fldCharType="end"/>
      </w:r>
      <w:r w:rsidRPr="004834D3">
        <w:rPr>
          <w:rFonts w:cstheme="majorBidi"/>
          <w:kern w:val="0"/>
        </w:rPr>
        <w:t xml:space="preserve">. </w:t>
      </w:r>
    </w:p>
    <w:p w14:paraId="71E2C70D" w14:textId="614F80B9" w:rsidR="00E214E5" w:rsidRPr="006E213C" w:rsidRDefault="00BB666A" w:rsidP="006E213C">
      <w:pPr>
        <w:spacing w:before="360" w:after="0" w:line="480" w:lineRule="auto"/>
        <w:rPr>
          <w:b/>
          <w:bCs/>
          <w:u w:val="single"/>
        </w:rPr>
      </w:pPr>
      <w:r w:rsidRPr="006E213C">
        <w:rPr>
          <w:b/>
          <w:bCs/>
          <w:u w:val="single"/>
        </w:rPr>
        <w:t>N</w:t>
      </w:r>
      <w:r w:rsidR="00E214E5" w:rsidRPr="006E213C">
        <w:rPr>
          <w:b/>
          <w:bCs/>
          <w:u w:val="single"/>
        </w:rPr>
        <w:t xml:space="preserve">eutrally </w:t>
      </w:r>
      <w:r w:rsidRPr="006E213C">
        <w:rPr>
          <w:b/>
          <w:bCs/>
          <w:u w:val="single"/>
        </w:rPr>
        <w:t>B</w:t>
      </w:r>
      <w:r w:rsidR="00E214E5" w:rsidRPr="006E213C">
        <w:rPr>
          <w:b/>
          <w:bCs/>
          <w:u w:val="single"/>
        </w:rPr>
        <w:t xml:space="preserve">uoyant </w:t>
      </w:r>
      <w:r w:rsidRPr="006E213C">
        <w:rPr>
          <w:b/>
          <w:bCs/>
          <w:u w:val="single"/>
        </w:rPr>
        <w:t>P</w:t>
      </w:r>
      <w:r w:rsidR="00E214E5" w:rsidRPr="006E213C">
        <w:rPr>
          <w:b/>
          <w:bCs/>
          <w:u w:val="single"/>
        </w:rPr>
        <w:t xml:space="preserve">article </w:t>
      </w:r>
      <w:r w:rsidR="006D34F4" w:rsidRPr="006E213C">
        <w:rPr>
          <w:b/>
          <w:bCs/>
          <w:u w:val="single"/>
        </w:rPr>
        <w:t xml:space="preserve">Migration </w:t>
      </w:r>
      <w:r w:rsidR="00E214E5" w:rsidRPr="006E213C">
        <w:rPr>
          <w:b/>
          <w:bCs/>
          <w:u w:val="single"/>
        </w:rPr>
        <w:t>in</w:t>
      </w:r>
      <w:r w:rsidR="006D34F4" w:rsidRPr="006E213C">
        <w:rPr>
          <w:b/>
          <w:bCs/>
          <w:u w:val="single"/>
        </w:rPr>
        <w:t xml:space="preserve"> Horizontal</w:t>
      </w:r>
      <w:r w:rsidR="00E214E5" w:rsidRPr="006E213C">
        <w:rPr>
          <w:b/>
          <w:bCs/>
          <w:u w:val="single"/>
        </w:rPr>
        <w:t xml:space="preserve"> Poiseuille </w:t>
      </w:r>
      <w:r w:rsidRPr="006E213C">
        <w:rPr>
          <w:b/>
          <w:bCs/>
          <w:u w:val="single"/>
        </w:rPr>
        <w:t>F</w:t>
      </w:r>
      <w:r w:rsidR="00E214E5" w:rsidRPr="006E213C">
        <w:rPr>
          <w:b/>
          <w:bCs/>
          <w:u w:val="single"/>
        </w:rPr>
        <w:t>low</w:t>
      </w:r>
    </w:p>
    <w:p w14:paraId="5D3705F4" w14:textId="5135466B" w:rsidR="006E213C" w:rsidRDefault="00E214E5" w:rsidP="00015A16">
      <w:pPr>
        <w:spacing w:before="240" w:after="240" w:line="480" w:lineRule="auto"/>
        <w:jc w:val="both"/>
        <w:rPr>
          <w:rFonts w:cstheme="majorBidi"/>
          <w:kern w:val="0"/>
        </w:rPr>
      </w:pPr>
      <w:r w:rsidRPr="004834D3">
        <w:rPr>
          <w:rFonts w:cstheme="majorBidi"/>
          <w:kern w:val="0"/>
        </w:rPr>
        <w:t xml:space="preserve">The schematic for this case study is similar to Fig. </w:t>
      </w:r>
      <w:r w:rsidR="00FD3C90">
        <w:rPr>
          <w:rFonts w:cstheme="majorBidi"/>
          <w:kern w:val="0"/>
        </w:rPr>
        <w:t>5</w:t>
      </w:r>
      <w:r w:rsidR="002671B0">
        <w:rPr>
          <w:rFonts w:cstheme="majorBidi"/>
          <w:kern w:val="0"/>
        </w:rPr>
        <w:t>-</w:t>
      </w:r>
      <w:r w:rsidRPr="004834D3">
        <w:rPr>
          <w:rFonts w:cstheme="majorBidi"/>
          <w:kern w:val="0"/>
        </w:rPr>
        <w:t xml:space="preserve">1 and presents a scenario where the particle is initially centered in the x-direction within the channel and varying initial lateral positions are explored. The simulation parameters used for comparison include a </w:t>
      </w:r>
      <m:oMath>
        <m:r>
          <m:rPr>
            <m:sty m:val="p"/>
          </m:rPr>
          <w:rPr>
            <w:rFonts w:ascii="Cambria Math" w:hAnsi="Cambria Math" w:cstheme="majorBidi"/>
            <w:kern w:val="0"/>
          </w:rPr>
          <m:t>Pr</m:t>
        </m:r>
      </m:oMath>
      <w:r w:rsidRPr="004834D3">
        <w:rPr>
          <w:rFonts w:cstheme="majorBidi"/>
          <w:kern w:val="0"/>
        </w:rPr>
        <w:t xml:space="preserve"> number of 0.7, a </w:t>
      </w:r>
      <m:oMath>
        <m:r>
          <m:rPr>
            <m:sty m:val="p"/>
          </m:rPr>
          <w:rPr>
            <w:rFonts w:ascii="Cambria Math" w:hAnsi="Cambria Math" w:cstheme="majorBidi"/>
            <w:kern w:val="0"/>
          </w:rPr>
          <m:t>Re</m:t>
        </m:r>
      </m:oMath>
      <w:r w:rsidRPr="004834D3">
        <w:rPr>
          <w:rFonts w:cstheme="majorBidi"/>
          <w:kern w:val="0"/>
        </w:rPr>
        <w:t xml:space="preserve"> number of 96.12, and a </w:t>
      </w:r>
      <m:oMath>
        <m:r>
          <m:rPr>
            <m:sty m:val="p"/>
          </m:rPr>
          <w:rPr>
            <w:rFonts w:ascii="Cambria Math" w:hAnsi="Cambria Math" w:cstheme="majorBidi"/>
            <w:kern w:val="0"/>
          </w:rPr>
          <m:t>Gr</m:t>
        </m:r>
      </m:oMath>
      <w:r w:rsidRPr="004834D3">
        <w:rPr>
          <w:rFonts w:cstheme="majorBidi"/>
          <w:kern w:val="0"/>
        </w:rPr>
        <w:t xml:space="preserve"> number of 1</w:t>
      </w:r>
      <w:r w:rsidR="002671B0">
        <w:rPr>
          <w:rFonts w:cstheme="majorBidi"/>
          <w:kern w:val="0"/>
        </w:rPr>
        <w:t>,</w:t>
      </w:r>
      <w:r w:rsidRPr="004834D3">
        <w:rPr>
          <w:rFonts w:cstheme="majorBidi"/>
          <w:kern w:val="0"/>
        </w:rPr>
        <w:t xml:space="preserve">000, with dimensionless initial lateral positions </w:t>
      </w:r>
      <m:oMath>
        <m:sSubSup>
          <m:sSubSupPr>
            <m:ctrlPr>
              <w:rPr>
                <w:rFonts w:ascii="Cambria Math" w:hAnsi="Cambria Math" w:cstheme="majorBidi"/>
                <w:i/>
              </w:rPr>
            </m:ctrlPr>
          </m:sSubSupPr>
          <m:e>
            <m:r>
              <w:rPr>
                <w:rFonts w:ascii="Cambria Math" w:hAnsi="Cambria Math" w:cstheme="majorBidi"/>
              </w:rPr>
              <m:t>W</m:t>
            </m:r>
          </m:e>
          <m:sub>
            <m:r>
              <w:rPr>
                <w:rFonts w:ascii="Cambria Math" w:hAnsi="Cambria Math" w:cstheme="majorBidi"/>
              </w:rPr>
              <m:t>0</m:t>
            </m:r>
          </m:sub>
          <m:sup>
            <m:r>
              <w:rPr>
                <w:rFonts w:ascii="Cambria Math" w:hAnsi="Cambria Math" w:cstheme="majorBidi"/>
              </w:rPr>
              <m:t>*</m:t>
            </m:r>
          </m:sup>
        </m:sSubSup>
      </m:oMath>
      <w:r w:rsidRPr="004834D3">
        <w:rPr>
          <w:rFonts w:eastAsiaTheme="minorEastAsia" w:cstheme="majorBidi"/>
        </w:rPr>
        <w:t xml:space="preserve"> = 0.25</w:t>
      </w:r>
      <w:r w:rsidRPr="004834D3">
        <w:rPr>
          <w:rFonts w:cstheme="majorBidi"/>
          <w:kern w:val="0"/>
        </w:rPr>
        <w:t xml:space="preserve">, 0.50, and 0.75. A pressure gradient of </w:t>
      </w:r>
      <m:oMath>
        <m:sSup>
          <m:sSupPr>
            <m:ctrlPr>
              <w:rPr>
                <w:rFonts w:ascii="Cambria Math" w:eastAsiaTheme="minorEastAsia" w:hAnsi="Cambria Math" w:cstheme="majorBidi"/>
              </w:rPr>
            </m:ctrlPr>
          </m:sSupPr>
          <m:e>
            <m:r>
              <m:rPr>
                <m:sty m:val="p"/>
              </m:rPr>
              <w:rPr>
                <w:rFonts w:ascii="Cambria Math" w:eastAsiaTheme="minorEastAsia" w:hAnsi="Cambria Math" w:cstheme="majorBidi"/>
              </w:rPr>
              <m:t>Δ</m:t>
            </m:r>
            <m:r>
              <w:rPr>
                <w:rFonts w:ascii="Cambria Math" w:eastAsiaTheme="minorEastAsia" w:hAnsi="Cambria Math" w:cstheme="majorBidi"/>
              </w:rPr>
              <m:t>p</m:t>
            </m:r>
          </m:e>
          <m:sup>
            <m:r>
              <w:rPr>
                <w:rFonts w:ascii="Cambria Math" w:eastAsiaTheme="minorEastAsia" w:hAnsi="Cambria Math" w:cstheme="majorBidi"/>
              </w:rPr>
              <m:t>*</m:t>
            </m:r>
          </m:sup>
        </m:sSup>
        <m:r>
          <w:rPr>
            <w:rFonts w:ascii="Cambria Math" w:eastAsiaTheme="minorEastAsia" w:hAnsi="Cambria Math" w:cstheme="majorBidi"/>
          </w:rPr>
          <m:t>/</m:t>
        </m:r>
        <m:sSup>
          <m:sSupPr>
            <m:ctrlPr>
              <w:rPr>
                <w:rFonts w:ascii="Cambria Math" w:eastAsiaTheme="minorEastAsia" w:hAnsi="Cambria Math" w:cstheme="majorBidi"/>
                <w:i/>
              </w:rPr>
            </m:ctrlPr>
          </m:sSupPr>
          <m:e>
            <m:r>
              <w:rPr>
                <w:rFonts w:ascii="Cambria Math" w:eastAsiaTheme="minorEastAsia" w:hAnsi="Cambria Math" w:cstheme="majorBidi"/>
              </w:rPr>
              <m:t>L</m:t>
            </m:r>
          </m:e>
          <m:sup>
            <m:r>
              <w:rPr>
                <w:rFonts w:ascii="Cambria Math" w:eastAsiaTheme="minorEastAsia" w:hAnsi="Cambria Math" w:cstheme="majorBidi"/>
              </w:rPr>
              <m:t>*</m:t>
            </m:r>
          </m:sup>
        </m:sSup>
      </m:oMath>
      <w:r w:rsidR="002671B0">
        <w:rPr>
          <w:rFonts w:eastAsiaTheme="minorEastAsia" w:cstheme="majorBidi"/>
        </w:rPr>
        <w:t xml:space="preserve"> = 0.5</w:t>
      </w:r>
      <w:r w:rsidRPr="004834D3">
        <w:rPr>
          <w:rFonts w:cstheme="majorBidi"/>
          <w:kern w:val="0"/>
        </w:rPr>
        <w:t xml:space="preserve"> was applied to achieve the specified </w:t>
      </w:r>
      <m:oMath>
        <m:r>
          <m:rPr>
            <m:sty m:val="p"/>
          </m:rPr>
          <w:rPr>
            <w:rFonts w:ascii="Cambria Math" w:hAnsi="Cambria Math" w:cstheme="majorBidi"/>
            <w:kern w:val="0"/>
          </w:rPr>
          <m:t>Re</m:t>
        </m:r>
      </m:oMath>
      <w:r w:rsidRPr="004834D3">
        <w:rPr>
          <w:rFonts w:cstheme="majorBidi"/>
          <w:kern w:val="0"/>
        </w:rPr>
        <w:t xml:space="preserve">. An equilibrium position </w:t>
      </w:r>
      <m:oMath>
        <m:sSubSup>
          <m:sSubSupPr>
            <m:ctrlPr>
              <w:rPr>
                <w:rFonts w:ascii="Cambria Math" w:hAnsi="Cambria Math" w:cstheme="majorBidi"/>
                <w:i/>
              </w:rPr>
            </m:ctrlPr>
          </m:sSubSupPr>
          <m:e>
            <m:r>
              <w:rPr>
                <w:rFonts w:ascii="Cambria Math" w:hAnsi="Cambria Math" w:cstheme="majorBidi"/>
              </w:rPr>
              <m:t>W</m:t>
            </m:r>
          </m:e>
          <m:sub>
            <m:r>
              <m:rPr>
                <m:sty m:val="p"/>
              </m:rPr>
              <w:rPr>
                <w:rFonts w:ascii="Cambria Math" w:hAnsi="Cambria Math" w:cstheme="majorBidi"/>
              </w:rPr>
              <m:t>eq</m:t>
            </m:r>
          </m:sub>
          <m:sup>
            <m:r>
              <w:rPr>
                <w:rFonts w:ascii="Cambria Math" w:hAnsi="Cambria Math" w:cstheme="majorBidi"/>
              </w:rPr>
              <m:t>*</m:t>
            </m:r>
          </m:sup>
        </m:sSubSup>
      </m:oMath>
      <w:r w:rsidRPr="004834D3">
        <w:rPr>
          <w:rFonts w:eastAsiaTheme="minorEastAsia" w:cstheme="majorBidi"/>
        </w:rPr>
        <w:t xml:space="preserve">= </w:t>
      </w:r>
      <m:oMath>
        <m:f>
          <m:fPr>
            <m:type m:val="lin"/>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y</m:t>
                </m:r>
              </m:e>
              <m:sub>
                <m:r>
                  <m:rPr>
                    <m:sty m:val="p"/>
                  </m:rPr>
                  <w:rPr>
                    <w:rFonts w:ascii="Cambria Math" w:hAnsi="Cambria Math" w:cstheme="majorBidi"/>
                  </w:rPr>
                  <m:t>eq</m:t>
                </m:r>
              </m:sub>
            </m:sSub>
          </m:num>
          <m:den>
            <m:r>
              <w:rPr>
                <w:rFonts w:ascii="Cambria Math" w:hAnsi="Cambria Math" w:cstheme="majorBidi"/>
              </w:rPr>
              <m:t>W</m:t>
            </m:r>
          </m:den>
        </m:f>
      </m:oMath>
      <w:r w:rsidRPr="004834D3">
        <w:rPr>
          <w:rFonts w:eastAsiaTheme="minorEastAsia" w:cstheme="majorBidi"/>
        </w:rPr>
        <w:t xml:space="preserve"> = 0.2244 </w:t>
      </w:r>
      <w:r w:rsidRPr="004834D3">
        <w:rPr>
          <w:rFonts w:cstheme="majorBidi"/>
          <w:kern w:val="0"/>
        </w:rPr>
        <w:t xml:space="preserve">was calculated and found consistent across different initial lateral positions, indicating stability in the particle’s lateral migration. This predicted equilibrium position closely aligns with the findings of Hu et al. </w:t>
      </w:r>
      <w:r w:rsidRPr="004834D3">
        <w:rPr>
          <w:rFonts w:eastAsiaTheme="minorEastAsia" w:cstheme="majorBidi"/>
        </w:rPr>
        <w:fldChar w:fldCharType="begin" w:fldLock="1"/>
      </w:r>
      <w:r w:rsidR="00D83446">
        <w:rPr>
          <w:rFonts w:eastAsiaTheme="minorEastAsia" w:cstheme="majorBidi"/>
        </w:rPr>
        <w:instrText>ADDIN CSL_CITATION {"citationItems":[{"id":"ITEM-1","itemData":{"DOI":"10.1016/j.ijheatmasstransfer.2017.01.077","ISSN":"00179310","abstract":"The migration of a neutrally buoyant particle in a Poiseuille flow with thermal convection is investigated with the double-population lattice Boltzmann method. Compared with the isothermal case, the migration of the particle is notably affected by thermal convection. Five competing mechanisms are responsible for the lateral migration of the particle, i.e., wall repulsion due to lubrication, inertial lift related to shear slip, a lift due to particle rotation, a lift due to the curvature of the undisturbed velocity profile and a lift induced by thermal convection. Within the parameter range examined (Gr&gt;2000,Rec&gt;200), a critical Grashof number Grcis identified, beyond which the equilibrium position is insensitive to the initial position. Furthermore, a power law dependence of the critical Grashof number Grcon the channel Reynolds number Recis discovered. In addition, with the channel Reynolds number Recincreasing, the forced flow relative to the particle is becoming stronger, leading to a declining effect of thermal convection.","author":[{"dropping-particle":"","family":"Hu","given":"Junjie","non-dropping-particle":"","parse-names":false,"suffix":""},{"dropping-particle":"","family":"Guo","given":"Zhaoli","non-dropping-particle":"","parse-names":false,"suffix":""}],"container-title":"International Journal of Heat and Mass Transfer","id":"ITEM-1","issued":{"date-parts":[["2017"]]},"page":"2158-2168","publisher":"Elsevier Ltd","title":"A numerical study on the migration of a neutrally buoyant particle in a Poiseuille flow with thermal convection","type":"article-journal","volume":"108"},"uris":["http://www.mendeley.com/documents/?uuid=479af101-46a4-4e19-b727-803029d97282"]}],"mendeley":{"formattedCitation":"[177]","plainTextFormattedCitation":"[177]","previouslyFormattedCitation":"[178]"},"properties":{"noteIndex":0},"schema":"https://github.com/citation-style-language/schema/raw/master/csl-citation.json"}</w:instrText>
      </w:r>
      <w:r w:rsidRPr="004834D3">
        <w:rPr>
          <w:rFonts w:eastAsiaTheme="minorEastAsia" w:cstheme="majorBidi"/>
        </w:rPr>
        <w:fldChar w:fldCharType="separate"/>
      </w:r>
      <w:r w:rsidR="00D83446" w:rsidRPr="00D83446">
        <w:rPr>
          <w:rFonts w:eastAsiaTheme="minorEastAsia" w:cstheme="majorBidi"/>
          <w:noProof/>
        </w:rPr>
        <w:t>[177]</w:t>
      </w:r>
      <w:r w:rsidRPr="004834D3">
        <w:rPr>
          <w:rFonts w:eastAsiaTheme="minorEastAsia" w:cstheme="majorBidi"/>
        </w:rPr>
        <w:fldChar w:fldCharType="end"/>
      </w:r>
      <w:r w:rsidRPr="004834D3">
        <w:rPr>
          <w:rFonts w:cstheme="majorBidi"/>
          <w:kern w:val="0"/>
        </w:rPr>
        <w:t xml:space="preserve"> (</w:t>
      </w:r>
      <m:oMath>
        <m:sSubSup>
          <m:sSubSupPr>
            <m:ctrlPr>
              <w:rPr>
                <w:rFonts w:ascii="Cambria Math" w:hAnsi="Cambria Math" w:cstheme="majorBidi"/>
                <w:i/>
              </w:rPr>
            </m:ctrlPr>
          </m:sSubSupPr>
          <m:e>
            <m:r>
              <w:rPr>
                <w:rFonts w:ascii="Cambria Math" w:hAnsi="Cambria Math" w:cstheme="majorBidi"/>
              </w:rPr>
              <m:t>W</m:t>
            </m:r>
          </m:e>
          <m:sub>
            <m:r>
              <m:rPr>
                <m:sty m:val="p"/>
              </m:rPr>
              <w:rPr>
                <w:rFonts w:ascii="Cambria Math" w:hAnsi="Cambria Math" w:cstheme="majorBidi"/>
              </w:rPr>
              <m:t>eq</m:t>
            </m:r>
          </m:sub>
          <m:sup>
            <m:r>
              <w:rPr>
                <w:rFonts w:ascii="Cambria Math" w:hAnsi="Cambria Math" w:cstheme="majorBidi"/>
              </w:rPr>
              <m:t>*</m:t>
            </m:r>
          </m:sup>
        </m:sSubSup>
      </m:oMath>
      <w:r w:rsidRPr="004834D3">
        <w:rPr>
          <w:rFonts w:eastAsiaTheme="minorEastAsia" w:cstheme="majorBidi"/>
        </w:rPr>
        <w:t xml:space="preserve"> = 0.2146</w:t>
      </w:r>
      <w:r w:rsidRPr="004834D3">
        <w:rPr>
          <w:rFonts w:cstheme="majorBidi"/>
          <w:kern w:val="0"/>
        </w:rPr>
        <w:t xml:space="preserve">), demonstrating a discrepancy of less than 5%. </w:t>
      </w:r>
    </w:p>
    <w:p w14:paraId="3F6EBEA9" w14:textId="77777777" w:rsidR="00CA6258" w:rsidRDefault="00CA6258" w:rsidP="00015A16">
      <w:pPr>
        <w:spacing w:before="240" w:after="240" w:line="480" w:lineRule="auto"/>
        <w:jc w:val="both"/>
        <w:rPr>
          <w:rFonts w:cstheme="majorBidi"/>
          <w:kern w:val="0"/>
        </w:rPr>
      </w:pPr>
    </w:p>
    <w:p w14:paraId="760EE8A1" w14:textId="77777777" w:rsidR="00CA6258" w:rsidRPr="00015A16" w:rsidRDefault="00CA6258" w:rsidP="00015A16">
      <w:pPr>
        <w:spacing w:before="240" w:after="240" w:line="480" w:lineRule="auto"/>
        <w:jc w:val="both"/>
        <w:rPr>
          <w:rFonts w:cstheme="majorBidi"/>
          <w:kern w:val="0"/>
        </w:rPr>
      </w:pPr>
    </w:p>
    <w:p w14:paraId="25C75366" w14:textId="5CB66B16" w:rsidR="00DA44AB" w:rsidRPr="006E213C" w:rsidRDefault="006D34F4" w:rsidP="006E213C">
      <w:pPr>
        <w:spacing w:before="360" w:after="0" w:line="480" w:lineRule="auto"/>
        <w:rPr>
          <w:b/>
          <w:bCs/>
          <w:u w:val="single"/>
        </w:rPr>
      </w:pPr>
      <w:r w:rsidRPr="006E213C">
        <w:rPr>
          <w:b/>
          <w:bCs/>
          <w:u w:val="single"/>
        </w:rPr>
        <w:lastRenderedPageBreak/>
        <w:t xml:space="preserve">Cylindrical </w:t>
      </w:r>
      <w:r w:rsidR="00BB666A" w:rsidRPr="006E213C">
        <w:rPr>
          <w:b/>
          <w:bCs/>
          <w:u w:val="single"/>
        </w:rPr>
        <w:t>P</w:t>
      </w:r>
      <w:r w:rsidR="00C65AD1" w:rsidRPr="006E213C">
        <w:rPr>
          <w:b/>
          <w:bCs/>
          <w:u w:val="single"/>
        </w:rPr>
        <w:t xml:space="preserve">article </w:t>
      </w:r>
      <w:r w:rsidRPr="006E213C">
        <w:rPr>
          <w:b/>
          <w:bCs/>
          <w:u w:val="single"/>
        </w:rPr>
        <w:t xml:space="preserve">Sedimentation </w:t>
      </w:r>
      <w:r w:rsidR="00C65AD1" w:rsidRPr="006E213C">
        <w:rPr>
          <w:b/>
          <w:bCs/>
          <w:u w:val="single"/>
        </w:rPr>
        <w:t xml:space="preserve">in </w:t>
      </w:r>
      <w:r w:rsidR="00BB666A" w:rsidRPr="006E213C">
        <w:rPr>
          <w:b/>
          <w:bCs/>
          <w:u w:val="single"/>
        </w:rPr>
        <w:t>V</w:t>
      </w:r>
      <w:r w:rsidR="00C65AD1" w:rsidRPr="006E213C">
        <w:rPr>
          <w:b/>
          <w:bCs/>
          <w:u w:val="single"/>
        </w:rPr>
        <w:t xml:space="preserve">ertical </w:t>
      </w:r>
      <w:r w:rsidR="00BB666A" w:rsidRPr="006E213C">
        <w:rPr>
          <w:b/>
          <w:bCs/>
          <w:u w:val="single"/>
        </w:rPr>
        <w:t>C</w:t>
      </w:r>
      <w:r w:rsidR="00C65AD1" w:rsidRPr="006E213C">
        <w:rPr>
          <w:b/>
          <w:bCs/>
          <w:u w:val="single"/>
        </w:rPr>
        <w:t>hannel</w:t>
      </w:r>
    </w:p>
    <w:p w14:paraId="6009CA0F" w14:textId="5CDA2DB0" w:rsidR="00DA44AB" w:rsidRPr="004834D3" w:rsidRDefault="00BD5312" w:rsidP="006E213C">
      <w:pPr>
        <w:spacing w:before="240" w:after="240" w:line="480" w:lineRule="auto"/>
        <w:jc w:val="both"/>
        <w:rPr>
          <w:rFonts w:cstheme="majorBidi"/>
          <w:kern w:val="0"/>
        </w:rPr>
      </w:pPr>
      <w:r w:rsidRPr="004834D3">
        <w:rPr>
          <w:rFonts w:cstheme="majorBidi"/>
          <w:kern w:val="0"/>
        </w:rPr>
        <w:t xml:space="preserve">In the second validation scenario, the process of sedimentation of a cold particle in a vertical channel with thermal convection was modeled. The results focusing on the equilibrium lateral position of the particle were then compared with existing data in the literature to assess accuracy. As depicted in Fig. </w:t>
      </w:r>
      <w:r w:rsidR="00FD3C90">
        <w:rPr>
          <w:rFonts w:cstheme="majorBidi"/>
          <w:kern w:val="0"/>
        </w:rPr>
        <w:t>5</w:t>
      </w:r>
      <w:r w:rsidR="001E6F41">
        <w:rPr>
          <w:rFonts w:cstheme="majorBidi"/>
          <w:kern w:val="0"/>
        </w:rPr>
        <w:t>-6</w:t>
      </w:r>
      <w:r w:rsidRPr="004834D3">
        <w:rPr>
          <w:rFonts w:cstheme="majorBidi"/>
          <w:kern w:val="0"/>
        </w:rPr>
        <w:t xml:space="preserve">, the simulation involves a cylindrical particle with a diameter </w:t>
      </w:r>
      <m:oMath>
        <m:r>
          <w:rPr>
            <w:rFonts w:ascii="Cambria Math" w:hAnsi="Cambria Math" w:cstheme="majorBidi"/>
            <w:kern w:val="0"/>
          </w:rPr>
          <m:t>D</m:t>
        </m:r>
      </m:oMath>
      <w:r w:rsidRPr="004834D3">
        <w:rPr>
          <w:rFonts w:cstheme="majorBidi"/>
          <w:kern w:val="0"/>
        </w:rPr>
        <w:t xml:space="preserve"> and a slight density differential, expressed as </w:t>
      </w:r>
      <m:oMath>
        <m:f>
          <m:fPr>
            <m:type m:val="lin"/>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s</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l</m:t>
                </m:r>
              </m:sub>
            </m:sSub>
          </m:den>
        </m:f>
      </m:oMath>
      <w:r w:rsidRPr="004834D3">
        <w:rPr>
          <w:rFonts w:eastAsiaTheme="minorEastAsia" w:cstheme="majorBidi"/>
        </w:rPr>
        <w:t xml:space="preserve"> = 1.00232</w:t>
      </w:r>
      <w:r w:rsidRPr="004834D3">
        <w:rPr>
          <w:rFonts w:cstheme="majorBidi"/>
          <w:kern w:val="0"/>
        </w:rPr>
        <w:t>, being released in a vertical channel.</w:t>
      </w:r>
      <w:r w:rsidR="001E6F41">
        <w:rPr>
          <w:rFonts w:cstheme="majorBidi"/>
          <w:kern w:val="0"/>
        </w:rPr>
        <w:t xml:space="preserve"> </w:t>
      </w:r>
      <w:r w:rsidRPr="004834D3">
        <w:rPr>
          <w:rFonts w:cstheme="majorBidi"/>
          <w:kern w:val="0"/>
        </w:rPr>
        <w:t xml:space="preserve">Initially, the particle is positioned </w:t>
      </w:r>
      <w:r w:rsidR="008008F6">
        <w:rPr>
          <w:rFonts w:cstheme="majorBidi"/>
          <w:kern w:val="0"/>
        </w:rPr>
        <w:t xml:space="preserve">at </w:t>
      </w:r>
      <w:r w:rsidRPr="004834D3">
        <w:rPr>
          <w:rFonts w:cstheme="majorBidi"/>
          <w:kern w:val="0"/>
        </w:rPr>
        <w:t>half its diameter (</w:t>
      </w:r>
      <m:oMath>
        <m:sSub>
          <m:sSubPr>
            <m:ctrlPr>
              <w:rPr>
                <w:rFonts w:ascii="Cambria Math" w:eastAsiaTheme="minorEastAsia" w:hAnsi="Cambria Math" w:cstheme="majorBidi"/>
                <w:i/>
              </w:rPr>
            </m:ctrlPr>
          </m:sSubPr>
          <m:e>
            <m:r>
              <w:rPr>
                <w:rFonts w:ascii="Cambria Math" w:eastAsiaTheme="minorEastAsia" w:hAnsi="Cambria Math" w:cstheme="majorBidi"/>
              </w:rPr>
              <m:t>x</m:t>
            </m:r>
          </m:e>
          <m:sub>
            <m:r>
              <w:rPr>
                <w:rFonts w:ascii="Cambria Math" w:eastAsiaTheme="minorEastAsia" w:hAnsi="Cambria Math" w:cstheme="majorBidi"/>
              </w:rPr>
              <m:t>0</m:t>
            </m:r>
          </m:sub>
        </m:sSub>
        <m:r>
          <w:rPr>
            <w:rFonts w:ascii="Cambria Math" w:eastAsiaTheme="minorEastAsia" w:hAnsi="Cambria Math" w:cstheme="majorBidi"/>
          </w:rPr>
          <m:t>/D</m:t>
        </m:r>
      </m:oMath>
      <w:r w:rsidRPr="004834D3">
        <w:rPr>
          <w:rFonts w:eastAsiaTheme="minorEastAsia" w:cstheme="majorBidi"/>
        </w:rPr>
        <w:t xml:space="preserve"> = </w:t>
      </w:r>
      <w:r w:rsidR="00262D45">
        <w:rPr>
          <w:rFonts w:eastAsiaTheme="minorEastAsia" w:cstheme="majorBidi"/>
        </w:rPr>
        <w:t>1.5</w:t>
      </w:r>
      <w:r w:rsidRPr="004834D3">
        <w:rPr>
          <w:rFonts w:cstheme="majorBidi"/>
          <w:kern w:val="0"/>
        </w:rPr>
        <w:t>) away from the central line of the channel and</w:t>
      </w:r>
      <w:r w:rsidR="00F2680A" w:rsidRPr="004834D3">
        <w:rPr>
          <w:rFonts w:cstheme="majorBidi"/>
          <w:kern w:val="0"/>
        </w:rPr>
        <w:t xml:space="preserve"> </w:t>
      </w:r>
      <m:oMath>
        <m:r>
          <w:rPr>
            <w:rFonts w:ascii="Cambria Math" w:hAnsi="Cambria Math" w:cstheme="majorBidi"/>
            <w:kern w:val="0"/>
          </w:rPr>
          <m:t>10D</m:t>
        </m:r>
      </m:oMath>
      <w:r w:rsidRPr="004834D3">
        <w:rPr>
          <w:rFonts w:cstheme="majorBidi"/>
          <w:kern w:val="0"/>
        </w:rPr>
        <w:t xml:space="preserve"> above the bottom. The channel dimensions are specified as </w:t>
      </w:r>
      <m:oMath>
        <m:r>
          <w:rPr>
            <w:rFonts w:ascii="Cambria Math" w:eastAsiaTheme="minorEastAsia" w:hAnsi="Cambria Math" w:cstheme="majorBidi"/>
          </w:rPr>
          <m:t>W=4D</m:t>
        </m:r>
      </m:oMath>
      <w:r w:rsidRPr="004834D3">
        <w:rPr>
          <w:rFonts w:eastAsiaTheme="minorEastAsia" w:cstheme="majorBidi"/>
        </w:rPr>
        <w:t xml:space="preserve"> </w:t>
      </w:r>
      <w:r w:rsidRPr="004834D3">
        <w:rPr>
          <w:rFonts w:cstheme="majorBidi"/>
          <w:kern w:val="0"/>
        </w:rPr>
        <w:t xml:space="preserve"> wide and </w:t>
      </w:r>
      <m:oMath>
        <m:r>
          <w:rPr>
            <w:rFonts w:ascii="Cambria Math" w:eastAsiaTheme="minorEastAsia" w:hAnsi="Cambria Math" w:cstheme="majorBidi"/>
          </w:rPr>
          <m:t>L=32D</m:t>
        </m:r>
      </m:oMath>
      <w:r w:rsidRPr="004834D3">
        <w:rPr>
          <w:rFonts w:cstheme="majorBidi"/>
          <w:kern w:val="0"/>
        </w:rPr>
        <w:t xml:space="preserve"> long in the x- and y-directions, respectively.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2680A" w:rsidRPr="004834D3" w14:paraId="222EFF12" w14:textId="77777777" w:rsidTr="00E0520A">
        <w:trPr>
          <w:jc w:val="center"/>
        </w:trPr>
        <w:tc>
          <w:tcPr>
            <w:tcW w:w="9350" w:type="dxa"/>
          </w:tcPr>
          <w:p w14:paraId="4B33ED9A" w14:textId="77777777" w:rsidR="00F2680A" w:rsidRPr="004834D3" w:rsidRDefault="00F2680A" w:rsidP="006E213C">
            <w:pPr>
              <w:spacing w:line="480" w:lineRule="auto"/>
              <w:jc w:val="center"/>
              <w:rPr>
                <w:rFonts w:cstheme="majorBidi"/>
              </w:rPr>
            </w:pPr>
            <w:r w:rsidRPr="004834D3">
              <w:rPr>
                <w:rFonts w:cstheme="majorBidi"/>
                <w:noProof/>
              </w:rPr>
              <w:drawing>
                <wp:inline distT="0" distB="0" distL="0" distR="0" wp14:anchorId="6E5C20CA" wp14:editId="1E77317F">
                  <wp:extent cx="1976195" cy="36576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hqprint">
                            <a:extLst>
                              <a:ext uri="{28A0092B-C50C-407E-A947-70E740481C1C}">
                                <a14:useLocalDpi xmlns:a14="http://schemas.microsoft.com/office/drawing/2010/main"/>
                              </a:ext>
                            </a:extLst>
                          </a:blip>
                          <a:srcRect/>
                          <a:stretch>
                            <a:fillRect/>
                          </a:stretch>
                        </pic:blipFill>
                        <pic:spPr bwMode="auto">
                          <a:xfrm>
                            <a:off x="0" y="0"/>
                            <a:ext cx="1976195" cy="3657600"/>
                          </a:xfrm>
                          <a:prstGeom prst="rect">
                            <a:avLst/>
                          </a:prstGeom>
                          <a:noFill/>
                          <a:ln>
                            <a:noFill/>
                          </a:ln>
                        </pic:spPr>
                      </pic:pic>
                    </a:graphicData>
                  </a:graphic>
                </wp:inline>
              </w:drawing>
            </w:r>
          </w:p>
        </w:tc>
      </w:tr>
      <w:tr w:rsidR="00F2680A" w:rsidRPr="004834D3" w14:paraId="0365AAF5" w14:textId="77777777" w:rsidTr="00E0520A">
        <w:trPr>
          <w:jc w:val="center"/>
        </w:trPr>
        <w:tc>
          <w:tcPr>
            <w:tcW w:w="9350" w:type="dxa"/>
          </w:tcPr>
          <w:p w14:paraId="7FFC0C02" w14:textId="1FAF1367" w:rsidR="00F2680A" w:rsidRPr="006737DE" w:rsidRDefault="006737DE" w:rsidP="006E213C">
            <w:pPr>
              <w:pStyle w:val="Caption"/>
              <w:spacing w:before="0" w:after="0" w:line="480" w:lineRule="auto"/>
              <w:jc w:val="center"/>
            </w:pPr>
            <w:bookmarkStart w:id="85" w:name="_Toc172708825"/>
            <w:r w:rsidRPr="006737DE">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5</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6</w:t>
            </w:r>
            <w:r w:rsidR="00996526">
              <w:rPr>
                <w:b/>
                <w:bCs/>
              </w:rPr>
              <w:fldChar w:fldCharType="end"/>
            </w:r>
            <w:r w:rsidR="00F2680A" w:rsidRPr="004834D3">
              <w:rPr>
                <w:rFonts w:cstheme="majorBidi"/>
              </w:rPr>
              <w:t xml:space="preserve"> Schematic of a cold particle settling in a vertical channel.</w:t>
            </w:r>
            <w:bookmarkEnd w:id="85"/>
          </w:p>
        </w:tc>
      </w:tr>
    </w:tbl>
    <w:p w14:paraId="4D144E76" w14:textId="3301F54F" w:rsidR="006E4BB6" w:rsidRPr="004834D3" w:rsidRDefault="00813CD2" w:rsidP="006E213C">
      <w:pPr>
        <w:spacing w:before="240" w:after="240" w:line="480" w:lineRule="auto"/>
        <w:ind w:firstLine="720"/>
        <w:jc w:val="both"/>
        <w:rPr>
          <w:rFonts w:cstheme="majorBidi"/>
          <w:kern w:val="0"/>
        </w:rPr>
      </w:pPr>
      <w:r w:rsidRPr="004834D3">
        <w:rPr>
          <w:rFonts w:cstheme="majorBidi"/>
          <w:kern w:val="0"/>
        </w:rPr>
        <w:lastRenderedPageBreak/>
        <w:t xml:space="preserve">The particle Re number is calculated using a characteristic velocity defined as </w:t>
      </w:r>
      <m:oMath>
        <m:sSub>
          <m:sSubPr>
            <m:ctrlPr>
              <w:rPr>
                <w:rFonts w:ascii="Cambria Math" w:eastAsiaTheme="minorEastAsia" w:hAnsi="Cambria Math" w:cstheme="majorBidi"/>
                <w:i/>
              </w:rPr>
            </m:ctrlPr>
          </m:sSubPr>
          <m:e>
            <m:r>
              <w:rPr>
                <w:rFonts w:ascii="Cambria Math" w:eastAsiaTheme="minorEastAsia" w:hAnsi="Cambria Math" w:cstheme="majorBidi"/>
              </w:rPr>
              <m:t>u</m:t>
            </m:r>
          </m:e>
          <m:sub>
            <m:r>
              <w:rPr>
                <w:rFonts w:ascii="Cambria Math" w:eastAsiaTheme="minorEastAsia" w:hAnsi="Cambria Math" w:cstheme="majorBidi"/>
              </w:rPr>
              <m:t>c</m:t>
            </m:r>
          </m:sub>
        </m:sSub>
        <m:r>
          <w:rPr>
            <w:rFonts w:ascii="Cambria Math" w:eastAsiaTheme="minorEastAsia" w:hAnsi="Cambria Math" w:cstheme="majorBidi"/>
          </w:rPr>
          <m:t>=</m:t>
        </m:r>
        <m:rad>
          <m:radPr>
            <m:degHide m:val="1"/>
            <m:ctrlPr>
              <w:rPr>
                <w:rFonts w:ascii="Cambria Math" w:eastAsiaTheme="minorEastAsia" w:hAnsi="Cambria Math" w:cstheme="majorBidi"/>
                <w:i/>
              </w:rPr>
            </m:ctrlPr>
          </m:radPr>
          <m:deg/>
          <m:e>
            <m:r>
              <w:rPr>
                <w:rFonts w:ascii="Cambria Math" w:eastAsiaTheme="minorEastAsia" w:hAnsi="Cambria Math" w:cstheme="majorBidi"/>
              </w:rPr>
              <m:t>π</m:t>
            </m:r>
            <m:d>
              <m:dPr>
                <m:ctrlPr>
                  <w:rPr>
                    <w:rFonts w:ascii="Cambria Math" w:eastAsiaTheme="minorEastAsia" w:hAnsi="Cambria Math" w:cstheme="majorBidi"/>
                    <w:i/>
                  </w:rPr>
                </m:ctrlPr>
              </m:dPr>
              <m:e>
                <m:f>
                  <m:fPr>
                    <m:type m:val="lin"/>
                    <m:ctrlPr>
                      <w:rPr>
                        <w:rFonts w:ascii="Cambria Math" w:eastAsiaTheme="minorEastAsia" w:hAnsi="Cambria Math" w:cstheme="majorBidi"/>
                        <w:i/>
                      </w:rPr>
                    </m:ctrlPr>
                  </m:fPr>
                  <m:num>
                    <m:r>
                      <w:rPr>
                        <w:rFonts w:ascii="Cambria Math" w:eastAsiaTheme="minorEastAsia" w:hAnsi="Cambria Math" w:cstheme="majorBidi"/>
                      </w:rPr>
                      <m:t>D</m:t>
                    </m:r>
                  </m:num>
                  <m:den>
                    <m:r>
                      <w:rPr>
                        <w:rFonts w:ascii="Cambria Math" w:eastAsiaTheme="minorEastAsia" w:hAnsi="Cambria Math" w:cstheme="majorBidi"/>
                      </w:rPr>
                      <m:t>2</m:t>
                    </m:r>
                  </m:den>
                </m:f>
              </m:e>
            </m:d>
            <m:d>
              <m:dPr>
                <m:ctrlPr>
                  <w:rPr>
                    <w:rFonts w:ascii="Cambria Math" w:eastAsiaTheme="minorEastAsia" w:hAnsi="Cambria Math" w:cstheme="majorBidi"/>
                    <w:i/>
                  </w:rPr>
                </m:ctrlPr>
              </m:dPr>
              <m:e>
                <m:f>
                  <m:fPr>
                    <m:type m:val="lin"/>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s</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l</m:t>
                        </m:r>
                      </m:sub>
                    </m:sSub>
                  </m:den>
                </m:f>
                <m:r>
                  <w:rPr>
                    <w:rFonts w:ascii="Cambria Math" w:eastAsiaTheme="minorEastAsia" w:hAnsi="Cambria Math" w:cstheme="majorBidi"/>
                  </w:rPr>
                  <m:t>-1</m:t>
                </m:r>
              </m:e>
            </m:d>
            <m:r>
              <w:rPr>
                <w:rFonts w:ascii="Cambria Math" w:eastAsiaTheme="minorEastAsia" w:hAnsi="Cambria Math" w:cstheme="majorBidi"/>
              </w:rPr>
              <m:t>g</m:t>
            </m:r>
          </m:e>
        </m:rad>
      </m:oMath>
      <w:r w:rsidRPr="004834D3">
        <w:rPr>
          <w:rFonts w:cstheme="majorBidi"/>
          <w:kern w:val="0"/>
        </w:rPr>
        <w:t xml:space="preserve">, and set at </w:t>
      </w:r>
      <m:oMath>
        <m:sSub>
          <m:sSubPr>
            <m:ctrlPr>
              <w:rPr>
                <w:rFonts w:ascii="Cambria Math" w:eastAsiaTheme="minorEastAsia" w:hAnsi="Cambria Math" w:cstheme="majorBidi"/>
                <w:iCs/>
              </w:rPr>
            </m:ctrlPr>
          </m:sSubPr>
          <m:e>
            <m:r>
              <m:rPr>
                <m:sty m:val="p"/>
              </m:rPr>
              <w:rPr>
                <w:rFonts w:ascii="Cambria Math" w:eastAsiaTheme="minorEastAsia" w:hAnsi="Cambria Math" w:cstheme="majorBidi"/>
              </w:rPr>
              <m:t>Re</m:t>
            </m:r>
          </m:e>
          <m:sub>
            <m:r>
              <w:rPr>
                <w:rFonts w:ascii="Cambria Math" w:eastAsiaTheme="minorEastAsia" w:hAnsi="Cambria Math" w:cstheme="majorBidi"/>
              </w:rPr>
              <m:t>D</m:t>
            </m:r>
          </m:sub>
        </m:sSub>
      </m:oMath>
      <w:r w:rsidR="001E6F41">
        <w:rPr>
          <w:rFonts w:eastAsiaTheme="minorEastAsia" w:cstheme="majorBidi"/>
        </w:rPr>
        <w:t xml:space="preserve"> = 40.5</w:t>
      </w:r>
      <w:r w:rsidRPr="004834D3">
        <w:rPr>
          <w:rFonts w:cstheme="majorBidi"/>
          <w:kern w:val="0"/>
        </w:rPr>
        <w:t xml:space="preserve">. Figure </w:t>
      </w:r>
      <w:r w:rsidR="00FD3C90">
        <w:rPr>
          <w:rFonts w:cstheme="majorBidi"/>
          <w:kern w:val="0"/>
        </w:rPr>
        <w:t>5</w:t>
      </w:r>
      <w:r w:rsidR="001E6F41">
        <w:rPr>
          <w:rFonts w:cstheme="majorBidi"/>
          <w:kern w:val="0"/>
        </w:rPr>
        <w:t>-7</w:t>
      </w:r>
      <w:r w:rsidRPr="004834D3">
        <w:rPr>
          <w:rFonts w:cstheme="majorBidi"/>
          <w:kern w:val="0"/>
        </w:rPr>
        <w:t xml:space="preserve"> illustrates the temporal progression of the particle's position </w:t>
      </w:r>
      <w:r w:rsidR="002C06F6">
        <w:rPr>
          <w:rFonts w:cstheme="majorBidi"/>
          <w:kern w:val="0"/>
        </w:rPr>
        <w:t>(</w:t>
      </w:r>
      <m:oMath>
        <m:sSup>
          <m:sSupPr>
            <m:ctrlPr>
              <w:rPr>
                <w:rFonts w:ascii="Cambria Math" w:hAnsi="Cambria Math" w:cstheme="majorBidi"/>
                <w:i/>
                <w:kern w:val="0"/>
              </w:rPr>
            </m:ctrlPr>
          </m:sSupPr>
          <m:e>
            <m:r>
              <w:rPr>
                <w:rFonts w:ascii="Cambria Math" w:hAnsi="Cambria Math" w:cstheme="majorBidi"/>
                <w:kern w:val="0"/>
              </w:rPr>
              <m:t>x</m:t>
            </m:r>
          </m:e>
          <m:sup>
            <m:r>
              <w:rPr>
                <w:rFonts w:ascii="Cambria Math" w:hAnsi="Cambria Math" w:cstheme="majorBidi"/>
                <w:kern w:val="0"/>
              </w:rPr>
              <m:t>*</m:t>
            </m:r>
          </m:sup>
        </m:sSup>
        <m:r>
          <w:rPr>
            <w:rFonts w:ascii="Cambria Math" w:hAnsi="Cambria Math" w:cstheme="majorBidi"/>
            <w:kern w:val="0"/>
          </w:rPr>
          <m:t>=x/D</m:t>
        </m:r>
      </m:oMath>
      <w:r w:rsidR="002C06F6">
        <w:rPr>
          <w:rFonts w:cstheme="majorBidi"/>
          <w:kern w:val="0"/>
        </w:rPr>
        <w:t xml:space="preserve">) </w:t>
      </w:r>
      <w:r w:rsidRPr="004834D3">
        <w:rPr>
          <w:rFonts w:cstheme="majorBidi"/>
          <w:kern w:val="0"/>
        </w:rPr>
        <w:t>across different Gr numbers</w:t>
      </w:r>
      <w:r w:rsidR="006D4D58" w:rsidRPr="004834D3">
        <w:rPr>
          <w:rFonts w:cstheme="majorBidi"/>
          <w:kern w:val="0"/>
        </w:rPr>
        <w:t xml:space="preserve">. </w:t>
      </w:r>
      <w:r w:rsidRPr="004834D3">
        <w:rPr>
          <w:rFonts w:cstheme="majorBidi"/>
          <w:kern w:val="0"/>
        </w:rPr>
        <w:t xml:space="preserve">Additionally, Table </w:t>
      </w:r>
      <w:r w:rsidR="00FD3C90">
        <w:rPr>
          <w:rFonts w:cstheme="majorBidi"/>
          <w:kern w:val="0"/>
        </w:rPr>
        <w:t>5</w:t>
      </w:r>
      <w:r w:rsidR="001E6F41">
        <w:rPr>
          <w:rFonts w:cstheme="majorBidi"/>
          <w:kern w:val="0"/>
        </w:rPr>
        <w:t>-</w:t>
      </w:r>
      <w:r w:rsidRPr="004834D3">
        <w:rPr>
          <w:rFonts w:cstheme="majorBidi"/>
          <w:kern w:val="0"/>
        </w:rPr>
        <w:t>2 presents the equilibrium lateral positions of the particle as determined by the current model for Gr numbers of 1</w:t>
      </w:r>
      <w:r w:rsidR="001E6F41">
        <w:rPr>
          <w:rFonts w:cstheme="majorBidi"/>
          <w:kern w:val="0"/>
        </w:rPr>
        <w:t>,</w:t>
      </w:r>
      <w:r w:rsidRPr="004834D3">
        <w:rPr>
          <w:rFonts w:cstheme="majorBidi"/>
          <w:kern w:val="0"/>
        </w:rPr>
        <w:t>000 and 2</w:t>
      </w:r>
      <w:r w:rsidR="001E6F41">
        <w:rPr>
          <w:rFonts w:cstheme="majorBidi"/>
          <w:kern w:val="0"/>
        </w:rPr>
        <w:t>,</w:t>
      </w:r>
      <w:r w:rsidRPr="004834D3">
        <w:rPr>
          <w:rFonts w:cstheme="majorBidi"/>
          <w:kern w:val="0"/>
        </w:rPr>
        <w:t xml:space="preserve">000. These positions are also compared with corresponding numerical values reported in previous studies. </w:t>
      </w:r>
      <w:r w:rsidR="006E4BB6" w:rsidRPr="004834D3">
        <w:rPr>
          <w:rFonts w:cstheme="majorBidi"/>
          <w:kern w:val="0"/>
        </w:rPr>
        <w:t xml:space="preserve">The data outlined in Table </w:t>
      </w:r>
      <w:r w:rsidR="00FD3C90">
        <w:rPr>
          <w:rFonts w:cstheme="majorBidi"/>
          <w:kern w:val="0"/>
        </w:rPr>
        <w:t>5</w:t>
      </w:r>
      <w:r w:rsidR="001E6F41">
        <w:rPr>
          <w:rFonts w:cstheme="majorBidi"/>
          <w:kern w:val="0"/>
        </w:rPr>
        <w:t>-</w:t>
      </w:r>
      <w:r w:rsidR="006E4BB6" w:rsidRPr="004834D3">
        <w:rPr>
          <w:rFonts w:cstheme="majorBidi"/>
          <w:kern w:val="0"/>
        </w:rPr>
        <w:t xml:space="preserve">2 indicates that the predictions from the current study align remarkably well with the outcomes of other numerical models under the same flow conditions. </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D4D58" w:rsidRPr="004834D3" w14:paraId="6E6EBA1A" w14:textId="77777777" w:rsidTr="006D4D58">
        <w:tc>
          <w:tcPr>
            <w:tcW w:w="9350" w:type="dxa"/>
          </w:tcPr>
          <w:p w14:paraId="3C42EC44" w14:textId="77777777" w:rsidR="006D4D58" w:rsidRPr="004834D3" w:rsidRDefault="006D4D58" w:rsidP="006E213C">
            <w:pPr>
              <w:spacing w:before="240" w:line="480" w:lineRule="auto"/>
              <w:jc w:val="center"/>
              <w:rPr>
                <w:rFonts w:cstheme="majorBidi"/>
                <w:sz w:val="24"/>
                <w:szCs w:val="24"/>
              </w:rPr>
            </w:pPr>
            <w:r w:rsidRPr="004834D3">
              <w:rPr>
                <w:rFonts w:cstheme="majorBidi"/>
                <w:noProof/>
              </w:rPr>
              <w:drawing>
                <wp:inline distT="0" distB="0" distL="0" distR="0" wp14:anchorId="10B7C22F" wp14:editId="1F10B14B">
                  <wp:extent cx="3849528"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3849528" cy="2743200"/>
                          </a:xfrm>
                          <a:prstGeom prst="rect">
                            <a:avLst/>
                          </a:prstGeom>
                          <a:noFill/>
                          <a:ln>
                            <a:noFill/>
                          </a:ln>
                        </pic:spPr>
                      </pic:pic>
                    </a:graphicData>
                  </a:graphic>
                </wp:inline>
              </w:drawing>
            </w:r>
          </w:p>
        </w:tc>
      </w:tr>
      <w:tr w:rsidR="006D4D58" w:rsidRPr="004834D3" w14:paraId="3EE27538" w14:textId="77777777" w:rsidTr="006D4D58">
        <w:tc>
          <w:tcPr>
            <w:tcW w:w="9350" w:type="dxa"/>
          </w:tcPr>
          <w:p w14:paraId="2D3AABED" w14:textId="62EDA8B3" w:rsidR="006D4D58" w:rsidRPr="004834D3" w:rsidRDefault="006737DE" w:rsidP="006E213C">
            <w:pPr>
              <w:keepNext/>
              <w:spacing w:before="240" w:line="480" w:lineRule="auto"/>
              <w:jc w:val="center"/>
              <w:rPr>
                <w:rFonts w:eastAsiaTheme="minorEastAsia" w:cstheme="majorBidi"/>
                <w:sz w:val="24"/>
                <w:szCs w:val="24"/>
              </w:rPr>
            </w:pPr>
            <w:bookmarkStart w:id="86" w:name="_Toc172708826"/>
            <w:r w:rsidRPr="001E6F41">
              <w:rPr>
                <w:b/>
                <w:bCs/>
                <w:sz w:val="24"/>
                <w:szCs w:val="24"/>
              </w:rPr>
              <w:t xml:space="preserve">Fig. </w:t>
            </w:r>
            <w:r w:rsidR="00996526">
              <w:rPr>
                <w:b/>
                <w:bCs/>
              </w:rPr>
              <w:fldChar w:fldCharType="begin"/>
            </w:r>
            <w:r w:rsidR="00996526">
              <w:rPr>
                <w:b/>
                <w:bCs/>
                <w:sz w:val="24"/>
                <w:szCs w:val="24"/>
              </w:rPr>
              <w:instrText xml:space="preserve"> STYLEREF 1 \s </w:instrText>
            </w:r>
            <w:r w:rsidR="00996526">
              <w:rPr>
                <w:b/>
                <w:bCs/>
              </w:rPr>
              <w:fldChar w:fldCharType="separate"/>
            </w:r>
            <w:r w:rsidR="00732AAC">
              <w:rPr>
                <w:b/>
                <w:bCs/>
                <w:noProof/>
                <w:sz w:val="24"/>
                <w:szCs w:val="24"/>
                <w:cs/>
              </w:rPr>
              <w:t>‎</w:t>
            </w:r>
            <w:r w:rsidR="00732AAC">
              <w:rPr>
                <w:b/>
                <w:bCs/>
                <w:noProof/>
                <w:sz w:val="24"/>
                <w:szCs w:val="24"/>
              </w:rPr>
              <w:t>5</w:t>
            </w:r>
            <w:r w:rsidR="00996526">
              <w:rPr>
                <w:b/>
                <w:bCs/>
              </w:rPr>
              <w:fldChar w:fldCharType="end"/>
            </w:r>
            <w:r w:rsidR="00996526">
              <w:rPr>
                <w:b/>
                <w:bCs/>
                <w:sz w:val="24"/>
                <w:szCs w:val="24"/>
              </w:rPr>
              <w:noBreakHyphen/>
            </w:r>
            <w:r w:rsidR="00996526">
              <w:rPr>
                <w:b/>
                <w:bCs/>
              </w:rPr>
              <w:fldChar w:fldCharType="begin"/>
            </w:r>
            <w:r w:rsidR="00996526">
              <w:rPr>
                <w:b/>
                <w:bCs/>
                <w:sz w:val="24"/>
                <w:szCs w:val="24"/>
              </w:rPr>
              <w:instrText xml:space="preserve"> SEQ Fig. \* ARABIC \s 1 </w:instrText>
            </w:r>
            <w:r w:rsidR="00996526">
              <w:rPr>
                <w:b/>
                <w:bCs/>
              </w:rPr>
              <w:fldChar w:fldCharType="separate"/>
            </w:r>
            <w:r w:rsidR="00732AAC">
              <w:rPr>
                <w:b/>
                <w:bCs/>
                <w:noProof/>
                <w:sz w:val="24"/>
                <w:szCs w:val="24"/>
              </w:rPr>
              <w:t>7</w:t>
            </w:r>
            <w:r w:rsidR="00996526">
              <w:rPr>
                <w:b/>
                <w:bCs/>
              </w:rPr>
              <w:fldChar w:fldCharType="end"/>
            </w:r>
            <w:r w:rsidR="006D4D58" w:rsidRPr="004834D3">
              <w:rPr>
                <w:rFonts w:cstheme="majorBidi"/>
                <w:sz w:val="24"/>
                <w:szCs w:val="24"/>
              </w:rPr>
              <w:t xml:space="preserve"> Lateral positioning of a cold particle during descent in a channel across different Gr numbers.</w:t>
            </w:r>
            <w:bookmarkEnd w:id="86"/>
          </w:p>
        </w:tc>
      </w:tr>
    </w:tbl>
    <w:p w14:paraId="1182DBC4" w14:textId="77777777" w:rsidR="00F17EFE" w:rsidRDefault="00F17EFE" w:rsidP="00F17EFE"/>
    <w:p w14:paraId="16F106B1" w14:textId="77777777" w:rsidR="00E0520A" w:rsidRDefault="00E0520A" w:rsidP="00F17EFE"/>
    <w:p w14:paraId="39FC29EC" w14:textId="77777777" w:rsidR="00E0520A" w:rsidRPr="00F17EFE" w:rsidRDefault="00E0520A" w:rsidP="00F17EFE"/>
    <w:tbl>
      <w:tblPr>
        <w:tblStyle w:val="TableGrid"/>
        <w:tblW w:w="0" w:type="auto"/>
        <w:jc w:val="center"/>
        <w:tblLook w:val="04A0" w:firstRow="1" w:lastRow="0" w:firstColumn="1" w:lastColumn="0" w:noHBand="0" w:noVBand="1"/>
      </w:tblPr>
      <w:tblGrid>
        <w:gridCol w:w="794"/>
        <w:gridCol w:w="1283"/>
        <w:gridCol w:w="1165"/>
        <w:gridCol w:w="1182"/>
        <w:gridCol w:w="1150"/>
        <w:gridCol w:w="1244"/>
        <w:gridCol w:w="1292"/>
        <w:gridCol w:w="1250"/>
      </w:tblGrid>
      <w:tr w:rsidR="006737DE" w:rsidRPr="004834D3" w14:paraId="6E0FB17F" w14:textId="77777777" w:rsidTr="006737DE">
        <w:trPr>
          <w:jc w:val="center"/>
        </w:trPr>
        <w:tc>
          <w:tcPr>
            <w:tcW w:w="0" w:type="auto"/>
            <w:gridSpan w:val="8"/>
            <w:tcBorders>
              <w:top w:val="nil"/>
              <w:left w:val="nil"/>
              <w:bottom w:val="single" w:sz="4" w:space="0" w:color="auto"/>
              <w:right w:val="nil"/>
            </w:tcBorders>
            <w:vAlign w:val="center"/>
          </w:tcPr>
          <w:p w14:paraId="2D27E1D7" w14:textId="2E9B5335" w:rsidR="006737DE" w:rsidRPr="004834D3" w:rsidRDefault="006737DE" w:rsidP="00E0520A">
            <w:pPr>
              <w:spacing w:line="480" w:lineRule="auto"/>
              <w:jc w:val="center"/>
              <w:rPr>
                <w:rFonts w:eastAsiaTheme="minorEastAsia" w:cstheme="majorBidi"/>
              </w:rPr>
            </w:pPr>
            <w:bookmarkStart w:id="87" w:name="_Toc172708780"/>
            <w:r w:rsidRPr="006737DE">
              <w:rPr>
                <w:b/>
                <w:bCs/>
              </w:rPr>
              <w:lastRenderedPageBreak/>
              <w:t xml:space="preserve">Table </w:t>
            </w:r>
            <w:r w:rsidR="00015A16">
              <w:rPr>
                <w:b/>
                <w:bCs/>
              </w:rPr>
              <w:fldChar w:fldCharType="begin"/>
            </w:r>
            <w:r w:rsidR="00015A16">
              <w:rPr>
                <w:b/>
                <w:bCs/>
              </w:rPr>
              <w:instrText xml:space="preserve"> STYLEREF 1 \s </w:instrText>
            </w:r>
            <w:r w:rsidR="00015A16">
              <w:rPr>
                <w:b/>
                <w:bCs/>
              </w:rPr>
              <w:fldChar w:fldCharType="separate"/>
            </w:r>
            <w:r w:rsidR="00732AAC">
              <w:rPr>
                <w:b/>
                <w:bCs/>
                <w:noProof/>
                <w:cs/>
              </w:rPr>
              <w:t>‎</w:t>
            </w:r>
            <w:r w:rsidR="00732AAC">
              <w:rPr>
                <w:b/>
                <w:bCs/>
                <w:noProof/>
              </w:rPr>
              <w:t>5</w:t>
            </w:r>
            <w:r w:rsidR="00015A16">
              <w:rPr>
                <w:b/>
                <w:bCs/>
              </w:rPr>
              <w:fldChar w:fldCharType="end"/>
            </w:r>
            <w:r w:rsidR="00015A16">
              <w:rPr>
                <w:b/>
                <w:bCs/>
              </w:rPr>
              <w:noBreakHyphen/>
            </w:r>
            <w:r w:rsidR="00015A16">
              <w:rPr>
                <w:b/>
                <w:bCs/>
              </w:rPr>
              <w:fldChar w:fldCharType="begin"/>
            </w:r>
            <w:r w:rsidR="00015A16">
              <w:rPr>
                <w:b/>
                <w:bCs/>
              </w:rPr>
              <w:instrText xml:space="preserve"> SEQ Table \* ARABIC \s 1 </w:instrText>
            </w:r>
            <w:r w:rsidR="00015A16">
              <w:rPr>
                <w:b/>
                <w:bCs/>
              </w:rPr>
              <w:fldChar w:fldCharType="separate"/>
            </w:r>
            <w:r w:rsidR="00732AAC">
              <w:rPr>
                <w:b/>
                <w:bCs/>
                <w:noProof/>
              </w:rPr>
              <w:t>2</w:t>
            </w:r>
            <w:r w:rsidR="00015A16">
              <w:rPr>
                <w:b/>
                <w:bCs/>
              </w:rPr>
              <w:fldChar w:fldCharType="end"/>
            </w:r>
            <w:r>
              <w:t xml:space="preserve"> </w:t>
            </w:r>
            <w:r w:rsidRPr="0021013C">
              <w:rPr>
                <w:rFonts w:eastAsiaTheme="minorEastAsia" w:cstheme="minorHAnsi"/>
              </w:rPr>
              <w:t xml:space="preserve">Comparison of equilibrium lateral position obtained from the </w:t>
            </w:r>
            <w:r>
              <w:rPr>
                <w:rFonts w:eastAsiaTheme="minorEastAsia" w:cstheme="minorHAnsi"/>
              </w:rPr>
              <w:t>current</w:t>
            </w:r>
            <w:r w:rsidRPr="0021013C">
              <w:rPr>
                <w:rFonts w:eastAsiaTheme="minorEastAsia" w:cstheme="minorHAnsi"/>
              </w:rPr>
              <w:t xml:space="preserve"> model with available data from the literature for </w:t>
            </w:r>
            <m:oMath>
              <m:r>
                <m:rPr>
                  <m:sty m:val="p"/>
                </m:rPr>
                <w:rPr>
                  <w:rFonts w:ascii="Cambria Math" w:eastAsiaTheme="minorEastAsia" w:hAnsi="Cambria Math" w:cstheme="minorHAnsi"/>
                </w:rPr>
                <m:t>Gr</m:t>
              </m:r>
            </m:oMath>
            <w:r w:rsidRPr="0021013C">
              <w:rPr>
                <w:rFonts w:eastAsiaTheme="minorEastAsia" w:cstheme="minorHAnsi"/>
              </w:rPr>
              <w:t xml:space="preserve"> = 1</w:t>
            </w:r>
            <w:r>
              <w:rPr>
                <w:rFonts w:eastAsiaTheme="minorEastAsia" w:cstheme="minorHAnsi"/>
              </w:rPr>
              <w:t>,</w:t>
            </w:r>
            <w:r w:rsidRPr="0021013C">
              <w:rPr>
                <w:rFonts w:eastAsiaTheme="minorEastAsia" w:cstheme="minorHAnsi"/>
              </w:rPr>
              <w:t xml:space="preserve">000 </w:t>
            </w:r>
            <w:r w:rsidR="001E6F41">
              <w:rPr>
                <w:rFonts w:eastAsiaTheme="minorEastAsia" w:cstheme="minorHAnsi"/>
              </w:rPr>
              <w:t>and</w:t>
            </w:r>
            <w:r w:rsidRPr="0021013C">
              <w:rPr>
                <w:rFonts w:eastAsiaTheme="minorEastAsia" w:cstheme="minorHAnsi"/>
              </w:rPr>
              <w:t xml:space="preserve"> 2</w:t>
            </w:r>
            <w:r>
              <w:rPr>
                <w:rFonts w:eastAsiaTheme="minorEastAsia" w:cstheme="minorHAnsi"/>
              </w:rPr>
              <w:t>,</w:t>
            </w:r>
            <w:r w:rsidRPr="0021013C">
              <w:rPr>
                <w:rFonts w:eastAsiaTheme="minorEastAsia" w:cstheme="minorHAnsi"/>
              </w:rPr>
              <w:t>000.</w:t>
            </w:r>
            <w:bookmarkEnd w:id="87"/>
          </w:p>
        </w:tc>
      </w:tr>
      <w:tr w:rsidR="008008F6" w:rsidRPr="004834D3" w14:paraId="3A76E588" w14:textId="77777777" w:rsidTr="006737DE">
        <w:trPr>
          <w:jc w:val="center"/>
        </w:trPr>
        <w:tc>
          <w:tcPr>
            <w:tcW w:w="0" w:type="auto"/>
            <w:tcBorders>
              <w:top w:val="single" w:sz="4" w:space="0" w:color="auto"/>
              <w:left w:val="nil"/>
              <w:bottom w:val="single" w:sz="4" w:space="0" w:color="auto"/>
              <w:right w:val="nil"/>
            </w:tcBorders>
            <w:vAlign w:val="center"/>
          </w:tcPr>
          <w:p w14:paraId="680495D9" w14:textId="1EC78718" w:rsidR="004F16DF" w:rsidRPr="008008F6" w:rsidRDefault="008008F6" w:rsidP="00E0520A">
            <w:pPr>
              <w:spacing w:before="120" w:line="480" w:lineRule="auto"/>
              <w:jc w:val="center"/>
              <w:rPr>
                <w:rFonts w:eastAsiaTheme="minorEastAsia" w:cstheme="majorBidi"/>
                <w:b/>
                <w:bCs/>
                <w:iCs/>
              </w:rPr>
            </w:pPr>
            <m:oMathPara>
              <m:oMath>
                <m:r>
                  <m:rPr>
                    <m:sty m:val="b"/>
                  </m:rPr>
                  <w:rPr>
                    <w:rFonts w:ascii="Cambria Math" w:eastAsiaTheme="minorEastAsia" w:hAnsi="Cambria Math" w:cstheme="majorBidi"/>
                  </w:rPr>
                  <m:t>Gr</m:t>
                </m:r>
              </m:oMath>
            </m:oMathPara>
          </w:p>
        </w:tc>
        <w:tc>
          <w:tcPr>
            <w:tcW w:w="0" w:type="auto"/>
            <w:tcBorders>
              <w:top w:val="single" w:sz="4" w:space="0" w:color="auto"/>
              <w:left w:val="nil"/>
              <w:bottom w:val="single" w:sz="4" w:space="0" w:color="auto"/>
              <w:right w:val="nil"/>
            </w:tcBorders>
            <w:vAlign w:val="center"/>
          </w:tcPr>
          <w:p w14:paraId="12F5975A" w14:textId="77777777"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Present work</w:t>
            </w:r>
          </w:p>
        </w:tc>
        <w:tc>
          <w:tcPr>
            <w:tcW w:w="0" w:type="auto"/>
            <w:tcBorders>
              <w:top w:val="single" w:sz="4" w:space="0" w:color="auto"/>
              <w:left w:val="nil"/>
              <w:bottom w:val="single" w:sz="4" w:space="0" w:color="auto"/>
              <w:right w:val="nil"/>
            </w:tcBorders>
            <w:vAlign w:val="center"/>
          </w:tcPr>
          <w:p w14:paraId="03DDC265" w14:textId="528B87F8"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Hu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{"citationItems":[{"id":"ITEM-1","itemData":{"DOI":"10.1016/j.ijheatmasstransfer.2017.01.077","ISSN":"00179310","abstract":"The migration of a neutrally buoyant particle in a Poiseuille flow with thermal convection is investigated with the double-population lattice Boltzmann method. Compared with the isothermal case, the migration of the particle is notably affected by thermal convection. Five competing mechanisms are responsible for the lateral migration of the particle, i.e., wall repulsion due to lubrication, inertial lift related to shear slip, a lift due to particle rotation, a lift due to the curvature of the undisturbed velocity profile and a lift induced by thermal convection. Within the parameter range examined (Gr&gt;2000,Rec&gt;200), a critical Grashof number Grcis identified, beyond which the equilibrium position is insensitive to the initial position. Furthermore, a power law dependence of the critical Grashof number Grcon the channel Reynolds number Recis discovered. In addition, with the channel Reynolds number Recincreasing, the forced flow relative to the particle is becoming stronger, leading to a declining effect of thermal convection.","author":[{"dropping-particle":"","family":"Hu","given":"Junjie","non-dropping-particle":"","parse-names":false,"suffix":""},{"dropping-particle":"","family":"Guo","given":"Zhaoli","non-dropping-particle":"","parse-names":false,"suffix":""}],"container-title":"International Journal of Heat and Mass Transfer","id":"ITEM-1","issued":{"date-parts":[["2017"]]},"page":"2158-2168","publisher":"Elsevier Ltd","title":"A numerical study on the migration of a neutrally buoyant particle in a Poiseuille flow with thermal convection","type":"article-journal","volume":"108"},"uris":["http://www.mendeley.com/documents/?uuid=479af101-46a4-4e19-b727-803029d97282"]}],"mendeley":{"formattedCitation":"[177]","plainTextFormattedCitation":"[177]","previouslyFormattedCitation":"[178]"},"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[177]</w:t>
            </w:r>
            <w:r w:rsidRPr="008008F6">
              <w:rPr>
                <w:rFonts w:eastAsiaTheme="minorEastAsia" w:cstheme="majorBidi"/>
                <w:b/>
                <w:bCs/>
              </w:rPr>
              <w:fldChar w:fldCharType="end"/>
            </w:r>
          </w:p>
        </w:tc>
        <w:tc>
          <w:tcPr>
            <w:tcW w:w="0" w:type="auto"/>
            <w:tcBorders>
              <w:top w:val="single" w:sz="4" w:space="0" w:color="auto"/>
              <w:left w:val="nil"/>
              <w:bottom w:val="single" w:sz="4" w:space="0" w:color="auto"/>
              <w:right w:val="nil"/>
            </w:tcBorders>
            <w:vAlign w:val="center"/>
          </w:tcPr>
          <w:p w14:paraId="72BC1249" w14:textId="49FC5FB0"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Liu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{"citationItems":[{"id":"ITEM-1","itemData":{"DOI":"10.1063/5.0051024","ISSN":"10897666","abstract":"This work presents an extensive numerical study on the inertial migration of a neutrally buoyant circular particle in a planar Poiseuille flow with thermal convection using the lattice Boltzmann method. The numerical analysis confirms that, once the channel Grashof number Gr reaches a critical value Grc, the particle lateral equilibrium position transits from above the centerline to below. Moreover, the critical Grashof number Grc depends on the channel Reynolds number and the particle-to-channel size ratio. A force scaling analysis is performed, from which a unified Grashof number Gr* is introduced to consider the synergetic effects of thermal convection and particle size. In addition, it is also found that the occurrence of equilibrium position transition is not sensitive to the initial conditions, but the exact transition point depends on the initial conditions, such as the initial position of the particle and the fluid flow state.","author":[{"dropping-particle":"","family":"Liu","given":"Wenwei","non-dropping-particle":"","parse-names":false,"suffix":""},{"dropping-particle":"","family":"Wu","given":"Chuan Yu","non-dropping-particle":"","parse-names":false,"suffix":""}],"container-title":"Physics of Fluids","id":"ITEM-1","issue":"6","issued":{"date-parts":[["2021"]]},"publisher":"AIP Publishing LLC","title":"Inertial migration of a neutrally buoyant circular particle in a planar Poiseuille flow with thermal fluids","type":"article-journal","volume":"33"},"uris":["http://www.mendeley.com/documents/?uuid=4497325d-736c-4f0a-bf01-9bd0b2ba387a"]}],"mendeley":{"formattedCitation":"[178]","plainTextFormattedCitation":"[178]","previouslyFormattedCitation":"[179]"},"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[178]</w:t>
            </w:r>
            <w:r w:rsidRPr="008008F6">
              <w:rPr>
                <w:rFonts w:eastAsiaTheme="minorEastAsia" w:cstheme="majorBidi"/>
                <w:b/>
                <w:bCs/>
              </w:rPr>
              <w:fldChar w:fldCharType="end"/>
            </w:r>
          </w:p>
        </w:tc>
        <w:tc>
          <w:tcPr>
            <w:tcW w:w="0" w:type="auto"/>
            <w:tcBorders>
              <w:top w:val="single" w:sz="4" w:space="0" w:color="auto"/>
              <w:left w:val="nil"/>
              <w:bottom w:val="single" w:sz="4" w:space="0" w:color="auto"/>
              <w:right w:val="nil"/>
            </w:tcBorders>
            <w:vAlign w:val="center"/>
          </w:tcPr>
          <w:p w14:paraId="34167C5F" w14:textId="65B57CE1"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Yu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{"citationItems":[{"id":"ITEM-1","itemData":{"DOI":"10.1016/j.jcp.2006.01.016","ISSN":"10902716","abstract":"The distributed-Lagrange-multiplier/fictitious-domain (DLM/FD) method of Glowinski et al. [R. Glowinski, T.-W. Pan, T.I. Hesla, D.D. Joseph, A distributed Lagrange multiplier/fictitious domain method for particulate flows, Int. J. Multiphase Flow 25 (1999) 755-794] is extended to deal with heat transfer in particulate flows in two dimensions. The Boussinesq approximation is employed for the coupling between the flow and temperature fields. The fluid-flow equations are solved with the finite-difference projection method on a half-staggered grid. In our operator splitting scheme, the Lagrange multipliers at the previous time level are kept in the fluid equations, and the new Lagrange multipliers for the rigid-body motion constraint and the Dirichlet temperature boundary condition are determined from the reduced saddle-point problem, whereas a very simple scheme based on the fully explicit computation of the Lagrange multiplier is proposed for the problem in which the solid heat conduction inside the particle boundary is also considered. Our code for the case of fixed temperature on the immersed boundary is verified by comparing favorably our results on the natural convection driven by a hot cylinder eccentrically placed in a square box and on the sedimentation of a cold circular particle in a vertical channel to the data in the literature. The code for the case of freely varying temperature on the boundaries of freely moving particles is applied to analyze the motion of a catalyst particle in a box and in particular the heat conductivities of nanofluids and sheared non-colloidal suspensions, respectively. Our preliminary computational results support the argument that the micro-heat-convection in the fluids is primarily responsible for the unusually high heat conductivity of nanofluids. It is shown that the Peclet number plays a negative role in the diffusion-related heat conductivity of a sheared non-colloidal suspension, whereas the Reynolds number does the opposite. © 2006 Elsevier Inc. All rights reserved.","author":[{"dropping-particle":"","family":"Yu","given":"Zhaosheng","non-dropping-particle":"","parse-names":false,"suffix":""},{"dropping-particle":"","family":"Shao","given":"Xueming","non-dropping-particle":"","parse-names":false,"suffix":""},{"dropping-particle":"","family":"Wachs","given":"Anthony","non-dropping-particle":"","parse-names":false,"suffix":""}],"container-title":"Journal of Computational Physics","id":"ITEM-1","issue":"2","issued":{"date-parts":[["2006"]]},"page":"424-452","title":"A fictitious domain method for particulate flows with heat transfer","type":"article-journal","volume":"217"},"uris":["http://www.mendeley.com/documents/?uuid=4e35b326-f63c-4cd1-9080-3b6dd22afb75"]}],"mendeley":{"formattedCitation":"[179]","plainTextFormattedCitation":"[179]","previouslyFormattedCitation":"[180]"},"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[179]</w:t>
            </w:r>
            <w:r w:rsidRPr="008008F6">
              <w:rPr>
                <w:rFonts w:eastAsiaTheme="minorEastAsia" w:cstheme="majorBidi"/>
                <w:b/>
                <w:bCs/>
              </w:rPr>
              <w:fldChar w:fldCharType="end"/>
            </w:r>
          </w:p>
        </w:tc>
        <w:tc>
          <w:tcPr>
            <w:tcW w:w="0" w:type="auto"/>
            <w:tcBorders>
              <w:top w:val="single" w:sz="4" w:space="0" w:color="auto"/>
              <w:left w:val="nil"/>
              <w:bottom w:val="single" w:sz="4" w:space="0" w:color="auto"/>
              <w:right w:val="nil"/>
            </w:tcBorders>
            <w:vAlign w:val="center"/>
          </w:tcPr>
          <w:p w14:paraId="5DAE1A1B" w14:textId="3DB0C63D"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Feng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{"citationItems":[{"id":"ITEM-1","itemData":{"DOI":"10.1016/j.ijheatmasstransfer.2008.07.023","ISSN":"00179310","abstract":"A Direct Numerical Simulation (DNS) method has been developed to solve the heat transfer equations for the computation of thermal convection in particulate flows. This numerical method makes use of a finite difference method in combination with the Immersed Boundary (IB) method for treating the particulate phase. A regular Eulerian grid is used to solve the modified momentum and energy equations for the entire flow region simultaneously. In the region that is occupied by the solid particles, a second particle-based Lagrangian grid is used, which tracks particles, and a force density function or an energy density function is introduced to represent the momentum interaction or thermal interaction between particle and fluid. The numerical methods developed in this paper have been validated extensively by comparing the present simulation results with those obtained by others. © 2008 Elsevier Ltd. All rights reserved.","author":[{"dropping-particle":"","family":"Feng","given":"Zhi Gang","non-dropping-particle":"","parse-names":false,"suffix":""},{"dropping-particle":"","family":"Michaelides","given":"Efstathios E.","non-dropping-particle":"","parse-names":false,"suffix":""}],"container-title":"International Journal of Heat and Mass Transfer","id":"ITEM-1","issue":"3-4","issued":{"date-parts":[["2009"]]},"page":"777-786","publisher":"Elsevier Ltd","title":"Heat transfer in particulate flows with Direct Numerical Simulation (DNS)","type":"article-journal","volume":"52"},"uris":["http://www.mendeley.com/documents/?uuid=2e479bfa-228b-4fd2-b365-0f2fda6efbf4"]}],"mendeley":{"formattedCitation":"[180]","plainTextFormattedCitation":"[180]","previouslyFormattedCitation":"[181]"},"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[180]</w:t>
            </w:r>
            <w:r w:rsidRPr="008008F6">
              <w:rPr>
                <w:rFonts w:eastAsiaTheme="minorEastAsia" w:cstheme="majorBidi"/>
                <w:b/>
                <w:bCs/>
              </w:rPr>
              <w:fldChar w:fldCharType="end"/>
            </w:r>
          </w:p>
        </w:tc>
        <w:tc>
          <w:tcPr>
            <w:tcW w:w="0" w:type="auto"/>
            <w:tcBorders>
              <w:top w:val="single" w:sz="4" w:space="0" w:color="auto"/>
              <w:left w:val="nil"/>
              <w:bottom w:val="single" w:sz="4" w:space="0" w:color="auto"/>
              <w:right w:val="nil"/>
            </w:tcBorders>
            <w:vAlign w:val="center"/>
          </w:tcPr>
          <w:p w14:paraId="7B2C7697" w14:textId="793D4E7A"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Kang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{"citationItems":[{"id":"ITEM-1","itemData":{"DOI":"10.1016/j.compfluid.2011.04.016","ISSN":"00457930","abstract":"In this study, a direct-forcing immersed boundary method (IBM) for thermal lattice Boltzmann method (TLBM) is proposed to simulate the non-isothermal flows. The direct-forcing IBM formulas for thermal equations are derived based on two TLBM models: a double-population model with a simplified thermal lattice Boltzmann equation (Model 1) and a hybrid model with an advection-diffusion equation of temperature (Model 2). As an interface scheme, which is required due to a mismatch between boundary and computational grids in the IBM, the sharp interface scheme based on second-order bilinear and linear interpolations (instead of the diffuse interface scheme, which uses discrete delta functions) is adopted to obtain the more accurate results. The proposed methods are validated through convective heat transfer problems with not only stationary but also moving boundaries - the natural convection in a square cavity with an eccentrically located cylinder and a cold particle sedimentation in an infinite channel. In terms of accuracy, the results from the IBM based on both models are comparable and show a good agreement with those from other numerical methods. In contrast, the IBM based on Model 2 is more numerically efficient than the IBM based on Model 1. © 2011 Elsevier Ltd.","author":[{"dropping-particle":"","family":"Kang","given":"Shin K.","non-dropping-particle":"","parse-names":false,"suffix":""},{"dropping-particle":"","family":"Hassan","given":"Yassin A.","non-dropping-particle":"","parse-names":false,"suffix":""}],"container-title":"Computers and Fluids","id":"ITEM-1","issue":"1","issued":{"date-parts":[["2011"]]},"page":"36-45","publisher":"Elsevier Ltd","title":"A direct-forcing immersed boundary method for the thermal lattice Boltzmann method","type":"article-journal","volume":"49"},"uris":["http://www.mendeley.com/documents/?uuid=805eef46-d0a2-45f4-b420-d85d2a495722"]}],"mendeley":{"formattedCitation":"[181]","plainTextFormattedCitation":"[181]","previouslyFormattedCitation":"[182]"},"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[181]</w:t>
            </w:r>
            <w:r w:rsidRPr="008008F6">
              <w:rPr>
                <w:rFonts w:eastAsiaTheme="minorEastAsia" w:cstheme="majorBidi"/>
                <w:b/>
                <w:bCs/>
              </w:rPr>
              <w:fldChar w:fldCharType="end"/>
            </w:r>
          </w:p>
        </w:tc>
        <w:tc>
          <w:tcPr>
            <w:tcW w:w="0" w:type="auto"/>
            <w:tcBorders>
              <w:top w:val="single" w:sz="4" w:space="0" w:color="auto"/>
              <w:left w:val="nil"/>
              <w:bottom w:val="single" w:sz="4" w:space="0" w:color="auto"/>
              <w:right w:val="nil"/>
            </w:tcBorders>
            <w:vAlign w:val="center"/>
          </w:tcPr>
          <w:p w14:paraId="73CE7790" w14:textId="57D1FEA4" w:rsidR="004F16DF" w:rsidRPr="008008F6" w:rsidRDefault="004F16DF" w:rsidP="00E0520A">
            <w:pPr>
              <w:spacing w:before="120" w:line="480" w:lineRule="auto"/>
              <w:jc w:val="center"/>
              <w:rPr>
                <w:rFonts w:eastAsiaTheme="minorEastAsia" w:cstheme="majorBidi"/>
                <w:b/>
                <w:bCs/>
              </w:rPr>
            </w:pPr>
            <w:r w:rsidRPr="008008F6">
              <w:rPr>
                <w:rFonts w:eastAsiaTheme="minorEastAsia" w:cstheme="majorBidi"/>
                <w:b/>
                <w:bCs/>
              </w:rPr>
              <w:t xml:space="preserve">Yang et al. </w:t>
            </w:r>
            <w:r w:rsidRPr="008008F6">
              <w:rPr>
                <w:rFonts w:eastAsiaTheme="minorEastAsia" w:cstheme="majorBidi"/>
                <w:b/>
                <w:bCs/>
              </w:rPr>
              <w:fldChar w:fldCharType="begin" w:fldLock="1"/>
            </w:r>
            <w:r w:rsidR="00D83446">
              <w:rPr>
                <w:rFonts w:eastAsiaTheme="minorEastAsia" w:cstheme="majorBidi"/>
                <w:b/>
                <w:bCs/>
              </w:rPr>
              <w:instrText>ADDIN CSL_CITATION {"citationItems":[{"id":"ITEM-1","itemData":{"DOI":"10.1016/j.ijheatmasstransfer.2015.10.030","ISSN":"00179310","abstract":"The knowledge on the sedimentation of double particles is important in multiphase flow research. However, the available studies almost all are limited on the sedimentation of isothermal particles where there is no thermal convection between particles and fluid. In order to reveal the effects of thermal convection, in the present work the behavior of two cold particles freely settling in vertical channel is investigated using the lattice Boltzmann method (LBM) with direct-forcing immersed boundary method (IBM). By changing the initial separation distance and relative angle between two cold particles, the effects of these initial parameters on the interaction of cold particles settling in Newtonian fluid are also investigated. With different initial separation distance and relative angle between the two cold particles, we find that there are three regimes, namely repulsion, attraction and transition, during the sedimentation. The effects of thermal convection on the interactions between the two cold particles are revealed comprehensively for the first time by making comparisons between sedimentation of the two cold particles and their isothermal counterparts. The results reveal that thermal convection significantly influences the interactions between two cold particles during the sedimentation. The repulsive process will be enhanced due to thermal convection especially when the two cold particles approach each other very close. In addition, we observe the \"drafting, kissing and tumbling\" (DKT) phenomenon occurs earlier due to thermal convection. Owing to thermal convection, the attraction and repulsion process in the transition regime are enhanced. Moreover, thermal convection enhances the oscillations of trajectories of the two cold particles.","author":[{"dropping-particle":"","family":"Yang","given":"Bo","non-dropping-particle":"","parse-names":false,"suffix":""},{"dropping-particle":"","family":"Chen","given":"Sheng","non-dropping-particle":"","parse-names":false,"suffix":""},{"dropping-particle":"","family":"Cao","given":"Chuansheng","non-dropping-particle":"","parse-names":false,"suffix":""},{"dropping-particle":"","family":"Liu","given":"Zhaohui","non-dropping-particle":"","parse-names":false,"suffix":""},{"dropping-particle":"","family":"Zheng","given":"Chuguang","non-dropping-particle":"","parse-names":false,"suffix":""}],"container-title":"International Journal of Heat and Mass Transfer","id":"ITEM-1","issued":{"date-parts":[["2016"]]},"page":"477-490","publisher":"Elsevier Ltd","title":"Lattice Boltzmann simulation of two cold particles settling in Newtonian fluid with thermal convection","type":"article-journal","volume":"93"},"uris":["http://www.mendeley.com/documents/?uuid=0910d0b2-e0d9-44b4-8831-a14b6421c1e1"]}],"mendeley":{"formattedCitation":"[182]","plainTextFormattedCitation":"[182]","previouslyFormattedCitation":"[183]"},"properties":{"noteIndex":0},"schema":"https://github.com/citation-style-language/schema/raw/master/csl-citation.json"}</w:instrText>
            </w:r>
            <w:r w:rsidRPr="008008F6">
              <w:rPr>
                <w:rFonts w:eastAsiaTheme="minorEastAsia" w:cstheme="majorBidi"/>
                <w:b/>
                <w:bCs/>
              </w:rPr>
              <w:fldChar w:fldCharType="separate"/>
            </w:r>
            <w:r w:rsidR="00D83446" w:rsidRPr="00D83446">
              <w:rPr>
                <w:rFonts w:eastAsiaTheme="minorEastAsia" w:cstheme="majorBidi"/>
                <w:bCs/>
                <w:noProof/>
              </w:rPr>
              <w:t>[182]</w:t>
            </w:r>
            <w:r w:rsidRPr="008008F6">
              <w:rPr>
                <w:rFonts w:eastAsiaTheme="minorEastAsia" w:cstheme="majorBidi"/>
                <w:b/>
                <w:bCs/>
              </w:rPr>
              <w:fldChar w:fldCharType="end"/>
            </w:r>
          </w:p>
        </w:tc>
      </w:tr>
      <w:tr w:rsidR="008008F6" w:rsidRPr="004834D3" w14:paraId="423BC256" w14:textId="77777777" w:rsidTr="006737DE">
        <w:trPr>
          <w:jc w:val="center"/>
        </w:trPr>
        <w:tc>
          <w:tcPr>
            <w:tcW w:w="0" w:type="auto"/>
            <w:tcBorders>
              <w:top w:val="single" w:sz="4" w:space="0" w:color="auto"/>
              <w:left w:val="nil"/>
              <w:bottom w:val="nil"/>
              <w:right w:val="nil"/>
            </w:tcBorders>
            <w:vAlign w:val="bottom"/>
          </w:tcPr>
          <w:p w14:paraId="7E506460" w14:textId="0F7B3978"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1</w:t>
            </w:r>
            <w:r w:rsidR="001E6F41">
              <w:rPr>
                <w:rFonts w:eastAsiaTheme="minorEastAsia" w:cstheme="majorBidi"/>
              </w:rPr>
              <w:t>,</w:t>
            </w:r>
            <w:r w:rsidRPr="004834D3">
              <w:rPr>
                <w:rFonts w:eastAsiaTheme="minorEastAsia" w:cstheme="majorBidi"/>
              </w:rPr>
              <w:t>000</w:t>
            </w:r>
          </w:p>
        </w:tc>
        <w:tc>
          <w:tcPr>
            <w:tcW w:w="0" w:type="auto"/>
            <w:tcBorders>
              <w:top w:val="single" w:sz="4" w:space="0" w:color="auto"/>
              <w:left w:val="nil"/>
              <w:bottom w:val="nil"/>
              <w:right w:val="nil"/>
            </w:tcBorders>
            <w:vAlign w:val="center"/>
          </w:tcPr>
          <w:p w14:paraId="6D27AC23" w14:textId="77777777"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2.89</w:t>
            </w:r>
          </w:p>
        </w:tc>
        <w:tc>
          <w:tcPr>
            <w:tcW w:w="0" w:type="auto"/>
            <w:tcBorders>
              <w:top w:val="single" w:sz="4" w:space="0" w:color="auto"/>
              <w:left w:val="nil"/>
              <w:bottom w:val="nil"/>
              <w:right w:val="nil"/>
            </w:tcBorders>
            <w:vAlign w:val="bottom"/>
          </w:tcPr>
          <w:p w14:paraId="12E42EF9" w14:textId="028A2B32"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2.91</w:t>
            </w:r>
          </w:p>
        </w:tc>
        <w:tc>
          <w:tcPr>
            <w:tcW w:w="0" w:type="auto"/>
            <w:tcBorders>
              <w:top w:val="single" w:sz="4" w:space="0" w:color="auto"/>
              <w:left w:val="nil"/>
              <w:bottom w:val="nil"/>
              <w:right w:val="nil"/>
            </w:tcBorders>
            <w:vAlign w:val="center"/>
          </w:tcPr>
          <w:p w14:paraId="26039EE5" w14:textId="6D774021"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2.92</w:t>
            </w:r>
          </w:p>
        </w:tc>
        <w:tc>
          <w:tcPr>
            <w:tcW w:w="0" w:type="auto"/>
            <w:tcBorders>
              <w:top w:val="single" w:sz="4" w:space="0" w:color="auto"/>
              <w:left w:val="nil"/>
              <w:bottom w:val="nil"/>
              <w:right w:val="nil"/>
            </w:tcBorders>
            <w:vAlign w:val="bottom"/>
          </w:tcPr>
          <w:p w14:paraId="73F38B7C" w14:textId="77777777"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2.89</w:t>
            </w:r>
          </w:p>
        </w:tc>
        <w:tc>
          <w:tcPr>
            <w:tcW w:w="0" w:type="auto"/>
            <w:tcBorders>
              <w:top w:val="single" w:sz="4" w:space="0" w:color="auto"/>
              <w:left w:val="nil"/>
              <w:bottom w:val="nil"/>
              <w:right w:val="nil"/>
            </w:tcBorders>
            <w:vAlign w:val="bottom"/>
          </w:tcPr>
          <w:p w14:paraId="613AFB26" w14:textId="77777777"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2.90</w:t>
            </w:r>
          </w:p>
        </w:tc>
        <w:tc>
          <w:tcPr>
            <w:tcW w:w="0" w:type="auto"/>
            <w:tcBorders>
              <w:top w:val="single" w:sz="4" w:space="0" w:color="auto"/>
              <w:left w:val="nil"/>
              <w:bottom w:val="nil"/>
              <w:right w:val="nil"/>
            </w:tcBorders>
            <w:vAlign w:val="bottom"/>
          </w:tcPr>
          <w:p w14:paraId="2EC1B83F" w14:textId="77777777"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2.89</w:t>
            </w:r>
          </w:p>
        </w:tc>
        <w:tc>
          <w:tcPr>
            <w:tcW w:w="0" w:type="auto"/>
            <w:tcBorders>
              <w:top w:val="single" w:sz="4" w:space="0" w:color="auto"/>
              <w:left w:val="nil"/>
              <w:bottom w:val="nil"/>
              <w:right w:val="nil"/>
            </w:tcBorders>
            <w:vAlign w:val="bottom"/>
          </w:tcPr>
          <w:p w14:paraId="58C621C0" w14:textId="77777777" w:rsidR="004F16DF" w:rsidRPr="004834D3" w:rsidRDefault="004F16DF" w:rsidP="00E0520A">
            <w:pPr>
              <w:spacing w:before="120" w:line="480" w:lineRule="auto"/>
              <w:jc w:val="center"/>
              <w:rPr>
                <w:rFonts w:eastAsiaTheme="minorEastAsia" w:cstheme="majorBidi"/>
              </w:rPr>
            </w:pPr>
            <w:r w:rsidRPr="004834D3">
              <w:rPr>
                <w:rFonts w:eastAsiaTheme="minorEastAsia" w:cstheme="majorBidi"/>
              </w:rPr>
              <w:t>2.89</w:t>
            </w:r>
          </w:p>
        </w:tc>
      </w:tr>
      <w:tr w:rsidR="008008F6" w:rsidRPr="004834D3" w14:paraId="3099A51C" w14:textId="77777777" w:rsidTr="006737DE">
        <w:trPr>
          <w:jc w:val="center"/>
        </w:trPr>
        <w:tc>
          <w:tcPr>
            <w:tcW w:w="0" w:type="auto"/>
            <w:tcBorders>
              <w:top w:val="nil"/>
              <w:left w:val="nil"/>
              <w:bottom w:val="single" w:sz="4" w:space="0" w:color="auto"/>
              <w:right w:val="nil"/>
            </w:tcBorders>
            <w:vAlign w:val="bottom"/>
          </w:tcPr>
          <w:p w14:paraId="099B269A" w14:textId="05587588" w:rsidR="004F16DF" w:rsidRPr="004834D3" w:rsidRDefault="004F16DF" w:rsidP="00E0520A">
            <w:pPr>
              <w:spacing w:line="480" w:lineRule="auto"/>
              <w:jc w:val="center"/>
              <w:rPr>
                <w:rFonts w:eastAsiaTheme="minorEastAsia" w:cstheme="majorBidi"/>
              </w:rPr>
            </w:pPr>
            <w:r w:rsidRPr="004834D3">
              <w:rPr>
                <w:rFonts w:eastAsiaTheme="minorEastAsia" w:cstheme="majorBidi"/>
              </w:rPr>
              <w:t>2</w:t>
            </w:r>
            <w:r w:rsidR="001E6F41">
              <w:rPr>
                <w:rFonts w:eastAsiaTheme="minorEastAsia" w:cstheme="majorBidi"/>
              </w:rPr>
              <w:t>,</w:t>
            </w:r>
            <w:r w:rsidRPr="004834D3">
              <w:rPr>
                <w:rFonts w:eastAsiaTheme="minorEastAsia" w:cstheme="majorBidi"/>
              </w:rPr>
              <w:t>000</w:t>
            </w:r>
          </w:p>
        </w:tc>
        <w:tc>
          <w:tcPr>
            <w:tcW w:w="0" w:type="auto"/>
            <w:tcBorders>
              <w:top w:val="nil"/>
              <w:left w:val="nil"/>
              <w:bottom w:val="single" w:sz="4" w:space="0" w:color="auto"/>
              <w:right w:val="nil"/>
            </w:tcBorders>
            <w:vAlign w:val="bottom"/>
          </w:tcPr>
          <w:p w14:paraId="20248EC1" w14:textId="77777777" w:rsidR="004F16DF" w:rsidRPr="004834D3" w:rsidRDefault="004F16DF" w:rsidP="00E0520A">
            <w:pPr>
              <w:spacing w:line="480" w:lineRule="auto"/>
              <w:jc w:val="center"/>
              <w:rPr>
                <w:rFonts w:eastAsiaTheme="minorEastAsia" w:cstheme="majorBidi"/>
              </w:rPr>
            </w:pPr>
            <w:r w:rsidRPr="004834D3">
              <w:rPr>
                <w:rFonts w:eastAsiaTheme="minorEastAsia" w:cstheme="majorBidi"/>
              </w:rPr>
              <w:t>2.78</w:t>
            </w:r>
          </w:p>
        </w:tc>
        <w:tc>
          <w:tcPr>
            <w:tcW w:w="0" w:type="auto"/>
            <w:tcBorders>
              <w:top w:val="nil"/>
              <w:left w:val="nil"/>
              <w:bottom w:val="single" w:sz="4" w:space="0" w:color="auto"/>
              <w:right w:val="nil"/>
            </w:tcBorders>
            <w:vAlign w:val="bottom"/>
          </w:tcPr>
          <w:p w14:paraId="05C9590D" w14:textId="09A7BE5C" w:rsidR="004F16DF" w:rsidRPr="004834D3" w:rsidRDefault="004F16DF" w:rsidP="00E0520A">
            <w:pPr>
              <w:spacing w:line="480" w:lineRule="auto"/>
              <w:jc w:val="center"/>
              <w:rPr>
                <w:rFonts w:eastAsiaTheme="minorEastAsia" w:cstheme="majorBidi"/>
              </w:rPr>
            </w:pPr>
            <w:r w:rsidRPr="004834D3">
              <w:rPr>
                <w:rFonts w:eastAsiaTheme="minorEastAsia" w:cstheme="majorBidi"/>
              </w:rPr>
              <w:t>2.76</w:t>
            </w:r>
          </w:p>
        </w:tc>
        <w:tc>
          <w:tcPr>
            <w:tcW w:w="0" w:type="auto"/>
            <w:tcBorders>
              <w:top w:val="nil"/>
              <w:left w:val="nil"/>
              <w:bottom w:val="single" w:sz="4" w:space="0" w:color="auto"/>
              <w:right w:val="nil"/>
            </w:tcBorders>
            <w:vAlign w:val="bottom"/>
          </w:tcPr>
          <w:p w14:paraId="35854D6B" w14:textId="56EAB908" w:rsidR="004F16DF" w:rsidRPr="004834D3" w:rsidRDefault="004F16DF" w:rsidP="00E0520A">
            <w:pPr>
              <w:spacing w:line="480" w:lineRule="auto"/>
              <w:jc w:val="center"/>
              <w:rPr>
                <w:rFonts w:eastAsiaTheme="minorEastAsia" w:cstheme="majorBidi"/>
              </w:rPr>
            </w:pPr>
            <w:r w:rsidRPr="004834D3">
              <w:rPr>
                <w:rFonts w:eastAsiaTheme="minorEastAsia" w:cstheme="majorBidi"/>
              </w:rPr>
              <w:t>2.76</w:t>
            </w:r>
          </w:p>
        </w:tc>
        <w:tc>
          <w:tcPr>
            <w:tcW w:w="0" w:type="auto"/>
            <w:tcBorders>
              <w:top w:val="nil"/>
              <w:left w:val="nil"/>
              <w:bottom w:val="single" w:sz="4" w:space="0" w:color="auto"/>
              <w:right w:val="nil"/>
            </w:tcBorders>
            <w:vAlign w:val="bottom"/>
          </w:tcPr>
          <w:p w14:paraId="55F7CA67" w14:textId="77777777" w:rsidR="004F16DF" w:rsidRPr="004834D3" w:rsidRDefault="004F16DF" w:rsidP="00E0520A">
            <w:pPr>
              <w:spacing w:line="480" w:lineRule="auto"/>
              <w:jc w:val="center"/>
              <w:rPr>
                <w:rFonts w:eastAsiaTheme="minorEastAsia" w:cstheme="majorBidi"/>
              </w:rPr>
            </w:pPr>
            <w:r w:rsidRPr="004834D3">
              <w:rPr>
                <w:rFonts w:eastAsiaTheme="minorEastAsia" w:cstheme="majorBidi"/>
              </w:rPr>
              <w:t>2.74</w:t>
            </w:r>
          </w:p>
        </w:tc>
        <w:tc>
          <w:tcPr>
            <w:tcW w:w="0" w:type="auto"/>
            <w:tcBorders>
              <w:top w:val="nil"/>
              <w:left w:val="nil"/>
              <w:bottom w:val="single" w:sz="4" w:space="0" w:color="auto"/>
              <w:right w:val="nil"/>
            </w:tcBorders>
            <w:vAlign w:val="bottom"/>
          </w:tcPr>
          <w:p w14:paraId="1E1CA4AA" w14:textId="77777777" w:rsidR="004F16DF" w:rsidRPr="004834D3" w:rsidRDefault="004F16DF" w:rsidP="00E0520A">
            <w:pPr>
              <w:spacing w:line="480" w:lineRule="auto"/>
              <w:jc w:val="center"/>
              <w:rPr>
                <w:rFonts w:eastAsiaTheme="minorEastAsia" w:cstheme="majorBidi"/>
              </w:rPr>
            </w:pPr>
            <w:r w:rsidRPr="004834D3">
              <w:rPr>
                <w:rFonts w:eastAsiaTheme="minorEastAsia" w:cstheme="majorBidi"/>
              </w:rPr>
              <w:t>2.73</w:t>
            </w:r>
          </w:p>
        </w:tc>
        <w:tc>
          <w:tcPr>
            <w:tcW w:w="0" w:type="auto"/>
            <w:tcBorders>
              <w:top w:val="nil"/>
              <w:left w:val="nil"/>
              <w:bottom w:val="single" w:sz="4" w:space="0" w:color="auto"/>
              <w:right w:val="nil"/>
            </w:tcBorders>
            <w:vAlign w:val="bottom"/>
          </w:tcPr>
          <w:p w14:paraId="4BE5E007" w14:textId="77777777" w:rsidR="004F16DF" w:rsidRPr="004834D3" w:rsidRDefault="004F16DF" w:rsidP="00E0520A">
            <w:pPr>
              <w:spacing w:line="480" w:lineRule="auto"/>
              <w:jc w:val="center"/>
              <w:rPr>
                <w:rFonts w:eastAsiaTheme="minorEastAsia" w:cstheme="majorBidi"/>
              </w:rPr>
            </w:pPr>
            <w:r w:rsidRPr="004834D3">
              <w:rPr>
                <w:rFonts w:eastAsiaTheme="minorEastAsia" w:cstheme="majorBidi"/>
              </w:rPr>
              <w:t>2.74</w:t>
            </w:r>
          </w:p>
        </w:tc>
        <w:tc>
          <w:tcPr>
            <w:tcW w:w="0" w:type="auto"/>
            <w:tcBorders>
              <w:top w:val="nil"/>
              <w:left w:val="nil"/>
              <w:bottom w:val="single" w:sz="4" w:space="0" w:color="auto"/>
              <w:right w:val="nil"/>
            </w:tcBorders>
            <w:vAlign w:val="bottom"/>
          </w:tcPr>
          <w:p w14:paraId="4CD05751" w14:textId="77777777" w:rsidR="004F16DF" w:rsidRPr="004834D3" w:rsidRDefault="004F16DF" w:rsidP="00E0520A">
            <w:pPr>
              <w:spacing w:line="480" w:lineRule="auto"/>
              <w:jc w:val="center"/>
              <w:rPr>
                <w:rFonts w:eastAsiaTheme="minorEastAsia" w:cstheme="majorBidi"/>
              </w:rPr>
            </w:pPr>
            <w:r w:rsidRPr="004834D3">
              <w:rPr>
                <w:rFonts w:eastAsiaTheme="minorEastAsia" w:cstheme="majorBidi"/>
              </w:rPr>
              <w:t>2.79</w:t>
            </w:r>
          </w:p>
        </w:tc>
      </w:tr>
    </w:tbl>
    <w:p w14:paraId="48C8AD09" w14:textId="4186BC67" w:rsidR="007308CA" w:rsidRPr="006E213C" w:rsidRDefault="006D34F4" w:rsidP="006E213C">
      <w:pPr>
        <w:spacing w:before="480" w:after="0" w:line="480" w:lineRule="auto"/>
        <w:rPr>
          <w:b/>
          <w:bCs/>
          <w:u w:val="single"/>
        </w:rPr>
      </w:pPr>
      <w:r w:rsidRPr="006E213C">
        <w:rPr>
          <w:b/>
          <w:bCs/>
          <w:u w:val="single"/>
        </w:rPr>
        <w:t xml:space="preserve">Cylindrical Particle </w:t>
      </w:r>
      <w:r w:rsidR="00026F50" w:rsidRPr="006E213C">
        <w:rPr>
          <w:b/>
          <w:bCs/>
          <w:u w:val="single"/>
        </w:rPr>
        <w:t xml:space="preserve">Sedimentation </w:t>
      </w:r>
      <w:r w:rsidR="00BB666A" w:rsidRPr="006E213C">
        <w:rPr>
          <w:b/>
          <w:bCs/>
          <w:u w:val="single"/>
        </w:rPr>
        <w:t>&amp;</w:t>
      </w:r>
      <w:r w:rsidR="00026F50" w:rsidRPr="006E213C">
        <w:rPr>
          <w:b/>
          <w:bCs/>
          <w:u w:val="single"/>
        </w:rPr>
        <w:t xml:space="preserve"> </w:t>
      </w:r>
      <w:r w:rsidR="00BB666A" w:rsidRPr="006E213C">
        <w:rPr>
          <w:b/>
          <w:bCs/>
          <w:u w:val="single"/>
        </w:rPr>
        <w:t>M</w:t>
      </w:r>
      <w:r w:rsidR="00026F50" w:rsidRPr="006E213C">
        <w:rPr>
          <w:b/>
          <w:bCs/>
          <w:u w:val="single"/>
        </w:rPr>
        <w:t xml:space="preserve">elting in a </w:t>
      </w:r>
      <w:r w:rsidR="00BB666A" w:rsidRPr="006E213C">
        <w:rPr>
          <w:b/>
          <w:bCs/>
          <w:u w:val="single"/>
        </w:rPr>
        <w:t>V</w:t>
      </w:r>
      <w:r w:rsidR="00026F50" w:rsidRPr="006E213C">
        <w:rPr>
          <w:b/>
          <w:bCs/>
          <w:u w:val="single"/>
        </w:rPr>
        <w:t xml:space="preserve">ertical </w:t>
      </w:r>
      <w:r w:rsidR="00BB666A" w:rsidRPr="006E213C">
        <w:rPr>
          <w:b/>
          <w:bCs/>
          <w:u w:val="single"/>
        </w:rPr>
        <w:t>C</w:t>
      </w:r>
      <w:r w:rsidR="00026F50" w:rsidRPr="006E213C">
        <w:rPr>
          <w:b/>
          <w:bCs/>
          <w:u w:val="single"/>
        </w:rPr>
        <w:t>hannel</w:t>
      </w:r>
    </w:p>
    <w:p w14:paraId="325DE104" w14:textId="623CFF80" w:rsidR="007308CA" w:rsidRDefault="00897165" w:rsidP="006E213C">
      <w:pPr>
        <w:spacing w:before="240" w:after="240" w:line="480" w:lineRule="auto"/>
        <w:jc w:val="both"/>
        <w:rPr>
          <w:rFonts w:cstheme="majorBidi"/>
          <w:kern w:val="0"/>
        </w:rPr>
      </w:pPr>
      <w:r w:rsidRPr="004834D3">
        <w:rPr>
          <w:rFonts w:cstheme="majorBidi"/>
          <w:kern w:val="0"/>
        </w:rPr>
        <w:t xml:space="preserve">In this study, the focus is on analyzing the sedimentation velocity and melting rate of a single particle as it settles in its own melt. The particle is released at the channel's centerline, positioned </w:t>
      </w:r>
      <m:oMath>
        <m:r>
          <w:rPr>
            <w:rFonts w:ascii="Cambria Math" w:hAnsi="Cambria Math" w:cstheme="majorBidi"/>
            <w:kern w:val="0"/>
          </w:rPr>
          <m:t>10D</m:t>
        </m:r>
      </m:oMath>
      <w:r w:rsidRPr="004834D3">
        <w:rPr>
          <w:rFonts w:cstheme="majorBidi"/>
          <w:kern w:val="0"/>
        </w:rPr>
        <w:t xml:space="preserve"> above the bottom boundary of the computational domain, where </w:t>
      </w:r>
      <m:oMath>
        <m:r>
          <w:rPr>
            <w:rFonts w:ascii="Cambria Math" w:hAnsi="Cambria Math" w:cstheme="majorBidi"/>
            <w:kern w:val="0"/>
          </w:rPr>
          <m:t>D</m:t>
        </m:r>
      </m:oMath>
      <w:r w:rsidRPr="004834D3">
        <w:rPr>
          <w:rFonts w:cstheme="majorBidi"/>
          <w:kern w:val="0"/>
        </w:rPr>
        <w:t xml:space="preserve"> represents the initial diameter of the particle. Initially, the melt is in thermal equilibrium with the channel walls. No-slip boundary conditions and a constant wall temperature </w:t>
      </w:r>
      <m:oMath>
        <m:sSub>
          <m:sSubPr>
            <m:ctrlPr>
              <w:rPr>
                <w:rFonts w:ascii="Cambria Math" w:hAnsi="Cambria Math" w:cstheme="majorBidi"/>
                <w:i/>
                <w:kern w:val="0"/>
              </w:rPr>
            </m:ctrlPr>
          </m:sSubPr>
          <m:e>
            <m:r>
              <w:rPr>
                <w:rFonts w:ascii="Cambria Math" w:hAnsi="Cambria Math" w:cstheme="majorBidi"/>
                <w:kern w:val="0"/>
              </w:rPr>
              <m:t>T</m:t>
            </m:r>
          </m:e>
          <m:sub>
            <m:r>
              <w:rPr>
                <w:rFonts w:ascii="Cambria Math" w:hAnsi="Cambria Math" w:cstheme="majorBidi"/>
                <w:kern w:val="0"/>
              </w:rPr>
              <m:t>h</m:t>
            </m:r>
          </m:sub>
        </m:sSub>
      </m:oMath>
      <w:r w:rsidRPr="004834D3">
        <w:rPr>
          <w:rFonts w:cstheme="majorBidi"/>
          <w:kern w:val="0"/>
        </w:rPr>
        <w:t xml:space="preserve"> are maintained at the side walls, while the particle's temperature is held at its melting point. The parameters controlling the simulation—</w:t>
      </w:r>
      <m:oMath>
        <m:r>
          <m:rPr>
            <m:sty m:val="p"/>
          </m:rPr>
          <w:rPr>
            <w:rFonts w:ascii="Cambria Math" w:hAnsi="Cambria Math" w:cstheme="majorBidi"/>
            <w:kern w:val="0"/>
          </w:rPr>
          <m:t>Pr</m:t>
        </m:r>
      </m:oMath>
      <w:r w:rsidRPr="004834D3">
        <w:rPr>
          <w:rFonts w:cstheme="majorBidi"/>
          <w:kern w:val="0"/>
        </w:rPr>
        <w:t xml:space="preserve"> = 0.7, </w:t>
      </w:r>
      <m:oMath>
        <m:r>
          <m:rPr>
            <m:sty m:val="p"/>
          </m:rPr>
          <w:rPr>
            <w:rFonts w:ascii="Cambria Math" w:hAnsi="Cambria Math" w:cstheme="majorBidi"/>
            <w:kern w:val="0"/>
          </w:rPr>
          <m:t>Re</m:t>
        </m:r>
      </m:oMath>
      <w:r w:rsidRPr="004834D3">
        <w:rPr>
          <w:rFonts w:cstheme="majorBidi"/>
          <w:kern w:val="0"/>
        </w:rPr>
        <w:t xml:space="preserve"> = 21.1, </w:t>
      </w:r>
      <m:oMath>
        <m:r>
          <m:rPr>
            <m:sty m:val="p"/>
          </m:rPr>
          <w:rPr>
            <w:rFonts w:ascii="Cambria Math" w:hAnsi="Cambria Math" w:cstheme="majorBidi"/>
            <w:kern w:val="0"/>
          </w:rPr>
          <m:t>Gr</m:t>
        </m:r>
      </m:oMath>
      <w:r w:rsidRPr="004834D3">
        <w:rPr>
          <w:rFonts w:cstheme="majorBidi"/>
          <w:kern w:val="0"/>
        </w:rPr>
        <w:t xml:space="preserve"> = 100, </w:t>
      </w:r>
      <m:oMath>
        <m:f>
          <m:fPr>
            <m:type m:val="lin"/>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s</m:t>
                </m:r>
              </m:sub>
            </m:sSub>
          </m:num>
          <m:den>
            <m:sSub>
              <m:sSubPr>
                <m:ctrlPr>
                  <w:rPr>
                    <w:rFonts w:ascii="Cambria Math" w:eastAsiaTheme="minorEastAsia" w:hAnsi="Cambria Math" w:cstheme="majorBidi"/>
                    <w:i/>
                  </w:rPr>
                </m:ctrlPr>
              </m:sSubPr>
              <m:e>
                <m:r>
                  <w:rPr>
                    <w:rFonts w:ascii="Cambria Math" w:eastAsiaTheme="minorEastAsia" w:hAnsi="Cambria Math" w:cstheme="majorBidi"/>
                  </w:rPr>
                  <m:t>ρ</m:t>
                </m:r>
              </m:e>
              <m:sub>
                <m:r>
                  <w:rPr>
                    <w:rFonts w:ascii="Cambria Math" w:eastAsiaTheme="minorEastAsia" w:hAnsi="Cambria Math" w:cstheme="majorBidi"/>
                  </w:rPr>
                  <m:t>l</m:t>
                </m:r>
              </m:sub>
            </m:sSub>
          </m:den>
        </m:f>
      </m:oMath>
      <w:r w:rsidR="001E6F41">
        <w:rPr>
          <w:rFonts w:eastAsiaTheme="minorEastAsia" w:cstheme="majorBidi"/>
        </w:rPr>
        <w:t xml:space="preserve"> = 1.00232</w:t>
      </w:r>
      <w:r w:rsidRPr="004834D3">
        <w:rPr>
          <w:rFonts w:cstheme="majorBidi"/>
          <w:kern w:val="0"/>
        </w:rPr>
        <w:t xml:space="preserve">, and </w:t>
      </w:r>
      <m:oMath>
        <m:r>
          <m:rPr>
            <m:sty m:val="p"/>
          </m:rPr>
          <w:rPr>
            <w:rFonts w:ascii="Cambria Math" w:hAnsi="Cambria Math" w:cstheme="majorBidi"/>
            <w:kern w:val="0"/>
          </w:rPr>
          <m:t>Ste</m:t>
        </m:r>
      </m:oMath>
      <w:r w:rsidRPr="004834D3">
        <w:rPr>
          <w:rFonts w:cstheme="majorBidi"/>
          <w:kern w:val="0"/>
        </w:rPr>
        <w:t xml:space="preserve"> = 0.0251—are set to match those used in the study by Gan et al. </w:t>
      </w:r>
      <w:r w:rsidRPr="004834D3">
        <w:rPr>
          <w:rFonts w:eastAsiaTheme="minorEastAsia" w:cstheme="majorBidi"/>
        </w:rPr>
        <w:fldChar w:fldCharType="begin" w:fldLock="1"/>
      </w:r>
      <w:r w:rsidR="00D83446">
        <w:rPr>
          <w:rFonts w:eastAsiaTheme="minorEastAsia" w:cstheme="majorBidi"/>
        </w:rPr>
        <w:instrText>ADDIN CSL_CITATION {"citationItems":[{"id":"ITEM-1","itemData":{"DOI":"10.1016/S0301-9322(03)00035-1","ISSN":"03019322","abstract":"This study is motivated by the fact that dispersed two-phase flows are often accompanied by interfacial activities such as chemical reaction and phase change. Toward an understanding of the role of interfacial transport, we numerically simulate the sedimentation of melting solid particles in a Newtonian fluid. The fluid flow and solid motion determine the fluid-solid heat transfer and hence the melting rate. The thermal convection and interfacial morphology, in return, affect the motion of both phases. The two-dimensional Navier-Stokes and energy equations are solved at moderate Reynolds numbers by a finite-element method, and the melting interface is determined from the local heat flux. The motion of each solid particle is tracked using an arbitrary Lagrangian-Eulerian scheme. Results show that the sedimentation of melting particles is largely governed by the competition between the upward flow of the warm upstream fluid and the downward flow of the cold melt. A single particle settling in a channel may be pushed away from the centerline toward the wall. A pair of particles interact in a complex way, separating at low Grashof number Gr and attracting each other at high Gr. These results have interesting implications for the formation of microstructures in interfacially active two-phase flows. © 2003 Elsevier Science Ltd. All rights reserved.","author":[{"dropping-particle":"","family":"Gan","given":"Hui","non-dropping-particle":"","parse-names":false,"suffix":""},{"dropping-particle":"","family":"Feng","given":"James J.","non-dropping-particle":"","parse-names":false,"suffix":""},{"dropping-particle":"","family":"Hu","given":"Howard H.","non-dropping-particle":"","parse-names":false,"suffix":""}],"container-title":"International Journal of Multiphase Flow","id":"ITEM-1","issue":"5","issued":{"date-parts":[["2003"]]},"page":"751-769","title":"Simulation of the sedimentation of melting solid particles","type":"article-journal","volume":"29"},"uris":["http://www.mendeley.com/documents/?uuid=fb04688c-9532-4dcb-947c-2fbb0a71d2cc"]}],"mendeley":{"formattedCitation":"[162]","plainTextFormattedCitation":"[162]","previouslyFormattedCitation":"[163]"},"properties":{"noteIndex":0},"schema":"https://github.com/citation-style-language/schema/raw/master/csl-citation.json"}</w:instrText>
      </w:r>
      <w:r w:rsidRPr="004834D3">
        <w:rPr>
          <w:rFonts w:eastAsiaTheme="minorEastAsia" w:cstheme="majorBidi"/>
        </w:rPr>
        <w:fldChar w:fldCharType="separate"/>
      </w:r>
      <w:r w:rsidR="00D83446" w:rsidRPr="00D83446">
        <w:rPr>
          <w:rFonts w:eastAsiaTheme="minorEastAsia" w:cstheme="majorBidi"/>
          <w:noProof/>
        </w:rPr>
        <w:t>[162]</w:t>
      </w:r>
      <w:r w:rsidRPr="004834D3">
        <w:rPr>
          <w:rFonts w:eastAsiaTheme="minorEastAsia" w:cstheme="majorBidi"/>
        </w:rPr>
        <w:fldChar w:fldCharType="end"/>
      </w:r>
      <w:r w:rsidRPr="004834D3">
        <w:rPr>
          <w:rFonts w:eastAsiaTheme="minorEastAsia" w:cstheme="majorBidi"/>
        </w:rPr>
        <w:t xml:space="preserve">. </w:t>
      </w:r>
      <w:r w:rsidRPr="004834D3">
        <w:rPr>
          <w:rFonts w:cstheme="majorBidi"/>
          <w:kern w:val="0"/>
        </w:rPr>
        <w:t xml:space="preserve">Notably, the Re number is calculated based on the maximum sedimentation velocity of the particle, which remains undetermined until the simulation progresses. Figure </w:t>
      </w:r>
      <w:r w:rsidR="00FD3C90">
        <w:rPr>
          <w:rFonts w:cstheme="majorBidi"/>
          <w:kern w:val="0"/>
        </w:rPr>
        <w:t>5</w:t>
      </w:r>
      <w:r w:rsidR="001E6F41">
        <w:rPr>
          <w:rFonts w:cstheme="majorBidi"/>
          <w:kern w:val="0"/>
        </w:rPr>
        <w:t>-8</w:t>
      </w:r>
      <w:r w:rsidRPr="004834D3">
        <w:rPr>
          <w:rFonts w:cstheme="majorBidi"/>
          <w:kern w:val="0"/>
        </w:rPr>
        <w:t xml:space="preserve"> provides a visual representation of the particle's dimensionless mass and </w:t>
      </w:r>
      <m:oMath>
        <m:r>
          <m:rPr>
            <m:sty m:val="p"/>
          </m:rPr>
          <w:rPr>
            <w:rFonts w:ascii="Cambria Math" w:hAnsi="Cambria Math" w:cstheme="majorBidi"/>
            <w:kern w:val="0"/>
          </w:rPr>
          <m:t>Re</m:t>
        </m:r>
      </m:oMath>
      <w:r w:rsidRPr="004834D3">
        <w:rPr>
          <w:rFonts w:cstheme="majorBidi"/>
          <w:kern w:val="0"/>
        </w:rPr>
        <w:t xml:space="preserve"> number as it undergoes the processes of settling and melting. </w:t>
      </w:r>
    </w:p>
    <w:p w14:paraId="7F95D43A" w14:textId="77777777" w:rsidR="00FC4283" w:rsidRDefault="00FC4283" w:rsidP="00462D0C">
      <w:pPr>
        <w:spacing w:before="240" w:after="240" w:line="360" w:lineRule="auto"/>
        <w:ind w:firstLine="720"/>
        <w:jc w:val="both"/>
        <w:rPr>
          <w:rFonts w:cstheme="majorBidi"/>
          <w:kern w:val="0"/>
        </w:rPr>
      </w:pPr>
    </w:p>
    <w:p w14:paraId="1E80461C" w14:textId="77777777" w:rsidR="00FC4283" w:rsidRDefault="00FC4283" w:rsidP="00462D0C">
      <w:pPr>
        <w:spacing w:before="240" w:after="240" w:line="360" w:lineRule="auto"/>
        <w:ind w:firstLine="720"/>
        <w:jc w:val="both"/>
        <w:rPr>
          <w:rFonts w:cstheme="majorBidi"/>
          <w:kern w:val="0"/>
        </w:rPr>
      </w:pPr>
    </w:p>
    <w:p w14:paraId="39D5B25C" w14:textId="62BC3A4D" w:rsidR="00FC4283" w:rsidRPr="004834D3" w:rsidRDefault="00FC4283" w:rsidP="00D94392">
      <w:pPr>
        <w:spacing w:before="240" w:after="240" w:line="360" w:lineRule="auto"/>
        <w:jc w:val="both"/>
        <w:rPr>
          <w:rFonts w:cstheme="majorBidi"/>
          <w:kern w:val="0"/>
        </w:rPr>
      </w:pP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113FF" w:rsidRPr="001E6F41" w14:paraId="04640C2D" w14:textId="77777777" w:rsidTr="00D94392">
        <w:trPr>
          <w:jc w:val="center"/>
        </w:trPr>
        <w:tc>
          <w:tcPr>
            <w:tcW w:w="9350" w:type="dxa"/>
          </w:tcPr>
          <w:p w14:paraId="0DFED5FD" w14:textId="6F62FFBE" w:rsidR="002113FF" w:rsidRPr="001E6F41" w:rsidRDefault="002113FF" w:rsidP="006E213C">
            <w:pPr>
              <w:spacing w:line="480" w:lineRule="auto"/>
              <w:jc w:val="center"/>
              <w:rPr>
                <w:rFonts w:cstheme="majorBidi"/>
                <w:sz w:val="24"/>
                <w:szCs w:val="24"/>
              </w:rPr>
            </w:pPr>
            <w:r w:rsidRPr="001E6F41">
              <w:rPr>
                <w:rFonts w:cstheme="majorBidi"/>
                <w:noProof/>
              </w:rPr>
              <w:lastRenderedPageBreak/>
              <mc:AlternateContent>
                <mc:Choice Requires="wps">
                  <w:drawing>
                    <wp:anchor distT="45720" distB="45720" distL="114300" distR="114300" simplePos="0" relativeHeight="251689984" behindDoc="0" locked="0" layoutInCell="1" allowOverlap="1" wp14:anchorId="395130D8" wp14:editId="13796E57">
                      <wp:simplePos x="0" y="0"/>
                      <wp:positionH relativeFrom="column">
                        <wp:posOffset>1674253</wp:posOffset>
                      </wp:positionH>
                      <wp:positionV relativeFrom="paragraph">
                        <wp:posOffset>1677163</wp:posOffset>
                      </wp:positionV>
                      <wp:extent cx="386862" cy="287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62" cy="287215"/>
                              </a:xfrm>
                              <a:prstGeom prst="rect">
                                <a:avLst/>
                              </a:prstGeom>
                              <a:noFill/>
                              <a:ln w="9525">
                                <a:noFill/>
                                <a:miter lim="800000"/>
                                <a:headEnd/>
                                <a:tailEnd/>
                              </a:ln>
                            </wps:spPr>
                            <wps:txbx>
                              <w:txbxContent>
                                <w:p w14:paraId="4088DCAE" w14:textId="77777777" w:rsidR="002113FF" w:rsidRPr="00F77C31" w:rsidRDefault="002113FF" w:rsidP="006A4F28">
                                  <w:pPr>
                                    <w:rPr>
                                      <w:rFonts w:cstheme="majorBidi"/>
                                    </w:rPr>
                                  </w:pPr>
                                  <w:r w:rsidRPr="00F77C31">
                                    <w:rPr>
                                      <w:rFonts w:cstheme="majorBidi"/>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130D8" id="_x0000_s1030" type="#_x0000_t202" style="position:absolute;left:0;text-align:left;margin-left:131.85pt;margin-top:132.05pt;width:30.45pt;height:22.6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" filled="f" stroked="f">
                      <v:textbox>
                        <w:txbxContent>
                          <w:p w14:paraId="4088DCAE" w14:textId="77777777" w:rsidR="002113FF" w:rsidRPr="00F77C31" w:rsidRDefault="002113FF" w:rsidP="006A4F28">
                            <w:pPr>
                              <w:rPr>
                                <w:rFonts w:cstheme="majorBidi"/>
                              </w:rPr>
                            </w:pPr>
                            <w:r w:rsidRPr="00F77C31">
                              <w:rPr>
                                <w:rFonts w:cstheme="majorBidi"/>
                              </w:rPr>
                              <w:t>(a)``</w:t>
                            </w:r>
                          </w:p>
                        </w:txbxContent>
                      </v:textbox>
                    </v:shape>
                  </w:pict>
                </mc:Fallback>
              </mc:AlternateContent>
            </w:r>
            <w:r w:rsidRPr="00717A46">
              <w:rPr>
                <w:rFonts w:cstheme="majorBidi"/>
                <w:noProof/>
              </w:rPr>
              <w:drawing>
                <wp:inline distT="0" distB="0" distL="0" distR="0" wp14:anchorId="6F1E5818" wp14:editId="3ACBD2CE">
                  <wp:extent cx="3727777" cy="2651760"/>
                  <wp:effectExtent l="0" t="0" r="6350" b="0"/>
                  <wp:docPr id="17338490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3727777" cy="2651760"/>
                          </a:xfrm>
                          <a:prstGeom prst="rect">
                            <a:avLst/>
                          </a:prstGeom>
                          <a:noFill/>
                          <a:ln>
                            <a:noFill/>
                          </a:ln>
                        </pic:spPr>
                      </pic:pic>
                    </a:graphicData>
                  </a:graphic>
                </wp:inline>
              </w:drawing>
            </w:r>
          </w:p>
        </w:tc>
      </w:tr>
      <w:tr w:rsidR="002113FF" w:rsidRPr="001E6F41" w14:paraId="545329AB" w14:textId="77777777" w:rsidTr="00D94392">
        <w:trPr>
          <w:jc w:val="center"/>
        </w:trPr>
        <w:tc>
          <w:tcPr>
            <w:tcW w:w="9350" w:type="dxa"/>
          </w:tcPr>
          <w:p w14:paraId="53328633" w14:textId="4924D9D9" w:rsidR="002113FF" w:rsidRPr="001E6F41" w:rsidRDefault="002113FF" w:rsidP="006E213C">
            <w:pPr>
              <w:pStyle w:val="Caption"/>
              <w:spacing w:before="0" w:after="0" w:line="480" w:lineRule="auto"/>
              <w:jc w:val="center"/>
              <w:rPr>
                <w:b/>
                <w:bCs/>
                <w:szCs w:val="24"/>
              </w:rPr>
            </w:pPr>
            <w:r w:rsidRPr="001E6F41">
              <w:rPr>
                <w:rFonts w:cstheme="majorBidi"/>
                <w:noProof/>
              </w:rPr>
              <mc:AlternateContent>
                <mc:Choice Requires="wps">
                  <w:drawing>
                    <wp:anchor distT="45720" distB="45720" distL="114300" distR="114300" simplePos="0" relativeHeight="251666432" behindDoc="0" locked="0" layoutInCell="1" allowOverlap="1" wp14:anchorId="116EA233" wp14:editId="73E2E79D">
                      <wp:simplePos x="0" y="0"/>
                      <wp:positionH relativeFrom="column">
                        <wp:posOffset>1696683</wp:posOffset>
                      </wp:positionH>
                      <wp:positionV relativeFrom="paragraph">
                        <wp:posOffset>1667657</wp:posOffset>
                      </wp:positionV>
                      <wp:extent cx="386862" cy="287215"/>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862" cy="287215"/>
                              </a:xfrm>
                              <a:prstGeom prst="rect">
                                <a:avLst/>
                              </a:prstGeom>
                              <a:noFill/>
                              <a:ln w="9525">
                                <a:noFill/>
                                <a:miter lim="800000"/>
                                <a:headEnd/>
                                <a:tailEnd/>
                              </a:ln>
                            </wps:spPr>
                            <wps:txbx>
                              <w:txbxContent>
                                <w:p w14:paraId="1A192FB3" w14:textId="77777777" w:rsidR="006A4F28" w:rsidRPr="00F77C31" w:rsidRDefault="006A4F28" w:rsidP="006A4F28">
                                  <w:pPr>
                                    <w:rPr>
                                      <w:rFonts w:cstheme="majorBidi"/>
                                    </w:rPr>
                                  </w:pPr>
                                  <w:r w:rsidRPr="00F77C31">
                                    <w:rPr>
                                      <w:rFonts w:cstheme="majorBidi"/>
                                    </w:rPr>
                                    <w:t>(</w:t>
                                  </w:r>
                                  <w:r>
                                    <w:rPr>
                                      <w:rFonts w:cstheme="majorBidi"/>
                                    </w:rPr>
                                    <w:t>b</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EA233" id="_x0000_s1031" type="#_x0000_t202" style="position:absolute;left:0;text-align:left;margin-left:133.6pt;margin-top:131.3pt;width:30.45pt;height:22.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" filled="f" stroked="f">
                      <v:textbox>
                        <w:txbxContent>
                          <w:p w14:paraId="1A192FB3" w14:textId="77777777" w:rsidR="006A4F28" w:rsidRPr="00F77C31" w:rsidRDefault="006A4F28" w:rsidP="006A4F28">
                            <w:pPr>
                              <w:rPr>
                                <w:rFonts w:cstheme="majorBidi"/>
                              </w:rPr>
                            </w:pPr>
                            <w:r w:rsidRPr="00F77C31">
                              <w:rPr>
                                <w:rFonts w:cstheme="majorBidi"/>
                              </w:rPr>
                              <w:t>(</w:t>
                            </w:r>
                            <w:r>
                              <w:rPr>
                                <w:rFonts w:cstheme="majorBidi"/>
                              </w:rPr>
                              <w:t>b</w:t>
                            </w:r>
                            <w:r w:rsidRPr="00F77C31">
                              <w:rPr>
                                <w:rFonts w:cstheme="majorBidi"/>
                              </w:rPr>
                              <w:t>)``</w:t>
                            </w:r>
                          </w:p>
                        </w:txbxContent>
                      </v:textbox>
                    </v:shape>
                  </w:pict>
                </mc:Fallback>
              </mc:AlternateContent>
            </w:r>
            <w:r w:rsidRPr="00717A46">
              <w:rPr>
                <w:rFonts w:cstheme="majorBidi"/>
                <w:noProof/>
              </w:rPr>
              <w:drawing>
                <wp:inline distT="0" distB="0" distL="0" distR="0" wp14:anchorId="0E211354" wp14:editId="439FD380">
                  <wp:extent cx="3727777" cy="2651760"/>
                  <wp:effectExtent l="0" t="0" r="6350" b="0"/>
                  <wp:docPr id="597722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3727777" cy="2651760"/>
                          </a:xfrm>
                          <a:prstGeom prst="rect">
                            <a:avLst/>
                          </a:prstGeom>
                          <a:noFill/>
                          <a:ln>
                            <a:noFill/>
                          </a:ln>
                        </pic:spPr>
                      </pic:pic>
                    </a:graphicData>
                  </a:graphic>
                </wp:inline>
              </w:drawing>
            </w:r>
          </w:p>
        </w:tc>
      </w:tr>
      <w:tr w:rsidR="006A4F28" w:rsidRPr="001E6F41" w14:paraId="189F7B7D" w14:textId="77777777" w:rsidTr="00D94392">
        <w:trPr>
          <w:jc w:val="center"/>
        </w:trPr>
        <w:tc>
          <w:tcPr>
            <w:tcW w:w="9350" w:type="dxa"/>
          </w:tcPr>
          <w:p w14:paraId="0D33D5D8" w14:textId="3F4E37DC" w:rsidR="006A4F28" w:rsidRPr="001E6F41" w:rsidRDefault="006737DE" w:rsidP="006E213C">
            <w:pPr>
              <w:pStyle w:val="Caption"/>
              <w:spacing w:before="0" w:after="0" w:line="480" w:lineRule="auto"/>
              <w:jc w:val="center"/>
              <w:rPr>
                <w:sz w:val="24"/>
                <w:szCs w:val="24"/>
              </w:rPr>
            </w:pPr>
            <w:bookmarkStart w:id="88" w:name="_Toc172708827"/>
            <w:r w:rsidRPr="001E6F41">
              <w:rPr>
                <w:b/>
                <w:bCs/>
                <w:sz w:val="24"/>
                <w:szCs w:val="24"/>
              </w:rPr>
              <w:t xml:space="preserve">Fig. </w:t>
            </w:r>
            <w:r w:rsidR="00996526">
              <w:rPr>
                <w:b/>
                <w:bCs/>
                <w:szCs w:val="24"/>
              </w:rPr>
              <w:fldChar w:fldCharType="begin"/>
            </w:r>
            <w:r w:rsidR="00996526">
              <w:rPr>
                <w:b/>
                <w:bCs/>
                <w:sz w:val="24"/>
                <w:szCs w:val="24"/>
              </w:rPr>
              <w:instrText xml:space="preserve"> STYLEREF 1 \s </w:instrText>
            </w:r>
            <w:r w:rsidR="00996526">
              <w:rPr>
                <w:b/>
                <w:bCs/>
                <w:szCs w:val="24"/>
              </w:rPr>
              <w:fldChar w:fldCharType="separate"/>
            </w:r>
            <w:r w:rsidR="00732AAC">
              <w:rPr>
                <w:b/>
                <w:bCs/>
                <w:noProof/>
                <w:sz w:val="24"/>
                <w:szCs w:val="24"/>
                <w:cs/>
              </w:rPr>
              <w:t>‎</w:t>
            </w:r>
            <w:r w:rsidR="00732AAC">
              <w:rPr>
                <w:b/>
                <w:bCs/>
                <w:noProof/>
                <w:sz w:val="24"/>
                <w:szCs w:val="24"/>
              </w:rPr>
              <w:t>5</w:t>
            </w:r>
            <w:r w:rsidR="00996526">
              <w:rPr>
                <w:b/>
                <w:bCs/>
                <w:szCs w:val="24"/>
              </w:rPr>
              <w:fldChar w:fldCharType="end"/>
            </w:r>
            <w:r w:rsidR="00996526">
              <w:rPr>
                <w:b/>
                <w:bCs/>
                <w:sz w:val="24"/>
                <w:szCs w:val="24"/>
              </w:rPr>
              <w:noBreakHyphen/>
            </w:r>
            <w:r w:rsidR="00996526">
              <w:rPr>
                <w:b/>
                <w:bCs/>
                <w:szCs w:val="24"/>
              </w:rPr>
              <w:fldChar w:fldCharType="begin"/>
            </w:r>
            <w:r w:rsidR="00996526">
              <w:rPr>
                <w:b/>
                <w:bCs/>
                <w:sz w:val="24"/>
                <w:szCs w:val="24"/>
              </w:rPr>
              <w:instrText xml:space="preserve"> SEQ Fig. \* ARABIC \s 1 </w:instrText>
            </w:r>
            <w:r w:rsidR="00996526">
              <w:rPr>
                <w:b/>
                <w:bCs/>
                <w:szCs w:val="24"/>
              </w:rPr>
              <w:fldChar w:fldCharType="separate"/>
            </w:r>
            <w:r w:rsidR="00732AAC">
              <w:rPr>
                <w:b/>
                <w:bCs/>
                <w:noProof/>
                <w:sz w:val="24"/>
                <w:szCs w:val="24"/>
              </w:rPr>
              <w:t>8</w:t>
            </w:r>
            <w:r w:rsidR="00996526">
              <w:rPr>
                <w:b/>
                <w:bCs/>
                <w:szCs w:val="24"/>
              </w:rPr>
              <w:fldChar w:fldCharType="end"/>
            </w:r>
            <w:r w:rsidRPr="001E6F41">
              <w:rPr>
                <w:sz w:val="24"/>
                <w:szCs w:val="24"/>
              </w:rPr>
              <w:t xml:space="preserve"> </w:t>
            </w:r>
            <w:r w:rsidR="006A4F28" w:rsidRPr="001E6F41">
              <w:rPr>
                <w:rFonts w:cstheme="majorBidi"/>
                <w:sz w:val="24"/>
                <w:szCs w:val="24"/>
              </w:rPr>
              <w:t xml:space="preserve">Comparison of (a) dimensionless particle mass, and (b) instantaneous </w:t>
            </w:r>
            <m:oMath>
              <m:r>
                <m:rPr>
                  <m:sty m:val="p"/>
                </m:rPr>
                <w:rPr>
                  <w:rFonts w:ascii="Cambria Math" w:hAnsi="Cambria Math" w:cstheme="majorBidi"/>
                  <w:sz w:val="24"/>
                  <w:szCs w:val="24"/>
                </w:rPr>
                <m:t>Re</m:t>
              </m:r>
            </m:oMath>
            <w:r w:rsidR="006A4F28" w:rsidRPr="001E6F41">
              <w:rPr>
                <w:rFonts w:eastAsia="Times New Roman" w:cstheme="majorBidi"/>
                <w:sz w:val="24"/>
                <w:szCs w:val="24"/>
              </w:rPr>
              <w:t xml:space="preserve"> number,</w:t>
            </w:r>
            <w:r w:rsidR="006A4F28" w:rsidRPr="001E6F41">
              <w:rPr>
                <w:rFonts w:cstheme="majorBidi"/>
                <w:sz w:val="24"/>
                <w:szCs w:val="24"/>
              </w:rPr>
              <w:t xml:space="preserve"> for the settling and melting particle in a vertical channel with </w:t>
            </w:r>
            <w:bookmarkStart w:id="89" w:name="_Hlk85193254"/>
            <w:r w:rsidR="006A4F28" w:rsidRPr="001E6F41">
              <w:rPr>
                <w:rFonts w:cstheme="majorBidi"/>
                <w:sz w:val="24"/>
                <w:szCs w:val="24"/>
              </w:rPr>
              <w:t xml:space="preserve">numerical results of Gan et al. </w:t>
            </w:r>
            <w:r w:rsidR="006A4F28" w:rsidRPr="001E6F41">
              <w:rPr>
                <w:rFonts w:cstheme="majorBidi"/>
                <w:szCs w:val="24"/>
              </w:rPr>
              <w:fldChar w:fldCharType="begin" w:fldLock="1"/>
            </w:r>
            <w:r w:rsidR="00D83446">
              <w:rPr>
                <w:rFonts w:cstheme="majorBidi"/>
                <w:sz w:val="24"/>
                <w:szCs w:val="24"/>
              </w:rPr>
              <w:instrText>ADDIN CSL_CITATION {"citationItems":[{"id":"ITEM-1","itemData":{"DOI":"10.1016/S0301-9322(03)00035-1","ISSN":"03019322","abstract":"This study is motivated by the fact that dispersed two-phase flows are often accompanied by interfacial activities such as chemical reaction and phase change. Toward an understanding of the role of interfacial transport, we numerically simulate the sedimentation of melting solid particles in a Newtonian fluid. The fluid flow and solid motion determine the fluid-solid heat transfer and hence the melting rate. The thermal convection and interfacial morphology, in return, affect the motion of both phases. The two-dimensional Navier-Stokes and energy equations are solved at moderate Reynolds numbers by a finite-element method, and the melting interface is determined from the local heat flux. The motion of each solid particle is tracked using an arbitrary Lagrangian-Eulerian scheme. Results show that the sedimentation of melting particles is largely governed by the competition between the upward flow of the warm upstream fluid and the downward flow of the cold melt. A single particle settling in a channel may be pushed away from the centerline toward the wall. A pair of particles interact in a complex way, separating at low Grashof number Gr and attracting each other at high Gr. These results have interesting implications for the formation of microstructures in interfacially active two-phase flows. © 2003 Elsevier Science Ltd. All rights reserved.","author":[{"dropping-particle":"","family":"Gan","given":"Hui","non-dropping-particle":"","parse-names":false,"suffix":""},{"dropping-particle":"","family":"Feng","given":"James J.","non-dropping-particle":"","parse-names":false,"suffix":""},{"dropping-particle":"","family":"Hu","given":"Howard H.","non-dropping-particle":"","parse-names":false,"suffix":""}],"container-title":"International Journal of Multiphase Flow","id":"ITEM-1","issue":"5","issued":{"date-parts":[["2003"]]},"page":"751-769","title":"Simulation of the sedimentation of melting solid particles","type":"article-journal","volume":"29"},"uris":["http://www.mendeley.com/documents/?uuid=fb04688c-9532-4dcb-947c-2fbb0a71d2cc"]}],"mendeley":{"formattedCitation":"[162]","plainTextFormattedCitation":"[162]","previouslyFormattedCitation":"[163]"},"properties":{"noteIndex":0},"schema":"https://github.com/citation-style-language/schema/raw/master/csl-citation.json"}</w:instrText>
            </w:r>
            <w:r w:rsidR="006A4F28" w:rsidRPr="001E6F41">
              <w:rPr>
                <w:rFonts w:cstheme="majorBidi"/>
                <w:szCs w:val="24"/>
              </w:rPr>
              <w:fldChar w:fldCharType="separate"/>
            </w:r>
            <w:r w:rsidR="00D83446" w:rsidRPr="00D83446">
              <w:rPr>
                <w:rFonts w:cstheme="majorBidi"/>
                <w:noProof/>
                <w:sz w:val="24"/>
                <w:szCs w:val="24"/>
              </w:rPr>
              <w:t>[162]</w:t>
            </w:r>
            <w:r w:rsidR="006A4F28" w:rsidRPr="001E6F41">
              <w:rPr>
                <w:rFonts w:cstheme="majorBidi"/>
                <w:szCs w:val="24"/>
              </w:rPr>
              <w:fldChar w:fldCharType="end"/>
            </w:r>
            <w:r w:rsidR="006A4F28" w:rsidRPr="001E6F41">
              <w:rPr>
                <w:rFonts w:cstheme="majorBidi"/>
                <w:sz w:val="24"/>
                <w:szCs w:val="24"/>
              </w:rPr>
              <w:t>.</w:t>
            </w:r>
            <w:bookmarkEnd w:id="88"/>
            <w:bookmarkEnd w:id="89"/>
          </w:p>
        </w:tc>
      </w:tr>
    </w:tbl>
    <w:p w14:paraId="3FBAD9AA" w14:textId="22A9738E" w:rsidR="00DB18B6" w:rsidRDefault="006A4F28" w:rsidP="006E213C">
      <w:pPr>
        <w:spacing w:before="360" w:after="240" w:line="480" w:lineRule="auto"/>
        <w:ind w:firstLine="720"/>
        <w:jc w:val="both"/>
        <w:rPr>
          <w:rFonts w:cstheme="majorBidi"/>
          <w:kern w:val="0"/>
        </w:rPr>
      </w:pPr>
      <w:r w:rsidRPr="004834D3">
        <w:rPr>
          <w:rFonts w:cstheme="majorBidi"/>
          <w:kern w:val="0"/>
        </w:rPr>
        <w:t xml:space="preserve">As shown in Fig. </w:t>
      </w:r>
      <w:r w:rsidR="00FD3C90">
        <w:rPr>
          <w:rFonts w:cstheme="majorBidi"/>
          <w:kern w:val="0"/>
        </w:rPr>
        <w:t>5</w:t>
      </w:r>
      <w:r w:rsidR="001E6F41">
        <w:rPr>
          <w:rFonts w:cstheme="majorBidi"/>
          <w:kern w:val="0"/>
        </w:rPr>
        <w:t>-8</w:t>
      </w:r>
      <w:r w:rsidRPr="004834D3">
        <w:rPr>
          <w:rFonts w:cstheme="majorBidi"/>
          <w:kern w:val="0"/>
        </w:rPr>
        <w:t xml:space="preserve">, the computational results align closely with those reported by Gan et al. </w:t>
      </w:r>
      <w:r w:rsidRPr="004834D3">
        <w:rPr>
          <w:rFonts w:cstheme="majorBidi"/>
        </w:rPr>
        <w:fldChar w:fldCharType="begin" w:fldLock="1"/>
      </w:r>
      <w:r w:rsidR="00D83446">
        <w:rPr>
          <w:rFonts w:cstheme="majorBidi"/>
        </w:rPr>
        <w:instrText>ADDIN CSL_CITATION {"citationItems":[{"id":"ITEM-1","itemData":{"DOI":"10.1016/S0301-9322(03)00035-1","ISSN":"03019322","abstract":"This study is motivated by the fact that dispersed two-phase flows are often accompanied by interfacial activities such as chemical reaction and phase change. Toward an understanding of the role of interfacial transport, we numerically simulate the sedimentation of melting solid particles in a Newtonian fluid. The fluid flow and solid motion determine the fluid-solid heat transfer and hence the melting rate. The thermal convection and interfacial morphology, in return, affect the motion of both phases. The two-dimensional Navier-Stokes and energy equations are solved at moderate Reynolds numbers by a finite-element method, and the melting interface is determined from the local heat flux. The motion of each solid particle is tracked using an arbitrary Lagrangian-Eulerian scheme. Results show that the sedimentation of melting particles is largely governed by the competition between the upward flow of the warm upstream fluid and the downward flow of the cold melt. A single particle settling in a channel may be pushed away from the centerline toward the wall. A pair of particles interact in a complex way, separating at low Grashof number Gr and attracting each other at high Gr. These results have interesting implications for the formation of microstructures in interfacially active two-phase flows. © 2003 Elsevier Science Ltd. All rights reserved.","author":[{"dropping-particle":"","family":"Gan","given":"Hui","non-dropping-particle":"","parse-names":false,"suffix":""},{"dropping-particle":"","family":"Feng","given":"James J.","non-dropping-particle":"","parse-names":false,"suffix":""},{"dropping-particle":"","family":"Hu","given":"Howard H.","non-dropping-particle":"","parse-names":false,"suffix":""}],"container-title":"International Journal of Multiphase Flow","id":"ITEM-1","issue":"5","issued":{"date-parts":[["2003"]]},"page":"751-769","title":"Simulation of the sedimentation of melting solid particles","type":"article-journal","volume":"29"},"uris":["http://www.mendeley.com/documents/?uuid=fb04688c-9532-4dcb-947c-2fbb0a71d2cc"]}],"mendeley":{"formattedCitation":"[162]","plainTextFormattedCitation":"[162]","previouslyFormattedCitation":"[163]"},"properties":{"noteIndex":0},"schema":"https://github.com/citation-style-language/schema/raw/master/csl-citation.json"}</w:instrText>
      </w:r>
      <w:r w:rsidRPr="004834D3">
        <w:rPr>
          <w:rFonts w:cstheme="majorBidi"/>
        </w:rPr>
        <w:fldChar w:fldCharType="separate"/>
      </w:r>
      <w:r w:rsidR="00D83446" w:rsidRPr="00D83446">
        <w:rPr>
          <w:rFonts w:cstheme="majorBidi"/>
          <w:noProof/>
        </w:rPr>
        <w:t>[162]</w:t>
      </w:r>
      <w:r w:rsidRPr="004834D3">
        <w:rPr>
          <w:rFonts w:cstheme="majorBidi"/>
        </w:rPr>
        <w:fldChar w:fldCharType="end"/>
      </w:r>
      <w:r w:rsidR="001E6F41">
        <w:rPr>
          <w:rFonts w:cstheme="majorBidi"/>
        </w:rPr>
        <w:t>.</w:t>
      </w:r>
      <w:r w:rsidRPr="004834D3">
        <w:rPr>
          <w:rFonts w:cstheme="majorBidi"/>
          <w:kern w:val="0"/>
        </w:rPr>
        <w:t xml:space="preserve"> The deviations observed are minimal, with a maximum of 2% for the </w:t>
      </w:r>
      <m:oMath>
        <m:r>
          <m:rPr>
            <m:sty m:val="p"/>
          </m:rPr>
          <w:rPr>
            <w:rFonts w:ascii="Cambria Math" w:hAnsi="Cambria Math" w:cstheme="majorBidi"/>
            <w:kern w:val="0"/>
          </w:rPr>
          <m:t>Re</m:t>
        </m:r>
      </m:oMath>
      <w:r w:rsidRPr="004834D3">
        <w:rPr>
          <w:rFonts w:cstheme="majorBidi"/>
          <w:kern w:val="0"/>
        </w:rPr>
        <w:t xml:space="preserve"> number and 7% for the particle mass. </w:t>
      </w:r>
      <w:r w:rsidR="006224A5" w:rsidRPr="004834D3">
        <w:rPr>
          <w:rFonts w:cstheme="majorBidi"/>
          <w:kern w:val="0"/>
        </w:rPr>
        <w:t>Based on the results of these three validation cases, the simulation model is effectively validated, demonstrating its accuracy and reliability for predicting the fluid dynamics and thermal processes.</w:t>
      </w:r>
    </w:p>
    <w:p w14:paraId="06C73CCC" w14:textId="75439F2E" w:rsidR="00E80A9A" w:rsidRPr="00D7099A" w:rsidRDefault="00820555" w:rsidP="00700DBA">
      <w:pPr>
        <w:pStyle w:val="Heading1"/>
        <w:numPr>
          <w:ilvl w:val="0"/>
          <w:numId w:val="4"/>
        </w:numPr>
        <w:spacing w:before="0" w:after="240" w:line="480" w:lineRule="auto"/>
        <w:ind w:left="288" w:hanging="288"/>
        <w:rPr>
          <w:sz w:val="28"/>
          <w:szCs w:val="28"/>
        </w:rPr>
      </w:pPr>
      <w:bookmarkStart w:id="90" w:name="_Toc172367701"/>
      <w:r w:rsidRPr="00D7099A">
        <w:rPr>
          <w:sz w:val="28"/>
          <w:szCs w:val="28"/>
        </w:rPr>
        <w:lastRenderedPageBreak/>
        <w:t xml:space="preserve">Particle </w:t>
      </w:r>
      <w:r w:rsidR="00F02B8D">
        <w:rPr>
          <w:sz w:val="28"/>
          <w:szCs w:val="28"/>
        </w:rPr>
        <w:t xml:space="preserve">Migration and </w:t>
      </w:r>
      <w:r w:rsidRPr="00D7099A">
        <w:rPr>
          <w:sz w:val="28"/>
          <w:szCs w:val="28"/>
        </w:rPr>
        <w:t xml:space="preserve">Melting </w:t>
      </w:r>
      <w:r w:rsidR="002D1344" w:rsidRPr="00D7099A">
        <w:rPr>
          <w:sz w:val="28"/>
          <w:szCs w:val="28"/>
        </w:rPr>
        <w:t>Simulation Results</w:t>
      </w:r>
      <w:r w:rsidR="006737DE" w:rsidRPr="00D7099A">
        <w:rPr>
          <w:rStyle w:val="FootnoteReference"/>
          <w:sz w:val="28"/>
          <w:szCs w:val="28"/>
        </w:rPr>
        <w:footnoteReference w:id="5"/>
      </w:r>
      <w:bookmarkEnd w:id="90"/>
    </w:p>
    <w:p w14:paraId="64173E0D" w14:textId="21335F42" w:rsidR="002D1344" w:rsidRPr="004834D3" w:rsidRDefault="002D1344" w:rsidP="004C6625">
      <w:pPr>
        <w:spacing w:before="240" w:after="240" w:line="480" w:lineRule="auto"/>
        <w:jc w:val="both"/>
        <w:rPr>
          <w:rFonts w:cstheme="majorBidi"/>
          <w:kern w:val="0"/>
        </w:rPr>
      </w:pPr>
      <w:r w:rsidRPr="004834D3">
        <w:rPr>
          <w:rFonts w:cstheme="majorBidi"/>
          <w:kern w:val="0"/>
        </w:rPr>
        <w:t xml:space="preserve">The dynamics and thermal behavior of the moving and deforming melting particle </w:t>
      </w:r>
      <w:r w:rsidR="00AA6E88">
        <w:rPr>
          <w:rFonts w:cstheme="majorBidi"/>
          <w:kern w:val="0"/>
        </w:rPr>
        <w:t>are</w:t>
      </w:r>
      <w:r w:rsidRPr="004834D3">
        <w:rPr>
          <w:rFonts w:cstheme="majorBidi"/>
          <w:kern w:val="0"/>
        </w:rPr>
        <w:t xml:space="preserve"> studied in this </w:t>
      </w:r>
      <w:r w:rsidR="0043767E">
        <w:rPr>
          <w:rFonts w:cstheme="majorBidi"/>
          <w:kern w:val="0"/>
        </w:rPr>
        <w:t>chapter</w:t>
      </w:r>
      <w:r w:rsidRPr="004834D3">
        <w:rPr>
          <w:rFonts w:cstheme="majorBidi"/>
          <w:kern w:val="0"/>
        </w:rPr>
        <w:t xml:space="preserve">. Initially, the time evolution of the particle morphology alongside the streamlines </w:t>
      </w:r>
      <w:r w:rsidR="00AA6E88">
        <w:rPr>
          <w:rFonts w:cstheme="majorBidi"/>
          <w:kern w:val="0"/>
        </w:rPr>
        <w:t>are</w:t>
      </w:r>
      <w:r w:rsidRPr="004834D3">
        <w:rPr>
          <w:rFonts w:cstheme="majorBidi"/>
          <w:kern w:val="0"/>
        </w:rPr>
        <w:t xml:space="preserve"> analyzed, focusing on the changes observed </w:t>
      </w:r>
      <w:r w:rsidR="00AA6E88">
        <w:rPr>
          <w:rFonts w:cstheme="majorBidi"/>
          <w:kern w:val="0"/>
        </w:rPr>
        <w:t>during</w:t>
      </w:r>
      <w:r w:rsidRPr="004834D3">
        <w:rPr>
          <w:rFonts w:cstheme="majorBidi"/>
          <w:kern w:val="0"/>
        </w:rPr>
        <w:t xml:space="preserve"> the particle migration and melting process. Following this, a detailed examination of different parameter</w:t>
      </w:r>
      <w:r w:rsidR="00F17EFE">
        <w:rPr>
          <w:rFonts w:cstheme="majorBidi"/>
          <w:kern w:val="0"/>
        </w:rPr>
        <w:t xml:space="preserve"> effects</w:t>
      </w:r>
      <w:r w:rsidRPr="004834D3">
        <w:rPr>
          <w:rFonts w:cstheme="majorBidi"/>
          <w:kern w:val="0"/>
        </w:rPr>
        <w:t xml:space="preserve"> including Reynolds number, Grashof number, Stefan number, and the dimensionless initial lateral position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Pr="004834D3">
        <w:rPr>
          <w:rFonts w:cstheme="majorBidi"/>
          <w:kern w:val="0"/>
        </w:rPr>
        <w:t>) on the hydrodynamic and heat transfer characteristics of the particle is studied.</w:t>
      </w:r>
    </w:p>
    <w:p w14:paraId="6AB45D0D" w14:textId="2B1B6D9B" w:rsidR="002D1344" w:rsidRPr="004C6625" w:rsidRDefault="009A6821" w:rsidP="00700DBA">
      <w:pPr>
        <w:pStyle w:val="Heading2"/>
        <w:numPr>
          <w:ilvl w:val="1"/>
          <w:numId w:val="4"/>
        </w:numPr>
        <w:spacing w:before="360" w:after="240" w:line="480" w:lineRule="auto"/>
        <w:ind w:left="432" w:hanging="432"/>
        <w:rPr>
          <w:sz w:val="24"/>
          <w:szCs w:val="24"/>
        </w:rPr>
      </w:pPr>
      <w:bookmarkStart w:id="91" w:name="_Toc172367702"/>
      <w:r w:rsidRPr="004C6625">
        <w:rPr>
          <w:sz w:val="24"/>
          <w:szCs w:val="24"/>
        </w:rPr>
        <w:t>M</w:t>
      </w:r>
      <w:r w:rsidR="002D1344" w:rsidRPr="004C6625">
        <w:rPr>
          <w:sz w:val="24"/>
          <w:szCs w:val="24"/>
        </w:rPr>
        <w:t xml:space="preserve">elting </w:t>
      </w:r>
      <w:r w:rsidRPr="004C6625">
        <w:rPr>
          <w:sz w:val="24"/>
          <w:szCs w:val="24"/>
        </w:rPr>
        <w:t>P</w:t>
      </w:r>
      <w:r w:rsidR="002D1344" w:rsidRPr="004C6625">
        <w:rPr>
          <w:sz w:val="24"/>
          <w:szCs w:val="24"/>
        </w:rPr>
        <w:t>article</w:t>
      </w:r>
      <w:r w:rsidRPr="004C6625">
        <w:rPr>
          <w:sz w:val="24"/>
          <w:szCs w:val="24"/>
        </w:rPr>
        <w:t xml:space="preserve"> Morphology</w:t>
      </w:r>
      <w:bookmarkEnd w:id="91"/>
    </w:p>
    <w:p w14:paraId="24629DE1" w14:textId="5EB02AEB" w:rsidR="002D1344" w:rsidRPr="004834D3" w:rsidRDefault="002D1344" w:rsidP="004C6625">
      <w:pPr>
        <w:spacing w:before="240" w:after="240" w:line="480" w:lineRule="auto"/>
        <w:jc w:val="both"/>
        <w:rPr>
          <w:rFonts w:cstheme="majorBidi"/>
          <w:kern w:val="0"/>
        </w:rPr>
      </w:pPr>
      <w:r w:rsidRPr="004834D3">
        <w:rPr>
          <w:rFonts w:cstheme="majorBidi"/>
          <w:kern w:val="0"/>
        </w:rPr>
        <w:t xml:space="preserve">Figure </w:t>
      </w:r>
      <w:r w:rsidR="00FD3C90">
        <w:rPr>
          <w:rFonts w:cstheme="majorBidi"/>
          <w:kern w:val="0"/>
        </w:rPr>
        <w:t>6</w:t>
      </w:r>
      <w:r w:rsidR="00B95DF0">
        <w:rPr>
          <w:rFonts w:cstheme="majorBidi"/>
          <w:kern w:val="0"/>
        </w:rPr>
        <w:t>-1</w:t>
      </w:r>
      <w:r w:rsidRPr="004834D3">
        <w:rPr>
          <w:rFonts w:cstheme="majorBidi"/>
          <w:kern w:val="0"/>
        </w:rPr>
        <w:t xml:space="preserve"> illustrates the morphological changes of a melting particle and the evolution of the surrounding temperature field at various times under </w:t>
      </w:r>
      <w:r w:rsidR="0050376E">
        <w:rPr>
          <w:rFonts w:cstheme="majorBidi"/>
          <w:kern w:val="0"/>
        </w:rPr>
        <w:t>these</w:t>
      </w:r>
      <w:r w:rsidRPr="004834D3">
        <w:rPr>
          <w:rFonts w:cstheme="majorBidi"/>
          <w:kern w:val="0"/>
        </w:rPr>
        <w:t xml:space="preserve"> conditions: </w:t>
      </w:r>
      <m:oMath>
        <m:r>
          <m:rPr>
            <m:sty m:val="p"/>
          </m:rPr>
          <w:rPr>
            <w:rFonts w:ascii="Cambria Math" w:hAnsi="Cambria Math" w:cstheme="majorBidi"/>
            <w:kern w:val="0"/>
          </w:rPr>
          <m:t>Gr</m:t>
        </m:r>
      </m:oMath>
      <w:r w:rsidRPr="004834D3">
        <w:rPr>
          <w:rFonts w:cstheme="majorBidi"/>
          <w:kern w:val="0"/>
        </w:rPr>
        <w:t xml:space="preserve"> = 1</w:t>
      </w:r>
      <w:r w:rsidR="00644C40">
        <w:rPr>
          <w:rFonts w:cstheme="majorBidi"/>
          <w:kern w:val="0"/>
        </w:rPr>
        <w:t>,</w:t>
      </w:r>
      <w:r w:rsidRPr="004834D3">
        <w:rPr>
          <w:rFonts w:cstheme="majorBidi"/>
          <w:kern w:val="0"/>
        </w:rPr>
        <w:t xml:space="preserve">000, </w:t>
      </w:r>
      <m:oMath>
        <m:r>
          <m:rPr>
            <m:sty m:val="p"/>
          </m:rPr>
          <w:rPr>
            <w:rFonts w:ascii="Cambria Math" w:hAnsi="Cambria Math" w:cstheme="majorBidi"/>
            <w:kern w:val="0"/>
          </w:rPr>
          <m:t>Ste</m:t>
        </m:r>
      </m:oMath>
      <w:r w:rsidRPr="004834D3">
        <w:rPr>
          <w:rFonts w:cstheme="majorBidi"/>
          <w:kern w:val="0"/>
        </w:rPr>
        <w:t xml:space="preserve"> = 0.1, and </w:t>
      </w:r>
      <m:oMath>
        <m:sSubSup>
          <m:sSubSupPr>
            <m:ctrlPr>
              <w:rPr>
                <w:rFonts w:ascii="Cambria Math" w:eastAsia="Times New Roman" w:hAnsi="Cambria Math" w:cstheme="majorBidi"/>
                <w:i/>
              </w:rPr>
            </m:ctrlPr>
          </m:sSubSupPr>
          <m:e>
            <m:r>
              <w:rPr>
                <w:rFonts w:ascii="Cambria Math" w:eastAsia="Times New Roman" w:hAnsi="Cambria Math" w:cstheme="majorBidi"/>
              </w:rPr>
              <m:t>Y</m:t>
            </m:r>
          </m:e>
          <m:sub>
            <m:r>
              <w:rPr>
                <w:rFonts w:ascii="Cambria Math" w:eastAsia="Times New Roman" w:hAnsi="Cambria Math" w:cstheme="majorBidi"/>
              </w:rPr>
              <m:t>0</m:t>
            </m:r>
          </m:sub>
          <m:sup>
            <m:r>
              <w:rPr>
                <w:rFonts w:ascii="Cambria Math" w:eastAsia="Times New Roman" w:hAnsi="Cambria Math" w:cstheme="majorBidi"/>
              </w:rPr>
              <m:t>*</m:t>
            </m:r>
          </m:sup>
        </m:sSubSup>
      </m:oMath>
      <w:r w:rsidRPr="004834D3">
        <w:rPr>
          <w:rFonts w:eastAsia="Times New Roman" w:cstheme="majorBidi"/>
        </w:rPr>
        <w:t>= 0.5</w:t>
      </w:r>
      <w:r w:rsidRPr="004834D3">
        <w:rPr>
          <w:rFonts w:cstheme="majorBidi"/>
          <w:kern w:val="0"/>
        </w:rPr>
        <w:t xml:space="preserve">, at two different </w:t>
      </w:r>
      <m:oMath>
        <m:r>
          <m:rPr>
            <m:sty m:val="p"/>
          </m:rPr>
          <w:rPr>
            <w:rFonts w:ascii="Cambria Math" w:hAnsi="Cambria Math" w:cstheme="majorBidi"/>
            <w:kern w:val="0"/>
          </w:rPr>
          <m:t>Re</m:t>
        </m:r>
      </m:oMath>
      <w:r w:rsidRPr="004834D3">
        <w:rPr>
          <w:rFonts w:cstheme="majorBidi"/>
          <w:kern w:val="0"/>
        </w:rPr>
        <w:t xml:space="preserve"> numbers of 100 and 1</w:t>
      </w:r>
      <w:r w:rsidR="00644C40">
        <w:rPr>
          <w:rFonts w:cstheme="majorBidi"/>
          <w:kern w:val="0"/>
        </w:rPr>
        <w:t>,</w:t>
      </w:r>
      <w:r w:rsidRPr="004834D3">
        <w:rPr>
          <w:rFonts w:cstheme="majorBidi"/>
          <w:kern w:val="0"/>
        </w:rPr>
        <w:t xml:space="preserve">000. Figure </w:t>
      </w:r>
      <w:r w:rsidR="00FD3C90">
        <w:rPr>
          <w:rFonts w:cstheme="majorBidi"/>
          <w:kern w:val="0"/>
        </w:rPr>
        <w:t>6</w:t>
      </w:r>
      <w:r w:rsidR="00D53758">
        <w:rPr>
          <w:rFonts w:cstheme="majorBidi"/>
          <w:kern w:val="0"/>
        </w:rPr>
        <w:t>-1(</w:t>
      </w:r>
      <w:r w:rsidRPr="004834D3">
        <w:rPr>
          <w:rFonts w:cstheme="majorBidi"/>
          <w:kern w:val="0"/>
        </w:rPr>
        <w:t>a</w:t>
      </w:r>
      <w:r w:rsidR="00D53758">
        <w:rPr>
          <w:rFonts w:cstheme="majorBidi"/>
          <w:kern w:val="0"/>
        </w:rPr>
        <w:t>)</w:t>
      </w:r>
      <w:r w:rsidRPr="004834D3">
        <w:rPr>
          <w:rFonts w:cstheme="majorBidi"/>
          <w:kern w:val="0"/>
        </w:rPr>
        <w:t xml:space="preserve"> highlights how the morphology of the solid particle is altered during the melting process due to the non-uniform heat distribution from the adjacent heated wall. As the particle descends towards the bottom wall, the lower side encounters higher heat fluxes, leading to </w:t>
      </w:r>
      <w:r w:rsidR="00F17EFE">
        <w:rPr>
          <w:rFonts w:cstheme="majorBidi"/>
          <w:kern w:val="0"/>
        </w:rPr>
        <w:t xml:space="preserve">a </w:t>
      </w:r>
      <w:r w:rsidRPr="004834D3">
        <w:rPr>
          <w:rFonts w:cstheme="majorBidi"/>
          <w:kern w:val="0"/>
        </w:rPr>
        <w:t xml:space="preserve">faster melting rate compared to the upper side. This different melting rate transforms the initially circular particle into an increasingly oval shape over time. The figure also shows that the thermal gradients are more pronounced laterally than along the flow direction, a direct result of the proximity to the heated walls. When the </w:t>
      </w:r>
      <m:oMath>
        <m:r>
          <m:rPr>
            <m:sty m:val="p"/>
          </m:rPr>
          <w:rPr>
            <w:rFonts w:ascii="Cambria Math" w:hAnsi="Cambria Math" w:cstheme="majorBidi"/>
            <w:kern w:val="0"/>
          </w:rPr>
          <m:t>Re</m:t>
        </m:r>
      </m:oMath>
      <w:r w:rsidRPr="004834D3">
        <w:rPr>
          <w:rFonts w:cstheme="majorBidi"/>
          <w:kern w:val="0"/>
        </w:rPr>
        <w:t xml:space="preserve"> number is increased from 100 to 1</w:t>
      </w:r>
      <w:r w:rsidR="00644C40">
        <w:rPr>
          <w:rFonts w:cstheme="majorBidi"/>
          <w:kern w:val="0"/>
        </w:rPr>
        <w:t>,</w:t>
      </w:r>
      <w:r w:rsidRPr="004834D3">
        <w:rPr>
          <w:rFonts w:cstheme="majorBidi"/>
          <w:kern w:val="0"/>
        </w:rPr>
        <w:t xml:space="preserve">000, there is a noticeable increase in the particle's rotational velocity, which promotes a more uniform distribution of heat around the particle's surface. As </w:t>
      </w:r>
      <w:r w:rsidRPr="004834D3">
        <w:rPr>
          <w:rFonts w:cstheme="majorBidi"/>
          <w:kern w:val="0"/>
        </w:rPr>
        <w:lastRenderedPageBreak/>
        <w:t xml:space="preserve">depicted in Fig. </w:t>
      </w:r>
      <w:r w:rsidR="00FD3C90">
        <w:rPr>
          <w:rFonts w:cstheme="majorBidi"/>
          <w:kern w:val="0"/>
        </w:rPr>
        <w:t>6</w:t>
      </w:r>
      <w:r w:rsidR="00D53758">
        <w:rPr>
          <w:rFonts w:cstheme="majorBidi"/>
          <w:kern w:val="0"/>
        </w:rPr>
        <w:t>-1(b)</w:t>
      </w:r>
      <w:r w:rsidRPr="004834D3">
        <w:rPr>
          <w:rFonts w:cstheme="majorBidi"/>
          <w:kern w:val="0"/>
        </w:rPr>
        <w:t xml:space="preserve">, this uniformity helps to maintain the particle's circular shape throughout the melting process. It should be noted that the densities of the solid and liquid phases are identical; therefore, there is no settling movement due to density differences. Instead, the downward motion of the particle is driven solely by the buoyancy effects of the natural convection flow, which occurs around the </w:t>
      </w:r>
      <w:r w:rsidR="0050376E">
        <w:rPr>
          <w:rFonts w:cstheme="majorBidi"/>
          <w:kern w:val="0"/>
        </w:rPr>
        <w:t xml:space="preserve">relatively cold </w:t>
      </w:r>
      <w:r w:rsidRPr="004834D3">
        <w:rPr>
          <w:rFonts w:cstheme="majorBidi"/>
          <w:kern w:val="0"/>
        </w:rPr>
        <w:t xml:space="preserve">particle as it interacts with the warmer fluid environment.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D1344" w:rsidRPr="004834D3" w14:paraId="04B96DEC" w14:textId="77777777" w:rsidTr="009A4AF3">
        <w:tc>
          <w:tcPr>
            <w:tcW w:w="9360" w:type="dxa"/>
            <w:shd w:val="clear" w:color="auto" w:fill="auto"/>
          </w:tcPr>
          <w:p w14:paraId="764F98A0" w14:textId="77777777" w:rsidR="002D1344" w:rsidRPr="004834D3" w:rsidRDefault="002D1344" w:rsidP="004C6625">
            <w:pPr>
              <w:spacing w:line="480" w:lineRule="auto"/>
              <w:jc w:val="center"/>
              <w:rPr>
                <w:rFonts w:eastAsia="Calibri" w:cstheme="majorBidi"/>
              </w:rPr>
            </w:pPr>
            <w:r w:rsidRPr="004834D3">
              <w:rPr>
                <w:rFonts w:eastAsia="Calibri" w:cstheme="majorBidi"/>
                <w:noProof/>
              </w:rPr>
              <w:drawing>
                <wp:inline distT="0" distB="0" distL="0" distR="0" wp14:anchorId="754AB460" wp14:editId="4DF6CE58">
                  <wp:extent cx="5934710" cy="1550504"/>
                  <wp:effectExtent l="0" t="0" r="0" b="0"/>
                  <wp:docPr id="815876100" name="Picture 815876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b="48048"/>
                          <a:stretch/>
                        </pic:blipFill>
                        <pic:spPr bwMode="auto">
                          <a:xfrm>
                            <a:off x="0" y="0"/>
                            <a:ext cx="5934710" cy="1550504"/>
                          </a:xfrm>
                          <a:prstGeom prst="rect">
                            <a:avLst/>
                          </a:prstGeom>
                          <a:noFill/>
                          <a:ln>
                            <a:noFill/>
                          </a:ln>
                          <a:extLst>
                            <a:ext uri="{53640926-AAD7-44D8-BBD7-CCE9431645EC}">
                              <a14:shadowObscured xmlns:a14="http://schemas.microsoft.com/office/drawing/2010/main"/>
                            </a:ext>
                          </a:extLst>
                        </pic:spPr>
                      </pic:pic>
                    </a:graphicData>
                  </a:graphic>
                </wp:inline>
              </w:drawing>
            </w:r>
          </w:p>
          <w:p w14:paraId="669F34CC" w14:textId="77777777" w:rsidR="002D1344" w:rsidRPr="004834D3" w:rsidRDefault="002D1344" w:rsidP="00700DBA">
            <w:pPr>
              <w:pStyle w:val="ListParagraph"/>
              <w:numPr>
                <w:ilvl w:val="0"/>
                <w:numId w:val="2"/>
              </w:numPr>
              <w:spacing w:line="480" w:lineRule="auto"/>
              <w:ind w:firstLine="0"/>
              <w:jc w:val="center"/>
              <w:rPr>
                <w:rFonts w:eastAsia="Calibri" w:cstheme="majorBidi"/>
              </w:rPr>
            </w:pPr>
            <m:oMath>
              <m:r>
                <m:rPr>
                  <m:sty m:val="p"/>
                </m:rPr>
                <w:rPr>
                  <w:rFonts w:ascii="Cambria Math" w:eastAsia="Calibri" w:hAnsi="Cambria Math" w:cstheme="majorBidi"/>
                </w:rPr>
                <m:t>Re</m:t>
              </m:r>
            </m:oMath>
            <w:r w:rsidRPr="004834D3">
              <w:rPr>
                <w:rFonts w:eastAsia="Calibri" w:cstheme="majorBidi"/>
              </w:rPr>
              <w:t xml:space="preserve"> = 100</w:t>
            </w:r>
          </w:p>
        </w:tc>
      </w:tr>
      <w:tr w:rsidR="002D1344" w:rsidRPr="004834D3" w14:paraId="0EAD2DEF" w14:textId="77777777" w:rsidTr="009A4AF3">
        <w:tc>
          <w:tcPr>
            <w:tcW w:w="9360" w:type="dxa"/>
            <w:shd w:val="clear" w:color="auto" w:fill="auto"/>
          </w:tcPr>
          <w:p w14:paraId="58BABB38" w14:textId="77777777" w:rsidR="002D1344" w:rsidRPr="004834D3" w:rsidRDefault="002D1344" w:rsidP="004C6625">
            <w:pPr>
              <w:spacing w:line="480" w:lineRule="auto"/>
              <w:jc w:val="center"/>
              <w:rPr>
                <w:rFonts w:eastAsia="Calibri" w:cstheme="majorBidi"/>
                <w:noProof/>
              </w:rPr>
            </w:pPr>
            <w:r w:rsidRPr="004834D3">
              <w:rPr>
                <w:rFonts w:eastAsia="Calibri" w:cstheme="majorBidi"/>
                <w:noProof/>
              </w:rPr>
              <w:drawing>
                <wp:inline distT="0" distB="0" distL="0" distR="0" wp14:anchorId="1056EF65" wp14:editId="722ABEF8">
                  <wp:extent cx="5931549" cy="842839"/>
                  <wp:effectExtent l="0" t="0" r="0" b="0"/>
                  <wp:docPr id="987218488" name="Picture 98721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t="61809" b="9935"/>
                          <a:stretch/>
                        </pic:blipFill>
                        <pic:spPr bwMode="auto">
                          <a:xfrm>
                            <a:off x="0" y="0"/>
                            <a:ext cx="5934710" cy="8432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D1344" w:rsidRPr="004834D3" w14:paraId="25F9DCAF" w14:textId="77777777" w:rsidTr="009A4AF3">
        <w:tc>
          <w:tcPr>
            <w:tcW w:w="9360" w:type="dxa"/>
            <w:shd w:val="clear" w:color="auto" w:fill="auto"/>
          </w:tcPr>
          <w:p w14:paraId="24C7F474" w14:textId="03B82418" w:rsidR="002D1344" w:rsidRPr="004834D3" w:rsidRDefault="002D1344" w:rsidP="00700DBA">
            <w:pPr>
              <w:pStyle w:val="ListParagraph"/>
              <w:numPr>
                <w:ilvl w:val="0"/>
                <w:numId w:val="2"/>
              </w:numPr>
              <w:spacing w:line="480" w:lineRule="auto"/>
              <w:ind w:firstLine="0"/>
              <w:jc w:val="center"/>
              <w:rPr>
                <w:rFonts w:eastAsia="Calibri" w:cstheme="majorBidi"/>
                <w:noProof/>
              </w:rPr>
            </w:pPr>
            <m:oMath>
              <m:r>
                <m:rPr>
                  <m:sty m:val="p"/>
                </m:rPr>
                <w:rPr>
                  <w:rFonts w:ascii="Cambria Math" w:eastAsia="Calibri" w:hAnsi="Cambria Math" w:cstheme="majorBidi"/>
                  <w:noProof/>
                </w:rPr>
                <m:t>Re</m:t>
              </m:r>
            </m:oMath>
            <w:r w:rsidRPr="004834D3">
              <w:rPr>
                <w:rFonts w:eastAsia="Calibri" w:cstheme="majorBidi"/>
                <w:noProof/>
              </w:rPr>
              <w:t xml:space="preserve"> = 1</w:t>
            </w:r>
            <w:r w:rsidR="00644C40">
              <w:rPr>
                <w:rFonts w:eastAsia="Calibri" w:cstheme="majorBidi"/>
                <w:noProof/>
              </w:rPr>
              <w:t>,</w:t>
            </w:r>
            <w:r w:rsidRPr="004834D3">
              <w:rPr>
                <w:rFonts w:eastAsia="Calibri" w:cstheme="majorBidi"/>
                <w:noProof/>
              </w:rPr>
              <w:t>000</w:t>
            </w:r>
          </w:p>
        </w:tc>
      </w:tr>
      <w:tr w:rsidR="002D1344" w:rsidRPr="004834D3" w14:paraId="19CDEAA9" w14:textId="77777777" w:rsidTr="009A4AF3">
        <w:tc>
          <w:tcPr>
            <w:tcW w:w="9360" w:type="dxa"/>
            <w:shd w:val="clear" w:color="auto" w:fill="auto"/>
          </w:tcPr>
          <w:p w14:paraId="308C84C3" w14:textId="23975F02" w:rsidR="002D1344" w:rsidRPr="00D53758" w:rsidRDefault="00B95DF0" w:rsidP="004C6625">
            <w:pPr>
              <w:pStyle w:val="Caption"/>
              <w:spacing w:before="0" w:after="0" w:line="480" w:lineRule="auto"/>
              <w:jc w:val="center"/>
              <w:rPr>
                <w:rFonts w:cstheme="majorBidi"/>
              </w:rPr>
            </w:pPr>
            <w:bookmarkStart w:id="92" w:name="_Toc172708828"/>
            <w:r w:rsidRPr="00B95DF0">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6</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1</w:t>
            </w:r>
            <w:r w:rsidR="00996526">
              <w:rPr>
                <w:b/>
                <w:bCs/>
              </w:rPr>
              <w:fldChar w:fldCharType="end"/>
            </w:r>
            <w:r>
              <w:t xml:space="preserve"> </w:t>
            </w:r>
            <w:r w:rsidR="002D1344" w:rsidRPr="004834D3">
              <w:rPr>
                <w:rFonts w:cstheme="majorBidi"/>
              </w:rPr>
              <w:t xml:space="preserve">Evolution of the temperature field surrounding the melting particle over time for </w:t>
            </w:r>
            <m:oMath>
              <m:r>
                <m:rPr>
                  <m:sty m:val="p"/>
                </m:rPr>
                <w:rPr>
                  <w:rFonts w:ascii="Cambria Math" w:hAnsi="Cambria Math" w:cstheme="majorBidi"/>
                </w:rPr>
                <m:t>Gr</m:t>
              </m:r>
            </m:oMath>
            <w:r w:rsidR="002D1344" w:rsidRPr="004834D3">
              <w:rPr>
                <w:rFonts w:cstheme="majorBidi"/>
              </w:rPr>
              <w:t xml:space="preserve"> = 1</w:t>
            </w:r>
            <w:r w:rsidR="00644C40">
              <w:rPr>
                <w:rFonts w:cstheme="majorBidi"/>
              </w:rPr>
              <w:t>,</w:t>
            </w:r>
            <w:r w:rsidR="002D1344" w:rsidRPr="004834D3">
              <w:rPr>
                <w:rFonts w:cstheme="majorBidi"/>
              </w:rPr>
              <w:t xml:space="preserve">000, </w:t>
            </w:r>
            <m:oMath>
              <m:r>
                <m:rPr>
                  <m:sty m:val="p"/>
                </m:rPr>
                <w:rPr>
                  <w:rFonts w:ascii="Cambria Math" w:hAnsi="Cambria Math" w:cstheme="majorBidi"/>
                </w:rPr>
                <m:t>Ste</m:t>
              </m:r>
            </m:oMath>
            <w:r w:rsidR="002D1344" w:rsidRPr="004834D3">
              <w:rPr>
                <w:rFonts w:cstheme="majorBidi"/>
              </w:rPr>
              <w:t xml:space="preserve"> = 0.1, </w:t>
            </w:r>
            <m:oMath>
              <m:sSubSup>
                <m:sSubSupPr>
                  <m:ctrlPr>
                    <w:rPr>
                      <w:rFonts w:ascii="Cambria Math" w:eastAsia="Times New Roman" w:hAnsi="Cambria Math" w:cstheme="majorBidi"/>
                      <w:i/>
                    </w:rPr>
                  </m:ctrlPr>
                </m:sSubSupPr>
                <m:e>
                  <m:r>
                    <w:rPr>
                      <w:rFonts w:ascii="Cambria Math" w:eastAsia="Times New Roman" w:hAnsi="Cambria Math" w:cstheme="majorBidi"/>
                    </w:rPr>
                    <m:t>Y</m:t>
                  </m:r>
                </m:e>
                <m:sub>
                  <m:r>
                    <w:rPr>
                      <w:rFonts w:ascii="Cambria Math" w:eastAsia="Times New Roman" w:hAnsi="Cambria Math" w:cstheme="majorBidi"/>
                    </w:rPr>
                    <m:t>0</m:t>
                  </m:r>
                </m:sub>
                <m:sup>
                  <m:r>
                    <w:rPr>
                      <w:rFonts w:ascii="Cambria Math" w:eastAsia="Times New Roman" w:hAnsi="Cambria Math" w:cstheme="majorBidi"/>
                    </w:rPr>
                    <m:t>*</m:t>
                  </m:r>
                </m:sup>
              </m:sSubSup>
            </m:oMath>
            <w:r w:rsidR="002D1344" w:rsidRPr="004834D3">
              <w:rPr>
                <w:rFonts w:eastAsia="Calibri" w:cstheme="majorBidi"/>
              </w:rPr>
              <w:t>= 0.5</w:t>
            </w:r>
            <w:r w:rsidR="002D1344" w:rsidRPr="004834D3">
              <w:rPr>
                <w:rFonts w:cstheme="majorBidi"/>
              </w:rPr>
              <w:t xml:space="preserve">, with comparisons between (a) </w:t>
            </w:r>
            <m:oMath>
              <m:r>
                <m:rPr>
                  <m:sty m:val="p"/>
                </m:rPr>
                <w:rPr>
                  <w:rFonts w:ascii="Cambria Math" w:hAnsi="Cambria Math" w:cstheme="majorBidi"/>
                </w:rPr>
                <m:t>Re</m:t>
              </m:r>
            </m:oMath>
            <w:r w:rsidR="002D1344" w:rsidRPr="004834D3">
              <w:rPr>
                <w:rFonts w:cstheme="majorBidi"/>
              </w:rPr>
              <w:t xml:space="preserve"> = 100 and (b) </w:t>
            </w:r>
            <m:oMath>
              <m:r>
                <m:rPr>
                  <m:sty m:val="p"/>
                </m:rPr>
                <w:rPr>
                  <w:rFonts w:ascii="Cambria Math" w:hAnsi="Cambria Math" w:cstheme="majorBidi"/>
                </w:rPr>
                <m:t>Re</m:t>
              </m:r>
            </m:oMath>
            <w:r w:rsidR="002D1344" w:rsidRPr="004834D3">
              <w:rPr>
                <w:rFonts w:cstheme="majorBidi"/>
              </w:rPr>
              <w:t xml:space="preserve"> = 1</w:t>
            </w:r>
            <w:r w:rsidR="00644C40">
              <w:rPr>
                <w:rFonts w:cstheme="majorBidi"/>
              </w:rPr>
              <w:t>,</w:t>
            </w:r>
            <w:r w:rsidR="002D1344" w:rsidRPr="004834D3">
              <w:rPr>
                <w:rFonts w:cstheme="majorBidi"/>
              </w:rPr>
              <w:t>000. The final observation point is when the particle mass has reduced to 5% of its initial mass.</w:t>
            </w:r>
            <w:bookmarkEnd w:id="92"/>
          </w:p>
        </w:tc>
      </w:tr>
    </w:tbl>
    <w:p w14:paraId="7A798E61" w14:textId="77777777" w:rsidR="002D1344" w:rsidRPr="004C6625" w:rsidRDefault="002D1344" w:rsidP="00700DBA">
      <w:pPr>
        <w:pStyle w:val="Heading2"/>
        <w:numPr>
          <w:ilvl w:val="1"/>
          <w:numId w:val="4"/>
        </w:numPr>
        <w:spacing w:before="360" w:after="240" w:line="480" w:lineRule="auto"/>
        <w:ind w:left="432" w:hanging="432"/>
        <w:rPr>
          <w:sz w:val="24"/>
          <w:szCs w:val="28"/>
        </w:rPr>
      </w:pPr>
      <w:bookmarkStart w:id="93" w:name="_Toc172367703"/>
      <w:r w:rsidRPr="004C6625">
        <w:rPr>
          <w:sz w:val="24"/>
          <w:szCs w:val="28"/>
        </w:rPr>
        <w:t>Streamlines</w:t>
      </w:r>
      <w:bookmarkEnd w:id="93"/>
    </w:p>
    <w:p w14:paraId="2CC80B7A" w14:textId="5D1EBC5F" w:rsidR="00F17EFE" w:rsidRPr="004834D3" w:rsidRDefault="002D1344" w:rsidP="004C6625">
      <w:pPr>
        <w:spacing w:before="240" w:after="240" w:line="480" w:lineRule="auto"/>
        <w:jc w:val="both"/>
        <w:rPr>
          <w:rFonts w:cstheme="majorBidi"/>
          <w:kern w:val="0"/>
        </w:rPr>
      </w:pPr>
      <w:r w:rsidRPr="004834D3">
        <w:rPr>
          <w:rFonts w:cstheme="majorBidi"/>
          <w:kern w:val="0"/>
        </w:rPr>
        <w:t xml:space="preserve">Figure </w:t>
      </w:r>
      <w:r w:rsidR="00FD3C90">
        <w:rPr>
          <w:rFonts w:cstheme="majorBidi"/>
          <w:kern w:val="0"/>
        </w:rPr>
        <w:t>6</w:t>
      </w:r>
      <w:r w:rsidR="00D53758">
        <w:rPr>
          <w:rFonts w:cstheme="majorBidi"/>
          <w:kern w:val="0"/>
        </w:rPr>
        <w:t>-2</w:t>
      </w:r>
      <w:r w:rsidRPr="004834D3">
        <w:rPr>
          <w:rFonts w:cstheme="majorBidi"/>
          <w:kern w:val="0"/>
        </w:rPr>
        <w:t xml:space="preserve"> depicts the streamlines within the domain. The cooler liquid surrounding the particle descends due to its higher density, while the warmer liquid near the relatively hot bottom wall rises, creating a circulation pattern. This thermal-driven movement results in the formation of two </w:t>
      </w:r>
      <w:r w:rsidRPr="004834D3">
        <w:rPr>
          <w:rFonts w:cstheme="majorBidi"/>
          <w:kern w:val="0"/>
        </w:rPr>
        <w:lastRenderedPageBreak/>
        <w:t>asymmetric vortex structures around the particle. Over time, as the velocity profile evolves, the upstream vortex remains closely associated with the particle, maintaining its position near or attached to it. In contrast, the downstream vortex becomes detached and moves further away from the particle. This interaction between the particle and the surrounding fluid's flow dynamics influences the slip velocity—the relative velocity of the particle compared to the fluid—and the particle's angular velocity</w:t>
      </w:r>
      <w:r w:rsidR="00F34194">
        <w:rPr>
          <w:rFonts w:cstheme="majorBidi"/>
          <w:kern w:val="0"/>
        </w:rPr>
        <w:t>, which will be studied in the subsequent sections.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7776"/>
      </w:tblGrid>
      <w:tr w:rsidR="002D1344" w:rsidRPr="004834D3" w14:paraId="43012941" w14:textId="77777777" w:rsidTr="00485975">
        <w:tc>
          <w:tcPr>
            <w:tcW w:w="1574" w:type="dxa"/>
            <w:vAlign w:val="center"/>
          </w:tcPr>
          <w:p w14:paraId="63FD20E5"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i/>
                <w:iCs/>
              </w:rPr>
              <w:t>t</w:t>
            </w:r>
            <w:r w:rsidRPr="004834D3">
              <w:rPr>
                <w:rFonts w:eastAsia="Times New Roman" w:cstheme="majorBidi"/>
                <w:i/>
                <w:iCs/>
                <w:vertAlign w:val="superscript"/>
              </w:rPr>
              <w:t>*</w:t>
            </w:r>
            <w:r w:rsidRPr="004834D3">
              <w:rPr>
                <w:rFonts w:eastAsia="Times New Roman" w:cstheme="majorBidi"/>
              </w:rPr>
              <w:t xml:space="preserve"> = 0.186</w:t>
            </w:r>
          </w:p>
        </w:tc>
        <w:tc>
          <w:tcPr>
            <w:tcW w:w="7776" w:type="dxa"/>
            <w:vAlign w:val="center"/>
          </w:tcPr>
          <w:p w14:paraId="00E3ECD4"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noProof/>
              </w:rPr>
              <w:drawing>
                <wp:inline distT="0" distB="0" distL="0" distR="0" wp14:anchorId="6CED22A8" wp14:editId="60577CE4">
                  <wp:extent cx="4794250" cy="7556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4794250" cy="755650"/>
                          </a:xfrm>
                          <a:prstGeom prst="rect">
                            <a:avLst/>
                          </a:prstGeom>
                          <a:noFill/>
                          <a:ln>
                            <a:noFill/>
                          </a:ln>
                        </pic:spPr>
                      </pic:pic>
                    </a:graphicData>
                  </a:graphic>
                </wp:inline>
              </w:drawing>
            </w:r>
          </w:p>
        </w:tc>
      </w:tr>
      <w:tr w:rsidR="002D1344" w:rsidRPr="004834D3" w14:paraId="55107FDC" w14:textId="77777777" w:rsidTr="00485975">
        <w:tc>
          <w:tcPr>
            <w:tcW w:w="1574" w:type="dxa"/>
            <w:vAlign w:val="center"/>
          </w:tcPr>
          <w:p w14:paraId="1E986AD9"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i/>
                <w:iCs/>
              </w:rPr>
              <w:t>t</w:t>
            </w:r>
            <w:r w:rsidRPr="004834D3">
              <w:rPr>
                <w:rFonts w:eastAsia="Times New Roman" w:cstheme="majorBidi"/>
                <w:i/>
                <w:iCs/>
                <w:vertAlign w:val="superscript"/>
              </w:rPr>
              <w:t>*</w:t>
            </w:r>
            <w:r w:rsidRPr="004834D3">
              <w:rPr>
                <w:rFonts w:eastAsia="Times New Roman" w:cstheme="majorBidi"/>
              </w:rPr>
              <w:t xml:space="preserve"> = 0.372</w:t>
            </w:r>
          </w:p>
        </w:tc>
        <w:tc>
          <w:tcPr>
            <w:tcW w:w="7776" w:type="dxa"/>
            <w:vAlign w:val="center"/>
          </w:tcPr>
          <w:p w14:paraId="5847C9AB"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noProof/>
              </w:rPr>
              <w:drawing>
                <wp:inline distT="0" distB="0" distL="0" distR="0" wp14:anchorId="175F2C65" wp14:editId="3936D1F1">
                  <wp:extent cx="4794250" cy="7556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4794250" cy="755650"/>
                          </a:xfrm>
                          <a:prstGeom prst="rect">
                            <a:avLst/>
                          </a:prstGeom>
                          <a:noFill/>
                          <a:ln>
                            <a:noFill/>
                          </a:ln>
                        </pic:spPr>
                      </pic:pic>
                    </a:graphicData>
                  </a:graphic>
                </wp:inline>
              </w:drawing>
            </w:r>
          </w:p>
        </w:tc>
      </w:tr>
      <w:tr w:rsidR="002D1344" w:rsidRPr="004834D3" w14:paraId="3705A8EA" w14:textId="77777777" w:rsidTr="00485975">
        <w:tc>
          <w:tcPr>
            <w:tcW w:w="1574" w:type="dxa"/>
            <w:vAlign w:val="center"/>
          </w:tcPr>
          <w:p w14:paraId="7505F37C"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i/>
                <w:iCs/>
              </w:rPr>
              <w:t>t</w:t>
            </w:r>
            <w:r w:rsidRPr="004834D3">
              <w:rPr>
                <w:rFonts w:eastAsia="Times New Roman" w:cstheme="majorBidi"/>
                <w:i/>
                <w:iCs/>
                <w:vertAlign w:val="superscript"/>
              </w:rPr>
              <w:t>*</w:t>
            </w:r>
            <w:r w:rsidRPr="004834D3">
              <w:rPr>
                <w:rFonts w:eastAsia="Times New Roman" w:cstheme="majorBidi"/>
              </w:rPr>
              <w:t xml:space="preserve"> = 0.558</w:t>
            </w:r>
          </w:p>
        </w:tc>
        <w:tc>
          <w:tcPr>
            <w:tcW w:w="7776" w:type="dxa"/>
            <w:vAlign w:val="center"/>
          </w:tcPr>
          <w:p w14:paraId="005AD0B7" w14:textId="77777777" w:rsidR="002D1344" w:rsidRPr="004834D3" w:rsidRDefault="002D1344" w:rsidP="004C6625">
            <w:pPr>
              <w:spacing w:line="480" w:lineRule="auto"/>
              <w:jc w:val="center"/>
              <w:rPr>
                <w:rFonts w:eastAsia="Times New Roman" w:cstheme="majorBidi"/>
              </w:rPr>
            </w:pPr>
            <w:r w:rsidRPr="004834D3">
              <w:rPr>
                <w:rFonts w:eastAsia="Times New Roman" w:cstheme="majorBidi"/>
                <w:noProof/>
              </w:rPr>
              <w:drawing>
                <wp:inline distT="0" distB="0" distL="0" distR="0" wp14:anchorId="0720EDAF" wp14:editId="154B11F7">
                  <wp:extent cx="4794250" cy="7556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794250" cy="755650"/>
                          </a:xfrm>
                          <a:prstGeom prst="rect">
                            <a:avLst/>
                          </a:prstGeom>
                          <a:noFill/>
                          <a:ln>
                            <a:noFill/>
                          </a:ln>
                        </pic:spPr>
                      </pic:pic>
                    </a:graphicData>
                  </a:graphic>
                </wp:inline>
              </w:drawing>
            </w:r>
          </w:p>
        </w:tc>
      </w:tr>
      <w:tr w:rsidR="002D1344" w:rsidRPr="004834D3" w14:paraId="4F23C1E7" w14:textId="77777777" w:rsidTr="00485975">
        <w:tc>
          <w:tcPr>
            <w:tcW w:w="9350" w:type="dxa"/>
            <w:gridSpan w:val="2"/>
            <w:vAlign w:val="center"/>
          </w:tcPr>
          <w:p w14:paraId="6F2DE7D5" w14:textId="5A0EB45D" w:rsidR="002D1344" w:rsidRPr="00D53758" w:rsidRDefault="00D53758" w:rsidP="004C6625">
            <w:pPr>
              <w:pStyle w:val="Caption"/>
              <w:spacing w:before="0" w:after="0" w:line="480" w:lineRule="auto"/>
              <w:jc w:val="center"/>
            </w:pPr>
            <w:bookmarkStart w:id="94" w:name="_Toc172708829"/>
            <w:r w:rsidRPr="00D53758">
              <w:rPr>
                <w:rFonts w:cstheme="majorBidi"/>
                <w:b/>
                <w:bCs/>
                <w:szCs w:val="24"/>
              </w:rPr>
              <w:t xml:space="preserve">Fig. </w:t>
            </w:r>
            <w:r w:rsidR="00996526">
              <w:rPr>
                <w:rFonts w:cstheme="majorBidi"/>
                <w:b/>
                <w:bCs/>
                <w:szCs w:val="24"/>
              </w:rPr>
              <w:fldChar w:fldCharType="begin"/>
            </w:r>
            <w:r w:rsidR="00996526">
              <w:rPr>
                <w:rFonts w:cstheme="majorBidi"/>
                <w:b/>
                <w:bCs/>
                <w:szCs w:val="24"/>
              </w:rPr>
              <w:instrText xml:space="preserve"> STYLEREF 1 \s </w:instrText>
            </w:r>
            <w:r w:rsidR="00996526">
              <w:rPr>
                <w:rFonts w:cstheme="majorBidi"/>
                <w:b/>
                <w:bCs/>
                <w:szCs w:val="24"/>
              </w:rPr>
              <w:fldChar w:fldCharType="separate"/>
            </w:r>
            <w:r w:rsidR="00732AAC">
              <w:rPr>
                <w:rFonts w:cstheme="majorBidi"/>
                <w:b/>
                <w:bCs/>
                <w:noProof/>
                <w:szCs w:val="24"/>
                <w:cs/>
              </w:rPr>
              <w:t>‎</w:t>
            </w:r>
            <w:r w:rsidR="00732AAC">
              <w:rPr>
                <w:rFonts w:cstheme="majorBidi"/>
                <w:b/>
                <w:bCs/>
                <w:noProof/>
                <w:szCs w:val="24"/>
              </w:rPr>
              <w:t>6</w:t>
            </w:r>
            <w:r w:rsidR="00996526">
              <w:rPr>
                <w:rFonts w:cstheme="majorBidi"/>
                <w:b/>
                <w:bCs/>
                <w:szCs w:val="24"/>
              </w:rPr>
              <w:fldChar w:fldCharType="end"/>
            </w:r>
            <w:r w:rsidR="00996526">
              <w:rPr>
                <w:rFonts w:cstheme="majorBidi"/>
                <w:b/>
                <w:bCs/>
                <w:szCs w:val="24"/>
              </w:rPr>
              <w:noBreakHyphen/>
            </w:r>
            <w:r w:rsidR="00996526">
              <w:rPr>
                <w:rFonts w:cstheme="majorBidi"/>
                <w:b/>
                <w:bCs/>
                <w:szCs w:val="24"/>
              </w:rPr>
              <w:fldChar w:fldCharType="begin"/>
            </w:r>
            <w:r w:rsidR="00996526">
              <w:rPr>
                <w:rFonts w:cstheme="majorBidi"/>
                <w:b/>
                <w:bCs/>
                <w:szCs w:val="24"/>
              </w:rPr>
              <w:instrText xml:space="preserve"> SEQ Fig. \* ARABIC \s 1 </w:instrText>
            </w:r>
            <w:r w:rsidR="00996526">
              <w:rPr>
                <w:rFonts w:cstheme="majorBidi"/>
                <w:b/>
                <w:bCs/>
                <w:szCs w:val="24"/>
              </w:rPr>
              <w:fldChar w:fldCharType="separate"/>
            </w:r>
            <w:r w:rsidR="00732AAC">
              <w:rPr>
                <w:rFonts w:cstheme="majorBidi"/>
                <w:b/>
                <w:bCs/>
                <w:noProof/>
                <w:szCs w:val="24"/>
              </w:rPr>
              <w:t>2</w:t>
            </w:r>
            <w:r w:rsidR="00996526">
              <w:rPr>
                <w:rFonts w:cstheme="majorBidi"/>
                <w:b/>
                <w:bCs/>
                <w:szCs w:val="24"/>
              </w:rPr>
              <w:fldChar w:fldCharType="end"/>
            </w:r>
            <w:r>
              <w:t xml:space="preserve"> </w:t>
            </w:r>
            <w:r w:rsidR="002D1344" w:rsidRPr="004834D3">
              <w:rPr>
                <w:rFonts w:cstheme="majorBidi"/>
              </w:rPr>
              <w:t xml:space="preserve">Streamlines surrounding the particle at various dimensionless times for </w:t>
            </w:r>
            <m:oMath>
              <m:r>
                <m:rPr>
                  <m:nor/>
                </m:rPr>
                <w:rPr>
                  <w:rFonts w:cstheme="majorBidi"/>
                </w:rPr>
                <m:t>Gr</m:t>
              </m:r>
            </m:oMath>
            <w:r w:rsidR="002D1344" w:rsidRPr="004834D3">
              <w:rPr>
                <w:rFonts w:cstheme="majorBidi"/>
              </w:rPr>
              <w:t xml:space="preserve"> = 10,000, </w:t>
            </w:r>
            <m:oMath>
              <m:r>
                <m:rPr>
                  <m:nor/>
                </m:rPr>
                <w:rPr>
                  <w:rFonts w:cstheme="majorBidi"/>
                </w:rPr>
                <m:t>Re</m:t>
              </m:r>
            </m:oMath>
            <w:r w:rsidR="002D1344" w:rsidRPr="004834D3">
              <w:rPr>
                <w:rFonts w:cstheme="majorBidi"/>
              </w:rPr>
              <w:t xml:space="preserve"> = 100, </w:t>
            </w:r>
            <m:oMath>
              <m:r>
                <m:rPr>
                  <m:nor/>
                </m:rPr>
                <w:rPr>
                  <w:rFonts w:cstheme="majorBidi"/>
                </w:rPr>
                <m:t>Ste</m:t>
              </m:r>
            </m:oMath>
            <w:r w:rsidR="002D1344" w:rsidRPr="004834D3">
              <w:rPr>
                <w:rFonts w:cstheme="majorBidi"/>
              </w:rPr>
              <w:t xml:space="preserve"> = 0.1, and </w:t>
            </w:r>
            <m:oMath>
              <m:sSubSup>
                <m:sSubSupPr>
                  <m:ctrlPr>
                    <w:rPr>
                      <w:rFonts w:ascii="Cambria Math" w:eastAsia="Times New Roman" w:hAnsi="Cambria Math" w:cstheme="majorBidi"/>
                      <w:i/>
                    </w:rPr>
                  </m:ctrlPr>
                </m:sSubSupPr>
                <m:e>
                  <m:r>
                    <w:rPr>
                      <w:rFonts w:ascii="Cambria Math" w:eastAsia="Times New Roman" w:hAnsi="Cambria Math" w:cstheme="majorBidi"/>
                    </w:rPr>
                    <m:t>Y</m:t>
                  </m:r>
                </m:e>
                <m:sub>
                  <m:r>
                    <w:rPr>
                      <w:rFonts w:ascii="Cambria Math" w:eastAsia="Times New Roman" w:hAnsi="Cambria Math" w:cstheme="majorBidi"/>
                    </w:rPr>
                    <m:t>0</m:t>
                  </m:r>
                </m:sub>
                <m:sup>
                  <m:r>
                    <w:rPr>
                      <w:rFonts w:ascii="Cambria Math" w:eastAsia="Times New Roman" w:hAnsi="Cambria Math" w:cstheme="majorBidi"/>
                    </w:rPr>
                    <m:t>*</m:t>
                  </m:r>
                </m:sup>
              </m:sSubSup>
            </m:oMath>
            <w:r w:rsidR="002D1344" w:rsidRPr="004834D3">
              <w:rPr>
                <w:rFonts w:eastAsia="Calibri" w:cstheme="majorBidi"/>
              </w:rPr>
              <w:t>= 0.5.</w:t>
            </w:r>
            <w:bookmarkEnd w:id="94"/>
          </w:p>
        </w:tc>
      </w:tr>
    </w:tbl>
    <w:p w14:paraId="29D28792" w14:textId="12564444" w:rsidR="002D1344" w:rsidRPr="004C6625" w:rsidRDefault="002D1344" w:rsidP="00700DBA">
      <w:pPr>
        <w:pStyle w:val="Heading2"/>
        <w:numPr>
          <w:ilvl w:val="1"/>
          <w:numId w:val="4"/>
        </w:numPr>
        <w:spacing w:before="360" w:after="240" w:line="480" w:lineRule="auto"/>
        <w:ind w:left="432" w:hanging="432"/>
        <w:rPr>
          <w:rFonts w:eastAsiaTheme="minorEastAsia"/>
          <w:sz w:val="24"/>
          <w:szCs w:val="28"/>
        </w:rPr>
      </w:pPr>
      <w:bookmarkStart w:id="95" w:name="_Toc172367704"/>
      <w:r w:rsidRPr="004C6625">
        <w:rPr>
          <w:sz w:val="24"/>
          <w:szCs w:val="28"/>
        </w:rPr>
        <w:t xml:space="preserve">Parametric </w:t>
      </w:r>
      <w:r w:rsidR="00681EE6" w:rsidRPr="004C6625">
        <w:rPr>
          <w:sz w:val="24"/>
          <w:szCs w:val="28"/>
        </w:rPr>
        <w:t>S</w:t>
      </w:r>
      <w:r w:rsidRPr="004C6625">
        <w:rPr>
          <w:sz w:val="24"/>
          <w:szCs w:val="28"/>
        </w:rPr>
        <w:t xml:space="preserve">tudies on the </w:t>
      </w:r>
      <w:r w:rsidR="00681EE6" w:rsidRPr="004C6625">
        <w:rPr>
          <w:sz w:val="24"/>
          <w:szCs w:val="28"/>
        </w:rPr>
        <w:t>E</w:t>
      </w:r>
      <w:r w:rsidRPr="004C6625">
        <w:rPr>
          <w:sz w:val="24"/>
          <w:szCs w:val="28"/>
        </w:rPr>
        <w:t xml:space="preserve">ffect of </w:t>
      </w:r>
      <m:oMath>
        <m:r>
          <m:rPr>
            <m:sty m:val="b"/>
          </m:rPr>
          <w:rPr>
            <w:rFonts w:ascii="Cambria Math" w:hAnsi="Cambria Math"/>
            <w:sz w:val="24"/>
            <w:szCs w:val="28"/>
          </w:rPr>
          <m:t>Re</m:t>
        </m:r>
      </m:oMath>
      <w:r w:rsidRPr="004C6625">
        <w:rPr>
          <w:sz w:val="24"/>
          <w:szCs w:val="28"/>
        </w:rPr>
        <w:t xml:space="preserve">, </w:t>
      </w:r>
      <m:oMath>
        <m:r>
          <m:rPr>
            <m:sty m:val="b"/>
          </m:rPr>
          <w:rPr>
            <w:rFonts w:ascii="Cambria Math" w:hAnsi="Cambria Math"/>
            <w:sz w:val="24"/>
            <w:szCs w:val="28"/>
          </w:rPr>
          <m:t>Gr</m:t>
        </m:r>
      </m:oMath>
      <w:r w:rsidRPr="004C6625">
        <w:rPr>
          <w:sz w:val="24"/>
          <w:szCs w:val="28"/>
        </w:rPr>
        <w:t xml:space="preserve">, </w:t>
      </w:r>
      <m:oMath>
        <m:r>
          <m:rPr>
            <m:sty m:val="b"/>
          </m:rPr>
          <w:rPr>
            <w:rFonts w:ascii="Cambria Math" w:hAnsi="Cambria Math"/>
            <w:sz w:val="24"/>
            <w:szCs w:val="28"/>
          </w:rPr>
          <m:t>Ste</m:t>
        </m:r>
      </m:oMath>
      <w:r w:rsidRPr="004C6625">
        <w:rPr>
          <w:sz w:val="24"/>
          <w:szCs w:val="28"/>
        </w:rPr>
        <w:t xml:space="preserve">, </w:t>
      </w:r>
      <w:r w:rsidR="00212072" w:rsidRPr="004C6625">
        <w:rPr>
          <w:sz w:val="24"/>
          <w:szCs w:val="28"/>
        </w:rPr>
        <w:t>&amp;</w:t>
      </w:r>
      <w:r w:rsidRPr="004C6625">
        <w:rPr>
          <w:sz w:val="24"/>
          <w:szCs w:val="28"/>
        </w:rPr>
        <w:t xml:space="preserve"> </w:t>
      </w:r>
      <m:oMath>
        <m:sSubSup>
          <m:sSubSupPr>
            <m:ctrlPr>
              <w:rPr>
                <w:rFonts w:ascii="Cambria Math" w:eastAsia="Times New Roman" w:hAnsi="Cambria Math"/>
                <w:i/>
                <w:sz w:val="24"/>
                <w:szCs w:val="28"/>
              </w:rPr>
            </m:ctrlPr>
          </m:sSubSupPr>
          <m:e>
            <m:r>
              <m:rPr>
                <m:sty m:val="bi"/>
              </m:rPr>
              <w:rPr>
                <w:rFonts w:ascii="Cambria Math" w:eastAsia="Times New Roman" w:hAnsi="Cambria Math"/>
                <w:sz w:val="24"/>
                <w:szCs w:val="28"/>
              </w:rPr>
              <m:t>Y</m:t>
            </m:r>
          </m:e>
          <m:sub>
            <m:r>
              <m:rPr>
                <m:sty m:val="bi"/>
              </m:rPr>
              <w:rPr>
                <w:rFonts w:ascii="Cambria Math" w:eastAsia="Times New Roman" w:hAnsi="Cambria Math"/>
                <w:sz w:val="24"/>
                <w:szCs w:val="28"/>
              </w:rPr>
              <m:t>0</m:t>
            </m:r>
          </m:sub>
          <m:sup>
            <m:r>
              <m:rPr>
                <m:sty m:val="bi"/>
              </m:rPr>
              <w:rPr>
                <w:rFonts w:ascii="Cambria Math" w:eastAsia="Times New Roman" w:hAnsi="Cambria Math"/>
                <w:sz w:val="24"/>
                <w:szCs w:val="28"/>
              </w:rPr>
              <m:t>*</m:t>
            </m:r>
          </m:sup>
        </m:sSubSup>
      </m:oMath>
      <w:bookmarkEnd w:id="95"/>
    </w:p>
    <w:p w14:paraId="0CA7BEEA" w14:textId="5A41A053" w:rsidR="002D1344" w:rsidRPr="004834D3" w:rsidRDefault="002D1344" w:rsidP="004C6625">
      <w:pPr>
        <w:spacing w:before="240" w:after="240" w:line="480" w:lineRule="auto"/>
        <w:jc w:val="both"/>
        <w:rPr>
          <w:rFonts w:cstheme="majorBidi"/>
        </w:rPr>
      </w:pPr>
      <w:r w:rsidRPr="004834D3">
        <w:rPr>
          <w:rFonts w:cstheme="majorBidi"/>
        </w:rPr>
        <w:t xml:space="preserve">The </w:t>
      </w:r>
      <w:r w:rsidR="00215827">
        <w:rPr>
          <w:rFonts w:cstheme="majorBidi"/>
        </w:rPr>
        <w:t xml:space="preserve">dimensionless </w:t>
      </w:r>
      <w:r w:rsidRPr="004834D3">
        <w:rPr>
          <w:rFonts w:cstheme="majorBidi"/>
        </w:rPr>
        <w:t xml:space="preserve">parameters </w:t>
      </w:r>
      <m:oMath>
        <m:r>
          <m:rPr>
            <m:sty m:val="p"/>
          </m:rPr>
          <w:rPr>
            <w:rFonts w:ascii="Cambria Math" w:hAnsi="Cambria Math" w:cstheme="majorBidi"/>
          </w:rPr>
          <m:t>Re</m:t>
        </m:r>
      </m:oMath>
      <w:r w:rsidRPr="004834D3">
        <w:rPr>
          <w:rFonts w:cstheme="majorBidi"/>
        </w:rPr>
        <w:t xml:space="preserve">, </w:t>
      </w:r>
      <m:oMath>
        <m:r>
          <m:rPr>
            <m:sty m:val="p"/>
          </m:rPr>
          <w:rPr>
            <w:rFonts w:ascii="Cambria Math" w:hAnsi="Cambria Math" w:cstheme="majorBidi"/>
          </w:rPr>
          <m:t>Gr</m:t>
        </m:r>
      </m:oMath>
      <w:r w:rsidRPr="004834D3">
        <w:rPr>
          <w:rFonts w:cstheme="majorBidi"/>
        </w:rPr>
        <w:t xml:space="preserve">, and </w:t>
      </w:r>
      <m:oMath>
        <m:r>
          <m:rPr>
            <m:sty m:val="p"/>
          </m:rPr>
          <w:rPr>
            <w:rFonts w:ascii="Cambria Math" w:hAnsi="Cambria Math" w:cstheme="majorBidi"/>
          </w:rPr>
          <m:t>Ste</m:t>
        </m:r>
      </m:oMath>
      <w:r w:rsidRPr="004834D3">
        <w:rPr>
          <w:rFonts w:cstheme="majorBidi"/>
        </w:rPr>
        <w:t xml:space="preserve"> numbers, and the dimensionless initial lateral position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Pr="004834D3">
        <w:rPr>
          <w:rFonts w:cstheme="majorBidi"/>
        </w:rPr>
        <w:t xml:space="preserve">) were systematically varied to explore their effects on the lateral position, melting rate, and heat transfer characteristics of the particle. To quantitatively assess the heat transfer </w:t>
      </w:r>
      <w:r w:rsidR="00215827">
        <w:rPr>
          <w:rFonts w:cstheme="majorBidi"/>
        </w:rPr>
        <w:t>rate</w:t>
      </w:r>
      <w:r w:rsidRPr="004834D3">
        <w:rPr>
          <w:rFonts w:cstheme="majorBidi"/>
        </w:rPr>
        <w:t xml:space="preserve"> </w:t>
      </w:r>
      <w:r w:rsidR="00215827">
        <w:rPr>
          <w:rFonts w:cstheme="majorBidi"/>
        </w:rPr>
        <w:t>on</w:t>
      </w:r>
      <w:r w:rsidRPr="004834D3">
        <w:rPr>
          <w:rFonts w:cstheme="majorBidi"/>
        </w:rPr>
        <w:t xml:space="preserve"> the particle</w:t>
      </w:r>
      <w:r w:rsidR="00215827">
        <w:rPr>
          <w:rFonts w:cstheme="majorBidi"/>
        </w:rPr>
        <w:t xml:space="preserve"> surface</w:t>
      </w:r>
      <w:r w:rsidRPr="004834D3">
        <w:rPr>
          <w:rFonts w:cstheme="majorBidi"/>
        </w:rPr>
        <w:t xml:space="preserve">, an average Nusselt number </w:t>
      </w:r>
      <w:r w:rsidR="00215827">
        <w:rPr>
          <w:rFonts w:cstheme="majorBidi"/>
        </w:rPr>
        <w:t>(</w:t>
      </w:r>
      <m:oMath>
        <m:r>
          <m:rPr>
            <m:sty m:val="p"/>
          </m:rPr>
          <w:rPr>
            <w:rFonts w:ascii="Cambria Math" w:hAnsi="Cambria Math" w:cstheme="majorBidi"/>
          </w:rPr>
          <m:t>Nu</m:t>
        </m:r>
      </m:oMath>
      <w:r w:rsidR="00215827">
        <w:rPr>
          <w:rFonts w:cstheme="majorBidi"/>
        </w:rPr>
        <w:t xml:space="preserve">) </w:t>
      </w:r>
      <w:r w:rsidRPr="004834D3">
        <w:rPr>
          <w:rFonts w:cstheme="majorBidi"/>
        </w:rPr>
        <w:t xml:space="preserve">was calculated over the particle's surface. </w:t>
      </w:r>
      <w:r w:rsidRPr="004834D3">
        <w:rPr>
          <w:rFonts w:cstheme="majorBidi"/>
        </w:rPr>
        <w:lastRenderedPageBreak/>
        <w:t xml:space="preserve">This Nu number serves as a dimensionless indicator that characterizes the rate of convective heat transfer at the surface relative to the rate of conductive heat transfer through the fluid.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gridCol w:w="1048"/>
      </w:tblGrid>
      <w:tr w:rsidR="002D1344" w:rsidRPr="004834D3" w14:paraId="19C5BE24" w14:textId="77777777" w:rsidTr="001128CD">
        <w:tc>
          <w:tcPr>
            <w:tcW w:w="8312" w:type="dxa"/>
            <w:vAlign w:val="center"/>
          </w:tcPr>
          <w:p w14:paraId="1A53C671" w14:textId="77777777" w:rsidR="002D1344" w:rsidRPr="004834D3" w:rsidRDefault="002D1344" w:rsidP="004C6625">
            <w:pPr>
              <w:spacing w:before="240" w:after="240" w:line="480" w:lineRule="auto"/>
              <w:ind w:firstLine="432"/>
              <w:jc w:val="both"/>
              <w:rPr>
                <w:rFonts w:cstheme="majorBidi"/>
                <w:i/>
              </w:rPr>
            </w:pPr>
            <m:oMathPara>
              <m:oMathParaPr>
                <m:jc m:val="left"/>
              </m:oMathParaPr>
              <m:oMath>
                <m:r>
                  <m:rPr>
                    <m:sty m:val="p"/>
                  </m:rPr>
                  <w:rPr>
                    <w:rFonts w:ascii="Cambria Math" w:eastAsiaTheme="minorEastAsia" w:hAnsi="Cambria Math" w:cstheme="majorBidi"/>
                  </w:rPr>
                  <m:t>Nu</m:t>
                </m:r>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1</m:t>
                    </m:r>
                  </m:num>
                  <m:den>
                    <m:r>
                      <w:rPr>
                        <w:rFonts w:ascii="Cambria Math" w:eastAsiaTheme="minorEastAsia" w:hAnsi="Cambria Math" w:cstheme="majorBidi"/>
                      </w:rPr>
                      <m:t>π</m:t>
                    </m:r>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e>
                    </m:d>
                    <m:r>
                      <w:rPr>
                        <w:rFonts w:ascii="Cambria Math" w:eastAsiaTheme="minorEastAsia" w:hAnsi="Cambria Math" w:cstheme="majorBidi"/>
                      </w:rPr>
                      <m:t>k</m:t>
                    </m:r>
                  </m:den>
                </m:f>
                <m:nary>
                  <m:naryPr>
                    <m:chr m:val="∮"/>
                    <m:limLoc m:val="subSup"/>
                    <m:ctrlPr>
                      <w:rPr>
                        <w:rFonts w:ascii="Cambria Math" w:eastAsiaTheme="minorEastAsia" w:hAnsi="Cambria Math" w:cstheme="majorBidi"/>
                        <w:i/>
                      </w:rPr>
                    </m:ctrlPr>
                  </m:naryPr>
                  <m:sub>
                    <m:r>
                      <w:rPr>
                        <w:rFonts w:ascii="Cambria Math" w:eastAsiaTheme="minorEastAsia" w:hAnsi="Cambria Math" w:cstheme="majorBidi"/>
                      </w:rPr>
                      <m:t>S</m:t>
                    </m:r>
                  </m:sub>
                  <m:sup/>
                  <m:e>
                    <m:r>
                      <m:rPr>
                        <m:sty m:val="b"/>
                      </m:rPr>
                      <w:rPr>
                        <w:rFonts w:ascii="Cambria Math" w:eastAsiaTheme="minorEastAsia" w:hAnsi="Cambria Math" w:cstheme="majorBidi"/>
                      </w:rPr>
                      <m:t>q″</m:t>
                    </m:r>
                    <m:r>
                      <w:rPr>
                        <w:rFonts w:ascii="Cambria Math" w:eastAsiaTheme="minorEastAsia" w:hAnsi="Cambria Math" w:cstheme="majorBidi"/>
                      </w:rPr>
                      <m:t>∙d</m:t>
                    </m:r>
                    <m:r>
                      <m:rPr>
                        <m:sty m:val="b"/>
                      </m:rPr>
                      <w:rPr>
                        <w:rFonts w:ascii="Cambria Math" w:eastAsiaTheme="minorEastAsia" w:hAnsi="Cambria Math" w:cstheme="majorBidi"/>
                      </w:rPr>
                      <m:t>S</m:t>
                    </m:r>
                  </m:e>
                </m:nary>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h</m:t>
                    </m:r>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c</m:t>
                        </m:r>
                      </m:sub>
                    </m:sSub>
                  </m:num>
                  <m:den>
                    <m:r>
                      <w:rPr>
                        <w:rFonts w:ascii="Cambria Math" w:eastAsiaTheme="minorEastAsia" w:hAnsi="Cambria Math" w:cstheme="majorBidi"/>
                      </w:rPr>
                      <m:t>k</m:t>
                    </m:r>
                  </m:den>
                </m:f>
              </m:oMath>
            </m:oMathPara>
          </w:p>
        </w:tc>
        <w:tc>
          <w:tcPr>
            <w:tcW w:w="1048" w:type="dxa"/>
            <w:vAlign w:val="center"/>
          </w:tcPr>
          <w:p w14:paraId="1AF08FB4" w14:textId="78F243EC" w:rsidR="002D1344" w:rsidRPr="004834D3" w:rsidRDefault="000B1B64" w:rsidP="004C6625">
            <w:pPr>
              <w:spacing w:before="240" w:after="240" w:line="480" w:lineRule="auto"/>
              <w:ind w:firstLine="432"/>
              <w:jc w:val="right"/>
              <w:rPr>
                <w:rFonts w:cstheme="majorBidi"/>
              </w:rPr>
            </w:pPr>
            <w:r>
              <w:fldChar w:fldCharType="begin"/>
            </w:r>
            <w:r>
              <w:instrText xml:space="preserve"> STYLEREF 1 \s </w:instrText>
            </w:r>
            <w:r>
              <w:fldChar w:fldCharType="separate"/>
            </w:r>
            <w:r w:rsidR="00732AAC">
              <w:rPr>
                <w:noProof/>
                <w:cs/>
              </w:rPr>
              <w:t>‎</w:t>
            </w:r>
            <w:r w:rsidR="00732AAC">
              <w:rPr>
                <w:noProof/>
              </w:rPr>
              <w:t>6</w:t>
            </w:r>
            <w:r>
              <w:fldChar w:fldCharType="end"/>
            </w:r>
            <w:r>
              <w:noBreakHyphen/>
            </w:r>
            <w:r>
              <w:fldChar w:fldCharType="begin"/>
            </w:r>
            <w:r>
              <w:instrText xml:space="preserve"> SEQ Equation \* ARABIC \s 1 </w:instrText>
            </w:r>
            <w:r>
              <w:fldChar w:fldCharType="separate"/>
            </w:r>
            <w:r w:rsidR="00732AAC">
              <w:rPr>
                <w:noProof/>
              </w:rPr>
              <w:t>1</w:t>
            </w:r>
            <w:r>
              <w:rPr>
                <w:noProof/>
              </w:rPr>
              <w:fldChar w:fldCharType="end"/>
            </w:r>
          </w:p>
        </w:tc>
      </w:tr>
    </w:tbl>
    <w:p w14:paraId="521C2512" w14:textId="65C21CBA" w:rsidR="002D1344" w:rsidRPr="004834D3" w:rsidRDefault="002D1344" w:rsidP="004C6625">
      <w:pPr>
        <w:spacing w:before="240" w:after="240" w:line="480" w:lineRule="auto"/>
        <w:jc w:val="both"/>
        <w:rPr>
          <w:rFonts w:cstheme="majorBidi"/>
        </w:rPr>
      </w:pPr>
      <w:r w:rsidRPr="004834D3">
        <w:rPr>
          <w:rFonts w:cstheme="majorBidi"/>
        </w:rPr>
        <w:t xml:space="preserve">where </w:t>
      </w:r>
      <m:oMath>
        <m:r>
          <m:rPr>
            <m:sty m:val="b"/>
          </m:rPr>
          <w:rPr>
            <w:rFonts w:ascii="Cambria Math" w:eastAsiaTheme="minorEastAsia" w:hAnsi="Cambria Math" w:cstheme="majorBidi"/>
          </w:rPr>
          <m:t>q″</m:t>
        </m:r>
      </m:oMath>
      <w:r w:rsidRPr="004834D3">
        <w:rPr>
          <w:rFonts w:cstheme="majorBidi"/>
        </w:rPr>
        <w:t xml:space="preserve"> represents the local heat flux at the particle surface, capturing the rate at which heat is being transferred per unit area. The average convective heat transfer coefficient is denoted by </w:t>
      </w:r>
      <m:oMath>
        <m:r>
          <w:rPr>
            <w:rFonts w:ascii="Cambria Math" w:hAnsi="Cambria Math" w:cstheme="majorBidi"/>
          </w:rPr>
          <m:t>h</m:t>
        </m:r>
      </m:oMath>
      <w:r w:rsidRPr="004834D3">
        <w:rPr>
          <w:rFonts w:cstheme="majorBidi"/>
        </w:rPr>
        <w:t xml:space="preserve">, and </w:t>
      </w:r>
      <m:oMath>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c</m:t>
            </m:r>
          </m:sub>
        </m:sSub>
      </m:oMath>
      <w:r w:rsidRPr="004834D3">
        <w:rPr>
          <w:rFonts w:cstheme="majorBidi"/>
        </w:rPr>
        <w:t xml:space="preserve"> is defined as the instantaneous characteristic particle diameter. This diameter is calculated to be equivalent to that of a circle which has the same perimeter as the particle, mathematically expressed as </w:t>
      </w:r>
      <m:oMath>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c</m:t>
            </m:r>
          </m:sub>
        </m:sSub>
        <m:r>
          <w:rPr>
            <w:rFonts w:ascii="Cambria Math" w:eastAsiaTheme="minorEastAsia"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π</m:t>
            </m:r>
          </m:den>
        </m:f>
        <m:nary>
          <m:naryPr>
            <m:limLoc m:val="subSup"/>
            <m:ctrlPr>
              <w:rPr>
                <w:rFonts w:ascii="Cambria Math" w:hAnsi="Cambria Math" w:cstheme="majorBidi"/>
                <w:i/>
              </w:rPr>
            </m:ctrlPr>
          </m:naryPr>
          <m:sub>
            <m:r>
              <w:rPr>
                <w:rFonts w:ascii="Cambria Math" w:hAnsi="Cambria Math" w:cstheme="majorBidi"/>
              </w:rPr>
              <m:t>S</m:t>
            </m:r>
          </m:sub>
          <m:sup/>
          <m:e>
            <m:r>
              <w:rPr>
                <w:rFonts w:ascii="Cambria Math" w:hAnsi="Cambria Math" w:cstheme="majorBidi"/>
              </w:rPr>
              <m:t>dS</m:t>
            </m:r>
          </m:e>
        </m:nary>
      </m:oMath>
      <w:r w:rsidRPr="004834D3">
        <w:rPr>
          <w:rFonts w:cstheme="majorBidi"/>
        </w:rPr>
        <w:t xml:space="preserve">. </w:t>
      </w:r>
    </w:p>
    <w:p w14:paraId="1CC71402" w14:textId="7F11A554" w:rsidR="002D1344" w:rsidRPr="004834D3" w:rsidRDefault="001128CD" w:rsidP="004C6625">
      <w:pPr>
        <w:spacing w:before="240" w:after="240" w:line="480" w:lineRule="auto"/>
        <w:ind w:firstLine="720"/>
        <w:jc w:val="both"/>
        <w:rPr>
          <w:rFonts w:cstheme="majorBidi"/>
        </w:rPr>
      </w:pPr>
      <w:r>
        <w:rPr>
          <w:rFonts w:cstheme="majorBidi"/>
        </w:rPr>
        <w:t>T</w:t>
      </w:r>
      <w:r w:rsidR="002D1344" w:rsidRPr="004834D3">
        <w:rPr>
          <w:rFonts w:cstheme="majorBidi"/>
        </w:rPr>
        <w:t xml:space="preserve">he fluid begins the simulation at rest and gradually accelerates due to a constant pressure gradient applied along the channel. Figure </w:t>
      </w:r>
      <w:r w:rsidR="00FD3C90">
        <w:rPr>
          <w:rFonts w:cstheme="majorBidi"/>
        </w:rPr>
        <w:t>6</w:t>
      </w:r>
      <w:r>
        <w:rPr>
          <w:rFonts w:cstheme="majorBidi"/>
        </w:rPr>
        <w:t>-3</w:t>
      </w:r>
      <w:r w:rsidR="002D1344" w:rsidRPr="004834D3">
        <w:rPr>
          <w:rFonts w:cstheme="majorBidi"/>
        </w:rPr>
        <w:t xml:space="preserve"> illustrates the transient evolution of the inlet flow velocity over time. The condition of fully developed flow is considered achieved when the normalized velocity </w:t>
      </w:r>
      <w:r w:rsidR="00043269">
        <w:rPr>
          <w:rFonts w:eastAsiaTheme="minorEastAsia" w:cstheme="majorBidi"/>
        </w:rPr>
        <w:t>(</w:t>
      </w:r>
      <m:oMath>
        <m:r>
          <w:rPr>
            <w:rFonts w:ascii="Cambria Math" w:hAnsi="Cambria Math" w:cstheme="majorBidi"/>
          </w:rPr>
          <m:t>u/</m:t>
        </m:r>
        <m:sSub>
          <m:sSubPr>
            <m:ctrlPr>
              <w:rPr>
                <w:rFonts w:ascii="Cambria Math" w:hAnsi="Cambria Math" w:cstheme="majorBidi"/>
                <w:i/>
                <w:iCs/>
              </w:rPr>
            </m:ctrlPr>
          </m:sSubPr>
          <m:e>
            <m:r>
              <w:rPr>
                <w:rFonts w:ascii="Cambria Math" w:hAnsi="Cambria Math" w:cstheme="majorBidi"/>
              </w:rPr>
              <m:t>u</m:t>
            </m:r>
          </m:e>
          <m:sub>
            <m:r>
              <m:rPr>
                <m:sty m:val="p"/>
              </m:rPr>
              <w:rPr>
                <w:rFonts w:ascii="Cambria Math" w:hAnsi="Cambria Math" w:cstheme="majorBidi"/>
                <w:vertAlign w:val="subscript"/>
              </w:rPr>
              <m:t>max</m:t>
            </m:r>
          </m:sub>
        </m:sSub>
      </m:oMath>
      <w:r w:rsidR="00043269">
        <w:rPr>
          <w:rFonts w:cstheme="majorBidi"/>
        </w:rPr>
        <w:t xml:space="preserve">) </w:t>
      </w:r>
      <w:r w:rsidR="002D1344" w:rsidRPr="004834D3">
        <w:rPr>
          <w:rFonts w:cstheme="majorBidi"/>
        </w:rPr>
        <w:t>nears unity at the center of the channel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r>
          <w:rPr>
            <w:rFonts w:ascii="Cambria Math" w:hAnsi="Cambria Math" w:cstheme="majorBidi"/>
          </w:rPr>
          <m:t>=0.5</m:t>
        </m:r>
      </m:oMath>
      <w:r w:rsidR="002D1344" w:rsidRPr="004834D3">
        <w:rPr>
          <w:rFonts w:eastAsiaTheme="minorEastAsia" w:cstheme="majorBidi"/>
        </w:rPr>
        <w:t>)</w:t>
      </w:r>
      <w:r w:rsidR="002D1344" w:rsidRPr="004834D3">
        <w:rPr>
          <w:rFonts w:cstheme="majorBidi"/>
        </w:rPr>
        <w:t xml:space="preserve">. However, even at the largest dimensionless time depicted in Fig. </w:t>
      </w:r>
      <w:r w:rsidR="00FD3C90">
        <w:rPr>
          <w:rFonts w:cstheme="majorBidi"/>
        </w:rPr>
        <w:t>6</w:t>
      </w:r>
      <w:r>
        <w:rPr>
          <w:rFonts w:cstheme="majorBidi"/>
        </w:rPr>
        <w:t>-3</w:t>
      </w:r>
      <w:r w:rsidR="002D1344" w:rsidRPr="004834D3">
        <w:rPr>
          <w:rFonts w:cstheme="majorBidi"/>
        </w:rPr>
        <w:t xml:space="preserve">, the flow remains in a developing state and has not yet reached a fully developed condition. </w:t>
      </w:r>
      <w:r w:rsidR="00F17EFE">
        <w:rPr>
          <w:rFonts w:cstheme="majorBidi"/>
        </w:rPr>
        <w:t>A</w:t>
      </w:r>
      <w:r w:rsidR="002D1344" w:rsidRPr="004834D3">
        <w:rPr>
          <w:rFonts w:cstheme="majorBidi"/>
        </w:rPr>
        <w:t xml:space="preserve">s will be discussed later, in most cases examined in this study, the particle undergoes complete melting before the flow can achieve this fully developed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2D1344" w:rsidRPr="004834D3" w14:paraId="5E920603" w14:textId="77777777" w:rsidTr="009A4AF3">
        <w:tc>
          <w:tcPr>
            <w:tcW w:w="9270" w:type="dxa"/>
          </w:tcPr>
          <w:p w14:paraId="1C575CDB" w14:textId="77777777" w:rsidR="002D1344" w:rsidRPr="004834D3" w:rsidRDefault="002D1344" w:rsidP="004C6625">
            <w:pPr>
              <w:spacing w:line="480" w:lineRule="auto"/>
              <w:jc w:val="center"/>
              <w:rPr>
                <w:rFonts w:eastAsiaTheme="minorEastAsia" w:cstheme="majorBidi"/>
              </w:rPr>
            </w:pPr>
            <w:r w:rsidRPr="004834D3">
              <w:rPr>
                <w:rFonts w:eastAsiaTheme="minorEastAsia" w:cstheme="majorBidi"/>
                <w:noProof/>
              </w:rPr>
              <w:lastRenderedPageBreak/>
              <w:drawing>
                <wp:inline distT="0" distB="0" distL="0" distR="0" wp14:anchorId="7BFCFDD4" wp14:editId="0DC585A4">
                  <wp:extent cx="3914854" cy="2743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3914854" cy="2743200"/>
                          </a:xfrm>
                          <a:prstGeom prst="rect">
                            <a:avLst/>
                          </a:prstGeom>
                          <a:noFill/>
                          <a:ln>
                            <a:noFill/>
                          </a:ln>
                        </pic:spPr>
                      </pic:pic>
                    </a:graphicData>
                  </a:graphic>
                </wp:inline>
              </w:drawing>
            </w:r>
          </w:p>
        </w:tc>
      </w:tr>
      <w:tr w:rsidR="002D1344" w:rsidRPr="004834D3" w14:paraId="75194353" w14:textId="77777777" w:rsidTr="009A4AF3">
        <w:tc>
          <w:tcPr>
            <w:tcW w:w="9270" w:type="dxa"/>
          </w:tcPr>
          <w:p w14:paraId="22FD93BB" w14:textId="231C7129" w:rsidR="002D1344" w:rsidRPr="001128CD" w:rsidRDefault="001128CD" w:rsidP="004C6625">
            <w:pPr>
              <w:pStyle w:val="Caption"/>
              <w:spacing w:before="0" w:after="0" w:line="480" w:lineRule="auto"/>
              <w:jc w:val="center"/>
            </w:pPr>
            <w:bookmarkStart w:id="96" w:name="_Toc172708830"/>
            <w:r w:rsidRPr="00E83814">
              <w:rPr>
                <w:b/>
                <w:bCs/>
                <w:szCs w:val="24"/>
              </w:rPr>
              <w:t xml:space="preserve">Fig. </w:t>
            </w:r>
            <w:r w:rsidR="00996526">
              <w:rPr>
                <w:b/>
                <w:bCs/>
                <w:szCs w:val="24"/>
              </w:rPr>
              <w:fldChar w:fldCharType="begin"/>
            </w:r>
            <w:r w:rsidR="00996526">
              <w:rPr>
                <w:b/>
                <w:bCs/>
                <w:szCs w:val="24"/>
              </w:rPr>
              <w:instrText xml:space="preserve"> STYLEREF 1 \s </w:instrText>
            </w:r>
            <w:r w:rsidR="00996526">
              <w:rPr>
                <w:b/>
                <w:bCs/>
                <w:szCs w:val="24"/>
              </w:rPr>
              <w:fldChar w:fldCharType="separate"/>
            </w:r>
            <w:r w:rsidR="00732AAC">
              <w:rPr>
                <w:b/>
                <w:bCs/>
                <w:noProof/>
                <w:szCs w:val="24"/>
                <w:cs/>
              </w:rPr>
              <w:t>‎</w:t>
            </w:r>
            <w:r w:rsidR="00732AAC">
              <w:rPr>
                <w:b/>
                <w:bCs/>
                <w:noProof/>
                <w:szCs w:val="24"/>
              </w:rPr>
              <w:t>6</w:t>
            </w:r>
            <w:r w:rsidR="00996526">
              <w:rPr>
                <w:b/>
                <w:bCs/>
                <w:szCs w:val="24"/>
              </w:rPr>
              <w:fldChar w:fldCharType="end"/>
            </w:r>
            <w:r w:rsidR="00996526">
              <w:rPr>
                <w:b/>
                <w:bCs/>
                <w:szCs w:val="24"/>
              </w:rPr>
              <w:noBreakHyphen/>
            </w:r>
            <w:r w:rsidR="00996526">
              <w:rPr>
                <w:b/>
                <w:bCs/>
                <w:szCs w:val="24"/>
              </w:rPr>
              <w:fldChar w:fldCharType="begin"/>
            </w:r>
            <w:r w:rsidR="00996526">
              <w:rPr>
                <w:b/>
                <w:bCs/>
                <w:szCs w:val="24"/>
              </w:rPr>
              <w:instrText xml:space="preserve"> SEQ Fig. \* ARABIC \s 1 </w:instrText>
            </w:r>
            <w:r w:rsidR="00996526">
              <w:rPr>
                <w:b/>
                <w:bCs/>
                <w:szCs w:val="24"/>
              </w:rPr>
              <w:fldChar w:fldCharType="separate"/>
            </w:r>
            <w:r w:rsidR="00732AAC">
              <w:rPr>
                <w:b/>
                <w:bCs/>
                <w:noProof/>
                <w:szCs w:val="24"/>
              </w:rPr>
              <w:t>3</w:t>
            </w:r>
            <w:r w:rsidR="00996526">
              <w:rPr>
                <w:b/>
                <w:bCs/>
                <w:szCs w:val="24"/>
              </w:rPr>
              <w:fldChar w:fldCharType="end"/>
            </w:r>
            <w:r w:rsidR="002D1344" w:rsidRPr="004834D3">
              <w:rPr>
                <w:rFonts w:eastAsiaTheme="minorEastAsia" w:cstheme="majorBidi"/>
              </w:rPr>
              <w:t xml:space="preserve"> </w:t>
            </w:r>
            <w:r w:rsidR="002D1344" w:rsidRPr="004834D3">
              <w:rPr>
                <w:rFonts w:cstheme="majorBidi"/>
              </w:rPr>
              <w:t>Temporal progression of inlet flow velocity subject to a constant pressure gradient.</w:t>
            </w:r>
            <w:bookmarkEnd w:id="96"/>
          </w:p>
        </w:tc>
      </w:tr>
    </w:tbl>
    <w:p w14:paraId="6538B18C" w14:textId="2372517A" w:rsidR="002D1344" w:rsidRPr="004834D3" w:rsidRDefault="002D1344" w:rsidP="004C6625">
      <w:pPr>
        <w:spacing w:before="360" w:after="240" w:line="480" w:lineRule="auto"/>
        <w:ind w:firstLine="720"/>
        <w:jc w:val="both"/>
        <w:rPr>
          <w:rFonts w:cstheme="majorBidi"/>
        </w:rPr>
      </w:pPr>
      <w:r w:rsidRPr="004834D3">
        <w:rPr>
          <w:rFonts w:cstheme="majorBidi"/>
        </w:rPr>
        <w:t xml:space="preserve">Figure </w:t>
      </w:r>
      <w:r w:rsidR="00FD3C90">
        <w:rPr>
          <w:rFonts w:cstheme="majorBidi"/>
        </w:rPr>
        <w:t>6</w:t>
      </w:r>
      <w:r w:rsidR="000A2DDF">
        <w:rPr>
          <w:rFonts w:cstheme="majorBidi"/>
        </w:rPr>
        <w:t>-4</w:t>
      </w:r>
      <w:r w:rsidRPr="004834D3">
        <w:rPr>
          <w:rFonts w:cstheme="majorBidi"/>
        </w:rPr>
        <w:t xml:space="preserve"> illustrates how changes in the Re number impact the transient lateral position of the particle, its mass, and the Nu</w:t>
      </w:r>
      <w:r w:rsidR="00043269">
        <w:rPr>
          <w:rFonts w:cstheme="majorBidi"/>
        </w:rPr>
        <w:t xml:space="preserve"> </w:t>
      </w:r>
      <w:r w:rsidRPr="004834D3">
        <w:rPr>
          <w:rFonts w:cstheme="majorBidi"/>
        </w:rPr>
        <w:t xml:space="preserve">number under the conditions of </w:t>
      </w:r>
      <m:oMath>
        <m:r>
          <m:rPr>
            <m:sty m:val="p"/>
          </m:rPr>
          <w:rPr>
            <w:rFonts w:ascii="Cambria Math" w:hAnsi="Cambria Math" w:cstheme="majorBidi"/>
          </w:rPr>
          <m:t>Gr</m:t>
        </m:r>
      </m:oMath>
      <w:r w:rsidRPr="004834D3">
        <w:rPr>
          <w:rFonts w:cstheme="majorBidi"/>
        </w:rPr>
        <w:t xml:space="preserve"> = 1</w:t>
      </w:r>
      <w:r w:rsidR="00D141A1">
        <w:rPr>
          <w:rFonts w:cstheme="majorBidi"/>
        </w:rPr>
        <w:t>,</w:t>
      </w:r>
      <w:r w:rsidRPr="004834D3">
        <w:rPr>
          <w:rFonts w:cstheme="majorBidi"/>
        </w:rPr>
        <w:t xml:space="preserve">000, </w:t>
      </w:r>
      <m:oMath>
        <m:r>
          <m:rPr>
            <m:sty m:val="p"/>
          </m:rPr>
          <w:rPr>
            <w:rFonts w:ascii="Cambria Math" w:hAnsi="Cambria Math" w:cstheme="majorBidi"/>
          </w:rPr>
          <m:t>Ste</m:t>
        </m:r>
      </m:oMath>
      <w:r w:rsidRPr="004834D3">
        <w:rPr>
          <w:rFonts w:cstheme="majorBidi"/>
        </w:rPr>
        <w:t xml:space="preserve"> = 0.1, and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Pr="004834D3">
        <w:rPr>
          <w:rFonts w:cstheme="majorBidi"/>
        </w:rPr>
        <w:t xml:space="preserve"> = 0.5. It is observed that a moderate increase in </w:t>
      </w:r>
      <m:oMath>
        <m:r>
          <m:rPr>
            <m:sty m:val="p"/>
          </m:rPr>
          <w:rPr>
            <w:rFonts w:ascii="Cambria Math" w:hAnsi="Cambria Math" w:cstheme="majorBidi"/>
          </w:rPr>
          <m:t>Re</m:t>
        </m:r>
      </m:oMath>
      <w:r w:rsidRPr="004834D3">
        <w:rPr>
          <w:rFonts w:cstheme="majorBidi"/>
        </w:rPr>
        <w:t xml:space="preserve">, from 0 to 100, has a minimal effect on the particle’s trajectory. However, further elevating </w:t>
      </w:r>
      <m:oMath>
        <m:r>
          <m:rPr>
            <m:sty m:val="p"/>
          </m:rPr>
          <w:rPr>
            <w:rFonts w:ascii="Cambria Math" w:hAnsi="Cambria Math" w:cstheme="majorBidi"/>
          </w:rPr>
          <m:t>Re</m:t>
        </m:r>
      </m:oMath>
      <w:r w:rsidRPr="004834D3">
        <w:rPr>
          <w:rFonts w:cstheme="majorBidi"/>
        </w:rPr>
        <w:t xml:space="preserve"> to 500 and then to 1</w:t>
      </w:r>
      <w:r w:rsidR="00D141A1">
        <w:rPr>
          <w:rFonts w:cstheme="majorBidi"/>
        </w:rPr>
        <w:t>,</w:t>
      </w:r>
      <w:r w:rsidRPr="004834D3">
        <w:rPr>
          <w:rFonts w:cstheme="majorBidi"/>
        </w:rPr>
        <w:t xml:space="preserve">000 induces significant alterations in the particle trajectory. This phenomenon occurs because as </w:t>
      </w:r>
      <m:oMath>
        <m:r>
          <m:rPr>
            <m:sty m:val="p"/>
          </m:rPr>
          <w:rPr>
            <w:rFonts w:ascii="Cambria Math" w:hAnsi="Cambria Math" w:cstheme="majorBidi"/>
          </w:rPr>
          <m:t>Re</m:t>
        </m:r>
      </m:oMath>
      <w:r w:rsidRPr="004834D3">
        <w:rPr>
          <w:rFonts w:cstheme="majorBidi"/>
        </w:rPr>
        <w:t xml:space="preserve"> increases, the dominance of advective forces begins to surpass the effects of natural convection, leading to substantial changes in both the flow dynamics and thermal fields surrounding the particle. </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D1344" w:rsidRPr="004834D3" w14:paraId="6471E423" w14:textId="77777777" w:rsidTr="00D7099A">
        <w:tc>
          <w:tcPr>
            <w:tcW w:w="9350" w:type="dxa"/>
            <w:vAlign w:val="center"/>
          </w:tcPr>
          <w:p w14:paraId="4B00455D" w14:textId="77777777" w:rsidR="002D1344" w:rsidRPr="004834D3" w:rsidRDefault="002D1344" w:rsidP="004C6625">
            <w:pPr>
              <w:jc w:val="center"/>
              <w:rPr>
                <w:rFonts w:cstheme="majorBidi"/>
                <w:sz w:val="24"/>
                <w:szCs w:val="24"/>
              </w:rPr>
            </w:pPr>
            <w:r w:rsidRPr="004834D3">
              <w:rPr>
                <w:rFonts w:cstheme="majorBidi"/>
                <w:noProof/>
              </w:rPr>
              <w:lastRenderedPageBreak/>
              <mc:AlternateContent>
                <mc:Choice Requires="wps">
                  <w:drawing>
                    <wp:anchor distT="45720" distB="45720" distL="114300" distR="114300" simplePos="0" relativeHeight="251670528" behindDoc="0" locked="0" layoutInCell="1" allowOverlap="1" wp14:anchorId="027B5219" wp14:editId="5A05CBBD">
                      <wp:simplePos x="0" y="0"/>
                      <wp:positionH relativeFrom="column">
                        <wp:posOffset>1835150</wp:posOffset>
                      </wp:positionH>
                      <wp:positionV relativeFrom="paragraph">
                        <wp:posOffset>1685925</wp:posOffset>
                      </wp:positionV>
                      <wp:extent cx="386715" cy="287020"/>
                      <wp:effectExtent l="0" t="0" r="0" b="0"/>
                      <wp:wrapNone/>
                      <wp:docPr id="7185742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87020"/>
                              </a:xfrm>
                              <a:prstGeom prst="rect">
                                <a:avLst/>
                              </a:prstGeom>
                              <a:noFill/>
                              <a:ln w="9525">
                                <a:noFill/>
                                <a:miter lim="800000"/>
                                <a:headEnd/>
                                <a:tailEnd/>
                              </a:ln>
                            </wps:spPr>
                            <wps:txbx>
                              <w:txbxContent>
                                <w:p w14:paraId="573C02E8" w14:textId="77777777" w:rsidR="002D1344" w:rsidRPr="00F77C31" w:rsidRDefault="002D1344" w:rsidP="002D1344">
                                  <w:pPr>
                                    <w:rPr>
                                      <w:rFonts w:cstheme="majorBidi"/>
                                    </w:rPr>
                                  </w:pPr>
                                  <w:r w:rsidRPr="00F77C31">
                                    <w:rPr>
                                      <w:rFonts w:cstheme="majorBidi"/>
                                    </w:rPr>
                                    <w:t>(</w:t>
                                  </w:r>
                                  <w:r>
                                    <w:rPr>
                                      <w:rFonts w:cstheme="majorBidi"/>
                                    </w:rPr>
                                    <w:t>a</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B5219" id="Text Box 11" o:spid="_x0000_s1032" type="#_x0000_t202" style="position:absolute;left:0;text-align:left;margin-left:144.5pt;margin-top:132.75pt;width:30.45pt;height:22.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" filled="f" stroked="f">
                      <v:textbox>
                        <w:txbxContent>
                          <w:p w14:paraId="573C02E8" w14:textId="77777777" w:rsidR="002D1344" w:rsidRPr="00F77C31" w:rsidRDefault="002D1344" w:rsidP="002D1344">
                            <w:pPr>
                              <w:rPr>
                                <w:rFonts w:cstheme="majorBidi"/>
                              </w:rPr>
                            </w:pPr>
                            <w:r w:rsidRPr="00F77C31">
                              <w:rPr>
                                <w:rFonts w:cstheme="majorBidi"/>
                              </w:rPr>
                              <w:t>(</w:t>
                            </w:r>
                            <w:r>
                              <w:rPr>
                                <w:rFonts w:cstheme="majorBidi"/>
                              </w:rPr>
                              <w:t>a</w:t>
                            </w:r>
                            <w:r w:rsidRPr="00F77C31">
                              <w:rPr>
                                <w:rFonts w:cstheme="majorBidi"/>
                              </w:rPr>
                              <w:t>)``</w:t>
                            </w:r>
                          </w:p>
                        </w:txbxContent>
                      </v:textbox>
                    </v:shape>
                  </w:pict>
                </mc:Fallback>
              </mc:AlternateContent>
            </w:r>
            <w:r w:rsidRPr="004834D3">
              <w:rPr>
                <w:rFonts w:cstheme="majorBidi"/>
                <w:noProof/>
              </w:rPr>
              <w:drawing>
                <wp:inline distT="0" distB="0" distL="0" distR="0" wp14:anchorId="0D9BA92B" wp14:editId="517E07FD">
                  <wp:extent cx="3607206" cy="2560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607206" cy="2560320"/>
                          </a:xfrm>
                          <a:prstGeom prst="rect">
                            <a:avLst/>
                          </a:prstGeom>
                          <a:noFill/>
                          <a:ln>
                            <a:noFill/>
                          </a:ln>
                        </pic:spPr>
                      </pic:pic>
                    </a:graphicData>
                  </a:graphic>
                </wp:inline>
              </w:drawing>
            </w:r>
          </w:p>
        </w:tc>
      </w:tr>
      <w:tr w:rsidR="002D1344" w:rsidRPr="004834D3" w14:paraId="33EFDC9D" w14:textId="77777777" w:rsidTr="00D7099A">
        <w:tc>
          <w:tcPr>
            <w:tcW w:w="9350" w:type="dxa"/>
            <w:vAlign w:val="center"/>
          </w:tcPr>
          <w:p w14:paraId="004A0D60" w14:textId="77777777" w:rsidR="002D1344" w:rsidRPr="004834D3" w:rsidRDefault="002D1344" w:rsidP="004C6625">
            <w:pPr>
              <w:jc w:val="center"/>
              <w:rPr>
                <w:rFonts w:cstheme="majorBidi"/>
                <w:sz w:val="24"/>
                <w:szCs w:val="24"/>
              </w:rPr>
            </w:pPr>
            <w:r w:rsidRPr="004834D3">
              <w:rPr>
                <w:rFonts w:cstheme="majorBidi"/>
                <w:noProof/>
              </w:rPr>
              <mc:AlternateContent>
                <mc:Choice Requires="wps">
                  <w:drawing>
                    <wp:anchor distT="45720" distB="45720" distL="114300" distR="114300" simplePos="0" relativeHeight="251669504" behindDoc="0" locked="0" layoutInCell="1" allowOverlap="1" wp14:anchorId="7DA48E8A" wp14:editId="430D3288">
                      <wp:simplePos x="0" y="0"/>
                      <wp:positionH relativeFrom="column">
                        <wp:posOffset>1720215</wp:posOffset>
                      </wp:positionH>
                      <wp:positionV relativeFrom="paragraph">
                        <wp:posOffset>1699895</wp:posOffset>
                      </wp:positionV>
                      <wp:extent cx="386715" cy="287020"/>
                      <wp:effectExtent l="0" t="0" r="0" b="0"/>
                      <wp:wrapNone/>
                      <wp:docPr id="8011658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87020"/>
                              </a:xfrm>
                              <a:prstGeom prst="rect">
                                <a:avLst/>
                              </a:prstGeom>
                              <a:noFill/>
                              <a:ln w="9525">
                                <a:noFill/>
                                <a:miter lim="800000"/>
                                <a:headEnd/>
                                <a:tailEnd/>
                              </a:ln>
                            </wps:spPr>
                            <wps:txbx>
                              <w:txbxContent>
                                <w:p w14:paraId="34486B4E"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48E8A" id="Text Box 10" o:spid="_x0000_s1033" type="#_x0000_t202" style="position:absolute;left:0;text-align:left;margin-left:135.45pt;margin-top:133.85pt;width:30.45pt;height:22.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" filled="f" stroked="f">
                      <v:textbox>
                        <w:txbxContent>
                          <w:p w14:paraId="34486B4E"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v:textbox>
                    </v:shape>
                  </w:pict>
                </mc:Fallback>
              </mc:AlternateContent>
            </w:r>
            <w:r w:rsidRPr="004834D3">
              <w:rPr>
                <w:rFonts w:cstheme="majorBidi"/>
                <w:noProof/>
              </w:rPr>
              <w:drawing>
                <wp:inline distT="0" distB="0" distL="0" distR="0" wp14:anchorId="0AAF2EF1" wp14:editId="2FB6B2BF">
                  <wp:extent cx="3589020" cy="256032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hqprint">
                            <a:extLst>
                              <a:ext uri="{28A0092B-C50C-407E-A947-70E740481C1C}">
                                <a14:useLocalDpi xmlns:a14="http://schemas.microsoft.com/office/drawing/2010/main"/>
                              </a:ext>
                            </a:extLst>
                          </a:blip>
                          <a:srcRect/>
                          <a:stretch>
                            <a:fillRect/>
                          </a:stretch>
                        </pic:blipFill>
                        <pic:spPr bwMode="auto">
                          <a:xfrm>
                            <a:off x="0" y="0"/>
                            <a:ext cx="3589020" cy="2560320"/>
                          </a:xfrm>
                          <a:prstGeom prst="rect">
                            <a:avLst/>
                          </a:prstGeom>
                          <a:noFill/>
                          <a:ln>
                            <a:noFill/>
                          </a:ln>
                        </pic:spPr>
                      </pic:pic>
                    </a:graphicData>
                  </a:graphic>
                </wp:inline>
              </w:drawing>
            </w:r>
          </w:p>
        </w:tc>
      </w:tr>
      <w:tr w:rsidR="002D1344" w:rsidRPr="004834D3" w14:paraId="5E091192" w14:textId="77777777" w:rsidTr="00D7099A">
        <w:tc>
          <w:tcPr>
            <w:tcW w:w="9350" w:type="dxa"/>
            <w:vAlign w:val="center"/>
          </w:tcPr>
          <w:p w14:paraId="13EF4A7B" w14:textId="77777777" w:rsidR="002D1344" w:rsidRPr="004834D3" w:rsidRDefault="002D1344" w:rsidP="004C6625">
            <w:pPr>
              <w:jc w:val="center"/>
              <w:rPr>
                <w:rFonts w:cstheme="majorBidi"/>
                <w:sz w:val="24"/>
                <w:szCs w:val="24"/>
              </w:rPr>
            </w:pPr>
            <w:r w:rsidRPr="004834D3">
              <w:rPr>
                <w:rFonts w:cstheme="majorBidi"/>
                <w:noProof/>
              </w:rPr>
              <mc:AlternateContent>
                <mc:Choice Requires="wps">
                  <w:drawing>
                    <wp:anchor distT="45720" distB="45720" distL="114300" distR="114300" simplePos="0" relativeHeight="251668480" behindDoc="0" locked="0" layoutInCell="1" allowOverlap="1" wp14:anchorId="45F4C1D8" wp14:editId="19441715">
                      <wp:simplePos x="0" y="0"/>
                      <wp:positionH relativeFrom="column">
                        <wp:posOffset>1602105</wp:posOffset>
                      </wp:positionH>
                      <wp:positionV relativeFrom="paragraph">
                        <wp:posOffset>1685925</wp:posOffset>
                      </wp:positionV>
                      <wp:extent cx="386715" cy="287020"/>
                      <wp:effectExtent l="0" t="0" r="0" b="0"/>
                      <wp:wrapNone/>
                      <wp:docPr id="819825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87020"/>
                              </a:xfrm>
                              <a:prstGeom prst="rect">
                                <a:avLst/>
                              </a:prstGeom>
                              <a:noFill/>
                              <a:ln w="9525">
                                <a:noFill/>
                                <a:miter lim="800000"/>
                                <a:headEnd/>
                                <a:tailEnd/>
                              </a:ln>
                            </wps:spPr>
                            <wps:txbx>
                              <w:txbxContent>
                                <w:p w14:paraId="59494DD3"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4C1D8" id="Text Box 9" o:spid="_x0000_s1034" type="#_x0000_t202" style="position:absolute;left:0;text-align:left;margin-left:126.15pt;margin-top:132.75pt;width:30.45pt;height:22.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8o4/AEAANMDAAAOAAAAZHJzL2Uyb0RvYy54bWysU8tu2zAQvBfoPxC815JdO3YEy0GaNEWB&#10;9AGk/QCaoiyiJJdd0pbcr++SchyjvRXVgSC52tmd2eH6ZrCGHRQGDa7m00nJmXISGu12Nf/+7eHN&#10;i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" filled="f" stroked="f">
                      <v:textbox>
                        <w:txbxContent>
                          <w:p w14:paraId="59494DD3"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v:textbox>
                    </v:shape>
                  </w:pict>
                </mc:Fallback>
              </mc:AlternateContent>
            </w:r>
            <w:r w:rsidRPr="004834D3">
              <w:rPr>
                <w:rFonts w:cstheme="majorBidi"/>
                <w:noProof/>
              </w:rPr>
              <w:drawing>
                <wp:inline distT="0" distB="0" distL="0" distR="0" wp14:anchorId="4EBB122A" wp14:editId="0F14A118">
                  <wp:extent cx="3589020" cy="256032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hqprint">
                            <a:extLst>
                              <a:ext uri="{28A0092B-C50C-407E-A947-70E740481C1C}">
                                <a14:useLocalDpi xmlns:a14="http://schemas.microsoft.com/office/drawing/2010/main"/>
                              </a:ext>
                            </a:extLst>
                          </a:blip>
                          <a:srcRect/>
                          <a:stretch>
                            <a:fillRect/>
                          </a:stretch>
                        </pic:blipFill>
                        <pic:spPr bwMode="auto">
                          <a:xfrm>
                            <a:off x="0" y="0"/>
                            <a:ext cx="3589020" cy="2560320"/>
                          </a:xfrm>
                          <a:prstGeom prst="rect">
                            <a:avLst/>
                          </a:prstGeom>
                          <a:noFill/>
                          <a:ln>
                            <a:noFill/>
                          </a:ln>
                        </pic:spPr>
                      </pic:pic>
                    </a:graphicData>
                  </a:graphic>
                </wp:inline>
              </w:drawing>
            </w:r>
          </w:p>
        </w:tc>
      </w:tr>
      <w:tr w:rsidR="002D1344" w:rsidRPr="004834D3" w14:paraId="55CE207E" w14:textId="77777777" w:rsidTr="00D7099A">
        <w:tc>
          <w:tcPr>
            <w:tcW w:w="9350" w:type="dxa"/>
            <w:vAlign w:val="center"/>
          </w:tcPr>
          <w:p w14:paraId="1CF3F36B" w14:textId="1982913B" w:rsidR="002D1344" w:rsidRPr="000A2DDF" w:rsidRDefault="000A2DDF" w:rsidP="004C6625">
            <w:pPr>
              <w:pStyle w:val="Caption"/>
              <w:spacing w:before="0" w:after="0"/>
              <w:jc w:val="center"/>
            </w:pPr>
            <w:bookmarkStart w:id="97" w:name="_Toc172708831"/>
            <w:r w:rsidRPr="00E83814">
              <w:rPr>
                <w:rFonts w:cstheme="majorBidi"/>
                <w:b/>
                <w:bCs/>
                <w:sz w:val="24"/>
                <w:szCs w:val="24"/>
              </w:rPr>
              <w:t xml:space="preserve">Fig. </w:t>
            </w:r>
            <w:r w:rsidR="00996526">
              <w:rPr>
                <w:rFonts w:cstheme="majorBidi"/>
                <w:b/>
                <w:bCs/>
                <w:szCs w:val="24"/>
              </w:rPr>
              <w:fldChar w:fldCharType="begin"/>
            </w:r>
            <w:r w:rsidR="00996526">
              <w:rPr>
                <w:rFonts w:cstheme="majorBidi"/>
                <w:b/>
                <w:bCs/>
                <w:sz w:val="24"/>
                <w:szCs w:val="24"/>
              </w:rPr>
              <w:instrText xml:space="preserve"> STYLEREF 1 \s </w:instrText>
            </w:r>
            <w:r w:rsidR="00996526">
              <w:rPr>
                <w:rFonts w:cstheme="majorBidi"/>
                <w:b/>
                <w:bCs/>
                <w:szCs w:val="24"/>
              </w:rPr>
              <w:fldChar w:fldCharType="separate"/>
            </w:r>
            <w:r w:rsidR="00732AAC">
              <w:rPr>
                <w:rFonts w:cstheme="majorBidi"/>
                <w:b/>
                <w:bCs/>
                <w:noProof/>
                <w:sz w:val="24"/>
                <w:szCs w:val="24"/>
                <w:cs/>
              </w:rPr>
              <w:t>‎</w:t>
            </w:r>
            <w:r w:rsidR="00732AAC">
              <w:rPr>
                <w:rFonts w:cstheme="majorBidi"/>
                <w:b/>
                <w:bCs/>
                <w:noProof/>
                <w:sz w:val="24"/>
                <w:szCs w:val="24"/>
              </w:rPr>
              <w:t>6</w:t>
            </w:r>
            <w:r w:rsidR="00996526">
              <w:rPr>
                <w:rFonts w:cstheme="majorBidi"/>
                <w:b/>
                <w:bCs/>
                <w:szCs w:val="24"/>
              </w:rPr>
              <w:fldChar w:fldCharType="end"/>
            </w:r>
            <w:r w:rsidR="00996526">
              <w:rPr>
                <w:rFonts w:cstheme="majorBidi"/>
                <w:b/>
                <w:bCs/>
                <w:sz w:val="24"/>
                <w:szCs w:val="24"/>
              </w:rPr>
              <w:noBreakHyphen/>
            </w:r>
            <w:r w:rsidR="00996526">
              <w:rPr>
                <w:rFonts w:cstheme="majorBidi"/>
                <w:b/>
                <w:bCs/>
                <w:szCs w:val="24"/>
              </w:rPr>
              <w:fldChar w:fldCharType="begin"/>
            </w:r>
            <w:r w:rsidR="00996526">
              <w:rPr>
                <w:rFonts w:cstheme="majorBidi"/>
                <w:b/>
                <w:bCs/>
                <w:sz w:val="24"/>
                <w:szCs w:val="24"/>
              </w:rPr>
              <w:instrText xml:space="preserve"> SEQ Fig. \* ARABIC \s 1 </w:instrText>
            </w:r>
            <w:r w:rsidR="00996526">
              <w:rPr>
                <w:rFonts w:cstheme="majorBidi"/>
                <w:b/>
                <w:bCs/>
                <w:szCs w:val="24"/>
              </w:rPr>
              <w:fldChar w:fldCharType="separate"/>
            </w:r>
            <w:r w:rsidR="00732AAC">
              <w:rPr>
                <w:rFonts w:cstheme="majorBidi"/>
                <w:b/>
                <w:bCs/>
                <w:noProof/>
                <w:sz w:val="24"/>
                <w:szCs w:val="24"/>
              </w:rPr>
              <w:t>4</w:t>
            </w:r>
            <w:r w:rsidR="00996526">
              <w:rPr>
                <w:rFonts w:cstheme="majorBidi"/>
                <w:b/>
                <w:bCs/>
                <w:szCs w:val="24"/>
              </w:rPr>
              <w:fldChar w:fldCharType="end"/>
            </w:r>
            <w:r w:rsidR="002D1344" w:rsidRPr="004834D3">
              <w:rPr>
                <w:rFonts w:cstheme="majorBidi"/>
                <w:sz w:val="24"/>
                <w:szCs w:val="24"/>
              </w:rPr>
              <w:t xml:space="preserve"> The impact of Re </w:t>
            </w:r>
            <w:r w:rsidR="00D141A1">
              <w:rPr>
                <w:rFonts w:cstheme="majorBidi"/>
                <w:sz w:val="24"/>
                <w:szCs w:val="24"/>
              </w:rPr>
              <w:t xml:space="preserve">number </w:t>
            </w:r>
            <w:r w:rsidR="002D1344" w:rsidRPr="004834D3">
              <w:rPr>
                <w:rFonts w:cstheme="majorBidi"/>
                <w:sz w:val="24"/>
                <w:szCs w:val="24"/>
              </w:rPr>
              <w:t>on the computationally determined transient (a) lateral position, (b) particle mass, and (c) Nu</w:t>
            </w:r>
            <w:r w:rsidR="00D141A1">
              <w:rPr>
                <w:rFonts w:cstheme="majorBidi"/>
                <w:sz w:val="24"/>
                <w:szCs w:val="24"/>
              </w:rPr>
              <w:t xml:space="preserve"> number</w:t>
            </w:r>
            <w:r w:rsidR="002D1344" w:rsidRPr="004834D3">
              <w:rPr>
                <w:rFonts w:cstheme="majorBidi"/>
                <w:sz w:val="24"/>
                <w:szCs w:val="24"/>
              </w:rPr>
              <w:t>. Results for</w:t>
            </w:r>
            <w:bookmarkStart w:id="98" w:name="_Hlk85628973"/>
            <w:r w:rsidR="002D1344" w:rsidRPr="004834D3">
              <w:rPr>
                <w:rFonts w:cstheme="majorBidi"/>
                <w:sz w:val="24"/>
                <w:szCs w:val="24"/>
              </w:rPr>
              <w:t xml:space="preserve"> </w:t>
            </w:r>
            <m:oMath>
              <m:r>
                <m:rPr>
                  <m:sty m:val="p"/>
                </m:rPr>
                <w:rPr>
                  <w:rFonts w:ascii="Cambria Math" w:hAnsi="Cambria Math" w:cstheme="majorBidi"/>
                  <w:sz w:val="24"/>
                  <w:szCs w:val="24"/>
                </w:rPr>
                <m:t>Gr</m:t>
              </m:r>
            </m:oMath>
            <w:r w:rsidR="002D1344" w:rsidRPr="004834D3">
              <w:rPr>
                <w:rFonts w:eastAsiaTheme="minorEastAsia" w:cstheme="majorBidi"/>
                <w:sz w:val="24"/>
                <w:szCs w:val="24"/>
              </w:rPr>
              <w:t xml:space="preserve"> = 1000</w:t>
            </w:r>
            <w:r w:rsidR="002D1344" w:rsidRPr="004834D3">
              <w:rPr>
                <w:rFonts w:cstheme="majorBidi"/>
                <w:sz w:val="24"/>
                <w:szCs w:val="24"/>
              </w:rPr>
              <w:t xml:space="preserve">, </w:t>
            </w:r>
            <m:oMath>
              <m:r>
                <m:rPr>
                  <m:sty m:val="p"/>
                </m:rPr>
                <w:rPr>
                  <w:rFonts w:ascii="Cambria Math" w:hAnsi="Cambria Math" w:cstheme="majorBidi"/>
                  <w:sz w:val="24"/>
                  <w:szCs w:val="24"/>
                </w:rPr>
                <m:t>Ste</m:t>
              </m:r>
            </m:oMath>
            <w:r w:rsidR="002D1344" w:rsidRPr="004834D3">
              <w:rPr>
                <w:rFonts w:eastAsiaTheme="minorEastAsia" w:cstheme="majorBidi"/>
                <w:sz w:val="24"/>
                <w:szCs w:val="24"/>
              </w:rPr>
              <w:t xml:space="preserve"> = 0.1</w:t>
            </w:r>
            <w:r w:rsidR="002D1344" w:rsidRPr="004834D3">
              <w:rPr>
                <w:rFonts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Y</m:t>
                  </m:r>
                </m:e>
                <m:sub>
                  <m:r>
                    <w:rPr>
                      <w:rFonts w:ascii="Cambria Math" w:hAnsi="Cambria Math" w:cstheme="majorBidi"/>
                      <w:sz w:val="24"/>
                      <w:szCs w:val="24"/>
                    </w:rPr>
                    <m:t>0</m:t>
                  </m:r>
                </m:sub>
                <m:sup>
                  <m:r>
                    <w:rPr>
                      <w:rFonts w:ascii="Cambria Math" w:hAnsi="Cambria Math" w:cstheme="majorBidi"/>
                      <w:sz w:val="24"/>
                      <w:szCs w:val="24"/>
                    </w:rPr>
                    <m:t>*</m:t>
                  </m:r>
                </m:sup>
              </m:sSubSup>
            </m:oMath>
            <w:r w:rsidR="002D1344" w:rsidRPr="004834D3">
              <w:rPr>
                <w:rFonts w:eastAsiaTheme="minorEastAsia" w:cstheme="majorBidi"/>
                <w:sz w:val="24"/>
                <w:szCs w:val="24"/>
              </w:rPr>
              <w:t xml:space="preserve"> = 0.5.</w:t>
            </w:r>
            <w:bookmarkEnd w:id="97"/>
            <w:bookmarkEnd w:id="98"/>
          </w:p>
        </w:tc>
      </w:tr>
    </w:tbl>
    <w:p w14:paraId="5FC16CB2" w14:textId="4D8FF81A" w:rsidR="002D1344" w:rsidRPr="004834D3" w:rsidRDefault="002D1344" w:rsidP="004C6625">
      <w:pPr>
        <w:spacing w:before="360" w:after="240" w:line="480" w:lineRule="auto"/>
        <w:ind w:firstLine="720"/>
        <w:jc w:val="both"/>
        <w:rPr>
          <w:rFonts w:cstheme="majorBidi"/>
        </w:rPr>
      </w:pPr>
      <w:r w:rsidRPr="004834D3">
        <w:rPr>
          <w:rFonts w:cstheme="majorBidi"/>
        </w:rPr>
        <w:lastRenderedPageBreak/>
        <w:t xml:space="preserve">Figure </w:t>
      </w:r>
      <w:r w:rsidR="00FD3C90">
        <w:rPr>
          <w:rFonts w:cstheme="majorBidi"/>
        </w:rPr>
        <w:t>6</w:t>
      </w:r>
      <w:r w:rsidR="00A6035D">
        <w:rPr>
          <w:rFonts w:cstheme="majorBidi"/>
        </w:rPr>
        <w:t>-4</w:t>
      </w:r>
      <w:r w:rsidRPr="004834D3">
        <w:rPr>
          <w:rFonts w:cstheme="majorBidi"/>
        </w:rPr>
        <w:t xml:space="preserve"> reveals that the particle lateral position, particle mass, and Nu number on the particle surface are similar across all considered Re number values until a dimensionless time of approximately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Pr="004834D3">
        <w:rPr>
          <w:rFonts w:eastAsiaTheme="minorEastAsia" w:cstheme="majorBidi"/>
        </w:rPr>
        <w:t xml:space="preserve"> 0.2</w:t>
      </w:r>
      <w:r w:rsidRPr="004834D3">
        <w:rPr>
          <w:rFonts w:cstheme="majorBidi"/>
        </w:rPr>
        <w:t xml:space="preserve">. This initial uniformity can be attributed to the fluid's starting condition of being at rest, with the flow only beginning to accelerate due to the applied pressure gradient as the simulation begins. In these early stages, the average flow velocity remains relatively low, and the fluid's velocity profile has not yet developed fully. Consequently, the particle's motion is predominantly influenced by the natural convection around it, causing it to migrate downward along with the downward </w:t>
      </w:r>
      <w:r w:rsidR="00E45287">
        <w:rPr>
          <w:rFonts w:cstheme="majorBidi"/>
        </w:rPr>
        <w:t xml:space="preserve">movement of the natural </w:t>
      </w:r>
      <w:r w:rsidRPr="004834D3">
        <w:rPr>
          <w:rFonts w:cstheme="majorBidi"/>
        </w:rPr>
        <w:t>convecti</w:t>
      </w:r>
      <w:r w:rsidR="00E45287">
        <w:rPr>
          <w:rFonts w:cstheme="majorBidi"/>
        </w:rPr>
        <w:t>on</w:t>
      </w:r>
      <w:r w:rsidRPr="004834D3">
        <w:rPr>
          <w:rFonts w:cstheme="majorBidi"/>
        </w:rPr>
        <w:t xml:space="preserve"> </w:t>
      </w:r>
      <w:r w:rsidR="00E45287">
        <w:rPr>
          <w:rFonts w:cstheme="majorBidi"/>
        </w:rPr>
        <w:t>flow</w:t>
      </w:r>
      <w:r w:rsidRPr="004834D3">
        <w:rPr>
          <w:rFonts w:cstheme="majorBidi"/>
        </w:rPr>
        <w:t xml:space="preserve">. As the particle descends and moves away from the channel's centerline, the increasing velocity difference between the upper and lower sides of the particle, driven by the parabolic nature of the developing velocity profile, leads to a clockwise (negative) rotation of the particle. This rotation generates increased pressure on the particle's lower side—a phenomenon known as the Magnus effect </w:t>
      </w:r>
      <w:r w:rsidRPr="004834D3">
        <w:rPr>
          <w:rFonts w:eastAsiaTheme="minorEastAsia" w:cstheme="majorBidi"/>
        </w:rPr>
        <w:fldChar w:fldCharType="begin" w:fldLock="1"/>
      </w:r>
      <w:r w:rsidR="00D83446">
        <w:rPr>
          <w:rFonts w:eastAsiaTheme="minorEastAsia" w:cstheme="majorBidi"/>
        </w:rPr>
        <w:instrText>ADDIN CSL_CITATION {"citationItems":[{"id":"ITEM-1","itemData":{"DOI":"10.1038/1941269b0","ISSN":"00280836","abstract":"Segré and Silberberg1 recently observed that when an initially uniform dilute suspension of rigid spheres passes through a circular tube in laminar flow, the spheres tend to concentrate into an annular region about half-way between the tube centre and tube wall. It was suggested that the inward motion of the spheres resulted from a force, akin to the Magnus effect, which was present because the spheres rotated as they passed through the tube. Work by Tollert2, Saffmann3 and Rubinow and Keller 4 has also indicated the presence of an inward force of the above type, while the 'minimum energy dissipation' theory of Jeffery shows that the spheres should move inwards and eventually travel along the tube axis. Unfortunately no satisfactory explanation has been given of the fact that, in the above experiment1, the inner spheres moved outwards while the outer spheres ceased to move inwards when they reached the region of the annulus. © 1962 Nature Publishing Group.","author":[{"dropping-particle":"","family":"Oliver","given":"D. R.","non-dropping-particle":"","parse-names":false,"suffix":""}],"container-title":"Nature","id":"ITEM-1","issue":"4835","issued":{"date-parts":[["1962"]]},"page":"1269-1271","title":"Influence of particle rotation on radial migration in the Poiseuille flow of suspensions","type":"article-journal","volume":"194"},"uris":["http://www.mendeley.com/documents/?uuid=d4c0530c-3814-4c80-b48a-0b344a599daa","http://www.mendeley.com/documents/?uuid=e6bd4930-a70d-4f3e-a050-edf4917b22a3"]}],"mendeley":{"formattedCitation":"[183]","plainTextFormattedCitation":"[183]","previouslyFormattedCitation":"[184]"},"properties":{"noteIndex":0},"schema":"https://github.com/citation-style-language/schema/raw/master/csl-citation.json"}</w:instrText>
      </w:r>
      <w:r w:rsidRPr="004834D3">
        <w:rPr>
          <w:rFonts w:eastAsiaTheme="minorEastAsia" w:cstheme="majorBidi"/>
        </w:rPr>
        <w:fldChar w:fldCharType="separate"/>
      </w:r>
      <w:r w:rsidR="00D83446" w:rsidRPr="00D83446">
        <w:rPr>
          <w:rFonts w:eastAsiaTheme="minorEastAsia" w:cstheme="majorBidi"/>
          <w:noProof/>
        </w:rPr>
        <w:t>[183]</w:t>
      </w:r>
      <w:r w:rsidRPr="004834D3">
        <w:rPr>
          <w:rFonts w:eastAsiaTheme="minorEastAsia" w:cstheme="majorBidi"/>
        </w:rPr>
        <w:fldChar w:fldCharType="end"/>
      </w:r>
      <w:r w:rsidRPr="004834D3">
        <w:rPr>
          <w:rFonts w:cstheme="majorBidi"/>
        </w:rPr>
        <w:t xml:space="preserve">—which exerts an upward force on the particle. The magnitude of this upward force, along with the velocity difference and angular velocity, escalates with higher </w:t>
      </w:r>
      <m:oMath>
        <m:r>
          <m:rPr>
            <m:sty m:val="p"/>
          </m:rPr>
          <w:rPr>
            <w:rFonts w:ascii="Cambria Math" w:hAnsi="Cambria Math" w:cstheme="majorBidi"/>
          </w:rPr>
          <m:t>Re</m:t>
        </m:r>
      </m:oMath>
      <w:r w:rsidRPr="004834D3">
        <w:rPr>
          <w:rFonts w:cstheme="majorBidi"/>
        </w:rPr>
        <w:t xml:space="preserve"> values. For </w:t>
      </w:r>
      <m:oMath>
        <m:r>
          <m:rPr>
            <m:sty m:val="p"/>
          </m:rPr>
          <w:rPr>
            <w:rFonts w:ascii="Cambria Math" w:hAnsi="Cambria Math" w:cstheme="majorBidi"/>
          </w:rPr>
          <m:t>Re</m:t>
        </m:r>
      </m:oMath>
      <w:r w:rsidRPr="004834D3">
        <w:rPr>
          <w:rFonts w:cstheme="majorBidi"/>
        </w:rPr>
        <w:t xml:space="preserve"> values of 500 and 1</w:t>
      </w:r>
      <w:r w:rsidR="00E45287">
        <w:rPr>
          <w:rFonts w:cstheme="majorBidi"/>
        </w:rPr>
        <w:t>,</w:t>
      </w:r>
      <w:r w:rsidRPr="004834D3">
        <w:rPr>
          <w:rFonts w:cstheme="majorBidi"/>
        </w:rPr>
        <w:t xml:space="preserve">000, these dynamics cause the particle to shift slightly closer to the centerline, thereby reducing its exposure to the heated wall. This reduced proximity results in a lower melting rate, as depicted in Fig. </w:t>
      </w:r>
      <w:r w:rsidR="00FD3C90">
        <w:rPr>
          <w:rFonts w:cstheme="majorBidi"/>
        </w:rPr>
        <w:t>6</w:t>
      </w:r>
      <w:r w:rsidR="00A6035D">
        <w:rPr>
          <w:rFonts w:cstheme="majorBidi"/>
        </w:rPr>
        <w:t>-4(</w:t>
      </w:r>
      <w:r w:rsidRPr="004834D3">
        <w:rPr>
          <w:rFonts w:cstheme="majorBidi"/>
        </w:rPr>
        <w:t>b</w:t>
      </w:r>
      <w:r w:rsidR="00A6035D">
        <w:rPr>
          <w:rFonts w:cstheme="majorBidi"/>
        </w:rPr>
        <w:t>)</w:t>
      </w:r>
      <w:r w:rsidRPr="004834D3">
        <w:rPr>
          <w:rFonts w:cstheme="majorBidi"/>
        </w:rPr>
        <w:t xml:space="preserve">. </w:t>
      </w:r>
    </w:p>
    <w:p w14:paraId="1A73CA39" w14:textId="03CBE751" w:rsidR="002D1344" w:rsidRPr="004834D3" w:rsidRDefault="002D1344" w:rsidP="004C6625">
      <w:pPr>
        <w:spacing w:before="240" w:after="240" w:line="480" w:lineRule="auto"/>
        <w:ind w:firstLine="720"/>
        <w:jc w:val="both"/>
        <w:rPr>
          <w:rFonts w:cstheme="majorBidi"/>
        </w:rPr>
      </w:pPr>
      <w:r w:rsidRPr="004834D3">
        <w:rPr>
          <w:rFonts w:cstheme="majorBidi"/>
        </w:rPr>
        <w:t xml:space="preserve">Figure </w:t>
      </w:r>
      <w:r w:rsidR="00FD3C90">
        <w:rPr>
          <w:rFonts w:cstheme="majorBidi"/>
        </w:rPr>
        <w:t>6</w:t>
      </w:r>
      <w:r w:rsidR="00A6035D">
        <w:rPr>
          <w:rFonts w:cstheme="majorBidi"/>
        </w:rPr>
        <w:t>-4</w:t>
      </w:r>
      <w:r w:rsidR="00485975">
        <w:rPr>
          <w:rFonts w:cstheme="majorBidi"/>
        </w:rPr>
        <w:t>(c)</w:t>
      </w:r>
      <w:r w:rsidRPr="004834D3">
        <w:rPr>
          <w:rFonts w:cstheme="majorBidi"/>
        </w:rPr>
        <w:t xml:space="preserve"> illustrates the impact of </w:t>
      </w:r>
      <m:oMath>
        <m:r>
          <m:rPr>
            <m:sty m:val="p"/>
          </m:rPr>
          <w:rPr>
            <w:rFonts w:ascii="Cambria Math" w:hAnsi="Cambria Math" w:cstheme="majorBidi"/>
          </w:rPr>
          <m:t>Re</m:t>
        </m:r>
      </m:oMath>
      <w:r w:rsidRPr="004834D3">
        <w:rPr>
          <w:rFonts w:cstheme="majorBidi"/>
        </w:rPr>
        <w:t xml:space="preserve"> number on the </w:t>
      </w:r>
      <m:oMath>
        <m:r>
          <m:rPr>
            <m:sty m:val="p"/>
          </m:rPr>
          <w:rPr>
            <w:rFonts w:ascii="Cambria Math" w:hAnsi="Cambria Math" w:cstheme="majorBidi"/>
          </w:rPr>
          <m:t>Nu</m:t>
        </m:r>
      </m:oMath>
      <w:r w:rsidRPr="004834D3">
        <w:rPr>
          <w:rFonts w:cstheme="majorBidi"/>
        </w:rPr>
        <w:t xml:space="preserve"> number, as defined in Eq. </w:t>
      </w:r>
      <w:r w:rsidR="00FD3C90">
        <w:rPr>
          <w:rFonts w:cstheme="majorBidi"/>
        </w:rPr>
        <w:t>6</w:t>
      </w:r>
      <w:r w:rsidR="00A6035D">
        <w:rPr>
          <w:rFonts w:cstheme="majorBidi"/>
        </w:rPr>
        <w:t>-1</w:t>
      </w:r>
      <w:r w:rsidRPr="004834D3">
        <w:rPr>
          <w:rFonts w:cstheme="majorBidi"/>
        </w:rPr>
        <w:t xml:space="preserve">. Across all Re values, Nu starts high and then drops significantly in the early stages of the simulation. This initial surge in Nu can be attributed to the large temperature difference between the particle, which maintains a constant temperature at </w:t>
      </w:r>
      <m:oMath>
        <m:sSub>
          <m:sSubPr>
            <m:ctrlPr>
              <w:rPr>
                <w:rFonts w:ascii="Cambria Math" w:hAnsi="Cambria Math" w:cstheme="majorBidi"/>
                <w:i/>
                <w:iCs/>
              </w:rPr>
            </m:ctrlPr>
          </m:sSubPr>
          <m:e>
            <m:r>
              <w:rPr>
                <w:rFonts w:ascii="Cambria Math" w:hAnsi="Cambria Math" w:cstheme="majorBidi"/>
              </w:rPr>
              <m:t>T</m:t>
            </m:r>
          </m:e>
          <m:sub>
            <m:r>
              <w:rPr>
                <w:rFonts w:ascii="Cambria Math" w:hAnsi="Cambria Math" w:cstheme="majorBidi"/>
                <w:vertAlign w:val="subscript"/>
              </w:rPr>
              <m:t>m</m:t>
            </m:r>
          </m:sub>
        </m:sSub>
      </m:oMath>
      <w:r w:rsidRPr="004834D3">
        <w:rPr>
          <w:rFonts w:cstheme="majorBidi"/>
        </w:rPr>
        <w:t xml:space="preserve">, and the surrounding fluid, initially at </w:t>
      </w:r>
      <m:oMath>
        <m:sSub>
          <m:sSubPr>
            <m:ctrlPr>
              <w:rPr>
                <w:rFonts w:ascii="Cambria Math" w:hAnsi="Cambria Math" w:cstheme="majorBidi"/>
                <w:i/>
                <w:iCs/>
              </w:rPr>
            </m:ctrlPr>
          </m:sSubPr>
          <m:e>
            <m:r>
              <w:rPr>
                <w:rFonts w:ascii="Cambria Math" w:hAnsi="Cambria Math" w:cstheme="majorBidi"/>
              </w:rPr>
              <m:t>T</m:t>
            </m:r>
          </m:e>
          <m:sub>
            <m:r>
              <w:rPr>
                <w:rFonts w:ascii="Cambria Math" w:hAnsi="Cambria Math" w:cstheme="majorBidi"/>
                <w:vertAlign w:val="subscript"/>
              </w:rPr>
              <m:t>h</m:t>
            </m:r>
          </m:sub>
        </m:sSub>
      </m:oMath>
      <w:r w:rsidRPr="004834D3">
        <w:rPr>
          <w:rFonts w:cstheme="majorBidi"/>
        </w:rPr>
        <w:t xml:space="preserve"> but cooling over time due to thermal diffusion from the particle surface. Consequently, the temperature gradient at the particle surface is most pronounced at the start of the simulation, </w:t>
      </w:r>
      <w:r w:rsidRPr="004834D3">
        <w:rPr>
          <w:rFonts w:cstheme="majorBidi"/>
        </w:rPr>
        <w:lastRenderedPageBreak/>
        <w:t xml:space="preserve">leading to a higher initial heat transfer rate which diminishes as the temperature difference decreases. Simultaneously, the particle, initially released from the centerline, moves closer to the heated bottom wall due to downward natural convection-induced flow. This movement affects the thermal dynamics: while the decreasing temperature gradients at the particle surface leads to a reduction in the heat transfer rate, the proximity to the heated bottom increases it. In the initial phase </w:t>
      </w:r>
      <w:r w:rsidR="00E45287">
        <w:rPr>
          <w:rFonts w:cstheme="majorBidi"/>
        </w:rPr>
        <w:t>(</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00E45287">
        <w:rPr>
          <w:rFonts w:eastAsiaTheme="minorEastAsia" w:cstheme="majorBidi"/>
        </w:rPr>
        <w:t xml:space="preserve"> 0.15</w:t>
      </w:r>
      <w:r w:rsidRPr="004834D3">
        <w:rPr>
          <w:rFonts w:cstheme="majorBidi"/>
        </w:rPr>
        <w:t xml:space="preserve">), the reduction in temperature gradient is the dominant factor, resulting in a decrease in Nu. </w:t>
      </w:r>
      <w:r w:rsidRPr="00D72929">
        <w:rPr>
          <w:rFonts w:cstheme="majorBidi"/>
        </w:rPr>
        <w:t xml:space="preserve">For </w:t>
      </w:r>
      <w:r w:rsidR="00E45287">
        <w:rPr>
          <w:rFonts w:cstheme="majorBidi"/>
        </w:rPr>
        <w:t xml:space="preserve">0.15 </w:t>
      </w:r>
      <m:oMath>
        <m:r>
          <w:rPr>
            <w:rFonts w:ascii="Cambria Math" w:eastAsiaTheme="minorEastAsia" w:hAnsi="Cambria Math" w:cstheme="majorBidi"/>
          </w:rPr>
          <m:t>≲</m:t>
        </m:r>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00E45287">
        <w:rPr>
          <w:rFonts w:eastAsiaTheme="minorEastAsia" w:cstheme="majorBidi"/>
        </w:rPr>
        <w:t xml:space="preserve"> 0.25</w:t>
      </w:r>
      <w:r w:rsidRPr="00D72929">
        <w:rPr>
          <w:rFonts w:cstheme="majorBidi"/>
        </w:rPr>
        <w:t>, the</w:t>
      </w:r>
      <w:r w:rsidRPr="004834D3">
        <w:rPr>
          <w:rFonts w:cstheme="majorBidi"/>
        </w:rPr>
        <w:t xml:space="preserve"> influence of the heated wall becomes slightly more pronounced, causing an increase in </w:t>
      </w:r>
      <m:oMath>
        <m:r>
          <m:rPr>
            <m:sty m:val="p"/>
          </m:rPr>
          <w:rPr>
            <w:rFonts w:ascii="Cambria Math" w:hAnsi="Cambria Math" w:cstheme="majorBidi"/>
          </w:rPr>
          <m:t>Nu</m:t>
        </m:r>
      </m:oMath>
      <w:r w:rsidRPr="004834D3">
        <w:rPr>
          <w:rFonts w:cstheme="majorBidi"/>
        </w:rPr>
        <w:t>. In later stages, as the particle's lateral movement stabilizes and continuous diffusion along with particle shrinkage persists, the overall heat transfer rate gradually declines. Moreover, as shown in Fig</w:t>
      </w:r>
      <w:r w:rsidR="00E45287">
        <w:rPr>
          <w:rFonts w:cstheme="majorBidi"/>
        </w:rPr>
        <w:t>.</w:t>
      </w:r>
      <w:r w:rsidRPr="004834D3">
        <w:rPr>
          <w:rFonts w:cstheme="majorBidi"/>
        </w:rPr>
        <w:t xml:space="preserve"> </w:t>
      </w:r>
      <w:r w:rsidR="00FD3C90">
        <w:rPr>
          <w:rFonts w:cstheme="majorBidi"/>
        </w:rPr>
        <w:t>6</w:t>
      </w:r>
      <w:r w:rsidR="00E45287">
        <w:rPr>
          <w:rFonts w:cstheme="majorBidi"/>
        </w:rPr>
        <w:t>-4(</w:t>
      </w:r>
      <w:r w:rsidRPr="004834D3">
        <w:rPr>
          <w:rFonts w:cstheme="majorBidi"/>
        </w:rPr>
        <w:t>c</w:t>
      </w:r>
      <w:r w:rsidR="00E45287">
        <w:rPr>
          <w:rFonts w:cstheme="majorBidi"/>
        </w:rPr>
        <w:t>)</w:t>
      </w:r>
      <w:r w:rsidRPr="004834D3">
        <w:rPr>
          <w:rFonts w:cstheme="majorBidi"/>
        </w:rPr>
        <w:t xml:space="preserve">, increasing </w:t>
      </w:r>
      <m:oMath>
        <m:r>
          <m:rPr>
            <m:sty m:val="p"/>
          </m:rPr>
          <w:rPr>
            <w:rFonts w:ascii="Cambria Math" w:hAnsi="Cambria Math" w:cstheme="majorBidi"/>
          </w:rPr>
          <m:t>Re</m:t>
        </m:r>
      </m:oMath>
      <w:r w:rsidRPr="004834D3">
        <w:rPr>
          <w:rFonts w:cstheme="majorBidi"/>
        </w:rPr>
        <w:t xml:space="preserve"> tends to result in a marginally lower </w:t>
      </w:r>
      <m:oMath>
        <m:r>
          <m:rPr>
            <m:sty m:val="p"/>
          </m:rPr>
          <w:rPr>
            <w:rFonts w:ascii="Cambria Math" w:hAnsi="Cambria Math" w:cstheme="majorBidi"/>
          </w:rPr>
          <m:t>Nu</m:t>
        </m:r>
      </m:oMath>
      <w:r w:rsidRPr="004834D3">
        <w:rPr>
          <w:rFonts w:cstheme="majorBidi"/>
        </w:rPr>
        <w:t xml:space="preserve">. This trend is linked to the particle's relatively greater distance from the heated bottom wall at higher </w:t>
      </w:r>
      <m:oMath>
        <m:r>
          <m:rPr>
            <m:sty m:val="p"/>
          </m:rPr>
          <w:rPr>
            <w:rFonts w:ascii="Cambria Math" w:hAnsi="Cambria Math" w:cstheme="majorBidi"/>
          </w:rPr>
          <m:t>Re</m:t>
        </m:r>
      </m:oMath>
      <w:r w:rsidRPr="004834D3">
        <w:rPr>
          <w:rFonts w:cstheme="majorBidi"/>
        </w:rPr>
        <w:t xml:space="preserve"> values, as depicted in Fig. </w:t>
      </w:r>
      <w:r w:rsidR="00FD3C90">
        <w:rPr>
          <w:rFonts w:cstheme="majorBidi"/>
        </w:rPr>
        <w:t>6</w:t>
      </w:r>
      <w:r w:rsidR="00D72929">
        <w:rPr>
          <w:rFonts w:cstheme="majorBidi"/>
        </w:rPr>
        <w:t>-4(</w:t>
      </w:r>
      <w:r w:rsidRPr="004834D3">
        <w:rPr>
          <w:rFonts w:cstheme="majorBidi"/>
        </w:rPr>
        <w:t>a</w:t>
      </w:r>
      <w:r w:rsidR="00D72929">
        <w:rPr>
          <w:rFonts w:cstheme="majorBidi"/>
        </w:rPr>
        <w:t>)</w:t>
      </w:r>
      <w:r w:rsidRPr="004834D3">
        <w:rPr>
          <w:rFonts w:cstheme="majorBidi"/>
        </w:rPr>
        <w:t xml:space="preserve">. </w:t>
      </w:r>
    </w:p>
    <w:p w14:paraId="6721B336" w14:textId="4B9E9517" w:rsidR="002D1344" w:rsidRDefault="002D1344" w:rsidP="004C6625">
      <w:pPr>
        <w:spacing w:before="240" w:after="240" w:line="480" w:lineRule="auto"/>
        <w:ind w:firstLine="720"/>
        <w:jc w:val="both"/>
        <w:rPr>
          <w:rFonts w:cstheme="majorBidi"/>
        </w:rPr>
      </w:pPr>
      <w:r w:rsidRPr="004834D3">
        <w:rPr>
          <w:rFonts w:cstheme="majorBidi"/>
        </w:rPr>
        <w:t xml:space="preserve">Figure </w:t>
      </w:r>
      <w:r w:rsidR="00FD3C90">
        <w:rPr>
          <w:rFonts w:cstheme="majorBidi"/>
        </w:rPr>
        <w:t>6</w:t>
      </w:r>
      <w:r w:rsidR="00215827">
        <w:rPr>
          <w:rFonts w:cstheme="majorBidi"/>
        </w:rPr>
        <w:t>-5</w:t>
      </w:r>
      <w:r w:rsidRPr="004834D3">
        <w:rPr>
          <w:rFonts w:cstheme="majorBidi"/>
        </w:rPr>
        <w:t xml:space="preserve"> show</w:t>
      </w:r>
      <w:r w:rsidR="00895831">
        <w:rPr>
          <w:rFonts w:cstheme="majorBidi"/>
        </w:rPr>
        <w:t>s</w:t>
      </w:r>
      <w:r w:rsidRPr="004834D3">
        <w:rPr>
          <w:rFonts w:cstheme="majorBidi"/>
        </w:rPr>
        <w:t xml:space="preserve"> how </w:t>
      </w:r>
      <m:oMath>
        <m:r>
          <m:rPr>
            <m:sty m:val="p"/>
          </m:rPr>
          <w:rPr>
            <w:rFonts w:ascii="Cambria Math" w:hAnsi="Cambria Math" w:cstheme="majorBidi"/>
          </w:rPr>
          <m:t>Re</m:t>
        </m:r>
      </m:oMath>
      <w:r w:rsidRPr="004834D3">
        <w:rPr>
          <w:rFonts w:cstheme="majorBidi"/>
        </w:rPr>
        <w:t xml:space="preserve"> number influences the predicted transient slip and rotational velocities of the particle. The slip velocity is calculated as the difference between the particle's axial velocity and the corresponding undisturbed flow velocity at the same lateral position as the particle's center. As depicted in Fig. </w:t>
      </w:r>
      <w:r w:rsidR="00FD3C90">
        <w:rPr>
          <w:rFonts w:cstheme="majorBidi"/>
        </w:rPr>
        <w:t>6</w:t>
      </w:r>
      <w:r w:rsidR="00215827">
        <w:rPr>
          <w:rFonts w:cstheme="majorBidi"/>
        </w:rPr>
        <w:t>-5(</w:t>
      </w:r>
      <w:r w:rsidRPr="004834D3">
        <w:rPr>
          <w:rFonts w:cstheme="majorBidi"/>
        </w:rPr>
        <w:t>a</w:t>
      </w:r>
      <w:r w:rsidR="00215827">
        <w:rPr>
          <w:rFonts w:cstheme="majorBidi"/>
        </w:rPr>
        <w:t>)</w:t>
      </w:r>
      <w:r w:rsidRPr="004834D3">
        <w:rPr>
          <w:rFonts w:cstheme="majorBidi"/>
        </w:rPr>
        <w:t xml:space="preserve">, across all considered </w:t>
      </w:r>
      <m:oMath>
        <m:r>
          <m:rPr>
            <m:sty m:val="p"/>
          </m:rPr>
          <w:rPr>
            <w:rFonts w:ascii="Cambria Math" w:hAnsi="Cambria Math" w:cstheme="majorBidi"/>
          </w:rPr>
          <m:t>Re</m:t>
        </m:r>
      </m:oMath>
      <w:r w:rsidRPr="004834D3">
        <w:rPr>
          <w:rFonts w:cstheme="majorBidi"/>
        </w:rPr>
        <w:t xml:space="preserve"> values, the particle consistently lags behind the flow. Notably, this lag tends to increase with higher </w:t>
      </w:r>
      <m:oMath>
        <m:r>
          <m:rPr>
            <m:sty m:val="p"/>
          </m:rPr>
          <w:rPr>
            <w:rFonts w:ascii="Cambria Math" w:hAnsi="Cambria Math" w:cstheme="majorBidi"/>
          </w:rPr>
          <m:t>Re</m:t>
        </m:r>
      </m:oMath>
      <w:r w:rsidRPr="004834D3">
        <w:rPr>
          <w:rFonts w:cstheme="majorBidi"/>
        </w:rPr>
        <w:t xml:space="preserve"> values, indicating a more pronounced relative motion. However, at </w:t>
      </w:r>
      <m:oMath>
        <m:r>
          <m:rPr>
            <m:sty m:val="p"/>
          </m:rPr>
          <w:rPr>
            <w:rFonts w:ascii="Cambria Math" w:hAnsi="Cambria Math" w:cstheme="majorBidi"/>
          </w:rPr>
          <m:t>Re</m:t>
        </m:r>
      </m:oMath>
      <w:r w:rsidRPr="004834D3">
        <w:rPr>
          <w:rFonts w:cstheme="majorBidi"/>
        </w:rPr>
        <w:t xml:space="preserve"> = 1</w:t>
      </w:r>
      <w:r w:rsidR="00895831">
        <w:rPr>
          <w:rFonts w:cstheme="majorBidi"/>
        </w:rPr>
        <w:t>,</w:t>
      </w:r>
      <w:r w:rsidRPr="004834D3">
        <w:rPr>
          <w:rFonts w:cstheme="majorBidi"/>
        </w:rPr>
        <w:t xml:space="preserve">000, the magnitude of this lag decreases after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oMath>
      <w:r w:rsidRPr="004834D3">
        <w:rPr>
          <w:rFonts w:eastAsiaTheme="minorEastAsia" w:cstheme="majorBidi"/>
        </w:rPr>
        <w:t xml:space="preserve"> </w:t>
      </w:r>
      <m:oMath>
        <m:r>
          <w:rPr>
            <w:rFonts w:ascii="Cambria Math" w:eastAsiaTheme="minorEastAsia" w:hAnsi="Cambria Math" w:cstheme="majorBidi"/>
          </w:rPr>
          <m:t>≈</m:t>
        </m:r>
      </m:oMath>
      <w:r w:rsidRPr="004834D3">
        <w:rPr>
          <w:rFonts w:eastAsiaTheme="minorEastAsia" w:cstheme="majorBidi"/>
        </w:rPr>
        <w:t xml:space="preserve"> 0.3</w:t>
      </w:r>
      <w:r w:rsidRPr="004834D3">
        <w:rPr>
          <w:rFonts w:cstheme="majorBidi"/>
        </w:rPr>
        <w:t xml:space="preserve">. This reduction is associated with the particle's migration towards the channel centerline, as observed in Fig. </w:t>
      </w:r>
      <w:r w:rsidR="00FD3C90">
        <w:rPr>
          <w:rFonts w:cstheme="majorBidi"/>
        </w:rPr>
        <w:t>6</w:t>
      </w:r>
      <w:r w:rsidR="00215827">
        <w:rPr>
          <w:rFonts w:cstheme="majorBidi"/>
        </w:rPr>
        <w:t>-4(</w:t>
      </w:r>
      <w:r w:rsidRPr="004834D3">
        <w:rPr>
          <w:rFonts w:cstheme="majorBidi"/>
        </w:rPr>
        <w:t>a</w:t>
      </w:r>
      <w:r w:rsidR="00215827">
        <w:rPr>
          <w:rFonts w:cstheme="majorBidi"/>
        </w:rPr>
        <w:t>)</w:t>
      </w:r>
      <w:r w:rsidRPr="004834D3">
        <w:rPr>
          <w:rFonts w:cstheme="majorBidi"/>
        </w:rPr>
        <w:t xml:space="preserve">. Furthermore, Fig. </w:t>
      </w:r>
      <w:r w:rsidR="00FD3C90">
        <w:rPr>
          <w:rFonts w:cstheme="majorBidi"/>
        </w:rPr>
        <w:t>6</w:t>
      </w:r>
      <w:r w:rsidR="00215827">
        <w:rPr>
          <w:rFonts w:cstheme="majorBidi"/>
        </w:rPr>
        <w:t>-5(</w:t>
      </w:r>
      <w:r w:rsidRPr="004834D3">
        <w:rPr>
          <w:rFonts w:cstheme="majorBidi"/>
        </w:rPr>
        <w:t>b</w:t>
      </w:r>
      <w:r w:rsidR="00215827">
        <w:rPr>
          <w:rFonts w:cstheme="majorBidi"/>
        </w:rPr>
        <w:t>)</w:t>
      </w:r>
      <w:r w:rsidRPr="004834D3">
        <w:rPr>
          <w:rFonts w:cstheme="majorBidi"/>
        </w:rPr>
        <w:t xml:space="preserve"> illustrates that the rotational velocity of the particle generally increases with higher </w:t>
      </w:r>
      <m:oMath>
        <m:r>
          <m:rPr>
            <m:sty m:val="p"/>
          </m:rPr>
          <w:rPr>
            <w:rFonts w:ascii="Cambria Math" w:hAnsi="Cambria Math" w:cstheme="majorBidi"/>
          </w:rPr>
          <m:t>Re</m:t>
        </m:r>
      </m:oMath>
      <w:r w:rsidRPr="004834D3">
        <w:rPr>
          <w:rFonts w:cstheme="majorBidi"/>
        </w:rPr>
        <w:t xml:space="preserve">. This trend is </w:t>
      </w:r>
      <w:r w:rsidR="00895831">
        <w:rPr>
          <w:rFonts w:cstheme="majorBidi"/>
        </w:rPr>
        <w:t xml:space="preserve">due </w:t>
      </w:r>
      <w:r w:rsidRPr="004834D3">
        <w:rPr>
          <w:rFonts w:cstheme="majorBidi"/>
        </w:rPr>
        <w:t xml:space="preserve">to the growing velocity difference between the top and bottom of the particle as </w:t>
      </w:r>
      <m:oMath>
        <m:r>
          <m:rPr>
            <m:sty m:val="p"/>
          </m:rPr>
          <w:rPr>
            <w:rFonts w:ascii="Cambria Math" w:hAnsi="Cambria Math" w:cstheme="majorBidi"/>
          </w:rPr>
          <m:t>Re</m:t>
        </m:r>
      </m:oMath>
      <w:r w:rsidRPr="004834D3">
        <w:rPr>
          <w:rFonts w:cstheme="majorBidi"/>
        </w:rPr>
        <w:t xml:space="preserve"> increases, </w:t>
      </w:r>
      <w:r w:rsidR="00895831">
        <w:rPr>
          <w:rFonts w:cstheme="majorBidi"/>
        </w:rPr>
        <w:t>raising</w:t>
      </w:r>
      <w:r w:rsidRPr="004834D3">
        <w:rPr>
          <w:rFonts w:cstheme="majorBidi"/>
        </w:rPr>
        <w:t xml:space="preserve"> the rotational </w:t>
      </w:r>
      <w:r w:rsidR="00895831">
        <w:rPr>
          <w:rFonts w:cstheme="majorBidi"/>
        </w:rPr>
        <w:t>velocity</w:t>
      </w:r>
      <w:r w:rsidRPr="004834D3">
        <w:rPr>
          <w:rFonts w:cstheme="majorBidi"/>
        </w:rPr>
        <w:t xml:space="preserve">. For </w:t>
      </w:r>
      <m:oMath>
        <m:r>
          <m:rPr>
            <m:sty m:val="p"/>
          </m:rPr>
          <w:rPr>
            <w:rFonts w:ascii="Cambria Math" w:hAnsi="Cambria Math" w:cstheme="majorBidi"/>
          </w:rPr>
          <m:t>Re</m:t>
        </m:r>
      </m:oMath>
      <w:r w:rsidRPr="004834D3">
        <w:rPr>
          <w:rFonts w:cstheme="majorBidi"/>
        </w:rPr>
        <w:t xml:space="preserve"> = 500 and 1</w:t>
      </w:r>
      <w:r w:rsidR="00895831">
        <w:rPr>
          <w:rFonts w:cstheme="majorBidi"/>
        </w:rPr>
        <w:t>,</w:t>
      </w:r>
      <w:r w:rsidRPr="004834D3">
        <w:rPr>
          <w:rFonts w:cstheme="majorBidi"/>
        </w:rPr>
        <w:t xml:space="preserve">000, an oscillatory pattern is noted in the rotational velocity.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113FF" w:rsidRPr="004834D3" w14:paraId="1F6EA806" w14:textId="77777777" w:rsidTr="002113FF">
        <w:trPr>
          <w:jc w:val="center"/>
        </w:trPr>
        <w:tc>
          <w:tcPr>
            <w:tcW w:w="9350" w:type="dxa"/>
            <w:vAlign w:val="center"/>
          </w:tcPr>
          <w:p w14:paraId="7A6C1500" w14:textId="6B055C9C" w:rsidR="002113FF" w:rsidRPr="004834D3" w:rsidRDefault="002113FF" w:rsidP="004C6625">
            <w:pPr>
              <w:jc w:val="center"/>
              <w:rPr>
                <w:rFonts w:eastAsiaTheme="minorEastAsia" w:cstheme="majorBidi"/>
              </w:rPr>
            </w:pPr>
            <w:r w:rsidRPr="004834D3">
              <w:rPr>
                <w:rFonts w:cstheme="majorBidi"/>
                <w:noProof/>
              </w:rPr>
              <w:lastRenderedPageBreak/>
              <mc:AlternateContent>
                <mc:Choice Requires="wps">
                  <w:drawing>
                    <wp:anchor distT="45720" distB="45720" distL="114300" distR="114300" simplePos="0" relativeHeight="251693056" behindDoc="0" locked="0" layoutInCell="1" allowOverlap="1" wp14:anchorId="255D505B" wp14:editId="2296A8F1">
                      <wp:simplePos x="0" y="0"/>
                      <wp:positionH relativeFrom="column">
                        <wp:posOffset>4186555</wp:posOffset>
                      </wp:positionH>
                      <wp:positionV relativeFrom="paragraph">
                        <wp:posOffset>103505</wp:posOffset>
                      </wp:positionV>
                      <wp:extent cx="386715" cy="287020"/>
                      <wp:effectExtent l="0" t="0" r="0" b="0"/>
                      <wp:wrapNone/>
                      <wp:docPr id="987869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87020"/>
                              </a:xfrm>
                              <a:prstGeom prst="rect">
                                <a:avLst/>
                              </a:prstGeom>
                              <a:noFill/>
                              <a:ln w="9525">
                                <a:noFill/>
                                <a:miter lim="800000"/>
                                <a:headEnd/>
                                <a:tailEnd/>
                              </a:ln>
                            </wps:spPr>
                            <wps:txbx>
                              <w:txbxContent>
                                <w:p w14:paraId="6C3B8439" w14:textId="77777777" w:rsidR="002113FF" w:rsidRPr="00F77C31" w:rsidRDefault="002113FF" w:rsidP="002D1344">
                                  <w:pPr>
                                    <w:rPr>
                                      <w:rFonts w:cstheme="majorBidi"/>
                                    </w:rPr>
                                  </w:pPr>
                                  <w:r w:rsidRPr="00F77C31">
                                    <w:rPr>
                                      <w:rFonts w:cstheme="majorBidi"/>
                                    </w:rPr>
                                    <w:t>(</w:t>
                                  </w:r>
                                  <w:r>
                                    <w:rPr>
                                      <w:rFonts w:cstheme="majorBidi"/>
                                    </w:rPr>
                                    <w:t>a</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D505B" id="Text Box 8" o:spid="_x0000_s1035" type="#_x0000_t202" style="position:absolute;left:0;text-align:left;margin-left:329.65pt;margin-top:8.15pt;width:30.45pt;height:22.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TO/AEAANMDAAAOAAAAZHJzL2Uyb0RvYy54bWysU8tu2zAQvBfoPxC815JdO3YEy0GaNEWB&#10;9AGk/QCaoiyiJJdd0pbcr++SchyjvRXVgSC52tmd2eH6ZrCGHRQGDa7m00nJmXISGu12Nf/+7eHN&#10;i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" filled="f" stroked="f">
                      <v:textbox>
                        <w:txbxContent>
                          <w:p w14:paraId="6C3B8439" w14:textId="77777777" w:rsidR="002113FF" w:rsidRPr="00F77C31" w:rsidRDefault="002113FF" w:rsidP="002D1344">
                            <w:pPr>
                              <w:rPr>
                                <w:rFonts w:cstheme="majorBidi"/>
                              </w:rPr>
                            </w:pPr>
                            <w:r w:rsidRPr="00F77C31">
                              <w:rPr>
                                <w:rFonts w:cstheme="majorBidi"/>
                              </w:rPr>
                              <w:t>(</w:t>
                            </w:r>
                            <w:r>
                              <w:rPr>
                                <w:rFonts w:cstheme="majorBidi"/>
                              </w:rPr>
                              <w:t>a</w:t>
                            </w:r>
                            <w:r w:rsidRPr="00F77C31">
                              <w:rPr>
                                <w:rFonts w:cstheme="majorBidi"/>
                              </w:rPr>
                              <w:t>)``</w:t>
                            </w:r>
                          </w:p>
                        </w:txbxContent>
                      </v:textbox>
                    </v:shape>
                  </w:pict>
                </mc:Fallback>
              </mc:AlternateContent>
            </w:r>
            <w:r w:rsidRPr="004834D3">
              <w:rPr>
                <w:rFonts w:eastAsiaTheme="minorEastAsia" w:cstheme="majorBidi"/>
                <w:noProof/>
              </w:rPr>
              <w:drawing>
                <wp:inline distT="0" distB="0" distL="0" distR="0" wp14:anchorId="4BD22D81" wp14:editId="1ED64A08">
                  <wp:extent cx="3597914" cy="256032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597914" cy="2560320"/>
                          </a:xfrm>
                          <a:prstGeom prst="rect">
                            <a:avLst/>
                          </a:prstGeom>
                          <a:noFill/>
                          <a:ln>
                            <a:noFill/>
                          </a:ln>
                        </pic:spPr>
                      </pic:pic>
                    </a:graphicData>
                  </a:graphic>
                </wp:inline>
              </w:drawing>
            </w:r>
          </w:p>
        </w:tc>
      </w:tr>
      <w:tr w:rsidR="002113FF" w:rsidRPr="004834D3" w14:paraId="1E980B41" w14:textId="77777777" w:rsidTr="002113FF">
        <w:trPr>
          <w:jc w:val="center"/>
        </w:trPr>
        <w:tc>
          <w:tcPr>
            <w:tcW w:w="9350" w:type="dxa"/>
            <w:vAlign w:val="center"/>
          </w:tcPr>
          <w:p w14:paraId="32B681A3" w14:textId="20D20B0C" w:rsidR="002113FF" w:rsidRPr="00E83814" w:rsidRDefault="002113FF" w:rsidP="004C6625">
            <w:pPr>
              <w:pStyle w:val="Caption"/>
              <w:spacing w:before="0" w:after="0" w:line="240" w:lineRule="auto"/>
              <w:jc w:val="center"/>
              <w:rPr>
                <w:rFonts w:cstheme="majorBidi"/>
                <w:b/>
                <w:bCs/>
                <w:szCs w:val="24"/>
              </w:rPr>
            </w:pPr>
            <w:r w:rsidRPr="004834D3">
              <w:rPr>
                <w:rFonts w:cstheme="majorBidi"/>
                <w:noProof/>
              </w:rPr>
              <mc:AlternateContent>
                <mc:Choice Requires="wps">
                  <w:drawing>
                    <wp:anchor distT="45720" distB="45720" distL="114300" distR="114300" simplePos="0" relativeHeight="251692032" behindDoc="0" locked="0" layoutInCell="1" allowOverlap="1" wp14:anchorId="02219F1F" wp14:editId="781D16F8">
                      <wp:simplePos x="0" y="0"/>
                      <wp:positionH relativeFrom="column">
                        <wp:posOffset>4175760</wp:posOffset>
                      </wp:positionH>
                      <wp:positionV relativeFrom="paragraph">
                        <wp:posOffset>111760</wp:posOffset>
                      </wp:positionV>
                      <wp:extent cx="386715" cy="287020"/>
                      <wp:effectExtent l="0" t="0" r="0" b="0"/>
                      <wp:wrapNone/>
                      <wp:docPr id="1049826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87020"/>
                              </a:xfrm>
                              <a:prstGeom prst="rect">
                                <a:avLst/>
                              </a:prstGeom>
                              <a:noFill/>
                              <a:ln w="9525">
                                <a:noFill/>
                                <a:miter lim="800000"/>
                                <a:headEnd/>
                                <a:tailEnd/>
                              </a:ln>
                            </wps:spPr>
                            <wps:txbx>
                              <w:txbxContent>
                                <w:p w14:paraId="424C601D" w14:textId="77777777" w:rsidR="002113FF" w:rsidRPr="00F77C31" w:rsidRDefault="002113FF" w:rsidP="002D1344">
                                  <w:pPr>
                                    <w:rPr>
                                      <w:rFonts w:cstheme="majorBidi"/>
                                    </w:rPr>
                                  </w:pPr>
                                  <w:r w:rsidRPr="00F77C31">
                                    <w:rPr>
                                      <w:rFonts w:cstheme="majorBidi"/>
                                    </w:rPr>
                                    <w:t>(</w:t>
                                  </w:r>
                                  <w:r>
                                    <w:rPr>
                                      <w:rFonts w:cstheme="majorBidi"/>
                                    </w:rPr>
                                    <w:t>b</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19F1F" id="Text Box 7" o:spid="_x0000_s1036" type="#_x0000_t202" style="position:absolute;left:0;text-align:left;margin-left:328.8pt;margin-top:8.8pt;width:30.45pt;height:22.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da/AEAANQDAAAOAAAAZHJzL2Uyb0RvYy54bWysU8tu2zAQvBfoPxC815JdO3YEy0GaNEWB&#10;9AGk/QCaoiyiJJdd0pbcr++SchyjvRXVgSC52tmd2eH6ZrCGHRQGDa7m00nJmXISGu12Nf/+7eHN&#10;i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" filled="f" stroked="f">
                      <v:textbox>
                        <w:txbxContent>
                          <w:p w14:paraId="424C601D" w14:textId="77777777" w:rsidR="002113FF" w:rsidRPr="00F77C31" w:rsidRDefault="002113FF" w:rsidP="002D1344">
                            <w:pPr>
                              <w:rPr>
                                <w:rFonts w:cstheme="majorBidi"/>
                              </w:rPr>
                            </w:pPr>
                            <w:r w:rsidRPr="00F77C31">
                              <w:rPr>
                                <w:rFonts w:cstheme="majorBidi"/>
                              </w:rPr>
                              <w:t>(</w:t>
                            </w:r>
                            <w:r>
                              <w:rPr>
                                <w:rFonts w:cstheme="majorBidi"/>
                              </w:rPr>
                              <w:t>b</w:t>
                            </w:r>
                            <w:r w:rsidRPr="00F77C31">
                              <w:rPr>
                                <w:rFonts w:cstheme="majorBidi"/>
                              </w:rPr>
                              <w:t>)``</w:t>
                            </w:r>
                          </w:p>
                        </w:txbxContent>
                      </v:textbox>
                    </v:shape>
                  </w:pict>
                </mc:Fallback>
              </mc:AlternateContent>
            </w:r>
            <w:r w:rsidRPr="004834D3">
              <w:rPr>
                <w:rFonts w:cstheme="majorBidi"/>
                <w:noProof/>
              </w:rPr>
              <w:drawing>
                <wp:inline distT="0" distB="0" distL="0" distR="0" wp14:anchorId="0746DF03" wp14:editId="22A0CD15">
                  <wp:extent cx="3589021" cy="2560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hqprint">
                            <a:extLst>
                              <a:ext uri="{28A0092B-C50C-407E-A947-70E740481C1C}">
                                <a14:useLocalDpi xmlns:a14="http://schemas.microsoft.com/office/drawing/2010/main"/>
                              </a:ext>
                            </a:extLst>
                          </a:blip>
                          <a:srcRect/>
                          <a:stretch>
                            <a:fillRect/>
                          </a:stretch>
                        </pic:blipFill>
                        <pic:spPr bwMode="auto">
                          <a:xfrm>
                            <a:off x="0" y="0"/>
                            <a:ext cx="3589021" cy="2560320"/>
                          </a:xfrm>
                          <a:prstGeom prst="rect">
                            <a:avLst/>
                          </a:prstGeom>
                          <a:noFill/>
                          <a:ln>
                            <a:noFill/>
                          </a:ln>
                        </pic:spPr>
                      </pic:pic>
                    </a:graphicData>
                  </a:graphic>
                </wp:inline>
              </w:drawing>
            </w:r>
          </w:p>
        </w:tc>
      </w:tr>
      <w:tr w:rsidR="002D1344" w:rsidRPr="004834D3" w14:paraId="2D8DE67F" w14:textId="77777777" w:rsidTr="002113FF">
        <w:trPr>
          <w:jc w:val="center"/>
        </w:trPr>
        <w:tc>
          <w:tcPr>
            <w:tcW w:w="9350" w:type="dxa"/>
            <w:vAlign w:val="center"/>
          </w:tcPr>
          <w:p w14:paraId="7330ADF1" w14:textId="69E53559" w:rsidR="002D1344" w:rsidRPr="00215827" w:rsidRDefault="00215827" w:rsidP="004C6625">
            <w:pPr>
              <w:pStyle w:val="Caption"/>
              <w:spacing w:before="0" w:after="0"/>
              <w:jc w:val="center"/>
            </w:pPr>
            <w:bookmarkStart w:id="99" w:name="_Toc172708832"/>
            <w:r w:rsidRPr="00E83814">
              <w:rPr>
                <w:rFonts w:cstheme="majorBidi"/>
                <w:b/>
                <w:bCs/>
                <w:szCs w:val="24"/>
              </w:rPr>
              <w:t xml:space="preserve">Fig. </w:t>
            </w:r>
            <w:r w:rsidR="00996526">
              <w:rPr>
                <w:rFonts w:cstheme="majorBidi"/>
                <w:b/>
                <w:bCs/>
                <w:szCs w:val="24"/>
              </w:rPr>
              <w:fldChar w:fldCharType="begin"/>
            </w:r>
            <w:r w:rsidR="00996526">
              <w:rPr>
                <w:rFonts w:cstheme="majorBidi"/>
                <w:b/>
                <w:bCs/>
                <w:szCs w:val="24"/>
              </w:rPr>
              <w:instrText xml:space="preserve"> STYLEREF 1 \s </w:instrText>
            </w:r>
            <w:r w:rsidR="00996526">
              <w:rPr>
                <w:rFonts w:cstheme="majorBidi"/>
                <w:b/>
                <w:bCs/>
                <w:szCs w:val="24"/>
              </w:rPr>
              <w:fldChar w:fldCharType="separate"/>
            </w:r>
            <w:r w:rsidR="00732AAC">
              <w:rPr>
                <w:rFonts w:cstheme="majorBidi"/>
                <w:b/>
                <w:bCs/>
                <w:noProof/>
                <w:szCs w:val="24"/>
                <w:cs/>
              </w:rPr>
              <w:t>‎</w:t>
            </w:r>
            <w:r w:rsidR="00732AAC">
              <w:rPr>
                <w:rFonts w:cstheme="majorBidi"/>
                <w:b/>
                <w:bCs/>
                <w:noProof/>
                <w:szCs w:val="24"/>
              </w:rPr>
              <w:t>6</w:t>
            </w:r>
            <w:r w:rsidR="00996526">
              <w:rPr>
                <w:rFonts w:cstheme="majorBidi"/>
                <w:b/>
                <w:bCs/>
                <w:szCs w:val="24"/>
              </w:rPr>
              <w:fldChar w:fldCharType="end"/>
            </w:r>
            <w:r w:rsidR="00996526">
              <w:rPr>
                <w:rFonts w:cstheme="majorBidi"/>
                <w:b/>
                <w:bCs/>
                <w:szCs w:val="24"/>
              </w:rPr>
              <w:noBreakHyphen/>
            </w:r>
            <w:r w:rsidR="00996526">
              <w:rPr>
                <w:rFonts w:cstheme="majorBidi"/>
                <w:b/>
                <w:bCs/>
                <w:szCs w:val="24"/>
              </w:rPr>
              <w:fldChar w:fldCharType="begin"/>
            </w:r>
            <w:r w:rsidR="00996526">
              <w:rPr>
                <w:rFonts w:cstheme="majorBidi"/>
                <w:b/>
                <w:bCs/>
                <w:szCs w:val="24"/>
              </w:rPr>
              <w:instrText xml:space="preserve"> SEQ Fig. \* ARABIC \s 1 </w:instrText>
            </w:r>
            <w:r w:rsidR="00996526">
              <w:rPr>
                <w:rFonts w:cstheme="majorBidi"/>
                <w:b/>
                <w:bCs/>
                <w:szCs w:val="24"/>
              </w:rPr>
              <w:fldChar w:fldCharType="separate"/>
            </w:r>
            <w:r w:rsidR="00732AAC">
              <w:rPr>
                <w:rFonts w:cstheme="majorBidi"/>
                <w:b/>
                <w:bCs/>
                <w:noProof/>
                <w:szCs w:val="24"/>
              </w:rPr>
              <w:t>5</w:t>
            </w:r>
            <w:r w:rsidR="00996526">
              <w:rPr>
                <w:rFonts w:cstheme="majorBidi"/>
                <w:b/>
                <w:bCs/>
                <w:szCs w:val="24"/>
              </w:rPr>
              <w:fldChar w:fldCharType="end"/>
            </w:r>
            <w:r w:rsidRPr="00E83814">
              <w:rPr>
                <w:rFonts w:cstheme="majorBidi"/>
                <w:szCs w:val="24"/>
              </w:rPr>
              <w:t xml:space="preserve"> </w:t>
            </w:r>
            <w:r w:rsidR="002D1344" w:rsidRPr="00E83814">
              <w:rPr>
                <w:rFonts w:cstheme="majorBidi"/>
                <w:szCs w:val="24"/>
              </w:rPr>
              <w:t>The impact</w:t>
            </w:r>
            <w:r w:rsidR="002D1344" w:rsidRPr="004834D3">
              <w:rPr>
                <w:rFonts w:cstheme="majorBidi"/>
              </w:rPr>
              <w:t xml:space="preserve"> of Re number on the predicted transient (a) slip velocity and (b) rotational velocity. Results are obtained for </w:t>
            </w:r>
            <m:oMath>
              <m:r>
                <m:rPr>
                  <m:sty m:val="p"/>
                </m:rPr>
                <w:rPr>
                  <w:rFonts w:ascii="Cambria Math" w:hAnsi="Cambria Math" w:cstheme="majorBidi"/>
                </w:rPr>
                <m:t>Gr</m:t>
              </m:r>
            </m:oMath>
            <w:r w:rsidR="002D1344" w:rsidRPr="004834D3">
              <w:rPr>
                <w:rFonts w:eastAsiaTheme="minorEastAsia" w:cstheme="majorBidi"/>
              </w:rPr>
              <w:t xml:space="preserve"> = 1000</w:t>
            </w:r>
            <w:r w:rsidR="002D1344" w:rsidRPr="004834D3">
              <w:rPr>
                <w:rFonts w:cstheme="majorBidi"/>
              </w:rPr>
              <w:t xml:space="preserve">, </w:t>
            </w:r>
            <m:oMath>
              <m:r>
                <m:rPr>
                  <m:sty m:val="p"/>
                </m:rPr>
                <w:rPr>
                  <w:rFonts w:ascii="Cambria Math" w:hAnsi="Cambria Math" w:cstheme="majorBidi"/>
                </w:rPr>
                <m:t>Ste</m:t>
              </m:r>
            </m:oMath>
            <w:r w:rsidR="002D1344" w:rsidRPr="004834D3">
              <w:rPr>
                <w:rFonts w:eastAsiaTheme="minorEastAsia" w:cstheme="majorBidi"/>
              </w:rPr>
              <w:t xml:space="preserve"> = 0.1</w:t>
            </w:r>
            <w:r w:rsidR="002D1344" w:rsidRPr="004834D3">
              <w:rPr>
                <w:rFonts w:cstheme="majorBidi"/>
              </w:rPr>
              <w:t xml:space="preserve">, and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002D1344" w:rsidRPr="004834D3">
              <w:rPr>
                <w:rFonts w:eastAsiaTheme="minorEastAsia" w:cstheme="majorBidi"/>
              </w:rPr>
              <w:t xml:space="preserve"> = 0.5.</w:t>
            </w:r>
            <w:bookmarkEnd w:id="99"/>
          </w:p>
        </w:tc>
      </w:tr>
    </w:tbl>
    <w:p w14:paraId="37D05800" w14:textId="25178F88" w:rsidR="002D1344" w:rsidRPr="004834D3" w:rsidRDefault="002D1344" w:rsidP="004C6625">
      <w:pPr>
        <w:spacing w:before="360" w:after="240" w:line="480" w:lineRule="auto"/>
        <w:ind w:firstLine="720"/>
        <w:jc w:val="both"/>
        <w:rPr>
          <w:rFonts w:cstheme="majorBidi"/>
        </w:rPr>
      </w:pPr>
      <w:r w:rsidRPr="004834D3">
        <w:rPr>
          <w:rFonts w:cstheme="majorBidi"/>
        </w:rPr>
        <w:t xml:space="preserve">Figure </w:t>
      </w:r>
      <w:r w:rsidR="00FD3C90">
        <w:rPr>
          <w:rFonts w:cstheme="majorBidi"/>
        </w:rPr>
        <w:t>6</w:t>
      </w:r>
      <w:r w:rsidR="00E83814">
        <w:rPr>
          <w:rFonts w:cstheme="majorBidi"/>
        </w:rPr>
        <w:t>-6</w:t>
      </w:r>
      <w:r w:rsidRPr="004834D3">
        <w:rPr>
          <w:rFonts w:cstheme="majorBidi"/>
        </w:rPr>
        <w:t xml:space="preserve"> illustrates the effect of the </w:t>
      </w:r>
      <m:oMath>
        <m:r>
          <m:rPr>
            <m:sty m:val="p"/>
          </m:rPr>
          <w:rPr>
            <w:rFonts w:ascii="Cambria Math" w:hAnsi="Cambria Math" w:cstheme="majorBidi"/>
          </w:rPr>
          <m:t>Gr</m:t>
        </m:r>
      </m:oMath>
      <w:r w:rsidRPr="004834D3">
        <w:rPr>
          <w:rFonts w:cstheme="majorBidi"/>
        </w:rPr>
        <w:t xml:space="preserve"> number on the transient lateral position, particle mass, and </w:t>
      </w:r>
      <m:oMath>
        <m:r>
          <m:rPr>
            <m:sty m:val="p"/>
          </m:rPr>
          <w:rPr>
            <w:rFonts w:ascii="Cambria Math" w:hAnsi="Cambria Math" w:cstheme="majorBidi"/>
          </w:rPr>
          <m:t>Nu</m:t>
        </m:r>
      </m:oMath>
      <w:r w:rsidRPr="004834D3">
        <w:rPr>
          <w:rFonts w:cstheme="majorBidi"/>
        </w:rPr>
        <w:t xml:space="preserve"> number. As shown in Fig. </w:t>
      </w:r>
      <w:r w:rsidR="00FD3C90">
        <w:rPr>
          <w:rFonts w:cstheme="majorBidi"/>
        </w:rPr>
        <w:t>6</w:t>
      </w:r>
      <w:r w:rsidR="00E83814">
        <w:rPr>
          <w:rFonts w:cstheme="majorBidi"/>
        </w:rPr>
        <w:t>-6(</w:t>
      </w:r>
      <w:r w:rsidRPr="004834D3">
        <w:rPr>
          <w:rFonts w:cstheme="majorBidi"/>
        </w:rPr>
        <w:t>a</w:t>
      </w:r>
      <w:r w:rsidR="00E83814">
        <w:rPr>
          <w:rFonts w:cstheme="majorBidi"/>
        </w:rPr>
        <w:t>)</w:t>
      </w:r>
      <w:r w:rsidRPr="004834D3">
        <w:rPr>
          <w:rFonts w:cstheme="majorBidi"/>
        </w:rPr>
        <w:t>, under conditions where natural convection is present (</w:t>
      </w:r>
      <m:oMath>
        <m:r>
          <m:rPr>
            <m:sty m:val="p"/>
          </m:rPr>
          <w:rPr>
            <w:rFonts w:ascii="Cambria Math" w:hAnsi="Cambria Math" w:cstheme="majorBidi"/>
          </w:rPr>
          <m:t>Gr</m:t>
        </m:r>
      </m:oMath>
      <w:r w:rsidRPr="004834D3">
        <w:rPr>
          <w:rFonts w:cstheme="majorBidi"/>
        </w:rPr>
        <w:t xml:space="preserve"> &gt; 0), a particle initially positioned at the channel centerline descends. This downward movement is primarily due to the cooling of the liquid surrounding the melting particle, which increases the density of the nearby fluid, causing it to sink and consequently pull the particle downward along with it. This process develops in two distinct phases observable in Fig. </w:t>
      </w:r>
      <w:r w:rsidR="00FD3C90">
        <w:rPr>
          <w:rFonts w:cstheme="majorBidi"/>
        </w:rPr>
        <w:t>6</w:t>
      </w:r>
      <w:r w:rsidR="00E83814">
        <w:rPr>
          <w:rFonts w:cstheme="majorBidi"/>
        </w:rPr>
        <w:t>-6(</w:t>
      </w:r>
      <w:r w:rsidRPr="004834D3">
        <w:rPr>
          <w:rFonts w:cstheme="majorBidi"/>
        </w:rPr>
        <w:t>a</w:t>
      </w:r>
      <w:r w:rsidR="00E83814">
        <w:rPr>
          <w:rFonts w:cstheme="majorBidi"/>
        </w:rPr>
        <w:t>)</w:t>
      </w:r>
      <w:r w:rsidRPr="004834D3">
        <w:rPr>
          <w:rFonts w:cstheme="majorBidi"/>
        </w:rPr>
        <w:t xml:space="preserve"> as the particle approaches the bottom wall.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D1344" w:rsidRPr="004834D3" w14:paraId="20A9AD27" w14:textId="77777777" w:rsidTr="009A4AF3">
        <w:tc>
          <w:tcPr>
            <w:tcW w:w="9350" w:type="dxa"/>
          </w:tcPr>
          <w:p w14:paraId="4ECCC4E0" w14:textId="3C7339E1" w:rsidR="002D1344" w:rsidRPr="004834D3" w:rsidRDefault="002D1344" w:rsidP="004C6625">
            <w:pPr>
              <w:jc w:val="center"/>
              <w:rPr>
                <w:rFonts w:cstheme="majorBidi"/>
                <w:sz w:val="24"/>
                <w:szCs w:val="24"/>
              </w:rPr>
            </w:pPr>
            <w:r w:rsidRPr="004834D3">
              <w:rPr>
                <w:rFonts w:cstheme="majorBidi"/>
                <w:noProof/>
              </w:rPr>
              <w:lastRenderedPageBreak/>
              <w:drawing>
                <wp:inline distT="0" distB="0" distL="0" distR="0" wp14:anchorId="485EC0CE" wp14:editId="19C02BD3">
                  <wp:extent cx="3607206" cy="25603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607206" cy="2560320"/>
                          </a:xfrm>
                          <a:prstGeom prst="rect">
                            <a:avLst/>
                          </a:prstGeom>
                          <a:noFill/>
                          <a:ln>
                            <a:noFill/>
                          </a:ln>
                        </pic:spPr>
                      </pic:pic>
                    </a:graphicData>
                  </a:graphic>
                </wp:inline>
              </w:drawing>
            </w:r>
          </w:p>
        </w:tc>
      </w:tr>
      <w:tr w:rsidR="002D1344" w:rsidRPr="004834D3" w14:paraId="31C019B9" w14:textId="77777777" w:rsidTr="009A4AF3">
        <w:tc>
          <w:tcPr>
            <w:tcW w:w="9350" w:type="dxa"/>
          </w:tcPr>
          <w:p w14:paraId="28647A99" w14:textId="5DC824E2" w:rsidR="002D1344" w:rsidRPr="004834D3" w:rsidRDefault="004C6625" w:rsidP="004C6625">
            <w:pPr>
              <w:jc w:val="center"/>
              <w:rPr>
                <w:rFonts w:cstheme="majorBidi"/>
                <w:sz w:val="24"/>
                <w:szCs w:val="24"/>
              </w:rPr>
            </w:pPr>
            <w:r w:rsidRPr="004834D3">
              <w:rPr>
                <w:rFonts w:cstheme="majorBidi"/>
                <w:noProof/>
              </w:rPr>
              <mc:AlternateContent>
                <mc:Choice Requires="wps">
                  <w:drawing>
                    <wp:anchor distT="45720" distB="45720" distL="114300" distR="114300" simplePos="0" relativeHeight="251674624" behindDoc="0" locked="0" layoutInCell="1" allowOverlap="1" wp14:anchorId="7BBFCA90" wp14:editId="55B08B66">
                      <wp:simplePos x="0" y="0"/>
                      <wp:positionH relativeFrom="column">
                        <wp:posOffset>4170103</wp:posOffset>
                      </wp:positionH>
                      <wp:positionV relativeFrom="paragraph">
                        <wp:posOffset>1675755</wp:posOffset>
                      </wp:positionV>
                      <wp:extent cx="371475" cy="287020"/>
                      <wp:effectExtent l="0" t="0" r="0" b="0"/>
                      <wp:wrapNone/>
                      <wp:docPr id="1992610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87020"/>
                              </a:xfrm>
                              <a:prstGeom prst="rect">
                                <a:avLst/>
                              </a:prstGeom>
                              <a:noFill/>
                              <a:ln w="9525">
                                <a:noFill/>
                                <a:miter lim="800000"/>
                                <a:headEnd/>
                                <a:tailEnd/>
                              </a:ln>
                            </wps:spPr>
                            <wps:txbx>
                              <w:txbxContent>
                                <w:p w14:paraId="0F6135C2"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FCA90" id="Text Box 5" o:spid="_x0000_s1037" type="#_x0000_t202" style="position:absolute;left:0;text-align:left;margin-left:328.35pt;margin-top:131.95pt;width:29.25pt;height:22.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" filled="f" stroked="f">
                      <v:textbox>
                        <w:txbxContent>
                          <w:p w14:paraId="0F6135C2"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v:textbox>
                    </v:shape>
                  </w:pict>
                </mc:Fallback>
              </mc:AlternateContent>
            </w:r>
            <w:r w:rsidRPr="004834D3">
              <w:rPr>
                <w:rFonts w:cstheme="majorBidi"/>
                <w:noProof/>
              </w:rPr>
              <mc:AlternateContent>
                <mc:Choice Requires="wps">
                  <w:drawing>
                    <wp:anchor distT="45720" distB="45720" distL="114300" distR="114300" simplePos="0" relativeHeight="251675648" behindDoc="0" locked="0" layoutInCell="1" allowOverlap="1" wp14:anchorId="535DF37E" wp14:editId="6F66F344">
                      <wp:simplePos x="0" y="0"/>
                      <wp:positionH relativeFrom="column">
                        <wp:posOffset>4181472</wp:posOffset>
                      </wp:positionH>
                      <wp:positionV relativeFrom="paragraph">
                        <wp:posOffset>-865641</wp:posOffset>
                      </wp:positionV>
                      <wp:extent cx="363757" cy="287020"/>
                      <wp:effectExtent l="0" t="0" r="0" b="0"/>
                      <wp:wrapNone/>
                      <wp:docPr id="1301709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57" cy="287020"/>
                              </a:xfrm>
                              <a:prstGeom prst="rect">
                                <a:avLst/>
                              </a:prstGeom>
                              <a:noFill/>
                              <a:ln w="9525">
                                <a:noFill/>
                                <a:miter lim="800000"/>
                                <a:headEnd/>
                                <a:tailEnd/>
                              </a:ln>
                            </wps:spPr>
                            <wps:txbx>
                              <w:txbxContent>
                                <w:p w14:paraId="07101779" w14:textId="77777777" w:rsidR="002D1344" w:rsidRPr="00F77C31" w:rsidRDefault="002D1344" w:rsidP="002D1344">
                                  <w:pPr>
                                    <w:rPr>
                                      <w:rFonts w:cstheme="majorBidi"/>
                                    </w:rPr>
                                  </w:pPr>
                                  <w:r w:rsidRPr="00F77C31">
                                    <w:rPr>
                                      <w:rFonts w:cstheme="majorBidi"/>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DF37E" id="Text Box 6" o:spid="_x0000_s1038" type="#_x0000_t202" style="position:absolute;left:0;text-align:left;margin-left:329.25pt;margin-top:-68.15pt;width:28.65pt;height:22.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" filled="f" stroked="f">
                      <v:textbox>
                        <w:txbxContent>
                          <w:p w14:paraId="07101779" w14:textId="77777777" w:rsidR="002D1344" w:rsidRPr="00F77C31" w:rsidRDefault="002D1344" w:rsidP="002D1344">
                            <w:pPr>
                              <w:rPr>
                                <w:rFonts w:cstheme="majorBidi"/>
                              </w:rPr>
                            </w:pPr>
                            <w:r w:rsidRPr="00F77C31">
                              <w:rPr>
                                <w:rFonts w:cstheme="majorBidi"/>
                              </w:rPr>
                              <w:t>(a)</w:t>
                            </w:r>
                          </w:p>
                        </w:txbxContent>
                      </v:textbox>
                    </v:shape>
                  </w:pict>
                </mc:Fallback>
              </mc:AlternateContent>
            </w:r>
            <w:r w:rsidR="002D1344" w:rsidRPr="004834D3">
              <w:rPr>
                <w:rFonts w:cstheme="majorBidi"/>
                <w:noProof/>
              </w:rPr>
              <w:drawing>
                <wp:inline distT="0" distB="0" distL="0" distR="0" wp14:anchorId="0E4F0F80" wp14:editId="3BC76B5F">
                  <wp:extent cx="3595731" cy="256032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hqprint">
                            <a:extLst>
                              <a:ext uri="{28A0092B-C50C-407E-A947-70E740481C1C}">
                                <a14:useLocalDpi xmlns:a14="http://schemas.microsoft.com/office/drawing/2010/main"/>
                              </a:ext>
                            </a:extLst>
                          </a:blip>
                          <a:srcRect/>
                          <a:stretch>
                            <a:fillRect/>
                          </a:stretch>
                        </pic:blipFill>
                        <pic:spPr bwMode="auto">
                          <a:xfrm>
                            <a:off x="0" y="0"/>
                            <a:ext cx="3595731" cy="2560320"/>
                          </a:xfrm>
                          <a:prstGeom prst="rect">
                            <a:avLst/>
                          </a:prstGeom>
                          <a:noFill/>
                          <a:ln>
                            <a:noFill/>
                          </a:ln>
                        </pic:spPr>
                      </pic:pic>
                    </a:graphicData>
                  </a:graphic>
                </wp:inline>
              </w:drawing>
            </w:r>
          </w:p>
        </w:tc>
      </w:tr>
      <w:tr w:rsidR="002D1344" w:rsidRPr="004834D3" w14:paraId="051AE63D" w14:textId="77777777" w:rsidTr="009A4AF3">
        <w:tc>
          <w:tcPr>
            <w:tcW w:w="9350" w:type="dxa"/>
          </w:tcPr>
          <w:p w14:paraId="31A79564" w14:textId="77777777" w:rsidR="002D1344" w:rsidRPr="004834D3" w:rsidRDefault="002D1344" w:rsidP="004C6625">
            <w:pPr>
              <w:jc w:val="center"/>
              <w:rPr>
                <w:rFonts w:cstheme="majorBidi"/>
                <w:sz w:val="24"/>
                <w:szCs w:val="24"/>
              </w:rPr>
            </w:pPr>
            <w:r w:rsidRPr="004834D3">
              <w:rPr>
                <w:rFonts w:cstheme="majorBidi"/>
                <w:noProof/>
              </w:rPr>
              <mc:AlternateContent>
                <mc:Choice Requires="wps">
                  <w:drawing>
                    <wp:anchor distT="45720" distB="45720" distL="114300" distR="114300" simplePos="0" relativeHeight="251673600" behindDoc="0" locked="0" layoutInCell="1" allowOverlap="1" wp14:anchorId="7BF3F0C2" wp14:editId="5A82C65C">
                      <wp:simplePos x="0" y="0"/>
                      <wp:positionH relativeFrom="column">
                        <wp:posOffset>4152509</wp:posOffset>
                      </wp:positionH>
                      <wp:positionV relativeFrom="paragraph">
                        <wp:posOffset>1687884</wp:posOffset>
                      </wp:positionV>
                      <wp:extent cx="370433" cy="287020"/>
                      <wp:effectExtent l="0" t="0" r="0" b="0"/>
                      <wp:wrapNone/>
                      <wp:docPr id="616206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33" cy="287020"/>
                              </a:xfrm>
                              <a:prstGeom prst="rect">
                                <a:avLst/>
                              </a:prstGeom>
                              <a:noFill/>
                              <a:ln w="9525">
                                <a:noFill/>
                                <a:miter lim="800000"/>
                                <a:headEnd/>
                                <a:tailEnd/>
                              </a:ln>
                            </wps:spPr>
                            <wps:txbx>
                              <w:txbxContent>
                                <w:p w14:paraId="1F57FAD1"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3F0C2" id="Text Box 4" o:spid="_x0000_s1039" type="#_x0000_t202" style="position:absolute;left:0;text-align:left;margin-left:326.95pt;margin-top:132.9pt;width:29.15pt;height:22.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" filled="f" stroked="f">
                      <v:textbox>
                        <w:txbxContent>
                          <w:p w14:paraId="1F57FAD1"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v:textbox>
                    </v:shape>
                  </w:pict>
                </mc:Fallback>
              </mc:AlternateContent>
            </w:r>
            <w:r w:rsidRPr="004834D3">
              <w:rPr>
                <w:rFonts w:cstheme="majorBidi"/>
                <w:noProof/>
              </w:rPr>
              <w:drawing>
                <wp:inline distT="0" distB="0" distL="0" distR="0" wp14:anchorId="3023DDCB" wp14:editId="61416583">
                  <wp:extent cx="3595731" cy="256032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hqprint">
                            <a:extLst>
                              <a:ext uri="{28A0092B-C50C-407E-A947-70E740481C1C}">
                                <a14:useLocalDpi xmlns:a14="http://schemas.microsoft.com/office/drawing/2010/main"/>
                              </a:ext>
                            </a:extLst>
                          </a:blip>
                          <a:srcRect/>
                          <a:stretch>
                            <a:fillRect/>
                          </a:stretch>
                        </pic:blipFill>
                        <pic:spPr bwMode="auto">
                          <a:xfrm>
                            <a:off x="0" y="0"/>
                            <a:ext cx="3595731" cy="2560320"/>
                          </a:xfrm>
                          <a:prstGeom prst="rect">
                            <a:avLst/>
                          </a:prstGeom>
                          <a:noFill/>
                          <a:ln>
                            <a:noFill/>
                          </a:ln>
                        </pic:spPr>
                      </pic:pic>
                    </a:graphicData>
                  </a:graphic>
                </wp:inline>
              </w:drawing>
            </w:r>
          </w:p>
        </w:tc>
      </w:tr>
      <w:tr w:rsidR="002D1344" w:rsidRPr="004834D3" w14:paraId="2666E159" w14:textId="77777777" w:rsidTr="009A4AF3">
        <w:tc>
          <w:tcPr>
            <w:tcW w:w="9350" w:type="dxa"/>
          </w:tcPr>
          <w:p w14:paraId="73FF5B85" w14:textId="3AF4358F" w:rsidR="002D1344" w:rsidRPr="00E83814" w:rsidRDefault="00E83814" w:rsidP="004C6625">
            <w:pPr>
              <w:pStyle w:val="Caption"/>
              <w:spacing w:before="0" w:after="0"/>
              <w:jc w:val="center"/>
            </w:pPr>
            <w:bookmarkStart w:id="100" w:name="_Toc172708833"/>
            <w:r w:rsidRPr="00E83814">
              <w:rPr>
                <w:rFonts w:cstheme="majorBidi"/>
                <w:b/>
                <w:bCs/>
                <w:sz w:val="24"/>
                <w:szCs w:val="24"/>
              </w:rPr>
              <w:t xml:space="preserve">Fig. </w:t>
            </w:r>
            <w:r w:rsidR="00996526">
              <w:rPr>
                <w:rFonts w:cstheme="majorBidi"/>
                <w:b/>
                <w:bCs/>
                <w:szCs w:val="24"/>
              </w:rPr>
              <w:fldChar w:fldCharType="begin"/>
            </w:r>
            <w:r w:rsidR="00996526">
              <w:rPr>
                <w:rFonts w:cstheme="majorBidi"/>
                <w:b/>
                <w:bCs/>
                <w:sz w:val="24"/>
                <w:szCs w:val="24"/>
              </w:rPr>
              <w:instrText xml:space="preserve"> STYLEREF 1 \s </w:instrText>
            </w:r>
            <w:r w:rsidR="00996526">
              <w:rPr>
                <w:rFonts w:cstheme="majorBidi"/>
                <w:b/>
                <w:bCs/>
                <w:szCs w:val="24"/>
              </w:rPr>
              <w:fldChar w:fldCharType="separate"/>
            </w:r>
            <w:r w:rsidR="00732AAC">
              <w:rPr>
                <w:rFonts w:cstheme="majorBidi"/>
                <w:b/>
                <w:bCs/>
                <w:noProof/>
                <w:sz w:val="24"/>
                <w:szCs w:val="24"/>
                <w:cs/>
              </w:rPr>
              <w:t>‎</w:t>
            </w:r>
            <w:r w:rsidR="00732AAC">
              <w:rPr>
                <w:rFonts w:cstheme="majorBidi"/>
                <w:b/>
                <w:bCs/>
                <w:noProof/>
                <w:sz w:val="24"/>
                <w:szCs w:val="24"/>
              </w:rPr>
              <w:t>6</w:t>
            </w:r>
            <w:r w:rsidR="00996526">
              <w:rPr>
                <w:rFonts w:cstheme="majorBidi"/>
                <w:b/>
                <w:bCs/>
                <w:szCs w:val="24"/>
              </w:rPr>
              <w:fldChar w:fldCharType="end"/>
            </w:r>
            <w:r w:rsidR="00996526">
              <w:rPr>
                <w:rFonts w:cstheme="majorBidi"/>
                <w:b/>
                <w:bCs/>
                <w:sz w:val="24"/>
                <w:szCs w:val="24"/>
              </w:rPr>
              <w:noBreakHyphen/>
            </w:r>
            <w:r w:rsidR="00996526">
              <w:rPr>
                <w:rFonts w:cstheme="majorBidi"/>
                <w:b/>
                <w:bCs/>
                <w:szCs w:val="24"/>
              </w:rPr>
              <w:fldChar w:fldCharType="begin"/>
            </w:r>
            <w:r w:rsidR="00996526">
              <w:rPr>
                <w:rFonts w:cstheme="majorBidi"/>
                <w:b/>
                <w:bCs/>
                <w:sz w:val="24"/>
                <w:szCs w:val="24"/>
              </w:rPr>
              <w:instrText xml:space="preserve"> SEQ Fig. \* ARABIC \s 1 </w:instrText>
            </w:r>
            <w:r w:rsidR="00996526">
              <w:rPr>
                <w:rFonts w:cstheme="majorBidi"/>
                <w:b/>
                <w:bCs/>
                <w:szCs w:val="24"/>
              </w:rPr>
              <w:fldChar w:fldCharType="separate"/>
            </w:r>
            <w:r w:rsidR="00732AAC">
              <w:rPr>
                <w:rFonts w:cstheme="majorBidi"/>
                <w:b/>
                <w:bCs/>
                <w:noProof/>
                <w:sz w:val="24"/>
                <w:szCs w:val="24"/>
              </w:rPr>
              <w:t>6</w:t>
            </w:r>
            <w:r w:rsidR="00996526">
              <w:rPr>
                <w:rFonts w:cstheme="majorBidi"/>
                <w:b/>
                <w:bCs/>
                <w:szCs w:val="24"/>
              </w:rPr>
              <w:fldChar w:fldCharType="end"/>
            </w:r>
            <w:r w:rsidR="002D1344" w:rsidRPr="00E83814">
              <w:rPr>
                <w:rFonts w:cstheme="majorBidi"/>
                <w:sz w:val="24"/>
                <w:szCs w:val="24"/>
              </w:rPr>
              <w:t xml:space="preserve"> The</w:t>
            </w:r>
            <w:r w:rsidR="002D1344" w:rsidRPr="004834D3">
              <w:rPr>
                <w:rFonts w:cstheme="majorBidi"/>
                <w:sz w:val="24"/>
                <w:szCs w:val="24"/>
              </w:rPr>
              <w:t xml:space="preserve"> impact of </w:t>
            </w:r>
            <m:oMath>
              <m:r>
                <m:rPr>
                  <m:sty m:val="p"/>
                </m:rPr>
                <w:rPr>
                  <w:rFonts w:ascii="Cambria Math" w:hAnsi="Cambria Math" w:cstheme="majorBidi"/>
                  <w:sz w:val="24"/>
                  <w:szCs w:val="24"/>
                </w:rPr>
                <m:t>Gr</m:t>
              </m:r>
            </m:oMath>
            <w:r w:rsidR="002D1344" w:rsidRPr="004834D3">
              <w:rPr>
                <w:rFonts w:cstheme="majorBidi"/>
                <w:sz w:val="24"/>
                <w:szCs w:val="24"/>
              </w:rPr>
              <w:t xml:space="preserve"> number on (a) the lateral position, (b) the mass of the particle, and (c) the </w:t>
            </w:r>
            <m:oMath>
              <m:r>
                <m:rPr>
                  <m:sty m:val="p"/>
                </m:rPr>
                <w:rPr>
                  <w:rFonts w:ascii="Cambria Math" w:hAnsi="Cambria Math" w:cstheme="majorBidi"/>
                  <w:sz w:val="24"/>
                  <w:szCs w:val="24"/>
                </w:rPr>
                <m:t>Nu</m:t>
              </m:r>
            </m:oMath>
            <w:r w:rsidR="002D1344" w:rsidRPr="004834D3">
              <w:rPr>
                <w:rFonts w:cstheme="majorBidi"/>
                <w:sz w:val="24"/>
                <w:szCs w:val="24"/>
              </w:rPr>
              <w:t xml:space="preserve"> number for </w:t>
            </w:r>
            <m:oMath>
              <m:r>
                <m:rPr>
                  <m:sty m:val="p"/>
                </m:rPr>
                <w:rPr>
                  <w:rFonts w:ascii="Cambria Math" w:hAnsi="Cambria Math" w:cstheme="majorBidi"/>
                  <w:sz w:val="24"/>
                  <w:szCs w:val="24"/>
                </w:rPr>
                <m:t>Re</m:t>
              </m:r>
            </m:oMath>
            <w:r w:rsidR="002D1344" w:rsidRPr="004834D3">
              <w:rPr>
                <w:rFonts w:eastAsiaTheme="minorEastAsia" w:cstheme="majorBidi"/>
                <w:sz w:val="24"/>
                <w:szCs w:val="24"/>
              </w:rPr>
              <w:t xml:space="preserve"> = 100</w:t>
            </w:r>
            <w:r w:rsidR="002D1344" w:rsidRPr="004834D3">
              <w:rPr>
                <w:rFonts w:cstheme="majorBidi"/>
                <w:sz w:val="24"/>
                <w:szCs w:val="24"/>
              </w:rPr>
              <w:t xml:space="preserve">, </w:t>
            </w:r>
            <m:oMath>
              <m:r>
                <m:rPr>
                  <m:sty m:val="p"/>
                </m:rPr>
                <w:rPr>
                  <w:rFonts w:ascii="Cambria Math" w:hAnsi="Cambria Math" w:cstheme="majorBidi"/>
                  <w:sz w:val="24"/>
                  <w:szCs w:val="24"/>
                </w:rPr>
                <m:t>Ste</m:t>
              </m:r>
            </m:oMath>
            <w:r w:rsidR="002D1344" w:rsidRPr="004834D3">
              <w:rPr>
                <w:rFonts w:eastAsiaTheme="minorEastAsia" w:cstheme="majorBidi"/>
                <w:sz w:val="24"/>
                <w:szCs w:val="24"/>
              </w:rPr>
              <w:t xml:space="preserve"> = 0.1</w:t>
            </w:r>
            <w:r w:rsidR="002D1344" w:rsidRPr="004834D3">
              <w:rPr>
                <w:rFonts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Y</m:t>
                  </m:r>
                </m:e>
                <m:sub>
                  <m:r>
                    <w:rPr>
                      <w:rFonts w:ascii="Cambria Math" w:hAnsi="Cambria Math" w:cstheme="majorBidi"/>
                      <w:sz w:val="24"/>
                      <w:szCs w:val="24"/>
                    </w:rPr>
                    <m:t>0</m:t>
                  </m:r>
                </m:sub>
                <m:sup>
                  <m:r>
                    <w:rPr>
                      <w:rFonts w:ascii="Cambria Math" w:hAnsi="Cambria Math" w:cstheme="majorBidi"/>
                      <w:sz w:val="24"/>
                      <w:szCs w:val="24"/>
                    </w:rPr>
                    <m:t>*</m:t>
                  </m:r>
                </m:sup>
              </m:sSubSup>
            </m:oMath>
            <w:r w:rsidR="002D1344" w:rsidRPr="004834D3">
              <w:rPr>
                <w:rFonts w:eastAsiaTheme="minorEastAsia" w:cstheme="majorBidi"/>
                <w:sz w:val="24"/>
                <w:szCs w:val="24"/>
              </w:rPr>
              <w:t xml:space="preserve"> = 0.5.</w:t>
            </w:r>
            <w:bookmarkEnd w:id="100"/>
          </w:p>
        </w:tc>
      </w:tr>
    </w:tbl>
    <w:p w14:paraId="53DFD9B0" w14:textId="3EC9DBFE" w:rsidR="002D1344" w:rsidRDefault="002D1344" w:rsidP="004C6625">
      <w:pPr>
        <w:spacing w:after="240" w:line="480" w:lineRule="auto"/>
        <w:ind w:firstLine="720"/>
        <w:jc w:val="both"/>
        <w:rPr>
          <w:rFonts w:cstheme="majorBidi"/>
        </w:rPr>
      </w:pPr>
      <w:r w:rsidRPr="004834D3">
        <w:rPr>
          <w:rFonts w:cstheme="majorBidi"/>
        </w:rPr>
        <w:lastRenderedPageBreak/>
        <w:t xml:space="preserve">Initially, during the first stage, the particle experiences relatively rapid downward motion. At this point, the average flow velocity in the channel is still low, and the velocity profile is in the process of developing. The dominant force acting on the particle is the downward natural convection flow, which is stronger than the advective motion along the channel, resulting in the particle's rapid descent. In the subsequent second stage, as the particle gets closer to the bottom wall, the pressure underneath it gradually increases. This increasing pressure acts to decelerate the particle's movement toward the bottom wall. Figure </w:t>
      </w:r>
      <w:r w:rsidR="00FD3C90">
        <w:rPr>
          <w:rFonts w:cstheme="majorBidi"/>
        </w:rPr>
        <w:t>6</w:t>
      </w:r>
      <w:r w:rsidR="00E10F74">
        <w:rPr>
          <w:rFonts w:cstheme="majorBidi"/>
        </w:rPr>
        <w:t>-7</w:t>
      </w:r>
      <w:r w:rsidRPr="004834D3">
        <w:rPr>
          <w:rFonts w:cstheme="majorBidi"/>
        </w:rPr>
        <w:t xml:space="preserve"> illustrates the pressure field around the particle at various dimensionless times for </w:t>
      </w:r>
      <m:oMath>
        <m:r>
          <m:rPr>
            <m:sty m:val="p"/>
          </m:rPr>
          <w:rPr>
            <w:rFonts w:ascii="Cambria Math" w:hAnsi="Cambria Math" w:cstheme="majorBidi"/>
          </w:rPr>
          <m:t>Re</m:t>
        </m:r>
      </m:oMath>
      <w:r w:rsidRPr="004834D3">
        <w:rPr>
          <w:rFonts w:cstheme="majorBidi"/>
        </w:rPr>
        <w:t xml:space="preserve"> = 100, </w:t>
      </w:r>
      <m:oMath>
        <m:r>
          <m:rPr>
            <m:sty m:val="p"/>
          </m:rPr>
          <w:rPr>
            <w:rFonts w:ascii="Cambria Math" w:hAnsi="Cambria Math" w:cstheme="majorBidi"/>
          </w:rPr>
          <m:t>Gr</m:t>
        </m:r>
      </m:oMath>
      <w:r w:rsidRPr="004834D3">
        <w:rPr>
          <w:rFonts w:cstheme="majorBidi"/>
        </w:rPr>
        <w:t xml:space="preserve"> = 1</w:t>
      </w:r>
      <w:r w:rsidR="006916C7">
        <w:rPr>
          <w:rFonts w:cstheme="majorBidi"/>
        </w:rPr>
        <w:t>,</w:t>
      </w:r>
      <w:r w:rsidRPr="004834D3">
        <w:rPr>
          <w:rFonts w:cstheme="majorBidi"/>
        </w:rPr>
        <w:t xml:space="preserve">000, and </w:t>
      </w:r>
      <m:oMath>
        <m:sSubSup>
          <m:sSubSupPr>
            <m:ctrlPr>
              <w:rPr>
                <w:rFonts w:ascii="Cambria Math" w:eastAsiaTheme="minorEastAsia" w:hAnsi="Cambria Math" w:cstheme="majorBidi"/>
                <w:i/>
                <w:vertAlign w:val="superscript"/>
              </w:rPr>
            </m:ctrlPr>
          </m:sSubSupPr>
          <m:e>
            <m:r>
              <w:rPr>
                <w:rFonts w:ascii="Cambria Math" w:eastAsiaTheme="minorEastAsia" w:hAnsi="Cambria Math" w:cstheme="majorBidi"/>
              </w:rPr>
              <m:t>Y</m:t>
            </m:r>
            <m:ctrlPr>
              <w:rPr>
                <w:rFonts w:ascii="Cambria Math" w:eastAsiaTheme="minorEastAsia" w:hAnsi="Cambria Math" w:cstheme="majorBidi"/>
                <w:i/>
              </w:rPr>
            </m:ctrlPr>
          </m:e>
          <m:sub>
            <m:r>
              <w:rPr>
                <w:rFonts w:ascii="Cambria Math" w:eastAsiaTheme="minorEastAsia" w:hAnsi="Cambria Math" w:cstheme="majorBidi"/>
                <w:vertAlign w:val="superscript"/>
              </w:rPr>
              <m:t>0</m:t>
            </m:r>
          </m:sub>
          <m:sup>
            <m:r>
              <w:rPr>
                <w:rFonts w:ascii="Cambria Math" w:eastAsiaTheme="minorEastAsia" w:hAnsi="Cambria Math" w:cstheme="majorBidi"/>
                <w:vertAlign w:val="superscript"/>
              </w:rPr>
              <m:t>*</m:t>
            </m:r>
          </m:sup>
        </m:sSubSup>
      </m:oMath>
      <w:r w:rsidRPr="004834D3">
        <w:rPr>
          <w:rFonts w:eastAsiaTheme="minorEastAsia" w:cstheme="majorBidi"/>
        </w:rPr>
        <w:t xml:space="preserve"> = 0.5</w:t>
      </w:r>
      <w:r w:rsidRPr="004834D3">
        <w:rPr>
          <w:rFonts w:cstheme="majorBidi"/>
        </w:rPr>
        <w:t xml:space="preserve">. Over time, the rising pressure effectively balances out the downward buoyancy-induced force, causing the lateral position of the particle to stabilize and eventually reach a plateau. At higher </w:t>
      </w:r>
      <m:oMath>
        <m:r>
          <m:rPr>
            <m:sty m:val="p"/>
          </m:rPr>
          <w:rPr>
            <w:rFonts w:ascii="Cambria Math" w:hAnsi="Cambria Math" w:cstheme="majorBidi"/>
          </w:rPr>
          <m:t>Gr</m:t>
        </m:r>
      </m:oMath>
      <w:r w:rsidRPr="004834D3">
        <w:rPr>
          <w:rFonts w:cstheme="majorBidi"/>
        </w:rPr>
        <w:t xml:space="preserve"> numbers, such as 1</w:t>
      </w:r>
      <w:r w:rsidR="006916C7">
        <w:rPr>
          <w:rFonts w:cstheme="majorBidi"/>
        </w:rPr>
        <w:t>,</w:t>
      </w:r>
      <w:r w:rsidRPr="004834D3">
        <w:rPr>
          <w:rFonts w:cstheme="majorBidi"/>
        </w:rPr>
        <w:t xml:space="preserve">000 and 10,000, the downward movement of the particle is still noticeable at the latter stages of the melting process. As shown in Fig. </w:t>
      </w:r>
      <w:r w:rsidR="00FD3C90">
        <w:rPr>
          <w:rFonts w:cstheme="majorBidi"/>
        </w:rPr>
        <w:t>6</w:t>
      </w:r>
      <w:r w:rsidR="00E10F74">
        <w:rPr>
          <w:rFonts w:cstheme="majorBidi"/>
        </w:rPr>
        <w:t>-7</w:t>
      </w:r>
      <w:r w:rsidRPr="004834D3">
        <w:rPr>
          <w:rFonts w:cstheme="majorBidi"/>
        </w:rPr>
        <w:t xml:space="preserve">, from </w:t>
      </w:r>
      <m:oMath>
        <m:sSup>
          <m:sSupPr>
            <m:ctrlPr>
              <w:rPr>
                <w:rFonts w:ascii="Cambria Math" w:eastAsiaTheme="minorEastAsia" w:hAnsi="Cambria Math" w:cstheme="majorBidi"/>
                <w:iCs/>
                <w:vertAlign w:val="superscript"/>
              </w:rPr>
            </m:ctrlPr>
          </m:sSupPr>
          <m:e>
            <m:r>
              <w:rPr>
                <w:rFonts w:ascii="Cambria Math" w:eastAsiaTheme="minorEastAsia" w:hAnsi="Cambria Math" w:cstheme="majorBidi"/>
              </w:rPr>
              <m:t>t</m:t>
            </m:r>
            <m:ctrlPr>
              <w:rPr>
                <w:rFonts w:ascii="Cambria Math" w:eastAsiaTheme="minorEastAsia" w:hAnsi="Cambria Math" w:cstheme="majorBidi"/>
                <w:i/>
              </w:rPr>
            </m:ctrlPr>
          </m:e>
          <m:sup>
            <m:r>
              <m:rPr>
                <m:sty m:val="p"/>
              </m:rPr>
              <w:rPr>
                <w:rFonts w:ascii="Cambria Math" w:eastAsiaTheme="minorEastAsia" w:hAnsi="Cambria Math" w:cstheme="majorBidi"/>
                <w:vertAlign w:val="superscript"/>
              </w:rPr>
              <m:t>*</m:t>
            </m:r>
          </m:sup>
        </m:sSup>
      </m:oMath>
      <w:r w:rsidRPr="004834D3">
        <w:rPr>
          <w:rFonts w:eastAsiaTheme="minorEastAsia" w:cstheme="majorBidi"/>
        </w:rPr>
        <w:t xml:space="preserve"> =</w:t>
      </w:r>
      <w:r w:rsidRPr="004834D3">
        <w:rPr>
          <w:rFonts w:cstheme="majorBidi"/>
        </w:rPr>
        <w:t xml:space="preserve"> 0.466 to </w:t>
      </w:r>
      <m:oMath>
        <m:sSup>
          <m:sSupPr>
            <m:ctrlPr>
              <w:rPr>
                <w:rFonts w:ascii="Cambria Math" w:eastAsiaTheme="minorEastAsia" w:hAnsi="Cambria Math" w:cstheme="majorBidi"/>
                <w:iCs/>
                <w:vertAlign w:val="superscript"/>
              </w:rPr>
            </m:ctrlPr>
          </m:sSupPr>
          <m:e>
            <m:r>
              <w:rPr>
                <w:rFonts w:ascii="Cambria Math" w:eastAsiaTheme="minorEastAsia" w:hAnsi="Cambria Math" w:cstheme="majorBidi"/>
              </w:rPr>
              <m:t>t</m:t>
            </m:r>
            <m:ctrlPr>
              <w:rPr>
                <w:rFonts w:ascii="Cambria Math" w:eastAsiaTheme="minorEastAsia" w:hAnsi="Cambria Math" w:cstheme="majorBidi"/>
                <w:i/>
              </w:rPr>
            </m:ctrlPr>
          </m:e>
          <m:sup>
            <m:r>
              <m:rPr>
                <m:sty m:val="p"/>
              </m:rPr>
              <w:rPr>
                <w:rFonts w:ascii="Cambria Math" w:eastAsiaTheme="minorEastAsia" w:hAnsi="Cambria Math" w:cstheme="majorBidi"/>
                <w:vertAlign w:val="superscript"/>
              </w:rPr>
              <m:t>*</m:t>
            </m:r>
          </m:sup>
        </m:sSup>
      </m:oMath>
      <w:r w:rsidRPr="004834D3">
        <w:rPr>
          <w:rFonts w:eastAsiaTheme="minorEastAsia" w:cstheme="majorBidi"/>
        </w:rPr>
        <w:t xml:space="preserve"> = 0.745 </w:t>
      </w:r>
      <w:r w:rsidRPr="004834D3">
        <w:rPr>
          <w:rFonts w:cstheme="majorBidi"/>
        </w:rPr>
        <w:t xml:space="preserve">the bottom boundary of the particle maintains a nearly constant distance from the bottom wall, even as the particle continues to shrink due to melting. This shrinkage shifts the particle's center of mass downward, corresponding to the gradual descent observed in Fig. </w:t>
      </w:r>
      <w:r w:rsidR="00FD3C90">
        <w:rPr>
          <w:rFonts w:cstheme="majorBidi"/>
        </w:rPr>
        <w:t>6</w:t>
      </w:r>
      <w:r w:rsidR="00E10F74">
        <w:rPr>
          <w:rFonts w:cstheme="majorBidi"/>
        </w:rPr>
        <w:t>-6(</w:t>
      </w:r>
      <w:r w:rsidRPr="004834D3">
        <w:rPr>
          <w:rFonts w:cstheme="majorBidi"/>
        </w:rPr>
        <w:t>a</w:t>
      </w:r>
      <w:r w:rsidR="00E10F74">
        <w:rPr>
          <w:rFonts w:cstheme="majorBidi"/>
        </w:rPr>
        <w:t>)</w:t>
      </w:r>
      <w:r w:rsidRPr="004834D3">
        <w:rPr>
          <w:rFonts w:cstheme="majorBidi"/>
        </w:rPr>
        <w:t xml:space="preserve">. </w:t>
      </w:r>
    </w:p>
    <w:p w14:paraId="5FAC271B" w14:textId="77777777" w:rsidR="004C6625" w:rsidRDefault="004C6625" w:rsidP="004C6625">
      <w:pPr>
        <w:spacing w:after="240" w:line="480" w:lineRule="auto"/>
        <w:ind w:firstLine="720"/>
        <w:jc w:val="both"/>
        <w:rPr>
          <w:rFonts w:cstheme="majorBidi"/>
        </w:rPr>
      </w:pPr>
    </w:p>
    <w:p w14:paraId="450561E7" w14:textId="77777777" w:rsidR="004C6625" w:rsidRDefault="004C6625" w:rsidP="004C6625">
      <w:pPr>
        <w:spacing w:after="240" w:line="480" w:lineRule="auto"/>
        <w:ind w:firstLine="720"/>
        <w:jc w:val="both"/>
        <w:rPr>
          <w:rFonts w:cstheme="majorBidi"/>
        </w:rPr>
      </w:pPr>
    </w:p>
    <w:p w14:paraId="11E7F122" w14:textId="77777777" w:rsidR="004C6625" w:rsidRDefault="004C6625" w:rsidP="004C6625">
      <w:pPr>
        <w:spacing w:after="240" w:line="480" w:lineRule="auto"/>
        <w:ind w:firstLine="720"/>
        <w:jc w:val="both"/>
        <w:rPr>
          <w:rFonts w:cstheme="majorBidi"/>
        </w:rPr>
      </w:pPr>
    </w:p>
    <w:p w14:paraId="2F0B177C" w14:textId="77777777" w:rsidR="004C6625" w:rsidRPr="004834D3" w:rsidRDefault="004C6625" w:rsidP="004C6625">
      <w:pPr>
        <w:spacing w:after="240" w:line="480" w:lineRule="auto"/>
        <w:ind w:firstLine="720"/>
        <w:jc w:val="both"/>
        <w:rPr>
          <w:rFonts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40"/>
        <w:gridCol w:w="2340"/>
        <w:gridCol w:w="2340"/>
      </w:tblGrid>
      <w:tr w:rsidR="002D1344" w:rsidRPr="004834D3" w14:paraId="52B6E7AE" w14:textId="77777777" w:rsidTr="00485975">
        <w:trPr>
          <w:jc w:val="center"/>
        </w:trPr>
        <w:tc>
          <w:tcPr>
            <w:tcW w:w="9360" w:type="dxa"/>
            <w:gridSpan w:val="4"/>
            <w:vAlign w:val="center"/>
          </w:tcPr>
          <w:p w14:paraId="1C99C8BE" w14:textId="77777777" w:rsidR="002D1344" w:rsidRPr="004834D3" w:rsidRDefault="002D1344" w:rsidP="004C6625">
            <w:pPr>
              <w:spacing w:line="480" w:lineRule="auto"/>
              <w:jc w:val="center"/>
              <w:rPr>
                <w:rFonts w:cstheme="majorBidi"/>
                <w:noProof/>
              </w:rPr>
            </w:pPr>
            <w:r w:rsidRPr="004834D3">
              <w:rPr>
                <w:rFonts w:cstheme="majorBidi"/>
                <w:noProof/>
              </w:rPr>
              <w:lastRenderedPageBreak/>
              <w:drawing>
                <wp:inline distT="0" distB="0" distL="0" distR="0" wp14:anchorId="0D79988A" wp14:editId="2F5537CF">
                  <wp:extent cx="4654296" cy="795528"/>
                  <wp:effectExtent l="0" t="0" r="0" b="0"/>
                  <wp:docPr id="301836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4654296" cy="795528"/>
                          </a:xfrm>
                          <a:prstGeom prst="rect">
                            <a:avLst/>
                          </a:prstGeom>
                          <a:noFill/>
                          <a:ln>
                            <a:noFill/>
                          </a:ln>
                        </pic:spPr>
                      </pic:pic>
                    </a:graphicData>
                  </a:graphic>
                </wp:inline>
              </w:drawing>
            </w:r>
          </w:p>
        </w:tc>
      </w:tr>
      <w:tr w:rsidR="002D1344" w:rsidRPr="004834D3" w14:paraId="7CDC90E1" w14:textId="77777777" w:rsidTr="00485975">
        <w:trPr>
          <w:jc w:val="center"/>
        </w:trPr>
        <w:tc>
          <w:tcPr>
            <w:tcW w:w="2340" w:type="dxa"/>
            <w:vAlign w:val="center"/>
          </w:tcPr>
          <w:p w14:paraId="4DE2E310"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2FA7E153" wp14:editId="39EF607C">
                  <wp:extent cx="1371600" cy="830580"/>
                  <wp:effectExtent l="0" t="0" r="0" b="7620"/>
                  <wp:docPr id="1214428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1371600" cy="830580"/>
                          </a:xfrm>
                          <a:prstGeom prst="rect">
                            <a:avLst/>
                          </a:prstGeom>
                          <a:noFill/>
                          <a:ln>
                            <a:noFill/>
                          </a:ln>
                        </pic:spPr>
                      </pic:pic>
                    </a:graphicData>
                  </a:graphic>
                </wp:inline>
              </w:drawing>
            </w:r>
          </w:p>
          <w:p w14:paraId="142DC963" w14:textId="75612ECE"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0.093</w:t>
            </w:r>
          </w:p>
        </w:tc>
        <w:tc>
          <w:tcPr>
            <w:tcW w:w="2340" w:type="dxa"/>
            <w:vAlign w:val="center"/>
          </w:tcPr>
          <w:p w14:paraId="3B939602"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6BBB3742" wp14:editId="1D720325">
                  <wp:extent cx="1371600" cy="834234"/>
                  <wp:effectExtent l="0" t="0" r="0" b="4445"/>
                  <wp:docPr id="6399131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1371600" cy="834234"/>
                          </a:xfrm>
                          <a:prstGeom prst="rect">
                            <a:avLst/>
                          </a:prstGeom>
                          <a:noFill/>
                          <a:ln>
                            <a:noFill/>
                          </a:ln>
                        </pic:spPr>
                      </pic:pic>
                    </a:graphicData>
                  </a:graphic>
                </wp:inline>
              </w:drawing>
            </w:r>
          </w:p>
          <w:p w14:paraId="27EEA9AA" w14:textId="3C8A139E"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0.186</w:t>
            </w:r>
          </w:p>
        </w:tc>
        <w:tc>
          <w:tcPr>
            <w:tcW w:w="2340" w:type="dxa"/>
            <w:vAlign w:val="center"/>
          </w:tcPr>
          <w:p w14:paraId="09EF978F"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2CCA90FF" wp14:editId="3A1A4912">
                  <wp:extent cx="1371600" cy="835221"/>
                  <wp:effectExtent l="0" t="0" r="0" b="3175"/>
                  <wp:docPr id="904736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1371600" cy="835221"/>
                          </a:xfrm>
                          <a:prstGeom prst="rect">
                            <a:avLst/>
                          </a:prstGeom>
                          <a:noFill/>
                          <a:ln>
                            <a:noFill/>
                          </a:ln>
                        </pic:spPr>
                      </pic:pic>
                    </a:graphicData>
                  </a:graphic>
                </wp:inline>
              </w:drawing>
            </w:r>
          </w:p>
          <w:p w14:paraId="4795F049" w14:textId="70FCDF63"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0.279</w:t>
            </w:r>
          </w:p>
        </w:tc>
        <w:tc>
          <w:tcPr>
            <w:tcW w:w="2340" w:type="dxa"/>
            <w:vAlign w:val="center"/>
          </w:tcPr>
          <w:p w14:paraId="5E300838"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36CBEC7D" wp14:editId="714D35EA">
                  <wp:extent cx="1371600" cy="834234"/>
                  <wp:effectExtent l="0" t="0" r="0" b="4445"/>
                  <wp:docPr id="1533349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1371600" cy="834234"/>
                          </a:xfrm>
                          <a:prstGeom prst="rect">
                            <a:avLst/>
                          </a:prstGeom>
                          <a:noFill/>
                          <a:ln>
                            <a:noFill/>
                          </a:ln>
                        </pic:spPr>
                      </pic:pic>
                    </a:graphicData>
                  </a:graphic>
                </wp:inline>
              </w:drawing>
            </w:r>
          </w:p>
          <w:p w14:paraId="73B8352A" w14:textId="378CBD99"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0.372</w:t>
            </w:r>
          </w:p>
        </w:tc>
      </w:tr>
      <w:tr w:rsidR="002D1344" w:rsidRPr="004834D3" w14:paraId="3A7AAA06" w14:textId="77777777" w:rsidTr="00485975">
        <w:trPr>
          <w:jc w:val="center"/>
        </w:trPr>
        <w:tc>
          <w:tcPr>
            <w:tcW w:w="2340" w:type="dxa"/>
            <w:vAlign w:val="center"/>
          </w:tcPr>
          <w:p w14:paraId="34AEF50F"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494B80DC" wp14:editId="3777282E">
                  <wp:extent cx="1371600" cy="833697"/>
                  <wp:effectExtent l="0" t="0" r="0" b="5080"/>
                  <wp:docPr id="19162429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371600" cy="833697"/>
                          </a:xfrm>
                          <a:prstGeom prst="rect">
                            <a:avLst/>
                          </a:prstGeom>
                          <a:noFill/>
                          <a:ln>
                            <a:noFill/>
                          </a:ln>
                        </pic:spPr>
                      </pic:pic>
                    </a:graphicData>
                  </a:graphic>
                </wp:inline>
              </w:drawing>
            </w:r>
          </w:p>
          <w:p w14:paraId="36FC1AE3" w14:textId="29531403"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0.466</w:t>
            </w:r>
          </w:p>
        </w:tc>
        <w:tc>
          <w:tcPr>
            <w:tcW w:w="2340" w:type="dxa"/>
            <w:vAlign w:val="center"/>
          </w:tcPr>
          <w:p w14:paraId="00A05986"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0F9CCE89" wp14:editId="0151BAC7">
                  <wp:extent cx="1371600" cy="833697"/>
                  <wp:effectExtent l="0" t="0" r="0" b="5080"/>
                  <wp:docPr id="19454461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1371600" cy="833697"/>
                          </a:xfrm>
                          <a:prstGeom prst="rect">
                            <a:avLst/>
                          </a:prstGeom>
                          <a:noFill/>
                          <a:ln>
                            <a:noFill/>
                          </a:ln>
                        </pic:spPr>
                      </pic:pic>
                    </a:graphicData>
                  </a:graphic>
                </wp:inline>
              </w:drawing>
            </w:r>
          </w:p>
          <w:p w14:paraId="2297221A" w14:textId="77F94A93"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0.559</w:t>
            </w:r>
          </w:p>
        </w:tc>
        <w:tc>
          <w:tcPr>
            <w:tcW w:w="2340" w:type="dxa"/>
            <w:vAlign w:val="center"/>
          </w:tcPr>
          <w:p w14:paraId="1B0410AC"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1DBF6852" wp14:editId="12E549ED">
                  <wp:extent cx="1371600" cy="833936"/>
                  <wp:effectExtent l="0" t="0" r="0" b="4445"/>
                  <wp:docPr id="17899789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1371600" cy="833936"/>
                          </a:xfrm>
                          <a:prstGeom prst="rect">
                            <a:avLst/>
                          </a:prstGeom>
                          <a:noFill/>
                          <a:ln>
                            <a:noFill/>
                          </a:ln>
                        </pic:spPr>
                      </pic:pic>
                    </a:graphicData>
                  </a:graphic>
                </wp:inline>
              </w:drawing>
            </w:r>
          </w:p>
          <w:p w14:paraId="06005192" w14:textId="4CFFAF9B"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0.652</w:t>
            </w:r>
          </w:p>
        </w:tc>
        <w:tc>
          <w:tcPr>
            <w:tcW w:w="2340" w:type="dxa"/>
            <w:vAlign w:val="center"/>
          </w:tcPr>
          <w:p w14:paraId="5545F6E9" w14:textId="77777777" w:rsidR="002D1344" w:rsidRPr="004834D3" w:rsidRDefault="002D1344" w:rsidP="004C6625">
            <w:pPr>
              <w:spacing w:line="480" w:lineRule="auto"/>
              <w:jc w:val="center"/>
              <w:rPr>
                <w:rFonts w:cstheme="majorBidi"/>
              </w:rPr>
            </w:pPr>
            <w:r w:rsidRPr="004834D3">
              <w:rPr>
                <w:rFonts w:cstheme="majorBidi"/>
                <w:noProof/>
              </w:rPr>
              <w:drawing>
                <wp:inline distT="0" distB="0" distL="0" distR="0" wp14:anchorId="6BA1552F" wp14:editId="09476473">
                  <wp:extent cx="1371600" cy="833936"/>
                  <wp:effectExtent l="0" t="0" r="0" b="4445"/>
                  <wp:docPr id="1558843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1371600" cy="833936"/>
                          </a:xfrm>
                          <a:prstGeom prst="rect">
                            <a:avLst/>
                          </a:prstGeom>
                          <a:noFill/>
                          <a:ln>
                            <a:noFill/>
                          </a:ln>
                        </pic:spPr>
                      </pic:pic>
                    </a:graphicData>
                  </a:graphic>
                </wp:inline>
              </w:drawing>
            </w:r>
          </w:p>
          <w:p w14:paraId="781E38EC" w14:textId="50F04740" w:rsidR="002D1344" w:rsidRPr="004834D3" w:rsidRDefault="00000000" w:rsidP="004C6625">
            <w:pPr>
              <w:spacing w:line="480" w:lineRule="auto"/>
              <w:jc w:val="center"/>
              <w:rPr>
                <w:rFonts w:cstheme="majorBidi"/>
              </w:rPr>
            </w:pPr>
            <m:oMath>
              <m:sSup>
                <m:sSupPr>
                  <m:ctrlPr>
                    <w:rPr>
                      <w:rFonts w:ascii="Cambria Math" w:hAnsi="Cambria Math" w:cstheme="majorBidi"/>
                      <w:i/>
                      <w:iCs/>
                    </w:rPr>
                  </m:ctrlPr>
                </m:sSupPr>
                <m:e>
                  <m:r>
                    <w:rPr>
                      <w:rFonts w:ascii="Cambria Math" w:hAnsi="Cambria Math" w:cstheme="majorBidi"/>
                    </w:rPr>
                    <m:t>t</m:t>
                  </m:r>
                </m:e>
                <m:sup>
                  <m:r>
                    <m:rPr>
                      <m:sty m:val="p"/>
                    </m:rPr>
                    <w:rPr>
                      <w:rFonts w:ascii="Cambria Math" w:hAnsi="Cambria Math" w:cstheme="majorBidi"/>
                      <w:vertAlign w:val="superscript"/>
                    </w:rPr>
                    <m:t>*</m:t>
                  </m:r>
                </m:sup>
              </m:sSup>
            </m:oMath>
            <w:r w:rsidR="002D1344" w:rsidRPr="004834D3">
              <w:rPr>
                <w:rFonts w:cstheme="majorBidi"/>
              </w:rPr>
              <w:t xml:space="preserve"> = 0.745</w:t>
            </w:r>
          </w:p>
        </w:tc>
      </w:tr>
      <w:tr w:rsidR="002D1344" w:rsidRPr="004834D3" w14:paraId="48D3D1B2" w14:textId="77777777" w:rsidTr="00485975">
        <w:trPr>
          <w:jc w:val="center"/>
        </w:trPr>
        <w:tc>
          <w:tcPr>
            <w:tcW w:w="9360" w:type="dxa"/>
            <w:gridSpan w:val="4"/>
            <w:vAlign w:val="center"/>
          </w:tcPr>
          <w:p w14:paraId="0ED97E6D" w14:textId="4C74F544" w:rsidR="002D1344" w:rsidRPr="00E10F74" w:rsidRDefault="00E10F74" w:rsidP="004C6625">
            <w:pPr>
              <w:pStyle w:val="Caption"/>
              <w:spacing w:before="0" w:after="0" w:line="480" w:lineRule="auto"/>
              <w:jc w:val="center"/>
            </w:pPr>
            <w:bookmarkStart w:id="101" w:name="_Toc172708834"/>
            <w:r w:rsidRPr="00E10F74">
              <w:rPr>
                <w:b/>
                <w:bCs/>
              </w:rPr>
              <w:t xml:space="preserve">Fig. </w:t>
            </w:r>
            <w:r w:rsidR="00996526">
              <w:rPr>
                <w:b/>
                <w:bCs/>
              </w:rPr>
              <w:fldChar w:fldCharType="begin"/>
            </w:r>
            <w:r w:rsidR="00996526">
              <w:rPr>
                <w:b/>
                <w:bCs/>
              </w:rPr>
              <w:instrText xml:space="preserve"> STYLEREF 1 \s </w:instrText>
            </w:r>
            <w:r w:rsidR="00996526">
              <w:rPr>
                <w:b/>
                <w:bCs/>
              </w:rPr>
              <w:fldChar w:fldCharType="separate"/>
            </w:r>
            <w:r w:rsidR="00732AAC">
              <w:rPr>
                <w:b/>
                <w:bCs/>
                <w:noProof/>
                <w:cs/>
              </w:rPr>
              <w:t>‎</w:t>
            </w:r>
            <w:r w:rsidR="00732AAC">
              <w:rPr>
                <w:b/>
                <w:bCs/>
                <w:noProof/>
              </w:rPr>
              <w:t>6</w:t>
            </w:r>
            <w:r w:rsidR="00996526">
              <w:rPr>
                <w:b/>
                <w:bCs/>
              </w:rPr>
              <w:fldChar w:fldCharType="end"/>
            </w:r>
            <w:r w:rsidR="00996526">
              <w:rPr>
                <w:b/>
                <w:bCs/>
              </w:rPr>
              <w:noBreakHyphen/>
            </w:r>
            <w:r w:rsidR="00996526">
              <w:rPr>
                <w:b/>
                <w:bCs/>
              </w:rPr>
              <w:fldChar w:fldCharType="begin"/>
            </w:r>
            <w:r w:rsidR="00996526">
              <w:rPr>
                <w:b/>
                <w:bCs/>
              </w:rPr>
              <w:instrText xml:space="preserve"> SEQ Fig. \* ARABIC \s 1 </w:instrText>
            </w:r>
            <w:r w:rsidR="00996526">
              <w:rPr>
                <w:b/>
                <w:bCs/>
              </w:rPr>
              <w:fldChar w:fldCharType="separate"/>
            </w:r>
            <w:r w:rsidR="00732AAC">
              <w:rPr>
                <w:b/>
                <w:bCs/>
                <w:noProof/>
              </w:rPr>
              <w:t>7</w:t>
            </w:r>
            <w:r w:rsidR="00996526">
              <w:rPr>
                <w:b/>
                <w:bCs/>
              </w:rPr>
              <w:fldChar w:fldCharType="end"/>
            </w:r>
            <w:r w:rsidR="002D1344" w:rsidRPr="004834D3">
              <w:rPr>
                <w:rFonts w:cstheme="majorBidi"/>
                <w:noProof/>
              </w:rPr>
              <w:t xml:space="preserve"> </w:t>
            </w:r>
            <w:r w:rsidR="002D1344" w:rsidRPr="004834D3">
              <w:rPr>
                <w:rFonts w:eastAsiaTheme="minorEastAsia" w:cstheme="majorBidi"/>
              </w:rPr>
              <w:t xml:space="preserve">The pressure distribution around the particle for </w:t>
            </w:r>
            <m:oMath>
              <m:r>
                <m:rPr>
                  <m:sty m:val="p"/>
                </m:rPr>
                <w:rPr>
                  <w:rFonts w:ascii="Cambria Math" w:eastAsiaTheme="minorEastAsia" w:hAnsi="Cambria Math" w:cstheme="majorBidi"/>
                </w:rPr>
                <m:t>Re</m:t>
              </m:r>
            </m:oMath>
            <w:r w:rsidR="002D1344" w:rsidRPr="004834D3">
              <w:rPr>
                <w:rFonts w:eastAsiaTheme="minorEastAsia" w:cstheme="majorBidi"/>
              </w:rPr>
              <w:t xml:space="preserve"> = 100, </w:t>
            </w:r>
            <m:oMath>
              <m:r>
                <m:rPr>
                  <m:sty m:val="p"/>
                </m:rPr>
                <w:rPr>
                  <w:rFonts w:ascii="Cambria Math" w:eastAsiaTheme="minorEastAsia" w:hAnsi="Cambria Math" w:cstheme="majorBidi"/>
                </w:rPr>
                <m:t>Gr</m:t>
              </m:r>
            </m:oMath>
            <w:r w:rsidR="002D1344" w:rsidRPr="004834D3">
              <w:rPr>
                <w:rFonts w:eastAsiaTheme="minorEastAsia" w:cstheme="majorBidi"/>
              </w:rPr>
              <w:t xml:space="preserve"> = 1</w:t>
            </w:r>
            <w:r w:rsidR="006916C7">
              <w:rPr>
                <w:rFonts w:eastAsiaTheme="minorEastAsia" w:cstheme="majorBidi"/>
              </w:rPr>
              <w:t>,</w:t>
            </w:r>
            <w:r w:rsidR="002D1344" w:rsidRPr="004834D3">
              <w:rPr>
                <w:rFonts w:eastAsiaTheme="minorEastAsia" w:cstheme="majorBidi"/>
              </w:rPr>
              <w:t xml:space="preserve">000, and </w:t>
            </w:r>
            <m:oMath>
              <m:sSubSup>
                <m:sSubSupPr>
                  <m:ctrlPr>
                    <w:rPr>
                      <w:rFonts w:ascii="Cambria Math" w:eastAsiaTheme="minorEastAsia" w:hAnsi="Cambria Math" w:cstheme="majorBidi"/>
                      <w:i/>
                      <w:vertAlign w:val="superscript"/>
                    </w:rPr>
                  </m:ctrlPr>
                </m:sSubSupPr>
                <m:e>
                  <m:r>
                    <w:rPr>
                      <w:rFonts w:ascii="Cambria Math" w:eastAsiaTheme="minorEastAsia" w:hAnsi="Cambria Math" w:cstheme="majorBidi"/>
                    </w:rPr>
                    <m:t>Y</m:t>
                  </m:r>
                  <m:ctrlPr>
                    <w:rPr>
                      <w:rFonts w:ascii="Cambria Math" w:eastAsiaTheme="minorEastAsia" w:hAnsi="Cambria Math" w:cstheme="majorBidi"/>
                      <w:i/>
                    </w:rPr>
                  </m:ctrlPr>
                </m:e>
                <m:sub>
                  <m:r>
                    <w:rPr>
                      <w:rFonts w:ascii="Cambria Math" w:eastAsiaTheme="minorEastAsia" w:hAnsi="Cambria Math" w:cstheme="majorBidi"/>
                      <w:vertAlign w:val="superscript"/>
                    </w:rPr>
                    <m:t>0</m:t>
                  </m:r>
                </m:sub>
                <m:sup>
                  <m:r>
                    <w:rPr>
                      <w:rFonts w:ascii="Cambria Math" w:eastAsiaTheme="minorEastAsia" w:hAnsi="Cambria Math" w:cstheme="majorBidi"/>
                      <w:vertAlign w:val="superscript"/>
                    </w:rPr>
                    <m:t>*</m:t>
                  </m:r>
                </m:sup>
              </m:sSubSup>
            </m:oMath>
            <w:r w:rsidR="002D1344" w:rsidRPr="004834D3">
              <w:rPr>
                <w:rFonts w:eastAsiaTheme="minorEastAsia" w:cstheme="majorBidi"/>
              </w:rPr>
              <w:t xml:space="preserve"> = 0.5 and multiple dimensionless times.</w:t>
            </w:r>
            <w:bookmarkEnd w:id="101"/>
          </w:p>
        </w:tc>
      </w:tr>
    </w:tbl>
    <w:p w14:paraId="0120790D" w14:textId="6095DE5C" w:rsidR="002D1344" w:rsidRPr="004834D3" w:rsidRDefault="002D1344" w:rsidP="004C6625">
      <w:pPr>
        <w:spacing w:before="360" w:after="240" w:line="480" w:lineRule="auto"/>
        <w:ind w:firstLine="720"/>
        <w:jc w:val="both"/>
        <w:rPr>
          <w:rFonts w:cstheme="majorBidi"/>
        </w:rPr>
      </w:pPr>
      <w:r w:rsidRPr="004834D3">
        <w:rPr>
          <w:rFonts w:cstheme="majorBidi"/>
        </w:rPr>
        <w:t xml:space="preserve">Figure </w:t>
      </w:r>
      <w:r w:rsidR="00CD690B">
        <w:rPr>
          <w:rFonts w:cstheme="majorBidi"/>
        </w:rPr>
        <w:t>6</w:t>
      </w:r>
      <w:r w:rsidR="00E10F74">
        <w:rPr>
          <w:rFonts w:cstheme="majorBidi"/>
        </w:rPr>
        <w:t>-6(</w:t>
      </w:r>
      <w:r w:rsidRPr="004834D3">
        <w:rPr>
          <w:rFonts w:cstheme="majorBidi"/>
        </w:rPr>
        <w:t>b</w:t>
      </w:r>
      <w:r w:rsidR="00E10F74">
        <w:rPr>
          <w:rFonts w:cstheme="majorBidi"/>
        </w:rPr>
        <w:t>)</w:t>
      </w:r>
      <w:r w:rsidRPr="004834D3">
        <w:rPr>
          <w:rFonts w:cstheme="majorBidi"/>
        </w:rPr>
        <w:t xml:space="preserve"> demonstrates that as the </w:t>
      </w:r>
      <m:oMath>
        <m:r>
          <m:rPr>
            <m:sty m:val="p"/>
          </m:rPr>
          <w:rPr>
            <w:rFonts w:ascii="Cambria Math" w:hAnsi="Cambria Math" w:cstheme="majorBidi"/>
          </w:rPr>
          <m:t>Gr</m:t>
        </m:r>
      </m:oMath>
      <w:r w:rsidRPr="004834D3">
        <w:rPr>
          <w:rFonts w:cstheme="majorBidi"/>
        </w:rPr>
        <w:t xml:space="preserve"> number increases, the melting rate of the particle also increases. This correlation can be attributed to a more pronounced natural convection heat transfer and a stronger downward drag force that </w:t>
      </w:r>
      <w:r w:rsidR="006916C7">
        <w:rPr>
          <w:rFonts w:cstheme="majorBidi"/>
        </w:rPr>
        <w:t>pushes</w:t>
      </w:r>
      <w:r w:rsidRPr="004834D3">
        <w:rPr>
          <w:rFonts w:cstheme="majorBidi"/>
        </w:rPr>
        <w:t xml:space="preserve"> the particle closer to the heated wall. With an increase in </w:t>
      </w:r>
      <m:oMath>
        <m:r>
          <m:rPr>
            <m:sty m:val="p"/>
          </m:rPr>
          <w:rPr>
            <w:rFonts w:ascii="Cambria Math" w:hAnsi="Cambria Math" w:cstheme="majorBidi"/>
          </w:rPr>
          <m:t>Gr</m:t>
        </m:r>
      </m:oMath>
      <w:r w:rsidRPr="004834D3">
        <w:rPr>
          <w:rFonts w:cstheme="majorBidi"/>
        </w:rPr>
        <w:t xml:space="preserve">, the particle not only migrates more rapidly towards the relatively hot bottom wall but also remains in close proximity to it for a longer period. This exposure results in enhanced heat transfer rates, as evidenced by the increased </w:t>
      </w:r>
      <m:oMath>
        <m:r>
          <m:rPr>
            <m:sty m:val="p"/>
          </m:rPr>
          <w:rPr>
            <w:rFonts w:ascii="Cambria Math" w:hAnsi="Cambria Math" w:cstheme="majorBidi"/>
          </w:rPr>
          <m:t>Nu</m:t>
        </m:r>
      </m:oMath>
      <w:r w:rsidRPr="004834D3">
        <w:rPr>
          <w:rFonts w:cstheme="majorBidi"/>
        </w:rPr>
        <w:t xml:space="preserve"> number values illustrated in Fig. </w:t>
      </w:r>
      <w:r w:rsidR="00CD690B">
        <w:rPr>
          <w:rFonts w:cstheme="majorBidi"/>
        </w:rPr>
        <w:t>6</w:t>
      </w:r>
      <w:r w:rsidR="00E10F74">
        <w:rPr>
          <w:rFonts w:cstheme="majorBidi"/>
        </w:rPr>
        <w:t>-6(</w:t>
      </w:r>
      <w:r w:rsidRPr="004834D3">
        <w:rPr>
          <w:rFonts w:cstheme="majorBidi"/>
        </w:rPr>
        <w:t>c</w:t>
      </w:r>
      <w:r w:rsidR="00E10F74">
        <w:rPr>
          <w:rFonts w:cstheme="majorBidi"/>
        </w:rPr>
        <w:t>)</w:t>
      </w:r>
      <w:r w:rsidRPr="004834D3">
        <w:rPr>
          <w:rFonts w:cstheme="majorBidi"/>
        </w:rPr>
        <w:t xml:space="preserve">. </w:t>
      </w:r>
    </w:p>
    <w:p w14:paraId="55D0A3F7" w14:textId="60C58E35" w:rsidR="002D1344" w:rsidRDefault="002D1344" w:rsidP="004C6625">
      <w:pPr>
        <w:spacing w:before="240" w:after="240" w:line="480" w:lineRule="auto"/>
        <w:ind w:firstLine="720"/>
        <w:jc w:val="both"/>
        <w:rPr>
          <w:rFonts w:cstheme="majorBidi"/>
        </w:rPr>
      </w:pPr>
      <w:r w:rsidRPr="004834D3">
        <w:rPr>
          <w:rFonts w:cstheme="majorBidi"/>
        </w:rPr>
        <w:t xml:space="preserve">The </w:t>
      </w:r>
      <m:oMath>
        <m:r>
          <m:rPr>
            <m:sty m:val="p"/>
          </m:rPr>
          <w:rPr>
            <w:rFonts w:ascii="Cambria Math" w:hAnsi="Cambria Math" w:cstheme="majorBidi"/>
          </w:rPr>
          <m:t>Ste</m:t>
        </m:r>
      </m:oMath>
      <w:r w:rsidRPr="004834D3">
        <w:rPr>
          <w:rFonts w:cstheme="majorBidi"/>
        </w:rPr>
        <w:t xml:space="preserve"> number is a critical parameter that predominantly governs the melting rate of the particle. An increase in the </w:t>
      </w:r>
      <m:oMath>
        <m:r>
          <m:rPr>
            <m:sty m:val="p"/>
          </m:rPr>
          <w:rPr>
            <w:rFonts w:ascii="Cambria Math" w:hAnsi="Cambria Math" w:cstheme="majorBidi"/>
          </w:rPr>
          <m:t>Ste</m:t>
        </m:r>
      </m:oMath>
      <w:r w:rsidRPr="004834D3">
        <w:rPr>
          <w:rFonts w:cstheme="majorBidi"/>
        </w:rPr>
        <w:t xml:space="preserve"> results in a quicker melting process, primarily due to a relatively lower latent heat of fusion required for the phase change. Figure </w:t>
      </w:r>
      <w:r w:rsidR="00CD690B">
        <w:rPr>
          <w:rFonts w:cstheme="majorBidi"/>
        </w:rPr>
        <w:t>6</w:t>
      </w:r>
      <w:r w:rsidR="00E10F74">
        <w:rPr>
          <w:rFonts w:cstheme="majorBidi"/>
        </w:rPr>
        <w:t>-8</w:t>
      </w:r>
      <w:r w:rsidRPr="004834D3">
        <w:rPr>
          <w:rFonts w:cstheme="majorBidi"/>
        </w:rPr>
        <w:t xml:space="preserve"> illustrates the impact of different </w:t>
      </w:r>
      <m:oMath>
        <m:r>
          <m:rPr>
            <m:sty m:val="p"/>
          </m:rPr>
          <w:rPr>
            <w:rFonts w:ascii="Cambria Math" w:hAnsi="Cambria Math" w:cstheme="majorBidi"/>
          </w:rPr>
          <m:t>Ste</m:t>
        </m:r>
      </m:oMath>
      <w:r w:rsidRPr="004834D3">
        <w:rPr>
          <w:rFonts w:cstheme="majorBidi"/>
        </w:rPr>
        <w:t xml:space="preserve"> values on the computationally determined transient lateral position of the particle, its </w:t>
      </w:r>
      <w:r w:rsidRPr="004834D3">
        <w:rPr>
          <w:rFonts w:cstheme="majorBidi"/>
        </w:rPr>
        <w:lastRenderedPageBreak/>
        <w:t xml:space="preserve">mass, and the </w:t>
      </w:r>
      <m:oMath>
        <m:r>
          <m:rPr>
            <m:sty m:val="p"/>
          </m:rPr>
          <w:rPr>
            <w:rFonts w:ascii="Cambria Math" w:hAnsi="Cambria Math" w:cstheme="majorBidi"/>
          </w:rPr>
          <m:t>Nu</m:t>
        </m:r>
      </m:oMath>
      <w:r w:rsidRPr="004834D3">
        <w:rPr>
          <w:rFonts w:cstheme="majorBidi"/>
        </w:rPr>
        <w:t xml:space="preserve"> number for</w:t>
      </w:r>
      <w:r w:rsidR="006916C7">
        <w:rPr>
          <w:rFonts w:cstheme="majorBidi"/>
        </w:rPr>
        <w:t xml:space="preserve"> these</w:t>
      </w:r>
      <w:r w:rsidRPr="004834D3">
        <w:rPr>
          <w:rFonts w:cstheme="majorBidi"/>
        </w:rPr>
        <w:t xml:space="preserve"> conditions</w:t>
      </w:r>
      <w:r w:rsidR="006916C7">
        <w:rPr>
          <w:rFonts w:cstheme="majorBidi"/>
        </w:rPr>
        <w:t>:</w:t>
      </w:r>
      <w:r w:rsidRPr="004834D3">
        <w:rPr>
          <w:rFonts w:cstheme="majorBidi"/>
        </w:rPr>
        <w:t xml:space="preserve"> </w:t>
      </w:r>
      <m:oMath>
        <m:r>
          <m:rPr>
            <m:sty m:val="p"/>
          </m:rPr>
          <w:rPr>
            <w:rFonts w:ascii="Cambria Math" w:hAnsi="Cambria Math" w:cstheme="majorBidi"/>
          </w:rPr>
          <m:t>Re</m:t>
        </m:r>
      </m:oMath>
      <w:r w:rsidRPr="004834D3">
        <w:rPr>
          <w:rFonts w:cstheme="majorBidi"/>
        </w:rPr>
        <w:t xml:space="preserve"> = 100, </w:t>
      </w:r>
      <m:oMath>
        <m:r>
          <m:rPr>
            <m:sty m:val="p"/>
          </m:rPr>
          <w:rPr>
            <w:rFonts w:ascii="Cambria Math" w:hAnsi="Cambria Math" w:cstheme="majorBidi"/>
          </w:rPr>
          <m:t>Gr</m:t>
        </m:r>
      </m:oMath>
      <w:r w:rsidRPr="004834D3">
        <w:rPr>
          <w:rFonts w:cstheme="majorBidi"/>
        </w:rPr>
        <w:t xml:space="preserve"> = 1</w:t>
      </w:r>
      <w:r w:rsidR="006916C7">
        <w:rPr>
          <w:rFonts w:cstheme="majorBidi"/>
        </w:rPr>
        <w:t>,</w:t>
      </w:r>
      <w:r w:rsidRPr="004834D3">
        <w:rPr>
          <w:rFonts w:cstheme="majorBidi"/>
        </w:rPr>
        <w:t xml:space="preserve">000, and </w:t>
      </w:r>
      <m:oMath>
        <m:sSubSup>
          <m:sSubSupPr>
            <m:ctrlPr>
              <w:rPr>
                <w:rFonts w:ascii="Cambria Math" w:hAnsi="Cambria Math" w:cstheme="majorBidi"/>
                <w:i/>
              </w:rPr>
            </m:ctrlPr>
          </m:sSubSupPr>
          <m:e>
            <m:r>
              <w:rPr>
                <w:rFonts w:ascii="Cambria Math" w:hAnsi="Cambria Math" w:cstheme="majorBidi"/>
              </w:rPr>
              <m:t>Y</m:t>
            </m:r>
          </m:e>
          <m:sub>
            <m:r>
              <w:rPr>
                <w:rFonts w:ascii="Cambria Math" w:hAnsi="Cambria Math" w:cstheme="majorBidi"/>
              </w:rPr>
              <m:t>0</m:t>
            </m:r>
          </m:sub>
          <m:sup>
            <m:r>
              <w:rPr>
                <w:rFonts w:ascii="Cambria Math" w:hAnsi="Cambria Math" w:cstheme="majorBidi"/>
              </w:rPr>
              <m:t>*</m:t>
            </m:r>
          </m:sup>
        </m:sSubSup>
      </m:oMath>
      <w:r w:rsidRPr="004834D3">
        <w:rPr>
          <w:rFonts w:cstheme="majorBidi"/>
        </w:rPr>
        <w:t xml:space="preserve"> = 0.5. Initially, as shown in Fig. </w:t>
      </w:r>
      <w:r w:rsidR="00CD690B">
        <w:rPr>
          <w:rFonts w:cstheme="majorBidi"/>
        </w:rPr>
        <w:t>6</w:t>
      </w:r>
      <w:r w:rsidR="00E10F74">
        <w:rPr>
          <w:rFonts w:cstheme="majorBidi"/>
        </w:rPr>
        <w:t>-8(</w:t>
      </w:r>
      <w:r w:rsidRPr="004834D3">
        <w:rPr>
          <w:rFonts w:cstheme="majorBidi"/>
        </w:rPr>
        <w:t>a</w:t>
      </w:r>
      <w:r w:rsidR="00E10F74">
        <w:rPr>
          <w:rFonts w:cstheme="majorBidi"/>
        </w:rPr>
        <w:t>)</w:t>
      </w:r>
      <w:r w:rsidRPr="004834D3">
        <w:rPr>
          <w:rFonts w:cstheme="majorBidi"/>
        </w:rPr>
        <w:t xml:space="preserve">, the particle rapidly moves towards the bottom wall across all the </w:t>
      </w:r>
      <m:oMath>
        <m:r>
          <m:rPr>
            <m:sty m:val="p"/>
          </m:rPr>
          <w:rPr>
            <w:rFonts w:ascii="Cambria Math" w:hAnsi="Cambria Math" w:cstheme="majorBidi"/>
          </w:rPr>
          <m:t>Ste</m:t>
        </m:r>
      </m:oMath>
      <w:r w:rsidRPr="004834D3">
        <w:rPr>
          <w:rFonts w:cstheme="majorBidi"/>
        </w:rPr>
        <w:t xml:space="preserve"> values being studied. Notably, </w:t>
      </w:r>
      <m:oMath>
        <m:r>
          <m:rPr>
            <m:sty m:val="p"/>
          </m:rPr>
          <w:rPr>
            <w:rFonts w:ascii="Cambria Math" w:hAnsi="Cambria Math" w:cstheme="majorBidi"/>
          </w:rPr>
          <m:t>Ste</m:t>
        </m:r>
      </m:oMath>
      <w:r w:rsidRPr="004834D3">
        <w:rPr>
          <w:rFonts w:cstheme="majorBidi"/>
        </w:rPr>
        <w:t xml:space="preserve"> = 0 corresponds to a scenario where the particle does not melt. In comparison to the melting cases, the non-melting particle retains a larger time-averaged diameter, which creates a more significant velocity differential between its top and bottom, resulting in a higher clockwise angular velocity. This, in turn, generates a stronger upward Magnus force, propelling the particle closer to the channel’s centerline. When </w:t>
      </w:r>
      <m:oMath>
        <m:r>
          <m:rPr>
            <m:sty m:val="p"/>
          </m:rPr>
          <w:rPr>
            <w:rFonts w:ascii="Cambria Math" w:hAnsi="Cambria Math" w:cstheme="majorBidi"/>
          </w:rPr>
          <m:t>Ste</m:t>
        </m:r>
      </m:oMath>
      <w:r w:rsidRPr="004834D3">
        <w:rPr>
          <w:rFonts w:cstheme="majorBidi"/>
        </w:rPr>
        <w:t xml:space="preserve"> = 0.01, the melting progresses slowly, allowing the particle to maintain a trajectory similar to that of the non-melting particle until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Pr="004834D3">
        <w:rPr>
          <w:rFonts w:eastAsiaTheme="minorEastAsia" w:cstheme="majorBidi"/>
        </w:rPr>
        <w:t xml:space="preserve"> 3</w:t>
      </w:r>
      <w:r w:rsidRPr="004834D3">
        <w:rPr>
          <w:rFonts w:cstheme="majorBidi"/>
        </w:rPr>
        <w:t xml:space="preserve">. For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Pr="004834D3">
        <w:rPr>
          <w:rFonts w:eastAsiaTheme="minorEastAsia" w:cstheme="majorBidi"/>
        </w:rPr>
        <w:t xml:space="preserve"> 3</w:t>
      </w:r>
      <w:r w:rsidRPr="004834D3">
        <w:rPr>
          <w:rFonts w:cstheme="majorBidi"/>
        </w:rPr>
        <w:t xml:space="preserve">, the trajectory begins to diverge noticeably from that of the non-melting case. This divergence suggests that as the particle reduces in size, the influence of natural convection becomes more pronounced compared to the Magnus effect, resulting in the particle being drawn downwards. For higher </w:t>
      </w:r>
      <m:oMath>
        <m:r>
          <m:rPr>
            <m:sty m:val="p"/>
          </m:rPr>
          <w:rPr>
            <w:rFonts w:ascii="Cambria Math" w:hAnsi="Cambria Math" w:cstheme="majorBidi"/>
          </w:rPr>
          <m:t>Ste</m:t>
        </m:r>
      </m:oMath>
      <w:r w:rsidRPr="004834D3">
        <w:rPr>
          <w:rFonts w:cstheme="majorBidi"/>
        </w:rPr>
        <w:t xml:space="preserve"> numbers, such as 0.1 and 0.5, melting occurs so rapidly that the particle nearly completes its phase change by the time the initial descent is finished, as depicted in Fig. </w:t>
      </w:r>
      <w:r w:rsidR="00CD690B">
        <w:rPr>
          <w:rFonts w:cstheme="majorBidi"/>
        </w:rPr>
        <w:t>6</w:t>
      </w:r>
      <w:r w:rsidR="00E10F74">
        <w:rPr>
          <w:rFonts w:cstheme="majorBidi"/>
        </w:rPr>
        <w:t>-8(</w:t>
      </w:r>
      <w:r w:rsidRPr="004834D3">
        <w:rPr>
          <w:rFonts w:cstheme="majorBidi"/>
        </w:rPr>
        <w:t>b</w:t>
      </w:r>
      <w:r w:rsidR="00E10F74">
        <w:rPr>
          <w:rFonts w:cstheme="majorBidi"/>
        </w:rPr>
        <w:t>)</w:t>
      </w:r>
      <w:r w:rsidRPr="004834D3">
        <w:rPr>
          <w:rFonts w:cstheme="majorBidi"/>
        </w:rPr>
        <w:t xml:space="preserve">. </w:t>
      </w:r>
    </w:p>
    <w:p w14:paraId="46805D41" w14:textId="77777777" w:rsidR="004C6625" w:rsidRDefault="004C6625" w:rsidP="004C6625">
      <w:pPr>
        <w:spacing w:before="240" w:after="240" w:line="480" w:lineRule="auto"/>
        <w:ind w:firstLine="720"/>
        <w:jc w:val="both"/>
        <w:rPr>
          <w:rFonts w:cstheme="majorBidi"/>
        </w:rPr>
      </w:pPr>
    </w:p>
    <w:p w14:paraId="4D12AC20" w14:textId="77777777" w:rsidR="004C6625" w:rsidRDefault="004C6625" w:rsidP="004C6625">
      <w:pPr>
        <w:spacing w:before="240" w:after="240" w:line="480" w:lineRule="auto"/>
        <w:ind w:firstLine="720"/>
        <w:jc w:val="both"/>
        <w:rPr>
          <w:rFonts w:cstheme="majorBidi"/>
        </w:rPr>
      </w:pPr>
    </w:p>
    <w:p w14:paraId="30B8D7BF" w14:textId="77777777" w:rsidR="004C6625" w:rsidRDefault="004C6625" w:rsidP="004C6625">
      <w:pPr>
        <w:spacing w:before="240" w:after="240" w:line="480" w:lineRule="auto"/>
        <w:ind w:firstLine="720"/>
        <w:jc w:val="both"/>
        <w:rPr>
          <w:rFonts w:cstheme="majorBidi"/>
        </w:rPr>
      </w:pPr>
    </w:p>
    <w:p w14:paraId="41574DFC" w14:textId="77777777" w:rsidR="004C6625" w:rsidRDefault="004C6625" w:rsidP="004C6625">
      <w:pPr>
        <w:spacing w:before="240" w:after="240" w:line="480" w:lineRule="auto"/>
        <w:ind w:firstLine="720"/>
        <w:jc w:val="both"/>
        <w:rPr>
          <w:rFonts w:cstheme="majorBidi"/>
        </w:rPr>
      </w:pPr>
    </w:p>
    <w:p w14:paraId="3436E561" w14:textId="77777777" w:rsidR="004C6625" w:rsidRDefault="004C6625" w:rsidP="004C6625">
      <w:pPr>
        <w:spacing w:before="240" w:after="240" w:line="480" w:lineRule="auto"/>
        <w:ind w:firstLine="720"/>
        <w:jc w:val="both"/>
        <w:rPr>
          <w:rFonts w:cstheme="majorBidi"/>
        </w:rPr>
      </w:pPr>
    </w:p>
    <w:p w14:paraId="649223F0" w14:textId="77777777" w:rsidR="004C6625" w:rsidRDefault="004C6625" w:rsidP="004C6625">
      <w:pPr>
        <w:spacing w:before="240" w:after="240" w:line="480" w:lineRule="auto"/>
        <w:ind w:firstLine="720"/>
        <w:jc w:val="both"/>
        <w:rPr>
          <w:rFonts w:cstheme="majorBidi"/>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D1344" w:rsidRPr="004834D3" w14:paraId="696E7F96" w14:textId="77777777" w:rsidTr="009A4AF3">
        <w:tc>
          <w:tcPr>
            <w:tcW w:w="9350" w:type="dxa"/>
          </w:tcPr>
          <w:p w14:paraId="402F1612" w14:textId="77777777" w:rsidR="002D1344" w:rsidRPr="004834D3" w:rsidRDefault="002D1344" w:rsidP="004C6625">
            <w:pPr>
              <w:jc w:val="center"/>
              <w:rPr>
                <w:rFonts w:cstheme="majorBidi"/>
                <w:sz w:val="24"/>
                <w:szCs w:val="24"/>
              </w:rPr>
            </w:pPr>
            <w:r w:rsidRPr="004834D3">
              <w:rPr>
                <w:rFonts w:cstheme="majorBidi"/>
                <w:noProof/>
              </w:rPr>
              <w:lastRenderedPageBreak/>
              <mc:AlternateContent>
                <mc:Choice Requires="wps">
                  <w:drawing>
                    <wp:anchor distT="45720" distB="45720" distL="114300" distR="114300" simplePos="0" relativeHeight="251677696" behindDoc="0" locked="0" layoutInCell="1" allowOverlap="1" wp14:anchorId="7082D329" wp14:editId="18D37113">
                      <wp:simplePos x="0" y="0"/>
                      <wp:positionH relativeFrom="column">
                        <wp:posOffset>4222233</wp:posOffset>
                      </wp:positionH>
                      <wp:positionV relativeFrom="paragraph">
                        <wp:posOffset>1694615</wp:posOffset>
                      </wp:positionV>
                      <wp:extent cx="361950" cy="287020"/>
                      <wp:effectExtent l="0" t="0" r="0" b="0"/>
                      <wp:wrapNone/>
                      <wp:docPr id="2062239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7020"/>
                              </a:xfrm>
                              <a:prstGeom prst="rect">
                                <a:avLst/>
                              </a:prstGeom>
                              <a:noFill/>
                              <a:ln w="9525">
                                <a:noFill/>
                                <a:miter lim="800000"/>
                                <a:headEnd/>
                                <a:tailEnd/>
                              </a:ln>
                            </wps:spPr>
                            <wps:txbx>
                              <w:txbxContent>
                                <w:p w14:paraId="0D3DE544" w14:textId="77777777" w:rsidR="002D1344" w:rsidRPr="00F77C31" w:rsidRDefault="002D1344" w:rsidP="002D1344">
                                  <w:pPr>
                                    <w:rPr>
                                      <w:rFonts w:cstheme="majorBidi"/>
                                    </w:rPr>
                                  </w:pPr>
                                  <w:r w:rsidRPr="00F77C31">
                                    <w:rPr>
                                      <w:rFonts w:cstheme="majorBidi"/>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2D329" id="Text Box 3" o:spid="_x0000_s1040" type="#_x0000_t202" style="position:absolute;left:0;text-align:left;margin-left:332.45pt;margin-top:133.45pt;width:28.5pt;height:22.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GDx/AEAANQDAAAOAAAAZHJzL2Uyb0RvYy54bWysU8tu2zAQvBfoPxC815JdO7EFy0GaNEWB&#10;9AGk/QCaoiyiJJdd0pbcr++SchyjvRXVgSC52tmd2eH6ZrCGHRQGDa7m00nJmXISGu12Nf/+7eHN&#10;k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" filled="f" stroked="f">
                      <v:textbox>
                        <w:txbxContent>
                          <w:p w14:paraId="0D3DE544" w14:textId="77777777" w:rsidR="002D1344" w:rsidRPr="00F77C31" w:rsidRDefault="002D1344" w:rsidP="002D1344">
                            <w:pPr>
                              <w:rPr>
                                <w:rFonts w:cstheme="majorBidi"/>
                              </w:rPr>
                            </w:pPr>
                            <w:r w:rsidRPr="00F77C31">
                              <w:rPr>
                                <w:rFonts w:cstheme="majorBidi"/>
                              </w:rPr>
                              <w:t>(a)``</w:t>
                            </w:r>
                          </w:p>
                        </w:txbxContent>
                      </v:textbox>
                    </v:shape>
                  </w:pict>
                </mc:Fallback>
              </mc:AlternateContent>
            </w:r>
            <w:r w:rsidRPr="004834D3">
              <w:rPr>
                <w:rFonts w:cstheme="majorBidi"/>
                <w:noProof/>
              </w:rPr>
              <w:drawing>
                <wp:inline distT="0" distB="0" distL="0" distR="0" wp14:anchorId="2294464F" wp14:editId="21D4E848">
                  <wp:extent cx="3681876" cy="2560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681876" cy="2560320"/>
                          </a:xfrm>
                          <a:prstGeom prst="rect">
                            <a:avLst/>
                          </a:prstGeom>
                          <a:noFill/>
                          <a:ln>
                            <a:noFill/>
                          </a:ln>
                        </pic:spPr>
                      </pic:pic>
                    </a:graphicData>
                  </a:graphic>
                </wp:inline>
              </w:drawing>
            </w:r>
          </w:p>
        </w:tc>
      </w:tr>
      <w:tr w:rsidR="002D1344" w:rsidRPr="004834D3" w14:paraId="558C3FC7" w14:textId="77777777" w:rsidTr="009A4AF3">
        <w:tc>
          <w:tcPr>
            <w:tcW w:w="9350" w:type="dxa"/>
          </w:tcPr>
          <w:p w14:paraId="4F218F88" w14:textId="77777777" w:rsidR="002D1344" w:rsidRPr="004834D3" w:rsidRDefault="002D1344" w:rsidP="004C6625">
            <w:pPr>
              <w:pStyle w:val="NoSpacing"/>
              <w:jc w:val="center"/>
              <w:rPr>
                <w:rFonts w:asciiTheme="majorBidi" w:hAnsiTheme="majorBidi" w:cstheme="majorBidi"/>
                <w:sz w:val="24"/>
                <w:szCs w:val="24"/>
              </w:rPr>
            </w:pPr>
            <w:r w:rsidRPr="004834D3">
              <w:rPr>
                <w:rFonts w:asciiTheme="majorBidi" w:hAnsiTheme="majorBidi" w:cstheme="majorBidi"/>
                <w:noProof/>
                <w:sz w:val="24"/>
                <w:szCs w:val="24"/>
              </w:rPr>
              <mc:AlternateContent>
                <mc:Choice Requires="wps">
                  <w:drawing>
                    <wp:anchor distT="45720" distB="45720" distL="114300" distR="114300" simplePos="0" relativeHeight="251676672" behindDoc="0" locked="0" layoutInCell="1" allowOverlap="1" wp14:anchorId="74978E35" wp14:editId="46E2D55C">
                      <wp:simplePos x="0" y="0"/>
                      <wp:positionH relativeFrom="column">
                        <wp:posOffset>4134414</wp:posOffset>
                      </wp:positionH>
                      <wp:positionV relativeFrom="paragraph">
                        <wp:posOffset>1705794</wp:posOffset>
                      </wp:positionV>
                      <wp:extent cx="397130" cy="280670"/>
                      <wp:effectExtent l="0" t="0" r="0" b="5080"/>
                      <wp:wrapNone/>
                      <wp:docPr id="1889685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30" cy="280670"/>
                              </a:xfrm>
                              <a:prstGeom prst="rect">
                                <a:avLst/>
                              </a:prstGeom>
                              <a:noFill/>
                              <a:ln w="9525">
                                <a:noFill/>
                                <a:miter lim="800000"/>
                                <a:headEnd/>
                                <a:tailEnd/>
                              </a:ln>
                            </wps:spPr>
                            <wps:txbx>
                              <w:txbxContent>
                                <w:p w14:paraId="1A91242B"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78E35" id="_x0000_s1041" type="#_x0000_t202" style="position:absolute;left:0;text-align:left;margin-left:325.55pt;margin-top:134.3pt;width:31.25pt;height:22.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" filled="f" stroked="f">
                      <v:textbox>
                        <w:txbxContent>
                          <w:p w14:paraId="1A91242B" w14:textId="77777777" w:rsidR="002D1344" w:rsidRPr="00F77C31" w:rsidRDefault="002D1344" w:rsidP="002D1344">
                            <w:pPr>
                              <w:rPr>
                                <w:rFonts w:cstheme="majorBidi"/>
                              </w:rPr>
                            </w:pPr>
                            <w:r w:rsidRPr="00F77C31">
                              <w:rPr>
                                <w:rFonts w:cstheme="majorBidi"/>
                              </w:rPr>
                              <w:t>(</w:t>
                            </w:r>
                            <w:r>
                              <w:rPr>
                                <w:rFonts w:cstheme="majorBidi"/>
                              </w:rPr>
                              <w:t>b</w:t>
                            </w:r>
                            <w:r w:rsidRPr="00F77C31">
                              <w:rPr>
                                <w:rFonts w:cstheme="majorBidi"/>
                              </w:rPr>
                              <w:t>)``</w:t>
                            </w:r>
                          </w:p>
                        </w:txbxContent>
                      </v:textbox>
                    </v:shape>
                  </w:pict>
                </mc:Fallback>
              </mc:AlternateContent>
            </w:r>
            <w:r w:rsidRPr="004834D3">
              <w:rPr>
                <w:rFonts w:asciiTheme="majorBidi" w:hAnsiTheme="majorBidi" w:cstheme="majorBidi"/>
                <w:noProof/>
                <w:sz w:val="24"/>
                <w:szCs w:val="24"/>
              </w:rPr>
              <w:drawing>
                <wp:inline distT="0" distB="0" distL="0" distR="0" wp14:anchorId="6E29471D" wp14:editId="77437F3B">
                  <wp:extent cx="3589020" cy="2560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hqprint">
                            <a:extLst>
                              <a:ext uri="{28A0092B-C50C-407E-A947-70E740481C1C}">
                                <a14:useLocalDpi xmlns:a14="http://schemas.microsoft.com/office/drawing/2010/main"/>
                              </a:ext>
                            </a:extLst>
                          </a:blip>
                          <a:srcRect/>
                          <a:stretch>
                            <a:fillRect/>
                          </a:stretch>
                        </pic:blipFill>
                        <pic:spPr bwMode="auto">
                          <a:xfrm>
                            <a:off x="0" y="0"/>
                            <a:ext cx="3589020" cy="2560320"/>
                          </a:xfrm>
                          <a:prstGeom prst="rect">
                            <a:avLst/>
                          </a:prstGeom>
                          <a:noFill/>
                          <a:ln>
                            <a:noFill/>
                          </a:ln>
                        </pic:spPr>
                      </pic:pic>
                    </a:graphicData>
                  </a:graphic>
                </wp:inline>
              </w:drawing>
            </w:r>
          </w:p>
        </w:tc>
      </w:tr>
      <w:tr w:rsidR="002D1344" w:rsidRPr="004834D3" w14:paraId="076729C2" w14:textId="77777777" w:rsidTr="009A4AF3">
        <w:tc>
          <w:tcPr>
            <w:tcW w:w="9350" w:type="dxa"/>
          </w:tcPr>
          <w:p w14:paraId="00779A4D" w14:textId="77777777" w:rsidR="002D1344" w:rsidRPr="004834D3" w:rsidRDefault="002D1344" w:rsidP="004C6625">
            <w:pPr>
              <w:jc w:val="center"/>
              <w:rPr>
                <w:rFonts w:cstheme="majorBidi"/>
                <w:sz w:val="24"/>
                <w:szCs w:val="24"/>
              </w:rPr>
            </w:pPr>
            <w:r w:rsidRPr="004834D3">
              <w:rPr>
                <w:rFonts w:cstheme="majorBidi"/>
                <w:noProof/>
              </w:rPr>
              <mc:AlternateContent>
                <mc:Choice Requires="wps">
                  <w:drawing>
                    <wp:anchor distT="45720" distB="45720" distL="114300" distR="114300" simplePos="0" relativeHeight="251678720" behindDoc="0" locked="0" layoutInCell="1" allowOverlap="1" wp14:anchorId="720F75C9" wp14:editId="3ABCC6CA">
                      <wp:simplePos x="0" y="0"/>
                      <wp:positionH relativeFrom="column">
                        <wp:posOffset>4235505</wp:posOffset>
                      </wp:positionH>
                      <wp:positionV relativeFrom="paragraph">
                        <wp:posOffset>1705664</wp:posOffset>
                      </wp:positionV>
                      <wp:extent cx="370433" cy="280670"/>
                      <wp:effectExtent l="0" t="0" r="0" b="5080"/>
                      <wp:wrapNone/>
                      <wp:docPr id="18221350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33" cy="280670"/>
                              </a:xfrm>
                              <a:prstGeom prst="rect">
                                <a:avLst/>
                              </a:prstGeom>
                              <a:noFill/>
                              <a:ln w="9525">
                                <a:noFill/>
                                <a:miter lim="800000"/>
                                <a:headEnd/>
                                <a:tailEnd/>
                              </a:ln>
                            </wps:spPr>
                            <wps:txbx>
                              <w:txbxContent>
                                <w:p w14:paraId="4D253D84"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F75C9" id="Text Box 1" o:spid="_x0000_s1042" type="#_x0000_t202" style="position:absolute;left:0;text-align:left;margin-left:333.5pt;margin-top:134.3pt;width:29.15pt;height:22.1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" filled="f" stroked="f">
                      <v:textbox>
                        <w:txbxContent>
                          <w:p w14:paraId="4D253D84" w14:textId="77777777" w:rsidR="002D1344" w:rsidRPr="00F77C31" w:rsidRDefault="002D1344" w:rsidP="002D1344">
                            <w:pPr>
                              <w:rPr>
                                <w:rFonts w:cstheme="majorBidi"/>
                              </w:rPr>
                            </w:pPr>
                            <w:r w:rsidRPr="00F77C31">
                              <w:rPr>
                                <w:rFonts w:cstheme="majorBidi"/>
                              </w:rPr>
                              <w:t>(</w:t>
                            </w:r>
                            <w:r>
                              <w:rPr>
                                <w:rFonts w:cstheme="majorBidi"/>
                              </w:rPr>
                              <w:t>c</w:t>
                            </w:r>
                            <w:r w:rsidRPr="00F77C31">
                              <w:rPr>
                                <w:rFonts w:cstheme="majorBidi"/>
                              </w:rPr>
                              <w:t>)``</w:t>
                            </w:r>
                          </w:p>
                        </w:txbxContent>
                      </v:textbox>
                    </v:shape>
                  </w:pict>
                </mc:Fallback>
              </mc:AlternateContent>
            </w:r>
            <w:r w:rsidRPr="004834D3">
              <w:rPr>
                <w:rFonts w:cstheme="majorBidi"/>
                <w:noProof/>
              </w:rPr>
              <w:drawing>
                <wp:inline distT="0" distB="0" distL="0" distR="0" wp14:anchorId="235916F8" wp14:editId="68C03C8B">
                  <wp:extent cx="3723679" cy="2560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3723679" cy="2560320"/>
                          </a:xfrm>
                          <a:prstGeom prst="rect">
                            <a:avLst/>
                          </a:prstGeom>
                          <a:noFill/>
                          <a:ln>
                            <a:noFill/>
                          </a:ln>
                        </pic:spPr>
                      </pic:pic>
                    </a:graphicData>
                  </a:graphic>
                </wp:inline>
              </w:drawing>
            </w:r>
          </w:p>
        </w:tc>
      </w:tr>
      <w:tr w:rsidR="002D1344" w:rsidRPr="004834D3" w14:paraId="3CC650FA" w14:textId="77777777" w:rsidTr="009A4AF3">
        <w:tc>
          <w:tcPr>
            <w:tcW w:w="9350" w:type="dxa"/>
          </w:tcPr>
          <w:p w14:paraId="1BB9AA48" w14:textId="09618E49" w:rsidR="002D1344" w:rsidRPr="00E10F74" w:rsidRDefault="00E10F74" w:rsidP="004C6625">
            <w:pPr>
              <w:pStyle w:val="Caption"/>
              <w:spacing w:before="0" w:after="0"/>
              <w:jc w:val="center"/>
            </w:pPr>
            <w:bookmarkStart w:id="102" w:name="_Toc172708835"/>
            <w:r w:rsidRPr="00E10F74">
              <w:rPr>
                <w:rFonts w:cstheme="majorBidi"/>
                <w:b/>
                <w:bCs/>
                <w:sz w:val="24"/>
                <w:szCs w:val="24"/>
              </w:rPr>
              <w:t xml:space="preserve">Fig. </w:t>
            </w:r>
            <w:r w:rsidR="00996526">
              <w:rPr>
                <w:rFonts w:cstheme="majorBidi"/>
                <w:b/>
                <w:bCs/>
                <w:szCs w:val="24"/>
              </w:rPr>
              <w:fldChar w:fldCharType="begin"/>
            </w:r>
            <w:r w:rsidR="00996526">
              <w:rPr>
                <w:rFonts w:cstheme="majorBidi"/>
                <w:b/>
                <w:bCs/>
                <w:sz w:val="24"/>
                <w:szCs w:val="24"/>
              </w:rPr>
              <w:instrText xml:space="preserve"> STYLEREF 1 \s </w:instrText>
            </w:r>
            <w:r w:rsidR="00996526">
              <w:rPr>
                <w:rFonts w:cstheme="majorBidi"/>
                <w:b/>
                <w:bCs/>
                <w:szCs w:val="24"/>
              </w:rPr>
              <w:fldChar w:fldCharType="separate"/>
            </w:r>
            <w:r w:rsidR="00732AAC">
              <w:rPr>
                <w:rFonts w:cstheme="majorBidi"/>
                <w:b/>
                <w:bCs/>
                <w:noProof/>
                <w:sz w:val="24"/>
                <w:szCs w:val="24"/>
                <w:cs/>
              </w:rPr>
              <w:t>‎</w:t>
            </w:r>
            <w:r w:rsidR="00732AAC">
              <w:rPr>
                <w:rFonts w:cstheme="majorBidi"/>
                <w:b/>
                <w:bCs/>
                <w:noProof/>
                <w:sz w:val="24"/>
                <w:szCs w:val="24"/>
              </w:rPr>
              <w:t>6</w:t>
            </w:r>
            <w:r w:rsidR="00996526">
              <w:rPr>
                <w:rFonts w:cstheme="majorBidi"/>
                <w:b/>
                <w:bCs/>
                <w:szCs w:val="24"/>
              </w:rPr>
              <w:fldChar w:fldCharType="end"/>
            </w:r>
            <w:r w:rsidR="00996526">
              <w:rPr>
                <w:rFonts w:cstheme="majorBidi"/>
                <w:b/>
                <w:bCs/>
                <w:sz w:val="24"/>
                <w:szCs w:val="24"/>
              </w:rPr>
              <w:noBreakHyphen/>
            </w:r>
            <w:r w:rsidR="00996526">
              <w:rPr>
                <w:rFonts w:cstheme="majorBidi"/>
                <w:b/>
                <w:bCs/>
                <w:szCs w:val="24"/>
              </w:rPr>
              <w:fldChar w:fldCharType="begin"/>
            </w:r>
            <w:r w:rsidR="00996526">
              <w:rPr>
                <w:rFonts w:cstheme="majorBidi"/>
                <w:b/>
                <w:bCs/>
                <w:sz w:val="24"/>
                <w:szCs w:val="24"/>
              </w:rPr>
              <w:instrText xml:space="preserve"> SEQ Fig. \* ARABIC \s 1 </w:instrText>
            </w:r>
            <w:r w:rsidR="00996526">
              <w:rPr>
                <w:rFonts w:cstheme="majorBidi"/>
                <w:b/>
                <w:bCs/>
                <w:szCs w:val="24"/>
              </w:rPr>
              <w:fldChar w:fldCharType="separate"/>
            </w:r>
            <w:r w:rsidR="00732AAC">
              <w:rPr>
                <w:rFonts w:cstheme="majorBidi"/>
                <w:b/>
                <w:bCs/>
                <w:noProof/>
                <w:sz w:val="24"/>
                <w:szCs w:val="24"/>
              </w:rPr>
              <w:t>8</w:t>
            </w:r>
            <w:r w:rsidR="00996526">
              <w:rPr>
                <w:rFonts w:cstheme="majorBidi"/>
                <w:b/>
                <w:bCs/>
                <w:szCs w:val="24"/>
              </w:rPr>
              <w:fldChar w:fldCharType="end"/>
            </w:r>
            <w:r w:rsidR="002D1344" w:rsidRPr="004834D3">
              <w:rPr>
                <w:rFonts w:cstheme="majorBidi"/>
                <w:sz w:val="24"/>
                <w:szCs w:val="24"/>
              </w:rPr>
              <w:t xml:space="preserve"> The impact of the </w:t>
            </w:r>
            <m:oMath>
              <m:r>
                <m:rPr>
                  <m:sty m:val="p"/>
                </m:rPr>
                <w:rPr>
                  <w:rFonts w:ascii="Cambria Math" w:hAnsi="Cambria Math" w:cstheme="majorBidi"/>
                  <w:sz w:val="24"/>
                  <w:szCs w:val="24"/>
                </w:rPr>
                <m:t>St</m:t>
              </m:r>
            </m:oMath>
            <w:r w:rsidR="002D1344" w:rsidRPr="004834D3">
              <w:rPr>
                <w:rFonts w:cstheme="majorBidi"/>
                <w:sz w:val="24"/>
                <w:szCs w:val="24"/>
              </w:rPr>
              <w:t xml:space="preserve"> number</w:t>
            </w:r>
            <w:r w:rsidR="007410CD">
              <w:rPr>
                <w:rFonts w:cstheme="majorBidi"/>
                <w:sz w:val="24"/>
                <w:szCs w:val="24"/>
              </w:rPr>
              <w:t xml:space="preserve"> </w:t>
            </w:r>
            <w:r w:rsidR="002D1344" w:rsidRPr="004834D3">
              <w:rPr>
                <w:rFonts w:cstheme="majorBidi"/>
                <w:sz w:val="24"/>
                <w:szCs w:val="24"/>
              </w:rPr>
              <w:t xml:space="preserve">on the computationally determined transient (a) lateral position, (b) particle mass, and (c) </w:t>
            </w:r>
            <m:oMath>
              <m:r>
                <m:rPr>
                  <m:sty m:val="p"/>
                </m:rPr>
                <w:rPr>
                  <w:rFonts w:ascii="Cambria Math" w:hAnsi="Cambria Math" w:cstheme="majorBidi"/>
                  <w:sz w:val="24"/>
                  <w:szCs w:val="24"/>
                </w:rPr>
                <m:t>Nu</m:t>
              </m:r>
            </m:oMath>
            <w:r w:rsidR="002D1344" w:rsidRPr="004834D3">
              <w:rPr>
                <w:rFonts w:cstheme="majorBidi"/>
                <w:sz w:val="24"/>
                <w:szCs w:val="24"/>
              </w:rPr>
              <w:t xml:space="preserve"> number</w:t>
            </w:r>
            <w:r w:rsidR="007410CD">
              <w:rPr>
                <w:rFonts w:cstheme="majorBidi"/>
                <w:sz w:val="24"/>
                <w:szCs w:val="24"/>
              </w:rPr>
              <w:t xml:space="preserve"> </w:t>
            </w:r>
            <w:r w:rsidR="002D1344" w:rsidRPr="004834D3">
              <w:rPr>
                <w:rFonts w:cstheme="majorBidi"/>
                <w:sz w:val="24"/>
                <w:szCs w:val="24"/>
              </w:rPr>
              <w:t xml:space="preserve">for </w:t>
            </w:r>
            <m:oMath>
              <m:r>
                <m:rPr>
                  <m:sty m:val="p"/>
                </m:rPr>
                <w:rPr>
                  <w:rFonts w:ascii="Cambria Math" w:hAnsi="Cambria Math" w:cstheme="majorBidi"/>
                  <w:sz w:val="24"/>
                  <w:szCs w:val="24"/>
                </w:rPr>
                <m:t>Re</m:t>
              </m:r>
            </m:oMath>
            <w:r w:rsidR="002D1344" w:rsidRPr="004834D3">
              <w:rPr>
                <w:rFonts w:eastAsiaTheme="minorEastAsia" w:cstheme="majorBidi"/>
                <w:sz w:val="24"/>
                <w:szCs w:val="24"/>
              </w:rPr>
              <w:t xml:space="preserve"> = 100</w:t>
            </w:r>
            <w:r w:rsidR="002D1344" w:rsidRPr="004834D3">
              <w:rPr>
                <w:rFonts w:cstheme="majorBidi"/>
                <w:sz w:val="24"/>
                <w:szCs w:val="24"/>
              </w:rPr>
              <w:t xml:space="preserve">, </w:t>
            </w:r>
            <m:oMath>
              <m:r>
                <m:rPr>
                  <m:sty m:val="p"/>
                </m:rPr>
                <w:rPr>
                  <w:rFonts w:ascii="Cambria Math" w:hAnsi="Cambria Math" w:cstheme="majorBidi"/>
                  <w:sz w:val="24"/>
                  <w:szCs w:val="24"/>
                </w:rPr>
                <m:t>Gr</m:t>
              </m:r>
            </m:oMath>
            <w:r w:rsidR="002D1344" w:rsidRPr="004834D3">
              <w:rPr>
                <w:rFonts w:eastAsiaTheme="minorEastAsia" w:cstheme="majorBidi"/>
                <w:sz w:val="24"/>
                <w:szCs w:val="24"/>
              </w:rPr>
              <w:t xml:space="preserve"> = 1</w:t>
            </w:r>
            <w:r w:rsidR="007410CD">
              <w:rPr>
                <w:rFonts w:eastAsiaTheme="minorEastAsia" w:cstheme="majorBidi"/>
                <w:sz w:val="24"/>
                <w:szCs w:val="24"/>
              </w:rPr>
              <w:t>,</w:t>
            </w:r>
            <w:r w:rsidR="002D1344" w:rsidRPr="004834D3">
              <w:rPr>
                <w:rFonts w:eastAsiaTheme="minorEastAsia" w:cstheme="majorBidi"/>
                <w:sz w:val="24"/>
                <w:szCs w:val="24"/>
              </w:rPr>
              <w:t>000</w:t>
            </w:r>
            <w:r w:rsidR="002D1344" w:rsidRPr="004834D3">
              <w:rPr>
                <w:rFonts w:cstheme="majorBidi"/>
                <w:sz w:val="24"/>
                <w:szCs w:val="24"/>
              </w:rPr>
              <w:t xml:space="preserve">, and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0</m:t>
                  </m:r>
                </m:sub>
                <m:sup>
                  <m:r>
                    <w:rPr>
                      <w:rFonts w:ascii="Cambria Math" w:eastAsiaTheme="minorEastAsia" w:hAnsi="Cambria Math" w:cstheme="majorBidi"/>
                      <w:sz w:val="24"/>
                      <w:szCs w:val="24"/>
                    </w:rPr>
                    <m:t>*</m:t>
                  </m:r>
                </m:sup>
              </m:sSubSup>
            </m:oMath>
            <w:r w:rsidR="002D1344" w:rsidRPr="004834D3">
              <w:rPr>
                <w:rFonts w:eastAsiaTheme="minorEastAsia" w:cstheme="majorBidi"/>
                <w:sz w:val="24"/>
                <w:szCs w:val="24"/>
              </w:rPr>
              <w:t xml:space="preserve"> = 0.5.</w:t>
            </w:r>
            <w:bookmarkEnd w:id="102"/>
          </w:p>
        </w:tc>
      </w:tr>
    </w:tbl>
    <w:p w14:paraId="1F1D6D96" w14:textId="08878323" w:rsidR="002D1344" w:rsidRPr="004834D3" w:rsidRDefault="002D1344" w:rsidP="004C6625">
      <w:pPr>
        <w:spacing w:after="240" w:line="480" w:lineRule="auto"/>
        <w:ind w:firstLine="720"/>
        <w:jc w:val="both"/>
        <w:rPr>
          <w:rFonts w:cstheme="majorBidi"/>
        </w:rPr>
      </w:pPr>
      <w:r w:rsidRPr="004834D3">
        <w:rPr>
          <w:rFonts w:cstheme="majorBidi"/>
        </w:rPr>
        <w:lastRenderedPageBreak/>
        <w:t xml:space="preserve">Figure </w:t>
      </w:r>
      <w:r w:rsidR="00CD690B">
        <w:rPr>
          <w:rFonts w:cstheme="majorBidi"/>
        </w:rPr>
        <w:t>6</w:t>
      </w:r>
      <w:r w:rsidR="00E10F74">
        <w:rPr>
          <w:rFonts w:cstheme="majorBidi"/>
        </w:rPr>
        <w:t>-8(</w:t>
      </w:r>
      <w:r w:rsidRPr="004834D3">
        <w:rPr>
          <w:rFonts w:cstheme="majorBidi"/>
        </w:rPr>
        <w:t>c</w:t>
      </w:r>
      <w:r w:rsidR="00E10F74">
        <w:rPr>
          <w:rFonts w:cstheme="majorBidi"/>
        </w:rPr>
        <w:t>)</w:t>
      </w:r>
      <w:r w:rsidRPr="004834D3">
        <w:rPr>
          <w:rFonts w:cstheme="majorBidi"/>
        </w:rPr>
        <w:t xml:space="preserve"> illustrates the variations in the average </w:t>
      </w:r>
      <m:oMath>
        <m:r>
          <m:rPr>
            <m:sty m:val="p"/>
          </m:rPr>
          <w:rPr>
            <w:rFonts w:ascii="Cambria Math" w:hAnsi="Cambria Math" w:cstheme="majorBidi"/>
          </w:rPr>
          <m:t>Nu</m:t>
        </m:r>
      </m:oMath>
      <w:r w:rsidRPr="004834D3">
        <w:rPr>
          <w:rFonts w:cstheme="majorBidi"/>
        </w:rPr>
        <w:t xml:space="preserve"> </w:t>
      </w:r>
      <w:r w:rsidR="007410CD">
        <w:rPr>
          <w:rFonts w:cstheme="majorBidi"/>
        </w:rPr>
        <w:t xml:space="preserve">number </w:t>
      </w:r>
      <w:r w:rsidRPr="004834D3">
        <w:rPr>
          <w:rFonts w:cstheme="majorBidi"/>
        </w:rPr>
        <w:t xml:space="preserve">at the particle surface across different </w:t>
      </w:r>
      <m:oMath>
        <m:r>
          <m:rPr>
            <m:sty m:val="p"/>
          </m:rPr>
          <w:rPr>
            <w:rFonts w:ascii="Cambria Math" w:hAnsi="Cambria Math" w:cstheme="majorBidi"/>
          </w:rPr>
          <m:t>Ste</m:t>
        </m:r>
      </m:oMath>
      <w:r w:rsidRPr="004834D3">
        <w:rPr>
          <w:rFonts w:cstheme="majorBidi"/>
        </w:rPr>
        <w:t xml:space="preserve"> number values. In the case of </w:t>
      </w:r>
      <m:oMath>
        <m:r>
          <m:rPr>
            <m:sty m:val="p"/>
          </m:rPr>
          <w:rPr>
            <w:rFonts w:ascii="Cambria Math" w:hAnsi="Cambria Math" w:cstheme="majorBidi"/>
          </w:rPr>
          <m:t>Ste</m:t>
        </m:r>
      </m:oMath>
      <w:r w:rsidRPr="004834D3">
        <w:rPr>
          <w:rFonts w:cstheme="majorBidi"/>
        </w:rPr>
        <w:t xml:space="preserve"> = 0, where the particle does not melt and reaches a steady state, the </w:t>
      </w:r>
      <m:oMath>
        <m:r>
          <m:rPr>
            <m:sty m:val="p"/>
          </m:rPr>
          <w:rPr>
            <w:rFonts w:ascii="Cambria Math" w:hAnsi="Cambria Math" w:cstheme="majorBidi"/>
          </w:rPr>
          <m:t>Nu</m:t>
        </m:r>
      </m:oMath>
      <w:r w:rsidRPr="004834D3">
        <w:rPr>
          <w:rFonts w:cstheme="majorBidi"/>
        </w:rPr>
        <w:t xml:space="preserve"> </w:t>
      </w:r>
      <w:r w:rsidR="002B32C8">
        <w:rPr>
          <w:rFonts w:cstheme="majorBidi"/>
        </w:rPr>
        <w:t xml:space="preserve">number </w:t>
      </w:r>
      <w:r w:rsidRPr="004834D3">
        <w:rPr>
          <w:rFonts w:cstheme="majorBidi"/>
        </w:rPr>
        <w:t xml:space="preserve">also stabilizes, reaching a consistent value of approximately 2.55 by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oMath>
      <w:r w:rsidRPr="004834D3">
        <w:rPr>
          <w:rFonts w:eastAsiaTheme="minorEastAsia" w:cstheme="majorBidi"/>
        </w:rPr>
        <w:t xml:space="preserve"> 1</w:t>
      </w:r>
      <w:r w:rsidRPr="004834D3">
        <w:rPr>
          <w:rFonts w:cstheme="majorBidi"/>
        </w:rPr>
        <w:t xml:space="preserve">. For </w:t>
      </w:r>
      <m:oMath>
        <m:r>
          <m:rPr>
            <m:sty m:val="p"/>
          </m:rPr>
          <w:rPr>
            <w:rFonts w:ascii="Cambria Math" w:hAnsi="Cambria Math" w:cstheme="majorBidi"/>
          </w:rPr>
          <m:t>Ste</m:t>
        </m:r>
      </m:oMath>
      <w:r w:rsidRPr="004834D3">
        <w:rPr>
          <w:rFonts w:cstheme="majorBidi"/>
        </w:rPr>
        <w:t xml:space="preserve"> = 0.01, both the thermal diffusion rate and the particle surface area decrease over time due to the gradual melting of the particle. This reduction in surface area leads to a diminished heat transfer rate, resulting in a lower </w:t>
      </w:r>
      <m:oMath>
        <m:r>
          <m:rPr>
            <m:sty m:val="p"/>
          </m:rPr>
          <w:rPr>
            <w:rFonts w:ascii="Cambria Math" w:hAnsi="Cambria Math" w:cstheme="majorBidi"/>
          </w:rPr>
          <m:t>Nu</m:t>
        </m:r>
      </m:oMath>
      <w:r w:rsidRPr="004834D3">
        <w:rPr>
          <w:rFonts w:cstheme="majorBidi"/>
        </w:rPr>
        <w:t xml:space="preserve"> compared to the non-melting scenario. At higher </w:t>
      </w:r>
      <m:oMath>
        <m:r>
          <m:rPr>
            <m:sty m:val="p"/>
          </m:rPr>
          <w:rPr>
            <w:rFonts w:ascii="Cambria Math" w:hAnsi="Cambria Math" w:cstheme="majorBidi"/>
          </w:rPr>
          <m:t>Ste</m:t>
        </m:r>
      </m:oMath>
      <w:r w:rsidRPr="004834D3">
        <w:rPr>
          <w:rFonts w:cstheme="majorBidi"/>
        </w:rPr>
        <w:t xml:space="preserve"> numbers, </w:t>
      </w:r>
      <m:oMath>
        <m:r>
          <m:rPr>
            <m:sty m:val="p"/>
          </m:rPr>
          <w:rPr>
            <w:rFonts w:ascii="Cambria Math" w:hAnsi="Cambria Math" w:cstheme="majorBidi"/>
          </w:rPr>
          <m:t>Ste</m:t>
        </m:r>
      </m:oMath>
      <w:r w:rsidRPr="004834D3">
        <w:rPr>
          <w:rFonts w:cstheme="majorBidi"/>
        </w:rPr>
        <w:t xml:space="preserve"> = 0.1 and 0.5, the melting process accelerates markedly due to the reduced latent heat requirement. This rapid phase change leads to a rapid decrease in the particle's characteristic diameter </w:t>
      </w:r>
      <m:oMath>
        <m:sSub>
          <m:sSubPr>
            <m:ctrlPr>
              <w:rPr>
                <w:rFonts w:ascii="Cambria Math" w:eastAsiaTheme="minorEastAsia" w:hAnsi="Cambria Math" w:cstheme="majorBidi"/>
                <w:i/>
                <w:iCs/>
                <w:vertAlign w:val="subscript"/>
              </w:rPr>
            </m:ctrlPr>
          </m:sSubPr>
          <m:e>
            <m:r>
              <w:rPr>
                <w:rFonts w:ascii="Cambria Math" w:eastAsiaTheme="minorEastAsia" w:hAnsi="Cambria Math" w:cstheme="majorBidi"/>
              </w:rPr>
              <m:t>d</m:t>
            </m:r>
            <m:ctrlPr>
              <w:rPr>
                <w:rFonts w:ascii="Cambria Math" w:eastAsiaTheme="minorEastAsia" w:hAnsi="Cambria Math" w:cstheme="majorBidi"/>
                <w:i/>
                <w:iCs/>
              </w:rPr>
            </m:ctrlPr>
          </m:e>
          <m:sub>
            <m:r>
              <w:rPr>
                <w:rFonts w:ascii="Cambria Math" w:eastAsiaTheme="minorEastAsia" w:hAnsi="Cambria Math" w:cstheme="majorBidi"/>
                <w:vertAlign w:val="subscript"/>
              </w:rPr>
              <m:t>c</m:t>
            </m:r>
          </m:sub>
        </m:sSub>
      </m:oMath>
      <w:r w:rsidRPr="004834D3">
        <w:rPr>
          <w:rFonts w:cstheme="majorBidi"/>
        </w:rPr>
        <w:t xml:space="preserve">, which in turn results in a smaller </w:t>
      </w:r>
      <m:oMath>
        <m:r>
          <m:rPr>
            <m:sty m:val="p"/>
          </m:rPr>
          <w:rPr>
            <w:rFonts w:ascii="Cambria Math" w:hAnsi="Cambria Math" w:cstheme="majorBidi"/>
          </w:rPr>
          <m:t>Nu</m:t>
        </m:r>
      </m:oMath>
      <w:r w:rsidRPr="004834D3">
        <w:rPr>
          <w:rFonts w:cstheme="majorBidi"/>
        </w:rPr>
        <w:t xml:space="preserve">. The fast shrinkage of the particle </w:t>
      </w:r>
      <w:r w:rsidR="002B32C8">
        <w:rPr>
          <w:rFonts w:cstheme="majorBidi"/>
        </w:rPr>
        <w:t>decreases</w:t>
      </w:r>
      <w:r w:rsidRPr="004834D3">
        <w:rPr>
          <w:rFonts w:cstheme="majorBidi"/>
        </w:rPr>
        <w:t xml:space="preserve"> the surface area available for heat transfer, thereby reducing the </w:t>
      </w:r>
      <m:oMath>
        <m:r>
          <m:rPr>
            <m:sty m:val="p"/>
          </m:rPr>
          <w:rPr>
            <w:rFonts w:ascii="Cambria Math" w:hAnsi="Cambria Math" w:cstheme="majorBidi"/>
          </w:rPr>
          <m:t>Nu</m:t>
        </m:r>
      </m:oMath>
      <w:r w:rsidRPr="004834D3">
        <w:rPr>
          <w:rFonts w:cstheme="majorBidi"/>
        </w:rPr>
        <w:t xml:space="preserve"> number more significantly than in cases with lower </w:t>
      </w:r>
      <m:oMath>
        <m:r>
          <m:rPr>
            <m:sty m:val="p"/>
          </m:rPr>
          <w:rPr>
            <w:rFonts w:ascii="Cambria Math" w:hAnsi="Cambria Math" w:cstheme="majorBidi"/>
          </w:rPr>
          <m:t>Ste</m:t>
        </m:r>
      </m:oMath>
      <w:r w:rsidRPr="004834D3">
        <w:rPr>
          <w:rFonts w:cstheme="majorBidi"/>
        </w:rPr>
        <w:t xml:space="preserve"> values, as depicted in Fig. </w:t>
      </w:r>
      <w:r w:rsidR="00CD690B">
        <w:rPr>
          <w:rFonts w:cstheme="majorBidi"/>
        </w:rPr>
        <w:t>6</w:t>
      </w:r>
      <w:r w:rsidR="00E10F74">
        <w:rPr>
          <w:rFonts w:cstheme="majorBidi"/>
        </w:rPr>
        <w:t>-8(</w:t>
      </w:r>
      <w:r w:rsidRPr="004834D3">
        <w:rPr>
          <w:rFonts w:cstheme="majorBidi"/>
        </w:rPr>
        <w:t>c</w:t>
      </w:r>
      <w:r w:rsidR="00E10F74">
        <w:rPr>
          <w:rFonts w:cstheme="majorBidi"/>
        </w:rPr>
        <w:t>)</w:t>
      </w:r>
      <w:r w:rsidRPr="004834D3">
        <w:rPr>
          <w:rFonts w:cstheme="majorBidi"/>
        </w:rPr>
        <w:t>.</w:t>
      </w:r>
    </w:p>
    <w:p w14:paraId="4701DEB8" w14:textId="0DA90776" w:rsidR="002D1344" w:rsidRPr="004834D3" w:rsidRDefault="002D1344" w:rsidP="004C6625">
      <w:pPr>
        <w:spacing w:before="240" w:after="240" w:line="480" w:lineRule="auto"/>
        <w:ind w:firstLine="720"/>
        <w:jc w:val="both"/>
        <w:rPr>
          <w:rFonts w:cstheme="majorBidi"/>
        </w:rPr>
      </w:pPr>
      <w:r w:rsidRPr="004834D3">
        <w:rPr>
          <w:rFonts w:cstheme="majorBidi"/>
        </w:rPr>
        <w:t xml:space="preserve">Figure </w:t>
      </w:r>
      <w:r w:rsidR="00CD690B">
        <w:rPr>
          <w:rFonts w:cstheme="majorBidi"/>
        </w:rPr>
        <w:t>6</w:t>
      </w:r>
      <w:r w:rsidR="00E10F74">
        <w:rPr>
          <w:rFonts w:cstheme="majorBidi"/>
        </w:rPr>
        <w:t>-9</w:t>
      </w:r>
      <w:r w:rsidRPr="004834D3">
        <w:rPr>
          <w:rFonts w:cstheme="majorBidi"/>
        </w:rPr>
        <w:t xml:space="preserve"> demonstrates the effect of the initial lateral position on the transient lateral movement of the particle, under conditions of </w:t>
      </w:r>
      <m:oMath>
        <m:r>
          <m:rPr>
            <m:sty m:val="p"/>
          </m:rPr>
          <w:rPr>
            <w:rFonts w:ascii="Cambria Math" w:hAnsi="Cambria Math" w:cstheme="majorBidi"/>
          </w:rPr>
          <m:t>Re</m:t>
        </m:r>
      </m:oMath>
      <w:r w:rsidRPr="004834D3">
        <w:rPr>
          <w:rFonts w:cstheme="majorBidi"/>
        </w:rPr>
        <w:t xml:space="preserve"> = 100, </w:t>
      </w:r>
      <m:oMath>
        <m:r>
          <m:rPr>
            <m:sty m:val="p"/>
          </m:rPr>
          <w:rPr>
            <w:rFonts w:ascii="Cambria Math" w:hAnsi="Cambria Math" w:cstheme="majorBidi"/>
          </w:rPr>
          <m:t>Ste</m:t>
        </m:r>
      </m:oMath>
      <w:r w:rsidRPr="004834D3">
        <w:rPr>
          <w:rFonts w:cstheme="majorBidi"/>
        </w:rPr>
        <w:t xml:space="preserve"> = 0.1, and various </w:t>
      </w:r>
      <m:oMath>
        <m:r>
          <m:rPr>
            <m:sty m:val="p"/>
          </m:rPr>
          <w:rPr>
            <w:rFonts w:ascii="Cambria Math" w:hAnsi="Cambria Math" w:cstheme="majorBidi"/>
          </w:rPr>
          <m:t>Gr</m:t>
        </m:r>
      </m:oMath>
      <w:r w:rsidRPr="004834D3">
        <w:rPr>
          <w:rFonts w:cstheme="majorBidi"/>
        </w:rPr>
        <w:t xml:space="preserve"> numbers. For a scenario where </w:t>
      </w:r>
      <m:oMath>
        <m:r>
          <m:rPr>
            <m:sty m:val="p"/>
          </m:rPr>
          <w:rPr>
            <w:rFonts w:ascii="Cambria Math" w:hAnsi="Cambria Math" w:cstheme="majorBidi"/>
          </w:rPr>
          <m:t>Gr</m:t>
        </m:r>
      </m:oMath>
      <w:r w:rsidRPr="004834D3">
        <w:rPr>
          <w:rFonts w:cstheme="majorBidi"/>
        </w:rPr>
        <w:t xml:space="preserve"> = 0, indicating an absence of natural convection, the migration of the particle is solely influenced by drag and pressure forces. These forces result from the interactions between the pressure-driven flow and the particle’s movement and rotation. This interaction not only propels the particle along the flow direction but also causes it to rotate, enhancing the Magnus force that pushes the particle toward the channel’s centerline. As shown in Fig. </w:t>
      </w:r>
      <w:r w:rsidR="00CD690B">
        <w:rPr>
          <w:rFonts w:cstheme="majorBidi"/>
        </w:rPr>
        <w:t>6</w:t>
      </w:r>
      <w:r w:rsidR="00E10F74">
        <w:rPr>
          <w:rFonts w:cstheme="majorBidi"/>
        </w:rPr>
        <w:t>-9</w:t>
      </w:r>
      <w:r w:rsidRPr="004834D3">
        <w:rPr>
          <w:rFonts w:cstheme="majorBidi"/>
        </w:rPr>
        <w:t xml:space="preserve">, when </w:t>
      </w:r>
      <m:oMath>
        <m:sSubSup>
          <m:sSubSupPr>
            <m:ctrlPr>
              <w:rPr>
                <w:rFonts w:ascii="Cambria Math" w:eastAsiaTheme="minorEastAsia" w:hAnsi="Cambria Math" w:cstheme="majorBidi"/>
                <w:i/>
              </w:rPr>
            </m:ctrlPr>
          </m:sSubSupPr>
          <m:e>
            <m:r>
              <w:rPr>
                <w:rFonts w:ascii="Cambria Math" w:eastAsiaTheme="minorEastAsia" w:hAnsi="Cambria Math" w:cstheme="majorBidi"/>
              </w:rPr>
              <m:t>Y</m:t>
            </m:r>
          </m:e>
          <m:sub>
            <m:r>
              <w:rPr>
                <w:rFonts w:ascii="Cambria Math" w:eastAsiaTheme="minorEastAsia" w:hAnsi="Cambria Math" w:cstheme="majorBidi"/>
              </w:rPr>
              <m:t>0</m:t>
            </m:r>
          </m:sub>
          <m:sup>
            <m:r>
              <w:rPr>
                <w:rFonts w:ascii="Cambria Math" w:eastAsiaTheme="minorEastAsia" w:hAnsi="Cambria Math" w:cstheme="majorBidi"/>
              </w:rPr>
              <m:t>*</m:t>
            </m:r>
          </m:sup>
        </m:sSubSup>
      </m:oMath>
      <w:r w:rsidRPr="004834D3">
        <w:rPr>
          <w:rFonts w:eastAsiaTheme="minorEastAsia" w:cstheme="majorBidi"/>
        </w:rPr>
        <w:t xml:space="preserve"> </w:t>
      </w:r>
      <w:r w:rsidRPr="004834D3">
        <w:rPr>
          <w:rFonts w:cstheme="majorBidi"/>
        </w:rPr>
        <w:t>= 0.50, the particle maintains its initial lateral position, indicating a balance of forces at the center of the channel. However, for particles starting from positions other than the center, the net forces direct them towards the centerline. In scenarios where natural convection is present (</w:t>
      </w:r>
      <m:oMath>
        <m:r>
          <m:rPr>
            <m:sty m:val="p"/>
          </m:rPr>
          <w:rPr>
            <w:rFonts w:ascii="Cambria Math" w:hAnsi="Cambria Math" w:cstheme="majorBidi"/>
          </w:rPr>
          <m:t>Gr</m:t>
        </m:r>
      </m:oMath>
      <w:r w:rsidRPr="004834D3">
        <w:rPr>
          <w:rFonts w:cstheme="majorBidi"/>
        </w:rPr>
        <w:t xml:space="preserve"> &gt; 0), the particle tends to move towards a </w:t>
      </w:r>
      <w:r w:rsidR="00AB7AF4">
        <w:rPr>
          <w:rFonts w:cstheme="majorBidi"/>
        </w:rPr>
        <w:t>unique</w:t>
      </w:r>
      <w:r w:rsidRPr="004834D3">
        <w:rPr>
          <w:rFonts w:cstheme="majorBidi"/>
        </w:rPr>
        <w:t xml:space="preserve"> lateral position, irrespective of its initial starting point. As </w:t>
      </w:r>
      <w:r w:rsidRPr="004834D3">
        <w:rPr>
          <w:rFonts w:cstheme="majorBidi"/>
        </w:rPr>
        <w:lastRenderedPageBreak/>
        <w:t xml:space="preserve">the particle melts and shifts downward toward the bottom wall, its downward velocity </w:t>
      </w:r>
      <w:r w:rsidR="00AB7AF4">
        <w:rPr>
          <w:rFonts w:cstheme="majorBidi"/>
        </w:rPr>
        <w:t>decreases</w:t>
      </w:r>
      <w:r w:rsidRPr="004834D3">
        <w:rPr>
          <w:rFonts w:cstheme="majorBidi"/>
        </w:rPr>
        <w:t xml:space="preserve"> by increasing pressure between the particle and the bottom wall, a dynamic previously discussed.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D1344" w:rsidRPr="004834D3" w14:paraId="20003724" w14:textId="77777777" w:rsidTr="009A4AF3">
        <w:tc>
          <w:tcPr>
            <w:tcW w:w="9350" w:type="dxa"/>
            <w:vAlign w:val="center"/>
          </w:tcPr>
          <w:p w14:paraId="508F2EB8" w14:textId="77777777" w:rsidR="002D1344" w:rsidRPr="004834D3" w:rsidRDefault="002D1344" w:rsidP="004C6625">
            <w:pPr>
              <w:spacing w:line="480" w:lineRule="auto"/>
              <w:jc w:val="center"/>
              <w:rPr>
                <w:rFonts w:cstheme="majorBidi"/>
                <w:sz w:val="24"/>
                <w:szCs w:val="24"/>
              </w:rPr>
            </w:pPr>
            <w:r w:rsidRPr="004834D3">
              <w:rPr>
                <w:rFonts w:cstheme="majorBidi"/>
                <w:noProof/>
              </w:rPr>
              <w:drawing>
                <wp:inline distT="0" distB="0" distL="0" distR="0" wp14:anchorId="57743136" wp14:editId="6C2723F7">
                  <wp:extent cx="3925824" cy="2743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3925824" cy="2743200"/>
                          </a:xfrm>
                          <a:prstGeom prst="rect">
                            <a:avLst/>
                          </a:prstGeom>
                          <a:noFill/>
                          <a:ln>
                            <a:noFill/>
                          </a:ln>
                        </pic:spPr>
                      </pic:pic>
                    </a:graphicData>
                  </a:graphic>
                </wp:inline>
              </w:drawing>
            </w:r>
          </w:p>
        </w:tc>
      </w:tr>
      <w:tr w:rsidR="002D1344" w:rsidRPr="004834D3" w14:paraId="7432E76D" w14:textId="77777777" w:rsidTr="009A4AF3">
        <w:tc>
          <w:tcPr>
            <w:tcW w:w="9350" w:type="dxa"/>
          </w:tcPr>
          <w:p w14:paraId="435021F1" w14:textId="0EBB0763" w:rsidR="002D1344" w:rsidRPr="00E10F74" w:rsidRDefault="00E10F74" w:rsidP="004C6625">
            <w:pPr>
              <w:pStyle w:val="Caption"/>
              <w:spacing w:before="0" w:after="0" w:line="480" w:lineRule="auto"/>
              <w:jc w:val="center"/>
            </w:pPr>
            <w:bookmarkStart w:id="103" w:name="_Toc172708836"/>
            <w:r w:rsidRPr="00E10F74">
              <w:rPr>
                <w:b/>
                <w:bCs/>
                <w:sz w:val="24"/>
                <w:szCs w:val="24"/>
              </w:rPr>
              <w:t xml:space="preserve">Fig. </w:t>
            </w:r>
            <w:r w:rsidR="00996526">
              <w:rPr>
                <w:b/>
                <w:bCs/>
                <w:szCs w:val="24"/>
              </w:rPr>
              <w:fldChar w:fldCharType="begin"/>
            </w:r>
            <w:r w:rsidR="00996526">
              <w:rPr>
                <w:b/>
                <w:bCs/>
                <w:sz w:val="24"/>
                <w:szCs w:val="24"/>
              </w:rPr>
              <w:instrText xml:space="preserve"> STYLEREF 1 \s </w:instrText>
            </w:r>
            <w:r w:rsidR="00996526">
              <w:rPr>
                <w:b/>
                <w:bCs/>
                <w:szCs w:val="24"/>
              </w:rPr>
              <w:fldChar w:fldCharType="separate"/>
            </w:r>
            <w:r w:rsidR="00732AAC">
              <w:rPr>
                <w:b/>
                <w:bCs/>
                <w:noProof/>
                <w:sz w:val="24"/>
                <w:szCs w:val="24"/>
                <w:cs/>
              </w:rPr>
              <w:t>‎</w:t>
            </w:r>
            <w:r w:rsidR="00732AAC">
              <w:rPr>
                <w:b/>
                <w:bCs/>
                <w:noProof/>
                <w:sz w:val="24"/>
                <w:szCs w:val="24"/>
              </w:rPr>
              <w:t>6</w:t>
            </w:r>
            <w:r w:rsidR="00996526">
              <w:rPr>
                <w:b/>
                <w:bCs/>
                <w:szCs w:val="24"/>
              </w:rPr>
              <w:fldChar w:fldCharType="end"/>
            </w:r>
            <w:r w:rsidR="00996526">
              <w:rPr>
                <w:b/>
                <w:bCs/>
                <w:sz w:val="24"/>
                <w:szCs w:val="24"/>
              </w:rPr>
              <w:noBreakHyphen/>
            </w:r>
            <w:r w:rsidR="00996526">
              <w:rPr>
                <w:b/>
                <w:bCs/>
                <w:szCs w:val="24"/>
              </w:rPr>
              <w:fldChar w:fldCharType="begin"/>
            </w:r>
            <w:r w:rsidR="00996526">
              <w:rPr>
                <w:b/>
                <w:bCs/>
                <w:sz w:val="24"/>
                <w:szCs w:val="24"/>
              </w:rPr>
              <w:instrText xml:space="preserve"> SEQ Fig. \* ARABIC \s 1 </w:instrText>
            </w:r>
            <w:r w:rsidR="00996526">
              <w:rPr>
                <w:b/>
                <w:bCs/>
                <w:szCs w:val="24"/>
              </w:rPr>
              <w:fldChar w:fldCharType="separate"/>
            </w:r>
            <w:r w:rsidR="00732AAC">
              <w:rPr>
                <w:b/>
                <w:bCs/>
                <w:noProof/>
                <w:sz w:val="24"/>
                <w:szCs w:val="24"/>
              </w:rPr>
              <w:t>9</w:t>
            </w:r>
            <w:r w:rsidR="00996526">
              <w:rPr>
                <w:b/>
                <w:bCs/>
                <w:szCs w:val="24"/>
              </w:rPr>
              <w:fldChar w:fldCharType="end"/>
            </w:r>
            <w:r w:rsidR="002D1344" w:rsidRPr="004834D3">
              <w:rPr>
                <w:rFonts w:cstheme="majorBidi"/>
                <w:sz w:val="24"/>
                <w:szCs w:val="24"/>
              </w:rPr>
              <w:t xml:space="preserve"> The initial lateral position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0</m:t>
                  </m:r>
                </m:sub>
                <m:sup>
                  <m:r>
                    <w:rPr>
                      <w:rFonts w:ascii="Cambria Math" w:eastAsiaTheme="minorEastAsia" w:hAnsi="Cambria Math" w:cstheme="majorBidi"/>
                      <w:sz w:val="24"/>
                      <w:szCs w:val="24"/>
                    </w:rPr>
                    <m:t>*</m:t>
                  </m:r>
                </m:sup>
              </m:sSubSup>
            </m:oMath>
            <w:r w:rsidR="002D1344" w:rsidRPr="004834D3">
              <w:rPr>
                <w:rFonts w:cstheme="majorBidi"/>
                <w:sz w:val="24"/>
                <w:szCs w:val="24"/>
              </w:rPr>
              <w:t xml:space="preserve">) </w:t>
            </w:r>
            <w:r w:rsidR="00D7099A">
              <w:rPr>
                <w:rFonts w:cstheme="majorBidi"/>
                <w:sz w:val="24"/>
                <w:szCs w:val="24"/>
              </w:rPr>
              <w:t xml:space="preserve">impact </w:t>
            </w:r>
            <w:r w:rsidR="002D1344" w:rsidRPr="004834D3">
              <w:rPr>
                <w:rFonts w:cstheme="majorBidi"/>
                <w:sz w:val="24"/>
                <w:szCs w:val="24"/>
              </w:rPr>
              <w:t xml:space="preserve">on the </w:t>
            </w:r>
            <w:r w:rsidR="00D7099A">
              <w:rPr>
                <w:rFonts w:cstheme="majorBidi"/>
                <w:sz w:val="24"/>
                <w:szCs w:val="24"/>
              </w:rPr>
              <w:t xml:space="preserve">particle </w:t>
            </w:r>
            <w:r w:rsidR="002D1344" w:rsidRPr="004834D3">
              <w:rPr>
                <w:rFonts w:cstheme="majorBidi"/>
                <w:sz w:val="24"/>
                <w:szCs w:val="24"/>
              </w:rPr>
              <w:t xml:space="preserve">transient lateral movement, for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0</m:t>
                  </m:r>
                </m:sub>
                <m:sup>
                  <m:r>
                    <w:rPr>
                      <w:rFonts w:ascii="Cambria Math" w:eastAsiaTheme="minorEastAsia" w:hAnsi="Cambria Math" w:cstheme="majorBidi"/>
                      <w:sz w:val="24"/>
                      <w:szCs w:val="24"/>
                    </w:rPr>
                    <m:t>*</m:t>
                  </m:r>
                </m:sup>
              </m:sSubSup>
            </m:oMath>
            <w:r w:rsidR="002D1344" w:rsidRPr="004834D3">
              <w:rPr>
                <w:rFonts w:eastAsiaTheme="minorEastAsia" w:cstheme="majorBidi"/>
                <w:sz w:val="24"/>
                <w:szCs w:val="24"/>
              </w:rPr>
              <w:t xml:space="preserve"> =</w:t>
            </w:r>
            <w:r w:rsidR="002D1344" w:rsidRPr="004834D3">
              <w:rPr>
                <w:rFonts w:cstheme="majorBidi"/>
                <w:sz w:val="24"/>
                <w:szCs w:val="24"/>
              </w:rPr>
              <w:t xml:space="preserve"> 0.25 (red),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0</m:t>
                  </m:r>
                </m:sub>
                <m:sup>
                  <m:r>
                    <w:rPr>
                      <w:rFonts w:ascii="Cambria Math" w:eastAsiaTheme="minorEastAsia" w:hAnsi="Cambria Math" w:cstheme="majorBidi"/>
                      <w:sz w:val="24"/>
                      <w:szCs w:val="24"/>
                    </w:rPr>
                    <m:t>*</m:t>
                  </m:r>
                </m:sup>
              </m:sSubSup>
            </m:oMath>
            <w:r w:rsidR="002D1344" w:rsidRPr="004834D3">
              <w:rPr>
                <w:rFonts w:eastAsiaTheme="minorEastAsia" w:cstheme="majorBidi"/>
                <w:sz w:val="24"/>
                <w:szCs w:val="24"/>
              </w:rPr>
              <w:t xml:space="preserve"> =</w:t>
            </w:r>
            <w:r w:rsidR="002D1344" w:rsidRPr="004834D3">
              <w:rPr>
                <w:rFonts w:cstheme="majorBidi"/>
                <w:sz w:val="24"/>
                <w:szCs w:val="24"/>
              </w:rPr>
              <w:t xml:space="preserve"> 0.50 (black), and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0</m:t>
                  </m:r>
                </m:sub>
                <m:sup>
                  <m:r>
                    <w:rPr>
                      <w:rFonts w:ascii="Cambria Math" w:eastAsiaTheme="minorEastAsia" w:hAnsi="Cambria Math" w:cstheme="majorBidi"/>
                      <w:sz w:val="24"/>
                      <w:szCs w:val="24"/>
                    </w:rPr>
                    <m:t>*</m:t>
                  </m:r>
                </m:sup>
              </m:sSubSup>
            </m:oMath>
            <w:r w:rsidR="002D1344" w:rsidRPr="004834D3">
              <w:rPr>
                <w:rFonts w:eastAsiaTheme="minorEastAsia" w:cstheme="majorBidi"/>
                <w:sz w:val="24"/>
                <w:szCs w:val="24"/>
              </w:rPr>
              <w:t xml:space="preserve"> =</w:t>
            </w:r>
            <w:r w:rsidR="002D1344" w:rsidRPr="004834D3">
              <w:rPr>
                <w:rFonts w:cstheme="majorBidi"/>
                <w:sz w:val="24"/>
                <w:szCs w:val="24"/>
              </w:rPr>
              <w:t xml:space="preserve"> 0.75 (green) for </w:t>
            </w:r>
            <m:oMath>
              <m:r>
                <m:rPr>
                  <m:sty m:val="p"/>
                </m:rPr>
                <w:rPr>
                  <w:rFonts w:ascii="Cambria Math" w:hAnsi="Cambria Math" w:cstheme="majorBidi"/>
                  <w:sz w:val="24"/>
                  <w:szCs w:val="24"/>
                </w:rPr>
                <m:t>Re</m:t>
              </m:r>
            </m:oMath>
            <w:r w:rsidR="002D1344" w:rsidRPr="004834D3">
              <w:rPr>
                <w:rFonts w:eastAsiaTheme="minorEastAsia" w:cstheme="majorBidi"/>
                <w:sz w:val="24"/>
                <w:szCs w:val="24"/>
              </w:rPr>
              <w:t xml:space="preserve"> = 100</w:t>
            </w:r>
            <w:r w:rsidR="002D1344" w:rsidRPr="004834D3">
              <w:rPr>
                <w:rFonts w:cstheme="majorBidi"/>
                <w:sz w:val="24"/>
                <w:szCs w:val="24"/>
              </w:rPr>
              <w:t xml:space="preserve">, and </w:t>
            </w:r>
            <m:oMath>
              <m:r>
                <m:rPr>
                  <m:sty m:val="p"/>
                </m:rPr>
                <w:rPr>
                  <w:rFonts w:ascii="Cambria Math" w:hAnsi="Cambria Math" w:cstheme="majorBidi"/>
                  <w:sz w:val="24"/>
                  <w:szCs w:val="24"/>
                </w:rPr>
                <m:t>Ste</m:t>
              </m:r>
            </m:oMath>
            <w:r w:rsidR="002D1344" w:rsidRPr="004834D3">
              <w:rPr>
                <w:rFonts w:eastAsiaTheme="minorEastAsia" w:cstheme="majorBidi"/>
                <w:sz w:val="24"/>
                <w:szCs w:val="24"/>
              </w:rPr>
              <w:t xml:space="preserve"> = 0.1.</w:t>
            </w:r>
            <w:bookmarkEnd w:id="103"/>
          </w:p>
        </w:tc>
      </w:tr>
    </w:tbl>
    <w:p w14:paraId="5FE5285F" w14:textId="06D3C0EF" w:rsidR="002D1344" w:rsidRPr="004C6625" w:rsidRDefault="009A6821" w:rsidP="00700DBA">
      <w:pPr>
        <w:pStyle w:val="Heading2"/>
        <w:numPr>
          <w:ilvl w:val="1"/>
          <w:numId w:val="4"/>
        </w:numPr>
        <w:spacing w:before="360" w:after="240" w:line="480" w:lineRule="auto"/>
        <w:ind w:left="432" w:hanging="432"/>
        <w:rPr>
          <w:sz w:val="24"/>
          <w:szCs w:val="28"/>
        </w:rPr>
      </w:pPr>
      <w:bookmarkStart w:id="104" w:name="_Toc172367705"/>
      <w:r w:rsidRPr="004C6625">
        <w:rPr>
          <w:sz w:val="24"/>
          <w:szCs w:val="28"/>
        </w:rPr>
        <w:t>Conclu</w:t>
      </w:r>
      <w:r w:rsidR="008F356D" w:rsidRPr="004C6625">
        <w:rPr>
          <w:sz w:val="24"/>
          <w:szCs w:val="28"/>
        </w:rPr>
        <w:t>ding</w:t>
      </w:r>
      <w:r w:rsidR="007764CA" w:rsidRPr="004C6625">
        <w:rPr>
          <w:sz w:val="24"/>
          <w:szCs w:val="28"/>
        </w:rPr>
        <w:t xml:space="preserve"> Remarks</w:t>
      </w:r>
      <w:bookmarkEnd w:id="104"/>
    </w:p>
    <w:p w14:paraId="37B87B73" w14:textId="119595B3" w:rsidR="001557BF" w:rsidRDefault="00286ED2" w:rsidP="004C6625">
      <w:pPr>
        <w:spacing w:before="240" w:after="240" w:line="480" w:lineRule="auto"/>
        <w:jc w:val="both"/>
        <w:rPr>
          <w:rFonts w:cstheme="majorBidi"/>
        </w:rPr>
      </w:pPr>
      <w:r>
        <w:rPr>
          <w:rFonts w:cstheme="majorBidi"/>
        </w:rPr>
        <w:t>In the simulation part of this study, a</w:t>
      </w:r>
      <w:r w:rsidRPr="00286ED2">
        <w:rPr>
          <w:rFonts w:cstheme="majorBidi"/>
        </w:rPr>
        <w:t xml:space="preserve">n ALE </w:t>
      </w:r>
      <w:r w:rsidR="00E949C3">
        <w:rPr>
          <w:rFonts w:cstheme="majorBidi"/>
        </w:rPr>
        <w:t>approach is employed t</w:t>
      </w:r>
      <w:r w:rsidRPr="00286ED2">
        <w:rPr>
          <w:rFonts w:cstheme="majorBidi"/>
        </w:rPr>
        <w:t>o simulate the migration and heat transfer dynamics of a melting cylindrical particle in a plane Poiseuille flow between horizontal parallel plates. The model utilized a dynamic mesh technique to directly account for the local deformation of the particle due to melting and to monitor its migration without the need for implicit interface tracking schemes. An extensive parametric analysis was conducted to explore the impacts of Reynolds number, Grashof number, Stefan number, and the initial lateral position of the particle on its lateral migration, mass, and Nusselt number. The key findings from this study are summarized as follows:</w:t>
      </w:r>
    </w:p>
    <w:p w14:paraId="3C3F8863" w14:textId="5F4BB5AD" w:rsidR="00286ED2" w:rsidRPr="00286ED2" w:rsidRDefault="00286ED2" w:rsidP="00700DBA">
      <w:pPr>
        <w:pStyle w:val="ListParagraph"/>
        <w:numPr>
          <w:ilvl w:val="0"/>
          <w:numId w:val="6"/>
        </w:numPr>
        <w:spacing w:before="240" w:after="240" w:line="480" w:lineRule="auto"/>
        <w:jc w:val="both"/>
        <w:rPr>
          <w:rFonts w:cstheme="majorBidi"/>
        </w:rPr>
      </w:pPr>
      <w:r w:rsidRPr="00286ED2">
        <w:rPr>
          <w:rFonts w:cstheme="majorBidi"/>
        </w:rPr>
        <w:lastRenderedPageBreak/>
        <w:t xml:space="preserve">Increasing the </w:t>
      </w:r>
      <m:oMath>
        <m:r>
          <m:rPr>
            <m:sty m:val="p"/>
          </m:rPr>
          <w:rPr>
            <w:rFonts w:ascii="Cambria Math" w:hAnsi="Cambria Math" w:cstheme="majorBidi"/>
          </w:rPr>
          <m:t>Re</m:t>
        </m:r>
      </m:oMath>
      <w:r w:rsidRPr="00286ED2">
        <w:rPr>
          <w:rFonts w:cstheme="majorBidi"/>
        </w:rPr>
        <w:t xml:space="preserve"> </w:t>
      </w:r>
      <w:r>
        <w:rPr>
          <w:rFonts w:cstheme="majorBidi"/>
        </w:rPr>
        <w:t xml:space="preserve">number </w:t>
      </w:r>
      <w:r w:rsidRPr="00286ED2">
        <w:rPr>
          <w:rFonts w:cstheme="majorBidi"/>
        </w:rPr>
        <w:t xml:space="preserve">causes the melting particle to migrate further from the wall due to a stronger Magnus force. This greater distance from the heated wall leads to a decrease in both the melting rate and the </w:t>
      </w:r>
      <m:oMath>
        <m:r>
          <m:rPr>
            <m:sty m:val="p"/>
          </m:rPr>
          <w:rPr>
            <w:rFonts w:ascii="Cambria Math" w:hAnsi="Cambria Math" w:cstheme="majorBidi"/>
          </w:rPr>
          <m:t>Nu</m:t>
        </m:r>
      </m:oMath>
      <w:r w:rsidRPr="00286ED2">
        <w:rPr>
          <w:rFonts w:cstheme="majorBidi"/>
        </w:rPr>
        <w:t xml:space="preserve"> number. </w:t>
      </w:r>
    </w:p>
    <w:p w14:paraId="4DFC78E5" w14:textId="599C33F5" w:rsidR="00286ED2" w:rsidRPr="00286ED2" w:rsidRDefault="00286ED2" w:rsidP="00700DBA">
      <w:pPr>
        <w:pStyle w:val="ListParagraph"/>
        <w:numPr>
          <w:ilvl w:val="0"/>
          <w:numId w:val="6"/>
        </w:numPr>
        <w:spacing w:before="240" w:after="240" w:line="480" w:lineRule="auto"/>
        <w:jc w:val="both"/>
        <w:rPr>
          <w:rFonts w:cstheme="majorBidi"/>
        </w:rPr>
      </w:pPr>
      <w:r w:rsidRPr="00286ED2">
        <w:rPr>
          <w:rFonts w:cstheme="majorBidi"/>
        </w:rPr>
        <w:t xml:space="preserve">With a higher </w:t>
      </w:r>
      <m:oMath>
        <m:r>
          <m:rPr>
            <m:sty m:val="p"/>
          </m:rPr>
          <w:rPr>
            <w:rFonts w:ascii="Cambria Math" w:hAnsi="Cambria Math" w:cstheme="majorBidi"/>
          </w:rPr>
          <m:t>Gr</m:t>
        </m:r>
      </m:oMath>
      <w:r w:rsidRPr="00286ED2">
        <w:rPr>
          <w:rFonts w:cstheme="majorBidi"/>
        </w:rPr>
        <w:t xml:space="preserve"> number, the particle's migration toward the bottom wall is </w:t>
      </w:r>
      <w:r>
        <w:rPr>
          <w:rFonts w:cstheme="majorBidi"/>
        </w:rPr>
        <w:t>accelerated</w:t>
      </w:r>
      <w:r w:rsidRPr="00286ED2">
        <w:rPr>
          <w:rFonts w:cstheme="majorBidi"/>
        </w:rPr>
        <w:t xml:space="preserve"> by the more intense downward flow driven by natural convection adjacent to the particle. Being closer to the heated wall enhances both the melting rate and </w:t>
      </w:r>
      <m:oMath>
        <m:r>
          <m:rPr>
            <m:sty m:val="p"/>
          </m:rPr>
          <w:rPr>
            <w:rFonts w:ascii="Cambria Math" w:hAnsi="Cambria Math" w:cstheme="majorBidi"/>
          </w:rPr>
          <m:t>Nu</m:t>
        </m:r>
      </m:oMath>
      <w:r>
        <w:rPr>
          <w:rFonts w:cstheme="majorBidi"/>
        </w:rPr>
        <w:t xml:space="preserve"> number</w:t>
      </w:r>
      <w:r w:rsidRPr="00286ED2">
        <w:rPr>
          <w:rFonts w:cstheme="majorBidi"/>
        </w:rPr>
        <w:t>.</w:t>
      </w:r>
    </w:p>
    <w:p w14:paraId="216DD236" w14:textId="516107E8" w:rsidR="00286ED2" w:rsidRPr="00286ED2" w:rsidRDefault="00286ED2" w:rsidP="00700DBA">
      <w:pPr>
        <w:pStyle w:val="ListParagraph"/>
        <w:numPr>
          <w:ilvl w:val="0"/>
          <w:numId w:val="6"/>
        </w:numPr>
        <w:spacing w:before="240" w:after="240" w:line="480" w:lineRule="auto"/>
        <w:jc w:val="both"/>
        <w:rPr>
          <w:rFonts w:cstheme="majorBidi"/>
        </w:rPr>
      </w:pPr>
      <w:r w:rsidRPr="00286ED2">
        <w:rPr>
          <w:rFonts w:cstheme="majorBidi"/>
        </w:rPr>
        <w:t xml:space="preserve">An increase in the </w:t>
      </w:r>
      <m:oMath>
        <m:r>
          <m:rPr>
            <m:sty m:val="p"/>
          </m:rPr>
          <w:rPr>
            <w:rFonts w:ascii="Cambria Math" w:hAnsi="Cambria Math" w:cstheme="majorBidi"/>
          </w:rPr>
          <m:t>Ste</m:t>
        </m:r>
      </m:oMath>
      <w:r>
        <w:rPr>
          <w:rFonts w:cstheme="majorBidi"/>
        </w:rPr>
        <w:t xml:space="preserve"> </w:t>
      </w:r>
      <w:r w:rsidRPr="00286ED2">
        <w:rPr>
          <w:rFonts w:cstheme="majorBidi"/>
        </w:rPr>
        <w:t xml:space="preserve">number significantly </w:t>
      </w:r>
      <w:r>
        <w:rPr>
          <w:rFonts w:cstheme="majorBidi"/>
        </w:rPr>
        <w:t>enhances</w:t>
      </w:r>
      <w:r w:rsidRPr="00286ED2">
        <w:rPr>
          <w:rFonts w:cstheme="majorBidi"/>
        </w:rPr>
        <w:t xml:space="preserve"> the melting rate as a result of the diminished latent heat effect.</w:t>
      </w:r>
    </w:p>
    <w:p w14:paraId="3E028B02" w14:textId="44560A21" w:rsidR="00286ED2" w:rsidRPr="00286ED2" w:rsidRDefault="00286ED2" w:rsidP="00700DBA">
      <w:pPr>
        <w:pStyle w:val="ListParagraph"/>
        <w:numPr>
          <w:ilvl w:val="0"/>
          <w:numId w:val="6"/>
        </w:numPr>
        <w:spacing w:before="240" w:after="240" w:line="480" w:lineRule="auto"/>
        <w:jc w:val="both"/>
        <w:rPr>
          <w:rFonts w:cstheme="majorBidi"/>
        </w:rPr>
      </w:pPr>
      <w:r>
        <w:rPr>
          <w:rFonts w:cstheme="majorBidi"/>
        </w:rPr>
        <w:t xml:space="preserve">For a constant </w:t>
      </w:r>
      <m:oMath>
        <m:r>
          <m:rPr>
            <m:sty m:val="p"/>
          </m:rPr>
          <w:rPr>
            <w:rFonts w:ascii="Cambria Math" w:hAnsi="Cambria Math" w:cstheme="majorBidi"/>
          </w:rPr>
          <m:t>Gr</m:t>
        </m:r>
      </m:oMath>
      <w:r w:rsidRPr="00286ED2">
        <w:rPr>
          <w:rFonts w:cstheme="majorBidi"/>
        </w:rPr>
        <w:t xml:space="preserve"> number, a melting particle will migrate toward the same final lateral position, regardless of its initial placement in the flow.</w:t>
      </w:r>
    </w:p>
    <w:p w14:paraId="540A7908" w14:textId="1C9DEC2E" w:rsidR="00657F58" w:rsidRDefault="00657F58" w:rsidP="004C6625">
      <w:pPr>
        <w:spacing w:before="240" w:after="240" w:line="480" w:lineRule="auto"/>
        <w:ind w:firstLine="720"/>
        <w:jc w:val="both"/>
        <w:rPr>
          <w:rFonts w:cstheme="majorBidi"/>
        </w:rPr>
      </w:pPr>
      <w:r w:rsidRPr="00657F58">
        <w:rPr>
          <w:rFonts w:cstheme="majorBidi"/>
        </w:rPr>
        <w:t>Generally, it is observed that higher (lower) flow velocities and reduced (</w:t>
      </w:r>
      <w:r w:rsidR="00E949C3">
        <w:rPr>
          <w:rFonts w:cstheme="majorBidi"/>
        </w:rPr>
        <w:t>increased</w:t>
      </w:r>
      <w:r w:rsidRPr="00657F58">
        <w:rPr>
          <w:rFonts w:cstheme="majorBidi"/>
        </w:rPr>
        <w:t xml:space="preserve">) natural convection effects correspond to decreased (increased) melting rates. This study validates the ALE method as a robust approach for directly simulating scenarios that involve suspended particles undergoing phase changes. </w:t>
      </w:r>
    </w:p>
    <w:p w14:paraId="3D4C8B9E" w14:textId="77777777" w:rsidR="00F17EFE" w:rsidRDefault="00F17EFE" w:rsidP="0090620C">
      <w:pPr>
        <w:spacing w:before="240" w:line="360" w:lineRule="auto"/>
        <w:ind w:firstLine="360"/>
        <w:jc w:val="both"/>
        <w:rPr>
          <w:rFonts w:cstheme="majorBidi"/>
        </w:rPr>
      </w:pPr>
    </w:p>
    <w:p w14:paraId="53184FD0" w14:textId="77777777" w:rsidR="00D7099A" w:rsidRDefault="00D7099A" w:rsidP="0090620C">
      <w:pPr>
        <w:spacing w:before="240" w:line="360" w:lineRule="auto"/>
        <w:ind w:firstLine="360"/>
        <w:jc w:val="both"/>
        <w:rPr>
          <w:rFonts w:cstheme="majorBidi"/>
        </w:rPr>
      </w:pPr>
    </w:p>
    <w:p w14:paraId="26C4FC1F" w14:textId="77777777" w:rsidR="00D7099A" w:rsidRDefault="00D7099A" w:rsidP="0090620C">
      <w:pPr>
        <w:spacing w:before="240" w:line="360" w:lineRule="auto"/>
        <w:ind w:firstLine="360"/>
        <w:jc w:val="both"/>
        <w:rPr>
          <w:rFonts w:cstheme="majorBidi"/>
        </w:rPr>
      </w:pPr>
    </w:p>
    <w:p w14:paraId="6E20DB7A" w14:textId="77777777" w:rsidR="00D7099A" w:rsidRDefault="00D7099A" w:rsidP="0090620C">
      <w:pPr>
        <w:spacing w:before="240" w:line="360" w:lineRule="auto"/>
        <w:ind w:firstLine="360"/>
        <w:jc w:val="both"/>
        <w:rPr>
          <w:rFonts w:cstheme="majorBidi"/>
        </w:rPr>
      </w:pPr>
    </w:p>
    <w:p w14:paraId="34A6CFAC" w14:textId="77777777" w:rsidR="00D7099A" w:rsidRDefault="00D7099A" w:rsidP="0090620C">
      <w:pPr>
        <w:spacing w:before="240" w:line="360" w:lineRule="auto"/>
        <w:ind w:firstLine="360"/>
        <w:jc w:val="both"/>
        <w:rPr>
          <w:rFonts w:cstheme="majorBidi"/>
        </w:rPr>
      </w:pPr>
    </w:p>
    <w:p w14:paraId="20F7FC7C" w14:textId="77777777" w:rsidR="00D7099A" w:rsidRDefault="00D7099A" w:rsidP="0090620C">
      <w:pPr>
        <w:spacing w:before="240" w:line="360" w:lineRule="auto"/>
        <w:ind w:firstLine="360"/>
        <w:jc w:val="both"/>
        <w:rPr>
          <w:rFonts w:cstheme="majorBidi"/>
        </w:rPr>
      </w:pPr>
    </w:p>
    <w:p w14:paraId="17C65525" w14:textId="77777777" w:rsidR="00D7099A" w:rsidRDefault="00D7099A" w:rsidP="0090620C">
      <w:pPr>
        <w:spacing w:before="240" w:line="360" w:lineRule="auto"/>
        <w:ind w:firstLine="360"/>
        <w:jc w:val="both"/>
        <w:rPr>
          <w:rFonts w:cstheme="majorBidi"/>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14"/>
      </w:tblGrid>
      <w:tr w:rsidR="00DB18B6" w:rsidRPr="00D37D51" w14:paraId="02C927D4" w14:textId="77777777" w:rsidTr="00D37D51">
        <w:trPr>
          <w:jc w:val="center"/>
        </w:trPr>
        <w:tc>
          <w:tcPr>
            <w:tcW w:w="0" w:type="auto"/>
            <w:gridSpan w:val="2"/>
            <w:hideMark/>
          </w:tcPr>
          <w:p w14:paraId="547AB6F1" w14:textId="77777777" w:rsidR="00DB18B6" w:rsidRPr="00717A46" w:rsidRDefault="00DB18B6" w:rsidP="00D37D51">
            <w:pPr>
              <w:shd w:val="clear" w:color="auto" w:fill="FFFFFF" w:themeFill="background1"/>
              <w:spacing w:before="240" w:line="360" w:lineRule="auto"/>
              <w:rPr>
                <w:rFonts w:cstheme="majorBidi"/>
                <w:b/>
                <w:bCs/>
                <w:sz w:val="32"/>
                <w:szCs w:val="32"/>
              </w:rPr>
            </w:pPr>
            <w:r w:rsidRPr="00717A46">
              <w:rPr>
                <w:rFonts w:cstheme="majorBidi"/>
                <w:b/>
                <w:bCs/>
                <w:sz w:val="32"/>
                <w:szCs w:val="32"/>
              </w:rPr>
              <w:lastRenderedPageBreak/>
              <w:t>Nomenclature</w:t>
            </w:r>
          </w:p>
        </w:tc>
      </w:tr>
      <w:tr w:rsidR="00DB18B6" w:rsidRPr="00D37D51" w14:paraId="7991EF6F" w14:textId="77777777" w:rsidTr="00D37D51">
        <w:trPr>
          <w:jc w:val="center"/>
        </w:trPr>
        <w:tc>
          <w:tcPr>
            <w:tcW w:w="0" w:type="auto"/>
          </w:tcPr>
          <w:p w14:paraId="7A098F2F" w14:textId="77777777" w:rsidR="00DB18B6" w:rsidRPr="00D37D51" w:rsidRDefault="00DB18B6" w:rsidP="00D37D51">
            <w:pPr>
              <w:shd w:val="clear" w:color="auto" w:fill="FFFFFF" w:themeFill="background1"/>
              <w:spacing w:before="240" w:line="360" w:lineRule="auto"/>
              <w:rPr>
                <w:rFonts w:eastAsia="Calibri" w:cstheme="majorBidi"/>
              </w:rPr>
            </w:pPr>
            <w:r w:rsidRPr="00D37D51">
              <w:rPr>
                <w:rFonts w:eastAsia="Calibri" w:cstheme="majorBidi"/>
              </w:rPr>
              <w:t xml:space="preserve"> </w:t>
            </w:r>
            <m:oMath>
              <m:r>
                <w:rPr>
                  <w:rFonts w:ascii="Cambria Math" w:eastAsia="Calibri" w:hAnsi="Cambria Math" w:cstheme="majorBidi"/>
                </w:rPr>
                <m:t>c</m:t>
              </m:r>
            </m:oMath>
          </w:p>
        </w:tc>
        <w:tc>
          <w:tcPr>
            <w:tcW w:w="0" w:type="auto"/>
          </w:tcPr>
          <w:p w14:paraId="5BC6ED7E"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Specific heat of the liquid (J/kg</w:t>
            </w:r>
            <w:r w:rsidRPr="00D37D51">
              <w:rPr>
                <w:rStyle w:val="fontstyle01"/>
                <w:rFonts w:asciiTheme="majorBidi" w:hAnsiTheme="majorBidi" w:cstheme="majorBidi"/>
              </w:rPr>
              <w:t>∙</w:t>
            </w:r>
            <w:r w:rsidRPr="00D37D51">
              <w:rPr>
                <w:rFonts w:cstheme="majorBidi"/>
              </w:rPr>
              <w:t>K</w:t>
            </w:r>
            <w:r w:rsidRPr="00D37D51">
              <w:rPr>
                <w:rFonts w:cstheme="majorBidi"/>
                <w:shd w:val="clear" w:color="auto" w:fill="FFFFFF"/>
              </w:rPr>
              <w:t>)</w:t>
            </w:r>
          </w:p>
        </w:tc>
      </w:tr>
      <w:tr w:rsidR="00DB18B6" w:rsidRPr="00D37D51" w14:paraId="5A403355" w14:textId="77777777" w:rsidTr="00D37D51">
        <w:trPr>
          <w:jc w:val="center"/>
        </w:trPr>
        <w:tc>
          <w:tcPr>
            <w:tcW w:w="0" w:type="auto"/>
          </w:tcPr>
          <w:p w14:paraId="6E9B6E68"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D</m:t>
                </m:r>
              </m:oMath>
            </m:oMathPara>
          </w:p>
        </w:tc>
        <w:tc>
          <w:tcPr>
            <w:tcW w:w="0" w:type="auto"/>
          </w:tcPr>
          <w:p w14:paraId="5BE77A00"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Initial particle diameter (m)</w:t>
            </w:r>
          </w:p>
        </w:tc>
      </w:tr>
      <w:tr w:rsidR="00DB18B6" w:rsidRPr="00D37D51" w14:paraId="3BB26327" w14:textId="77777777" w:rsidTr="00D37D51">
        <w:trPr>
          <w:jc w:val="center"/>
        </w:trPr>
        <w:tc>
          <w:tcPr>
            <w:tcW w:w="0" w:type="auto"/>
          </w:tcPr>
          <w:p w14:paraId="6BFE1BD8" w14:textId="77777777" w:rsidR="00DB18B6" w:rsidRPr="00D37D51" w:rsidRDefault="00000000" w:rsidP="00D37D51">
            <w:pPr>
              <w:shd w:val="clear" w:color="auto" w:fill="FFFFFF" w:themeFill="background1"/>
              <w:spacing w:before="240" w:line="360" w:lineRule="auto"/>
              <w:rPr>
                <w:rFonts w:eastAsia="Calibri" w:cstheme="majorBidi"/>
                <w:i/>
                <w:iCs/>
              </w:rPr>
            </w:pPr>
            <m:oMathPara>
              <m:oMathParaPr>
                <m:jc m:val="left"/>
              </m:oMathParaPr>
              <m:oMath>
                <m:sSub>
                  <m:sSubPr>
                    <m:ctrlPr>
                      <w:rPr>
                        <w:rFonts w:ascii="Cambria Math" w:eastAsia="Calibri" w:hAnsi="Cambria Math" w:cstheme="majorBidi"/>
                        <w:i/>
                      </w:rPr>
                    </m:ctrlPr>
                  </m:sSubPr>
                  <m:e>
                    <m:r>
                      <w:rPr>
                        <w:rFonts w:ascii="Cambria Math" w:eastAsia="Calibri" w:hAnsi="Cambria Math" w:cstheme="majorBidi"/>
                      </w:rPr>
                      <m:t>d</m:t>
                    </m:r>
                  </m:e>
                  <m:sub>
                    <m:r>
                      <w:rPr>
                        <w:rFonts w:ascii="Cambria Math" w:eastAsia="Calibri" w:hAnsi="Cambria Math" w:cstheme="majorBidi"/>
                      </w:rPr>
                      <m:t>c</m:t>
                    </m:r>
                  </m:sub>
                </m:sSub>
              </m:oMath>
            </m:oMathPara>
          </w:p>
        </w:tc>
        <w:tc>
          <w:tcPr>
            <w:tcW w:w="0" w:type="auto"/>
          </w:tcPr>
          <w:p w14:paraId="0E7F10C1" w14:textId="5906D73C"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Instantaneous characteristic particle diameter (m), </w:t>
            </w:r>
            <m:oMath>
              <m:sSub>
                <m:sSubPr>
                  <m:ctrlPr>
                    <w:rPr>
                      <w:rFonts w:ascii="Cambria Math" w:hAnsi="Cambria Math" w:cstheme="majorBidi"/>
                      <w:i/>
                    </w:rPr>
                  </m:ctrlPr>
                </m:sSubPr>
                <m:e>
                  <m:r>
                    <w:rPr>
                      <w:rFonts w:ascii="Cambria Math" w:hAnsi="Cambria Math" w:cstheme="majorBidi"/>
                    </w:rPr>
                    <m:t>d</m:t>
                  </m:r>
                </m:e>
                <m:sub>
                  <m:r>
                    <w:rPr>
                      <w:rFonts w:ascii="Cambria Math" w:hAnsi="Cambria Math" w:cstheme="majorBidi"/>
                    </w:rPr>
                    <m:t>c</m:t>
                  </m:r>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π</m:t>
                  </m:r>
                </m:den>
              </m:f>
              <m:nary>
                <m:naryPr>
                  <m:supHide m:val="1"/>
                  <m:ctrlPr>
                    <w:rPr>
                      <w:rFonts w:ascii="Cambria Math" w:eastAsiaTheme="minorEastAsia" w:hAnsi="Cambria Math" w:cstheme="majorBidi"/>
                      <w:i/>
                      <w:iCs/>
                      <w:color w:val="000000"/>
                      <w:kern w:val="24"/>
                    </w:rPr>
                  </m:ctrlPr>
                </m:naryPr>
                <m:sub>
                  <m:r>
                    <w:rPr>
                      <w:rFonts w:ascii="Cambria Math" w:eastAsiaTheme="minorEastAsia" w:hAnsi="Cambria Math" w:cstheme="majorBidi"/>
                      <w:color w:val="000000"/>
                      <w:kern w:val="24"/>
                    </w:rPr>
                    <m:t>S</m:t>
                  </m:r>
                </m:sub>
                <m:sup/>
                <m:e>
                  <m:r>
                    <w:rPr>
                      <w:rFonts w:ascii="Cambria Math" w:hAnsi="Cambria Math" w:cstheme="majorBidi"/>
                      <w:color w:val="000000"/>
                      <w:kern w:val="24"/>
                    </w:rPr>
                    <m:t>dS</m:t>
                  </m:r>
                </m:e>
              </m:nary>
            </m:oMath>
          </w:p>
        </w:tc>
      </w:tr>
      <w:tr w:rsidR="00DB18B6" w:rsidRPr="00D37D51" w14:paraId="51D05FE4" w14:textId="77777777" w:rsidTr="00D37D51">
        <w:trPr>
          <w:jc w:val="center"/>
        </w:trPr>
        <w:tc>
          <w:tcPr>
            <w:tcW w:w="0" w:type="auto"/>
          </w:tcPr>
          <w:p w14:paraId="45929AFF" w14:textId="77777777" w:rsidR="00DB18B6" w:rsidRPr="00D37D51" w:rsidRDefault="00DB18B6" w:rsidP="00D37D51">
            <w:pPr>
              <w:shd w:val="clear" w:color="auto" w:fill="FFFFFF" w:themeFill="background1"/>
              <w:spacing w:before="240" w:line="360" w:lineRule="auto"/>
              <w:rPr>
                <w:rFonts w:eastAsia="Calibri" w:cstheme="majorBidi"/>
                <w:b/>
                <w:bCs/>
                <w:iCs/>
              </w:rPr>
            </w:pPr>
            <m:oMathPara>
              <m:oMathParaPr>
                <m:jc m:val="left"/>
              </m:oMathParaPr>
              <m:oMath>
                <m:r>
                  <m:rPr>
                    <m:sty m:val="b"/>
                  </m:rPr>
                  <w:rPr>
                    <w:rFonts w:ascii="Cambria Math" w:eastAsia="Calibri" w:hAnsi="Cambria Math" w:cstheme="majorBidi"/>
                  </w:rPr>
                  <m:t>F</m:t>
                </m:r>
              </m:oMath>
            </m:oMathPara>
          </w:p>
        </w:tc>
        <w:tc>
          <w:tcPr>
            <w:tcW w:w="0" w:type="auto"/>
          </w:tcPr>
          <w:p w14:paraId="2450FB96"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Force vector (N)</w:t>
            </w:r>
          </w:p>
        </w:tc>
      </w:tr>
      <w:tr w:rsidR="00DB18B6" w:rsidRPr="00D37D51" w14:paraId="78E90459" w14:textId="77777777" w:rsidTr="00D37D51">
        <w:trPr>
          <w:jc w:val="center"/>
        </w:trPr>
        <w:tc>
          <w:tcPr>
            <w:tcW w:w="0" w:type="auto"/>
          </w:tcPr>
          <w:p w14:paraId="41FB82B9" w14:textId="77777777" w:rsidR="00DB18B6" w:rsidRPr="00D37D51" w:rsidRDefault="00DB18B6" w:rsidP="00D37D51">
            <w:pPr>
              <w:shd w:val="clear" w:color="auto" w:fill="FFFFFF" w:themeFill="background1"/>
              <w:spacing w:before="240" w:line="360" w:lineRule="auto"/>
              <w:rPr>
                <w:rFonts w:eastAsia="Calibri" w:cstheme="majorBidi"/>
                <w:b/>
              </w:rPr>
            </w:pPr>
            <m:oMathPara>
              <m:oMathParaPr>
                <m:jc m:val="left"/>
              </m:oMathParaPr>
              <m:oMath>
                <m:r>
                  <m:rPr>
                    <m:sty m:val="b"/>
                  </m:rPr>
                  <w:rPr>
                    <w:rFonts w:ascii="Cambria Math" w:eastAsia="Calibri" w:hAnsi="Cambria Math" w:cstheme="majorBidi"/>
                  </w:rPr>
                  <m:t>f</m:t>
                </m:r>
              </m:oMath>
            </m:oMathPara>
          </w:p>
        </w:tc>
        <w:tc>
          <w:tcPr>
            <w:tcW w:w="0" w:type="auto"/>
            <w:shd w:val="clear" w:color="auto" w:fill="FFFFFF" w:themeFill="background1"/>
          </w:tcPr>
          <w:p w14:paraId="68D2C554" w14:textId="77777777" w:rsidR="00DB18B6" w:rsidRPr="00D37D51" w:rsidRDefault="00DB18B6" w:rsidP="00D37D51">
            <w:pPr>
              <w:shd w:val="clear" w:color="auto" w:fill="FFFFFF" w:themeFill="background1"/>
              <w:spacing w:before="240" w:line="360" w:lineRule="auto"/>
              <w:rPr>
                <w:rFonts w:cstheme="majorBidi"/>
              </w:rPr>
            </w:pPr>
            <w:r w:rsidRPr="00D37D51">
              <w:rPr>
                <w:rFonts w:eastAsiaTheme="minorEastAsia" w:cstheme="majorBidi"/>
              </w:rPr>
              <w:t>Body force per unit mass (N/kg)</w:t>
            </w:r>
          </w:p>
        </w:tc>
      </w:tr>
      <w:tr w:rsidR="00DB18B6" w:rsidRPr="00D37D51" w14:paraId="21BCA23B" w14:textId="77777777" w:rsidTr="00D37D51">
        <w:trPr>
          <w:jc w:val="center"/>
        </w:trPr>
        <w:tc>
          <w:tcPr>
            <w:tcW w:w="0" w:type="auto"/>
          </w:tcPr>
          <w:p w14:paraId="1E58CC8F" w14:textId="77777777" w:rsidR="00DB18B6" w:rsidRPr="00D37D51" w:rsidRDefault="00000000" w:rsidP="00D37D51">
            <w:pPr>
              <w:shd w:val="clear" w:color="auto" w:fill="FFFFFF" w:themeFill="background1"/>
              <w:spacing w:before="240" w:line="360" w:lineRule="auto"/>
              <w:rPr>
                <w:rFonts w:eastAsia="Calibri" w:cstheme="majorBidi"/>
                <w:b/>
              </w:rPr>
            </w:pPr>
            <m:oMathPara>
              <m:oMathParaPr>
                <m:jc m:val="left"/>
              </m:oMathParaPr>
              <m:oMath>
                <m:sSup>
                  <m:sSupPr>
                    <m:ctrlPr>
                      <w:rPr>
                        <w:rFonts w:ascii="Cambria Math" w:eastAsia="Calibri" w:hAnsi="Cambria Math" w:cstheme="majorBidi"/>
                        <w:b/>
                        <w:i/>
                      </w:rPr>
                    </m:ctrlPr>
                  </m:sSupPr>
                  <m:e>
                    <m:r>
                      <m:rPr>
                        <m:sty m:val="b"/>
                      </m:rPr>
                      <w:rPr>
                        <w:rFonts w:ascii="Cambria Math" w:eastAsia="Calibri" w:hAnsi="Cambria Math" w:cstheme="majorBidi"/>
                      </w:rPr>
                      <m:t>F</m:t>
                    </m:r>
                  </m:e>
                  <m:sup>
                    <m:r>
                      <m:rPr>
                        <m:sty m:val="bi"/>
                      </m:rPr>
                      <w:rPr>
                        <w:rFonts w:ascii="Cambria Math" w:eastAsia="Calibri" w:hAnsi="Cambria Math" w:cstheme="majorBidi"/>
                      </w:rPr>
                      <m:t>*</m:t>
                    </m:r>
                  </m:sup>
                </m:sSup>
              </m:oMath>
            </m:oMathPara>
          </w:p>
        </w:tc>
        <w:tc>
          <w:tcPr>
            <w:tcW w:w="0" w:type="auto"/>
          </w:tcPr>
          <w:p w14:paraId="4FAC5819"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force vector, </w:t>
            </w:r>
            <m:oMath>
              <m:sSup>
                <m:sSupPr>
                  <m:ctrlPr>
                    <w:rPr>
                      <w:rFonts w:ascii="Cambria Math" w:hAnsi="Cambria Math" w:cstheme="majorBidi"/>
                      <w:i/>
                    </w:rPr>
                  </m:ctrlPr>
                </m:sSupPr>
                <m:e>
                  <m:r>
                    <m:rPr>
                      <m:sty m:val="b"/>
                    </m:rPr>
                    <w:rPr>
                      <w:rFonts w:ascii="Cambria Math" w:hAnsi="Cambria Math" w:cstheme="majorBidi"/>
                    </w:rPr>
                    <m:t>F</m:t>
                  </m:r>
                </m:e>
                <m:sup>
                  <m:r>
                    <w:rPr>
                      <w:rFonts w:ascii="Cambria Math" w:hAnsi="Cambria Math" w:cstheme="majorBidi"/>
                    </w:rPr>
                    <m:t>*</m:t>
                  </m:r>
                </m:sup>
              </m:sSup>
              <m:r>
                <w:rPr>
                  <w:rFonts w:ascii="Cambria Math" w:hAnsi="Cambria Math" w:cstheme="majorBidi"/>
                </w:rPr>
                <m:t>=</m:t>
              </m:r>
              <m:f>
                <m:fPr>
                  <m:type m:val="lin"/>
                  <m:ctrlPr>
                    <w:rPr>
                      <w:rFonts w:ascii="Cambria Math" w:eastAsiaTheme="minorEastAsia" w:hAnsi="Cambria Math" w:cstheme="majorBidi"/>
                      <w:i/>
                    </w:rPr>
                  </m:ctrlPr>
                </m:fPr>
                <m:num>
                  <m:r>
                    <m:rPr>
                      <m:sty m:val="b"/>
                    </m:rPr>
                    <w:rPr>
                      <w:rFonts w:ascii="Cambria Math" w:eastAsiaTheme="minorEastAsia" w:hAnsi="Cambria Math" w:cstheme="majorBidi"/>
                    </w:rPr>
                    <m:t>F</m:t>
                  </m:r>
                </m:num>
                <m:den>
                  <m:d>
                    <m:dPr>
                      <m:ctrlPr>
                        <w:rPr>
                          <w:rFonts w:ascii="Cambria Math" w:eastAsiaTheme="minorEastAsia" w:hAnsi="Cambria Math" w:cstheme="majorBidi"/>
                          <w:i/>
                        </w:rPr>
                      </m:ctrlPr>
                    </m:dPr>
                    <m:e>
                      <m:r>
                        <w:rPr>
                          <w:rFonts w:ascii="Cambria Math" w:eastAsiaTheme="minorEastAsia" w:hAnsi="Cambria Math" w:cstheme="majorBidi"/>
                        </w:rPr>
                        <m:t>νρZ</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e>
                  </m:d>
                </m:den>
              </m:f>
            </m:oMath>
          </w:p>
        </w:tc>
      </w:tr>
      <w:tr w:rsidR="00DB18B6" w:rsidRPr="00D37D51" w14:paraId="4C74CF0C" w14:textId="77777777" w:rsidTr="00D37D51">
        <w:trPr>
          <w:jc w:val="center"/>
        </w:trPr>
        <w:tc>
          <w:tcPr>
            <w:tcW w:w="0" w:type="auto"/>
          </w:tcPr>
          <w:p w14:paraId="5CA88188"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g</m:t>
                </m:r>
              </m:oMath>
            </m:oMathPara>
          </w:p>
        </w:tc>
        <w:tc>
          <w:tcPr>
            <w:tcW w:w="0" w:type="auto"/>
          </w:tcPr>
          <w:p w14:paraId="477E1EEA"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Gravitational acceleration (m/s</w:t>
            </w:r>
            <w:r w:rsidRPr="00D37D51">
              <w:rPr>
                <w:rFonts w:cstheme="majorBidi"/>
                <w:vertAlign w:val="superscript"/>
              </w:rPr>
              <w:t>2</w:t>
            </w:r>
            <w:r w:rsidRPr="00D37D51">
              <w:rPr>
                <w:rFonts w:cstheme="majorBidi"/>
              </w:rPr>
              <w:t>)</w:t>
            </w:r>
          </w:p>
        </w:tc>
      </w:tr>
      <w:tr w:rsidR="00DB18B6" w:rsidRPr="00D37D51" w14:paraId="175252FA" w14:textId="77777777" w:rsidTr="00D37D51">
        <w:trPr>
          <w:jc w:val="center"/>
        </w:trPr>
        <w:tc>
          <w:tcPr>
            <w:tcW w:w="0" w:type="auto"/>
            <w:hideMark/>
          </w:tcPr>
          <w:p w14:paraId="3837E99C" w14:textId="77777777" w:rsidR="00DB18B6" w:rsidRPr="00D37D51" w:rsidRDefault="00DB18B6" w:rsidP="00D37D51">
            <w:pPr>
              <w:shd w:val="clear" w:color="auto" w:fill="FFFFFF" w:themeFill="background1"/>
              <w:spacing w:before="240" w:line="360" w:lineRule="auto"/>
              <w:rPr>
                <w:rFonts w:cstheme="majorBidi"/>
                <w:b/>
                <w:bCs/>
                <w:iCs/>
              </w:rPr>
            </w:pPr>
            <m:oMathPara>
              <m:oMathParaPr>
                <m:jc m:val="left"/>
              </m:oMathParaPr>
              <m:oMath>
                <m:r>
                  <m:rPr>
                    <m:sty m:val="b"/>
                  </m:rPr>
                  <w:rPr>
                    <w:rFonts w:ascii="Cambria Math" w:hAnsi="Cambria Math" w:cstheme="majorBidi"/>
                  </w:rPr>
                  <m:t>g</m:t>
                </m:r>
              </m:oMath>
            </m:oMathPara>
          </w:p>
        </w:tc>
        <w:tc>
          <w:tcPr>
            <w:tcW w:w="0" w:type="auto"/>
            <w:hideMark/>
          </w:tcPr>
          <w:p w14:paraId="5409CEE0"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Gravity vector (m/s</w:t>
            </w:r>
            <w:r w:rsidRPr="00D37D51">
              <w:rPr>
                <w:rFonts w:cstheme="majorBidi"/>
                <w:vertAlign w:val="superscript"/>
              </w:rPr>
              <w:t>2</w:t>
            </w:r>
            <w:r w:rsidRPr="00D37D51">
              <w:rPr>
                <w:rFonts w:cstheme="majorBidi"/>
              </w:rPr>
              <w:t>)</w:t>
            </w:r>
          </w:p>
        </w:tc>
      </w:tr>
      <w:tr w:rsidR="00DB18B6" w:rsidRPr="00D37D51" w14:paraId="6FB6B9BA" w14:textId="77777777" w:rsidTr="00D37D51">
        <w:trPr>
          <w:jc w:val="center"/>
        </w:trPr>
        <w:tc>
          <w:tcPr>
            <w:tcW w:w="0" w:type="auto"/>
          </w:tcPr>
          <w:p w14:paraId="4C45EE00" w14:textId="77777777" w:rsidR="00DB18B6" w:rsidRPr="00D37D51" w:rsidRDefault="00DB18B6" w:rsidP="00D37D51">
            <w:pPr>
              <w:shd w:val="clear" w:color="auto" w:fill="FFFFFF" w:themeFill="background1"/>
              <w:spacing w:before="240" w:line="360" w:lineRule="auto"/>
              <w:jc w:val="center"/>
              <w:rPr>
                <w:rFonts w:eastAsia="Calibri" w:cstheme="majorBidi"/>
                <w:bCs/>
                <w:iCs/>
              </w:rPr>
            </w:pPr>
            <m:oMathPara>
              <m:oMathParaPr>
                <m:jc m:val="left"/>
              </m:oMathParaPr>
              <m:oMath>
                <m:r>
                  <m:rPr>
                    <m:sty m:val="p"/>
                  </m:rPr>
                  <w:rPr>
                    <w:rFonts w:ascii="Cambria Math" w:eastAsia="Calibri" w:hAnsi="Cambria Math" w:cstheme="majorBidi"/>
                  </w:rPr>
                  <m:t>Gr</m:t>
                </m:r>
              </m:oMath>
            </m:oMathPara>
          </w:p>
        </w:tc>
        <w:tc>
          <w:tcPr>
            <w:tcW w:w="0" w:type="auto"/>
          </w:tcPr>
          <w:p w14:paraId="31C86425"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Grashof number, </w:t>
            </w:r>
            <m:oMath>
              <m:r>
                <m:rPr>
                  <m:sty m:val="p"/>
                </m:rPr>
                <w:rPr>
                  <w:rFonts w:ascii="Cambria Math" w:hAnsi="Cambria Math" w:cstheme="majorBidi"/>
                </w:rPr>
                <m:t>Gr</m:t>
              </m:r>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gβ</m:t>
                  </m:r>
                  <m:sSup>
                    <m:sSupPr>
                      <m:ctrlPr>
                        <w:rPr>
                          <w:rFonts w:ascii="Cambria Math" w:hAnsi="Cambria Math" w:cstheme="majorBidi"/>
                          <w:i/>
                        </w:rPr>
                      </m:ctrlPr>
                    </m:sSupPr>
                    <m:e>
                      <m:r>
                        <w:rPr>
                          <w:rFonts w:ascii="Cambria Math" w:hAnsi="Cambria Math" w:cstheme="majorBidi"/>
                        </w:rPr>
                        <m:t>D</m:t>
                      </m:r>
                    </m:e>
                    <m:sup>
                      <m:r>
                        <w:rPr>
                          <w:rFonts w:ascii="Cambria Math" w:hAnsi="Cambria Math" w:cstheme="majorBidi"/>
                        </w:rPr>
                        <m:t>3</m:t>
                      </m:r>
                    </m:sup>
                  </m:sSup>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h</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m</m:t>
                          </m:r>
                        </m:sub>
                      </m:sSub>
                    </m:e>
                  </m:d>
                </m:num>
                <m:den>
                  <m:sSup>
                    <m:sSupPr>
                      <m:ctrlPr>
                        <w:rPr>
                          <w:rFonts w:ascii="Cambria Math" w:hAnsi="Cambria Math" w:cstheme="majorBidi"/>
                          <w:i/>
                        </w:rPr>
                      </m:ctrlPr>
                    </m:sSupPr>
                    <m:e>
                      <m:r>
                        <w:rPr>
                          <w:rFonts w:ascii="Cambria Math" w:hAnsi="Cambria Math" w:cstheme="majorBidi"/>
                        </w:rPr>
                        <m:t>ν</m:t>
                      </m:r>
                    </m:e>
                    <m:sup>
                      <m:r>
                        <w:rPr>
                          <w:rFonts w:ascii="Cambria Math" w:hAnsi="Cambria Math" w:cstheme="majorBidi"/>
                        </w:rPr>
                        <m:t>2</m:t>
                      </m:r>
                    </m:sup>
                  </m:sSup>
                </m:den>
              </m:f>
            </m:oMath>
          </w:p>
        </w:tc>
      </w:tr>
      <w:tr w:rsidR="00DB18B6" w:rsidRPr="00D37D51" w14:paraId="6FA0FB38" w14:textId="77777777" w:rsidTr="00D37D51">
        <w:trPr>
          <w:jc w:val="center"/>
        </w:trPr>
        <w:tc>
          <w:tcPr>
            <w:tcW w:w="0" w:type="auto"/>
          </w:tcPr>
          <w:p w14:paraId="5000100D"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h</m:t>
                </m:r>
              </m:oMath>
            </m:oMathPara>
          </w:p>
        </w:tc>
        <w:tc>
          <w:tcPr>
            <w:tcW w:w="0" w:type="auto"/>
          </w:tcPr>
          <w:p w14:paraId="2D74A9C0"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Convective heat transfer coefficient (W/m</w:t>
            </w:r>
            <w:r w:rsidRPr="00D37D51">
              <w:rPr>
                <w:rFonts w:cstheme="majorBidi"/>
                <w:vertAlign w:val="superscript"/>
              </w:rPr>
              <w:t>2</w:t>
            </w:r>
            <w:r w:rsidRPr="00D37D51">
              <w:rPr>
                <w:rStyle w:val="fontstyle01"/>
                <w:rFonts w:asciiTheme="majorBidi" w:hAnsiTheme="majorBidi" w:cstheme="majorBidi"/>
              </w:rPr>
              <w:t>∙</w:t>
            </w:r>
            <w:r w:rsidRPr="00D37D51">
              <w:rPr>
                <w:rFonts w:cstheme="majorBidi"/>
              </w:rPr>
              <w:t>K)</w:t>
            </w:r>
          </w:p>
        </w:tc>
      </w:tr>
      <w:tr w:rsidR="00DB18B6" w:rsidRPr="00D37D51" w14:paraId="101D0114" w14:textId="77777777" w:rsidTr="00D37D51">
        <w:trPr>
          <w:jc w:val="center"/>
        </w:trPr>
        <w:tc>
          <w:tcPr>
            <w:tcW w:w="0" w:type="auto"/>
          </w:tcPr>
          <w:p w14:paraId="0DD296B2"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b>
                  <m:sSubPr>
                    <m:ctrlPr>
                      <w:rPr>
                        <w:rFonts w:ascii="Cambria Math" w:eastAsia="Calibri" w:hAnsi="Cambria Math" w:cstheme="majorBidi"/>
                        <w:i/>
                      </w:rPr>
                    </m:ctrlPr>
                  </m:sSubPr>
                  <m:e>
                    <m:r>
                      <w:rPr>
                        <w:rFonts w:ascii="Cambria Math" w:eastAsia="Calibri" w:hAnsi="Cambria Math" w:cstheme="majorBidi"/>
                      </w:rPr>
                      <m:t>h</m:t>
                    </m:r>
                  </m:e>
                  <m:sub>
                    <m:r>
                      <m:rPr>
                        <m:sty m:val="p"/>
                      </m:rPr>
                      <w:rPr>
                        <w:rFonts w:ascii="Cambria Math" w:eastAsia="Calibri" w:hAnsi="Cambria Math" w:cstheme="majorBidi"/>
                      </w:rPr>
                      <m:t>sl</m:t>
                    </m:r>
                  </m:sub>
                </m:sSub>
              </m:oMath>
            </m:oMathPara>
          </w:p>
        </w:tc>
        <w:tc>
          <w:tcPr>
            <w:tcW w:w="0" w:type="auto"/>
          </w:tcPr>
          <w:p w14:paraId="62EBEE2C"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Particle heat of fusion (J/kg)</w:t>
            </w:r>
          </w:p>
        </w:tc>
      </w:tr>
      <w:tr w:rsidR="00DB18B6" w:rsidRPr="00D37D51" w14:paraId="0A392F0F" w14:textId="77777777" w:rsidTr="00D37D51">
        <w:trPr>
          <w:jc w:val="center"/>
        </w:trPr>
        <w:tc>
          <w:tcPr>
            <w:tcW w:w="0" w:type="auto"/>
          </w:tcPr>
          <w:p w14:paraId="43BF0FBE"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b/>
                <w:iCs/>
              </w:rPr>
            </w:pPr>
            <m:oMathPara>
              <m:oMathParaPr>
                <m:jc m:val="left"/>
              </m:oMathParaPr>
              <m:oMath>
                <m:r>
                  <m:rPr>
                    <m:sty m:val="b"/>
                  </m:rPr>
                  <w:rPr>
                    <w:rStyle w:val="fontstyle01"/>
                    <w:rFonts w:ascii="Cambria Math" w:eastAsia="Calibri" w:hAnsi="Cambria Math" w:cstheme="majorBidi"/>
                  </w:rPr>
                  <m:t>I</m:t>
                </m:r>
              </m:oMath>
            </m:oMathPara>
          </w:p>
        </w:tc>
        <w:tc>
          <w:tcPr>
            <w:tcW w:w="0" w:type="auto"/>
          </w:tcPr>
          <w:p w14:paraId="13CBBDB3"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rPr>
            </w:pPr>
            <w:r w:rsidRPr="00D37D51">
              <w:rPr>
                <w:rStyle w:val="fontstyle01"/>
                <w:rFonts w:asciiTheme="majorBidi" w:hAnsiTheme="majorBidi" w:cstheme="majorBidi"/>
              </w:rPr>
              <w:t>Unit tensor</w:t>
            </w:r>
          </w:p>
        </w:tc>
      </w:tr>
      <w:tr w:rsidR="00DB18B6" w:rsidRPr="00D37D51" w14:paraId="55F10FE7" w14:textId="77777777" w:rsidTr="00D37D51">
        <w:trPr>
          <w:jc w:val="center"/>
        </w:trPr>
        <w:tc>
          <w:tcPr>
            <w:tcW w:w="0" w:type="auto"/>
          </w:tcPr>
          <w:p w14:paraId="4ECEFA4F"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bCs/>
              </w:rPr>
            </w:pPr>
            <m:oMathPara>
              <m:oMathParaPr>
                <m:jc m:val="left"/>
              </m:oMathParaPr>
              <m:oMath>
                <m:r>
                  <w:rPr>
                    <w:rStyle w:val="fontstyle01"/>
                    <w:rFonts w:ascii="Cambria Math" w:eastAsia="Calibri" w:hAnsi="Cambria Math" w:cstheme="majorBidi"/>
                  </w:rPr>
                  <m:t>I</m:t>
                </m:r>
              </m:oMath>
            </m:oMathPara>
          </w:p>
        </w:tc>
        <w:tc>
          <w:tcPr>
            <w:tcW w:w="0" w:type="auto"/>
          </w:tcPr>
          <w:p w14:paraId="75659AD0"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rPr>
            </w:pPr>
            <w:r w:rsidRPr="00D37D51">
              <w:rPr>
                <w:rStyle w:val="fontstyle01"/>
                <w:rFonts w:asciiTheme="majorBidi" w:hAnsiTheme="majorBidi" w:cstheme="majorBidi"/>
              </w:rPr>
              <w:t>Particle moment of inertia around the center of mass (kg∙m</w:t>
            </w:r>
            <w:r w:rsidRPr="00D37D51">
              <w:rPr>
                <w:rStyle w:val="fontstyle01"/>
                <w:rFonts w:asciiTheme="majorBidi" w:hAnsiTheme="majorBidi" w:cstheme="majorBidi"/>
                <w:vertAlign w:val="superscript"/>
              </w:rPr>
              <w:t>2</w:t>
            </w:r>
            <w:r w:rsidRPr="00D37D51">
              <w:rPr>
                <w:rStyle w:val="fontstyle01"/>
                <w:rFonts w:asciiTheme="majorBidi" w:hAnsiTheme="majorBidi" w:cstheme="majorBidi"/>
              </w:rPr>
              <w:t>)</w:t>
            </w:r>
          </w:p>
        </w:tc>
      </w:tr>
      <w:tr w:rsidR="00DB18B6" w:rsidRPr="00D37D51" w14:paraId="1616CEB3" w14:textId="77777777" w:rsidTr="00D37D51">
        <w:trPr>
          <w:jc w:val="center"/>
        </w:trPr>
        <w:tc>
          <w:tcPr>
            <w:tcW w:w="0" w:type="auto"/>
          </w:tcPr>
          <w:p w14:paraId="1BFBF1F4"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Style w:val="fontstyle01"/>
                    <w:rFonts w:ascii="Cambria Math" w:hAnsi="Cambria Math" w:cstheme="majorBidi"/>
                  </w:rPr>
                  <m:t>k</m:t>
                </m:r>
              </m:oMath>
            </m:oMathPara>
          </w:p>
        </w:tc>
        <w:tc>
          <w:tcPr>
            <w:tcW w:w="0" w:type="auto"/>
          </w:tcPr>
          <w:p w14:paraId="2B7DD9BC" w14:textId="77777777" w:rsidR="00DB18B6" w:rsidRPr="00D37D51" w:rsidRDefault="00DB18B6" w:rsidP="00D37D51">
            <w:pPr>
              <w:shd w:val="clear" w:color="auto" w:fill="FFFFFF" w:themeFill="background1"/>
              <w:spacing w:before="240" w:line="360" w:lineRule="auto"/>
              <w:rPr>
                <w:rFonts w:cstheme="majorBidi"/>
              </w:rPr>
            </w:pPr>
            <w:r w:rsidRPr="00D37D51">
              <w:rPr>
                <w:rStyle w:val="fontstyle01"/>
                <w:rFonts w:asciiTheme="majorBidi" w:hAnsiTheme="majorBidi" w:cstheme="majorBidi"/>
              </w:rPr>
              <w:t>Thermal conductivity (W/m∙K)</w:t>
            </w:r>
          </w:p>
        </w:tc>
      </w:tr>
      <w:tr w:rsidR="00DB18B6" w:rsidRPr="00D37D51" w14:paraId="3E2FD9A0" w14:textId="77777777" w:rsidTr="00D37D51">
        <w:trPr>
          <w:jc w:val="center"/>
        </w:trPr>
        <w:tc>
          <w:tcPr>
            <w:tcW w:w="0" w:type="auto"/>
          </w:tcPr>
          <w:p w14:paraId="040474DC"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rPr>
            </w:pPr>
            <m:oMathPara>
              <m:oMathParaPr>
                <m:jc m:val="left"/>
              </m:oMathParaPr>
              <m:oMath>
                <m:r>
                  <w:rPr>
                    <w:rFonts w:ascii="Cambria Math" w:hAnsi="Cambria Math" w:cstheme="majorBidi"/>
                  </w:rPr>
                  <m:t>L</m:t>
                </m:r>
              </m:oMath>
            </m:oMathPara>
          </w:p>
        </w:tc>
        <w:tc>
          <w:tcPr>
            <w:tcW w:w="0" w:type="auto"/>
          </w:tcPr>
          <w:p w14:paraId="3A03C881"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rPr>
            </w:pPr>
            <w:r w:rsidRPr="00D37D51">
              <w:rPr>
                <w:rFonts w:cstheme="majorBidi"/>
              </w:rPr>
              <w:t>Length of the computational domain (m)</w:t>
            </w:r>
          </w:p>
        </w:tc>
      </w:tr>
      <w:tr w:rsidR="00DB18B6" w:rsidRPr="00D37D51" w14:paraId="53D54506" w14:textId="77777777" w:rsidTr="00D37D51">
        <w:trPr>
          <w:jc w:val="center"/>
        </w:trPr>
        <w:tc>
          <w:tcPr>
            <w:tcW w:w="0" w:type="auto"/>
          </w:tcPr>
          <w:p w14:paraId="4CBCA405"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Calibri" w:hAnsi="Cambria Math" w:cstheme="majorBidi"/>
                        <w:i/>
                      </w:rPr>
                    </m:ctrlPr>
                  </m:sSupPr>
                  <m:e>
                    <m:r>
                      <w:rPr>
                        <w:rFonts w:ascii="Cambria Math" w:eastAsia="Calibri" w:hAnsi="Cambria Math" w:cstheme="majorBidi"/>
                      </w:rPr>
                      <m:t>L</m:t>
                    </m:r>
                  </m:e>
                  <m:sup>
                    <m:r>
                      <w:rPr>
                        <w:rFonts w:ascii="Cambria Math" w:eastAsia="Calibri" w:hAnsi="Cambria Math" w:cstheme="majorBidi"/>
                      </w:rPr>
                      <m:t>*</m:t>
                    </m:r>
                  </m:sup>
                </m:sSup>
              </m:oMath>
            </m:oMathPara>
          </w:p>
        </w:tc>
        <w:tc>
          <w:tcPr>
            <w:tcW w:w="0" w:type="auto"/>
          </w:tcPr>
          <w:p w14:paraId="7BED25EF"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Dimensionless length of the computational domain, </w:t>
            </w:r>
            <m:oMath>
              <m:sSup>
                <m:sSupPr>
                  <m:ctrlPr>
                    <w:rPr>
                      <w:rFonts w:ascii="Cambria Math" w:eastAsia="Calibri" w:hAnsi="Cambria Math" w:cstheme="majorBidi"/>
                      <w:i/>
                    </w:rPr>
                  </m:ctrlPr>
                </m:sSupPr>
                <m:e>
                  <m:r>
                    <w:rPr>
                      <w:rFonts w:ascii="Cambria Math" w:eastAsia="Calibri" w:hAnsi="Cambria Math" w:cstheme="majorBidi"/>
                    </w:rPr>
                    <m:t>L</m:t>
                  </m:r>
                </m:e>
                <m:sup>
                  <m:r>
                    <w:rPr>
                      <w:rFonts w:ascii="Cambria Math" w:eastAsia="Calibri" w:hAnsi="Cambria Math" w:cstheme="majorBidi"/>
                    </w:rPr>
                    <m:t>*</m:t>
                  </m:r>
                </m:sup>
              </m:sSup>
              <m:r>
                <w:rPr>
                  <w:rFonts w:ascii="Cambria Math" w:eastAsia="Calibri" w:hAnsi="Cambria Math" w:cstheme="majorBidi"/>
                </w:rPr>
                <m:t>=</m:t>
              </m:r>
              <m:f>
                <m:fPr>
                  <m:ctrlPr>
                    <w:rPr>
                      <w:rFonts w:ascii="Cambria Math" w:eastAsia="Calibri" w:hAnsi="Cambria Math" w:cstheme="majorBidi"/>
                      <w:i/>
                    </w:rPr>
                  </m:ctrlPr>
                </m:fPr>
                <m:num>
                  <m:r>
                    <w:rPr>
                      <w:rFonts w:ascii="Cambria Math" w:eastAsia="Calibri" w:hAnsi="Cambria Math" w:cstheme="majorBidi"/>
                    </w:rPr>
                    <m:t>L</m:t>
                  </m:r>
                </m:num>
                <m:den>
                  <m:r>
                    <w:rPr>
                      <w:rFonts w:ascii="Cambria Math" w:eastAsia="Calibri" w:hAnsi="Cambria Math" w:cstheme="majorBidi"/>
                    </w:rPr>
                    <m:t>D</m:t>
                  </m:r>
                </m:den>
              </m:f>
            </m:oMath>
          </w:p>
        </w:tc>
      </w:tr>
      <w:tr w:rsidR="00DB18B6" w:rsidRPr="00D37D51" w14:paraId="46E4EFBD" w14:textId="77777777" w:rsidTr="00D37D51">
        <w:trPr>
          <w:jc w:val="center"/>
        </w:trPr>
        <w:tc>
          <w:tcPr>
            <w:tcW w:w="0" w:type="auto"/>
          </w:tcPr>
          <w:p w14:paraId="37C5D31E"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m:rPr>
                    <m:sty m:val="b"/>
                  </m:rPr>
                  <w:rPr>
                    <w:rStyle w:val="fontstyle01"/>
                    <w:rFonts w:ascii="Cambria Math" w:eastAsia="Calibri" w:hAnsi="Cambria Math" w:cstheme="majorBidi"/>
                    <w:lang w:eastAsia="ja-JP"/>
                  </w:rPr>
                  <m:t>M</m:t>
                </m:r>
              </m:oMath>
            </m:oMathPara>
          </w:p>
        </w:tc>
        <w:tc>
          <w:tcPr>
            <w:tcW w:w="0" w:type="auto"/>
          </w:tcPr>
          <w:p w14:paraId="3B40FADE"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Moment vector around the particle center of mass (N∙m)</w:t>
            </w:r>
          </w:p>
        </w:tc>
      </w:tr>
      <w:tr w:rsidR="00DB18B6" w:rsidRPr="00D37D51" w14:paraId="06937405" w14:textId="77777777" w:rsidTr="00D37D51">
        <w:trPr>
          <w:jc w:val="center"/>
        </w:trPr>
        <w:tc>
          <w:tcPr>
            <w:tcW w:w="0" w:type="auto"/>
          </w:tcPr>
          <w:p w14:paraId="57CDFE60"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Calibri" w:hAnsi="Cambria Math" w:cstheme="majorBidi"/>
                        <w:b/>
                        <w:i/>
                      </w:rPr>
                    </m:ctrlPr>
                  </m:sSupPr>
                  <m:e>
                    <m:r>
                      <m:rPr>
                        <m:sty m:val="b"/>
                      </m:rPr>
                      <w:rPr>
                        <w:rFonts w:ascii="Cambria Math" w:eastAsia="Calibri" w:hAnsi="Cambria Math" w:cstheme="majorBidi"/>
                      </w:rPr>
                      <m:t>M</m:t>
                    </m:r>
                  </m:e>
                  <m:sup>
                    <m:r>
                      <m:rPr>
                        <m:sty m:val="bi"/>
                      </m:rPr>
                      <w:rPr>
                        <w:rFonts w:ascii="Cambria Math" w:eastAsia="Calibri" w:hAnsi="Cambria Math" w:cstheme="majorBidi"/>
                      </w:rPr>
                      <m:t>*</m:t>
                    </m:r>
                  </m:sup>
                </m:sSup>
              </m:oMath>
            </m:oMathPara>
          </w:p>
        </w:tc>
        <w:tc>
          <w:tcPr>
            <w:tcW w:w="0" w:type="auto"/>
          </w:tcPr>
          <w:p w14:paraId="14A4851D"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moment vector, </w:t>
            </w:r>
            <m:oMath>
              <m:sSup>
                <m:sSupPr>
                  <m:ctrlPr>
                    <w:rPr>
                      <w:rFonts w:ascii="Cambria Math" w:hAnsi="Cambria Math" w:cstheme="majorBidi"/>
                      <w:i/>
                    </w:rPr>
                  </m:ctrlPr>
                </m:sSupPr>
                <m:e>
                  <m:r>
                    <m:rPr>
                      <m:sty m:val="b"/>
                    </m:rPr>
                    <w:rPr>
                      <w:rFonts w:ascii="Cambria Math" w:hAnsi="Cambria Math" w:cstheme="majorBidi"/>
                    </w:rPr>
                    <m:t>M</m:t>
                  </m:r>
                </m:e>
                <m:sup>
                  <m:r>
                    <w:rPr>
                      <w:rFonts w:ascii="Cambria Math" w:hAnsi="Cambria Math" w:cstheme="majorBidi"/>
                    </w:rPr>
                    <m:t>*</m:t>
                  </m:r>
                </m:sup>
              </m:sSup>
              <m:r>
                <w:rPr>
                  <w:rFonts w:ascii="Cambria Math" w:hAnsi="Cambria Math" w:cstheme="majorBidi"/>
                </w:rPr>
                <m:t>=</m:t>
              </m:r>
              <m:f>
                <m:fPr>
                  <m:type m:val="lin"/>
                  <m:ctrlPr>
                    <w:rPr>
                      <w:rFonts w:ascii="Cambria Math" w:eastAsiaTheme="minorEastAsia" w:hAnsi="Cambria Math" w:cstheme="majorBidi"/>
                      <w:i/>
                    </w:rPr>
                  </m:ctrlPr>
                </m:fPr>
                <m:num>
                  <m:r>
                    <m:rPr>
                      <m:sty m:val="b"/>
                    </m:rPr>
                    <w:rPr>
                      <w:rFonts w:ascii="Cambria Math" w:eastAsiaTheme="minorEastAsia" w:hAnsi="Cambria Math" w:cstheme="majorBidi"/>
                    </w:rPr>
                    <m:t>M</m:t>
                  </m:r>
                </m:num>
                <m:den>
                  <m:d>
                    <m:dPr>
                      <m:ctrlPr>
                        <w:rPr>
                          <w:rFonts w:ascii="Cambria Math" w:eastAsiaTheme="minorEastAsia" w:hAnsi="Cambria Math" w:cstheme="majorBidi"/>
                          <w:i/>
                        </w:rPr>
                      </m:ctrlPr>
                    </m:dPr>
                    <m:e>
                      <m:r>
                        <w:rPr>
                          <w:rFonts w:ascii="Cambria Math" w:eastAsiaTheme="minorEastAsia" w:hAnsi="Cambria Math" w:cstheme="majorBidi"/>
                        </w:rPr>
                        <m:t>νρDZ</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e>
                  </m:d>
                </m:den>
              </m:f>
            </m:oMath>
          </w:p>
        </w:tc>
      </w:tr>
      <w:tr w:rsidR="00DB18B6" w:rsidRPr="00D37D51" w14:paraId="59B592E8" w14:textId="77777777" w:rsidTr="00D37D51">
        <w:trPr>
          <w:jc w:val="center"/>
        </w:trPr>
        <w:tc>
          <w:tcPr>
            <w:tcW w:w="0" w:type="auto"/>
          </w:tcPr>
          <w:p w14:paraId="61D6860F"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Style w:val="fontstyle01"/>
                    <w:rFonts w:ascii="Cambria Math" w:hAnsi="Cambria Math" w:cstheme="majorBidi"/>
                    <w:lang w:eastAsia="ja-JP"/>
                  </w:rPr>
                  <m:t>m</m:t>
                </m:r>
              </m:oMath>
            </m:oMathPara>
          </w:p>
        </w:tc>
        <w:tc>
          <w:tcPr>
            <w:tcW w:w="0" w:type="auto"/>
          </w:tcPr>
          <w:p w14:paraId="7DE1C7A9"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Instantaneous particle mass (kg)</w:t>
            </w:r>
          </w:p>
        </w:tc>
      </w:tr>
      <w:tr w:rsidR="00DB18B6" w:rsidRPr="00D37D51" w14:paraId="4A8166D9" w14:textId="77777777" w:rsidTr="00D37D51">
        <w:trPr>
          <w:jc w:val="center"/>
        </w:trPr>
        <w:tc>
          <w:tcPr>
            <w:tcW w:w="0" w:type="auto"/>
          </w:tcPr>
          <w:p w14:paraId="25D1B981" w14:textId="77777777" w:rsidR="00DB18B6" w:rsidRPr="00D37D51" w:rsidRDefault="00000000" w:rsidP="00D37D51">
            <w:pPr>
              <w:shd w:val="clear" w:color="auto" w:fill="FFFFFF" w:themeFill="background1"/>
              <w:spacing w:before="240" w:line="360" w:lineRule="auto"/>
              <w:rPr>
                <w:rStyle w:val="fontstyle01"/>
                <w:rFonts w:asciiTheme="majorBidi" w:eastAsia="Calibri" w:hAnsiTheme="majorBidi" w:cstheme="majorBidi"/>
                <w:lang w:eastAsia="ja-JP"/>
              </w:rPr>
            </w:pPr>
            <m:oMathPara>
              <m:oMathParaPr>
                <m:jc m:val="left"/>
              </m:oMathParaPr>
              <m:oMath>
                <m:sSub>
                  <m:sSubPr>
                    <m:ctrlPr>
                      <w:rPr>
                        <w:rStyle w:val="fontstyle01"/>
                        <w:rFonts w:ascii="Cambria Math" w:eastAsia="Calibri" w:hAnsi="Cambria Math" w:cstheme="majorBidi"/>
                        <w:i/>
                        <w:color w:val="auto"/>
                        <w:lang w:eastAsia="ja-JP"/>
                      </w:rPr>
                    </m:ctrlPr>
                  </m:sSubPr>
                  <m:e>
                    <m:r>
                      <w:rPr>
                        <w:rStyle w:val="fontstyle01"/>
                        <w:rFonts w:ascii="Cambria Math" w:eastAsia="Calibri" w:hAnsi="Cambria Math" w:cstheme="majorBidi"/>
                        <w:lang w:eastAsia="ja-JP"/>
                      </w:rPr>
                      <m:t>m</m:t>
                    </m:r>
                  </m:e>
                  <m:sub>
                    <m:r>
                      <w:rPr>
                        <w:rStyle w:val="fontstyle01"/>
                        <w:rFonts w:ascii="Cambria Math" w:eastAsia="Calibri" w:hAnsi="Cambria Math" w:cstheme="majorBidi"/>
                        <w:lang w:eastAsia="ja-JP"/>
                      </w:rPr>
                      <m:t>0</m:t>
                    </m:r>
                  </m:sub>
                </m:sSub>
              </m:oMath>
            </m:oMathPara>
          </w:p>
        </w:tc>
        <w:tc>
          <w:tcPr>
            <w:tcW w:w="0" w:type="auto"/>
          </w:tcPr>
          <w:p w14:paraId="79C660ED"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Initial particle mass (kg)</w:t>
            </w:r>
          </w:p>
        </w:tc>
      </w:tr>
      <w:tr w:rsidR="00DB18B6" w:rsidRPr="00D37D51" w14:paraId="06F069E4" w14:textId="77777777" w:rsidTr="00D37D51">
        <w:trPr>
          <w:jc w:val="center"/>
        </w:trPr>
        <w:tc>
          <w:tcPr>
            <w:tcW w:w="0" w:type="auto"/>
          </w:tcPr>
          <w:p w14:paraId="61536B52" w14:textId="77777777" w:rsidR="00DB18B6" w:rsidRPr="00D37D51" w:rsidRDefault="00000000" w:rsidP="00D37D51">
            <w:pPr>
              <w:shd w:val="clear" w:color="auto" w:fill="FFFFFF" w:themeFill="background1"/>
              <w:spacing w:before="240" w:line="360" w:lineRule="auto"/>
              <w:rPr>
                <w:rStyle w:val="fontstyle01"/>
                <w:rFonts w:asciiTheme="majorBidi" w:eastAsia="Calibri" w:hAnsiTheme="majorBidi" w:cstheme="majorBidi"/>
                <w:lang w:eastAsia="ja-JP"/>
              </w:rPr>
            </w:pPr>
            <m:oMathPara>
              <m:oMathParaPr>
                <m:jc m:val="left"/>
              </m:oMathParaPr>
              <m:oMath>
                <m:sSup>
                  <m:sSupPr>
                    <m:ctrlPr>
                      <w:rPr>
                        <w:rFonts w:ascii="Cambria Math" w:eastAsia="Calibri" w:hAnsi="Cambria Math" w:cstheme="majorBidi"/>
                        <w:i/>
                      </w:rPr>
                    </m:ctrlPr>
                  </m:sSupPr>
                  <m:e>
                    <m:r>
                      <w:rPr>
                        <w:rFonts w:ascii="Cambria Math" w:eastAsia="Calibri" w:hAnsi="Cambria Math" w:cstheme="majorBidi"/>
                      </w:rPr>
                      <m:t>m</m:t>
                    </m:r>
                  </m:e>
                  <m:sup>
                    <m:r>
                      <w:rPr>
                        <w:rFonts w:ascii="Cambria Math" w:eastAsia="Calibri" w:hAnsi="Cambria Math" w:cstheme="majorBidi"/>
                      </w:rPr>
                      <m:t>*</m:t>
                    </m:r>
                  </m:sup>
                </m:sSup>
              </m:oMath>
            </m:oMathPara>
          </w:p>
        </w:tc>
        <w:tc>
          <w:tcPr>
            <w:tcW w:w="0" w:type="auto"/>
          </w:tcPr>
          <w:p w14:paraId="5849167C"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Dimensionless particle mass, </w:t>
            </w:r>
            <m:oMath>
              <m:sSup>
                <m:sSupPr>
                  <m:ctrlPr>
                    <w:rPr>
                      <w:rFonts w:ascii="Cambria Math" w:eastAsia="Calibri" w:hAnsi="Cambria Math" w:cstheme="majorBidi"/>
                      <w:i/>
                    </w:rPr>
                  </m:ctrlPr>
                </m:sSupPr>
                <m:e>
                  <m:r>
                    <w:rPr>
                      <w:rFonts w:ascii="Cambria Math" w:eastAsia="Calibri" w:hAnsi="Cambria Math" w:cstheme="majorBidi"/>
                    </w:rPr>
                    <m:t>m</m:t>
                  </m:r>
                </m:e>
                <m:sup>
                  <m:r>
                    <w:rPr>
                      <w:rFonts w:ascii="Cambria Math" w:eastAsia="Calibri" w:hAnsi="Cambria Math" w:cstheme="majorBidi"/>
                    </w:rPr>
                    <m:t>*</m:t>
                  </m:r>
                </m:sup>
              </m:sSup>
              <m:r>
                <w:rPr>
                  <w:rFonts w:ascii="Cambria Math" w:eastAsia="Calibri" w:hAnsi="Cambria Math" w:cstheme="majorBidi"/>
                </w:rPr>
                <m:t>=</m:t>
              </m:r>
              <m:f>
                <m:fPr>
                  <m:ctrlPr>
                    <w:rPr>
                      <w:rFonts w:ascii="Cambria Math" w:eastAsia="Calibri" w:hAnsi="Cambria Math" w:cstheme="majorBidi"/>
                      <w:i/>
                    </w:rPr>
                  </m:ctrlPr>
                </m:fPr>
                <m:num>
                  <m:r>
                    <w:rPr>
                      <w:rFonts w:ascii="Cambria Math" w:eastAsia="Calibri" w:hAnsi="Cambria Math" w:cstheme="majorBidi"/>
                    </w:rPr>
                    <m:t>m</m:t>
                  </m:r>
                </m:num>
                <m:den>
                  <m:sSub>
                    <m:sSubPr>
                      <m:ctrlPr>
                        <w:rPr>
                          <w:rFonts w:ascii="Cambria Math" w:eastAsia="Calibri" w:hAnsi="Cambria Math" w:cstheme="majorBidi"/>
                          <w:i/>
                        </w:rPr>
                      </m:ctrlPr>
                    </m:sSubPr>
                    <m:e>
                      <m:r>
                        <w:rPr>
                          <w:rFonts w:ascii="Cambria Math" w:eastAsia="Calibri" w:hAnsi="Cambria Math" w:cstheme="majorBidi"/>
                        </w:rPr>
                        <m:t>m</m:t>
                      </m:r>
                    </m:e>
                    <m:sub>
                      <m:r>
                        <w:rPr>
                          <w:rFonts w:ascii="Cambria Math" w:eastAsia="Calibri" w:hAnsi="Cambria Math" w:cstheme="majorBidi"/>
                        </w:rPr>
                        <m:t>0</m:t>
                      </m:r>
                    </m:sub>
                  </m:sSub>
                </m:den>
              </m:f>
            </m:oMath>
          </w:p>
        </w:tc>
      </w:tr>
      <w:tr w:rsidR="00DB18B6" w:rsidRPr="00D37D51" w14:paraId="2D1D2BED" w14:textId="77777777" w:rsidTr="00D37D51">
        <w:trPr>
          <w:jc w:val="center"/>
        </w:trPr>
        <w:tc>
          <w:tcPr>
            <w:tcW w:w="0" w:type="auto"/>
          </w:tcPr>
          <w:p w14:paraId="501B174F"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lang w:eastAsia="ja-JP"/>
              </w:rPr>
            </w:pPr>
            <m:oMathPara>
              <m:oMathParaPr>
                <m:jc m:val="left"/>
              </m:oMathParaPr>
              <m:oMath>
                <m:r>
                  <w:rPr>
                    <w:rStyle w:val="fontstyle01"/>
                    <w:rFonts w:ascii="Cambria Math" w:eastAsia="Calibri" w:hAnsi="Cambria Math" w:cstheme="majorBidi"/>
                    <w:lang w:eastAsia="ja-JP"/>
                  </w:rPr>
                  <m:t>N</m:t>
                </m:r>
              </m:oMath>
            </m:oMathPara>
          </w:p>
        </w:tc>
        <w:tc>
          <w:tcPr>
            <w:tcW w:w="0" w:type="auto"/>
          </w:tcPr>
          <w:p w14:paraId="3A5A167A"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Total number of control volumes</w:t>
            </w:r>
          </w:p>
        </w:tc>
      </w:tr>
      <w:tr w:rsidR="00DB18B6" w:rsidRPr="00D37D51" w14:paraId="6C77143C" w14:textId="77777777" w:rsidTr="00D37D51">
        <w:trPr>
          <w:jc w:val="center"/>
        </w:trPr>
        <w:tc>
          <w:tcPr>
            <w:tcW w:w="0" w:type="auto"/>
            <w:hideMark/>
          </w:tcPr>
          <w:p w14:paraId="532AE243" w14:textId="77777777" w:rsidR="00DB18B6" w:rsidRPr="00D37D51" w:rsidRDefault="00DB18B6" w:rsidP="00D37D51">
            <w:pPr>
              <w:shd w:val="clear" w:color="auto" w:fill="FFFFFF" w:themeFill="background1"/>
              <w:spacing w:before="240" w:line="360" w:lineRule="auto"/>
              <w:rPr>
                <w:rFonts w:eastAsia="Calibri" w:cstheme="majorBidi"/>
                <w:iCs/>
              </w:rPr>
            </w:pPr>
            <m:oMathPara>
              <m:oMathParaPr>
                <m:jc m:val="left"/>
              </m:oMathParaPr>
              <m:oMath>
                <m:r>
                  <m:rPr>
                    <m:sty m:val="p"/>
                  </m:rPr>
                  <w:rPr>
                    <w:rFonts w:ascii="Cambria Math" w:eastAsia="Calibri" w:hAnsi="Cambria Math" w:cstheme="majorBidi"/>
                  </w:rPr>
                  <m:t>Nu</m:t>
                </m:r>
              </m:oMath>
            </m:oMathPara>
          </w:p>
        </w:tc>
        <w:tc>
          <w:tcPr>
            <w:tcW w:w="0" w:type="auto"/>
            <w:hideMark/>
          </w:tcPr>
          <w:p w14:paraId="2F3702E7"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Nusselt number, </w:t>
            </w:r>
            <m:oMath>
              <m:r>
                <m:rPr>
                  <m:sty m:val="p"/>
                </m:rPr>
                <w:rPr>
                  <w:rFonts w:ascii="Cambria Math" w:eastAsiaTheme="minorEastAsia" w:hAnsi="Cambria Math" w:cstheme="majorBidi"/>
                </w:rPr>
                <m:t>Nu</m:t>
              </m:r>
              <m:r>
                <w:rPr>
                  <w:rFonts w:ascii="Cambria Math" w:eastAsiaTheme="minorEastAsia" w:hAnsi="Cambria Math" w:cstheme="majorBidi"/>
                </w:rPr>
                <m:t>=</m:t>
              </m:r>
              <m:f>
                <m:fPr>
                  <m:ctrlPr>
                    <w:rPr>
                      <w:rFonts w:ascii="Cambria Math" w:eastAsiaTheme="minorEastAsia" w:hAnsi="Cambria Math" w:cstheme="majorBidi"/>
                      <w:i/>
                    </w:rPr>
                  </m:ctrlPr>
                </m:fPr>
                <m:num>
                  <m:r>
                    <w:rPr>
                      <w:rFonts w:ascii="Cambria Math" w:eastAsiaTheme="minorEastAsia" w:hAnsi="Cambria Math" w:cstheme="majorBidi"/>
                    </w:rPr>
                    <m:t>h</m:t>
                  </m:r>
                  <m:sSub>
                    <m:sSubPr>
                      <m:ctrlPr>
                        <w:rPr>
                          <w:rFonts w:ascii="Cambria Math" w:eastAsiaTheme="minorEastAsia" w:hAnsi="Cambria Math" w:cstheme="majorBidi"/>
                          <w:i/>
                        </w:rPr>
                      </m:ctrlPr>
                    </m:sSubPr>
                    <m:e>
                      <m:r>
                        <w:rPr>
                          <w:rFonts w:ascii="Cambria Math" w:eastAsiaTheme="minorEastAsia" w:hAnsi="Cambria Math" w:cstheme="majorBidi"/>
                        </w:rPr>
                        <m:t>d</m:t>
                      </m:r>
                    </m:e>
                    <m:sub>
                      <m:r>
                        <w:rPr>
                          <w:rFonts w:ascii="Cambria Math" w:eastAsiaTheme="minorEastAsia" w:hAnsi="Cambria Math" w:cstheme="majorBidi"/>
                        </w:rPr>
                        <m:t>c</m:t>
                      </m:r>
                    </m:sub>
                  </m:sSub>
                </m:num>
                <m:den>
                  <m:r>
                    <w:rPr>
                      <w:rFonts w:ascii="Cambria Math" w:eastAsiaTheme="minorEastAsia" w:hAnsi="Cambria Math" w:cstheme="majorBidi"/>
                    </w:rPr>
                    <m:t>k</m:t>
                  </m:r>
                </m:den>
              </m:f>
            </m:oMath>
            <w:r w:rsidRPr="00D37D51">
              <w:rPr>
                <w:rFonts w:cstheme="majorBidi"/>
              </w:rPr>
              <w:t xml:space="preserve"> </w:t>
            </w:r>
          </w:p>
        </w:tc>
      </w:tr>
      <w:tr w:rsidR="00DB18B6" w:rsidRPr="00D37D51" w14:paraId="1AD35480" w14:textId="77777777" w:rsidTr="00D37D51">
        <w:trPr>
          <w:jc w:val="center"/>
        </w:trPr>
        <w:tc>
          <w:tcPr>
            <w:tcW w:w="0" w:type="auto"/>
          </w:tcPr>
          <w:p w14:paraId="2F50241B" w14:textId="77777777" w:rsidR="00DB18B6" w:rsidRPr="00D37D51" w:rsidRDefault="00DB18B6" w:rsidP="00D37D51">
            <w:pPr>
              <w:shd w:val="clear" w:color="auto" w:fill="FFFFFF" w:themeFill="background1"/>
              <w:spacing w:before="240" w:line="360" w:lineRule="auto"/>
              <w:rPr>
                <w:rFonts w:eastAsia="Calibri" w:cstheme="majorBidi"/>
                <w:b/>
                <w:bCs/>
              </w:rPr>
            </w:pPr>
            <m:oMathPara>
              <m:oMathParaPr>
                <m:jc m:val="left"/>
              </m:oMathParaPr>
              <m:oMath>
                <m:r>
                  <m:rPr>
                    <m:sty m:val="b"/>
                  </m:rPr>
                  <w:rPr>
                    <w:rFonts w:ascii="Cambria Math" w:eastAsia="Calibri" w:hAnsi="Cambria Math" w:cstheme="majorBidi"/>
                  </w:rPr>
                  <m:t>n</m:t>
                </m:r>
              </m:oMath>
            </m:oMathPara>
          </w:p>
        </w:tc>
        <w:tc>
          <w:tcPr>
            <w:tcW w:w="0" w:type="auto"/>
          </w:tcPr>
          <w:p w14:paraId="3085DF46"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Surface unit normal vector pointing out of the solid particle </w:t>
            </w:r>
          </w:p>
        </w:tc>
      </w:tr>
      <w:tr w:rsidR="00DB18B6" w:rsidRPr="00D37D51" w14:paraId="1FBEC756" w14:textId="77777777" w:rsidTr="00D37D51">
        <w:trPr>
          <w:jc w:val="center"/>
        </w:trPr>
        <w:tc>
          <w:tcPr>
            <w:tcW w:w="0" w:type="auto"/>
          </w:tcPr>
          <w:p w14:paraId="385D84B2" w14:textId="77777777" w:rsidR="00DB18B6" w:rsidRPr="00D37D51" w:rsidRDefault="00DB18B6" w:rsidP="00D37D51">
            <w:pPr>
              <w:shd w:val="clear" w:color="auto" w:fill="FFFFFF" w:themeFill="background1"/>
              <w:spacing w:before="240" w:line="360" w:lineRule="auto"/>
              <w:rPr>
                <w:rFonts w:eastAsia="Calibri" w:cstheme="majorBidi"/>
                <w:bCs/>
                <w:vertAlign w:val="subscript"/>
              </w:rPr>
            </w:pPr>
            <m:oMathPara>
              <m:oMathParaPr>
                <m:jc m:val="left"/>
              </m:oMathParaPr>
              <m:oMath>
                <m:r>
                  <w:rPr>
                    <w:rFonts w:ascii="Cambria Math" w:eastAsia="Calibri" w:hAnsi="Cambria Math" w:cstheme="majorBidi"/>
                    <w:vertAlign w:val="subscript"/>
                  </w:rPr>
                  <m:t>n</m:t>
                </m:r>
              </m:oMath>
            </m:oMathPara>
          </w:p>
        </w:tc>
        <w:tc>
          <w:tcPr>
            <w:tcW w:w="0" w:type="auto"/>
            <w:shd w:val="clear" w:color="auto" w:fill="FFFFFF" w:themeFill="background1"/>
          </w:tcPr>
          <w:p w14:paraId="76B88477"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Time step index</w:t>
            </w:r>
          </w:p>
        </w:tc>
      </w:tr>
      <w:tr w:rsidR="00DB18B6" w:rsidRPr="00D37D51" w14:paraId="4EB08721" w14:textId="77777777" w:rsidTr="00D37D51">
        <w:trPr>
          <w:jc w:val="center"/>
        </w:trPr>
        <w:tc>
          <w:tcPr>
            <w:tcW w:w="0" w:type="auto"/>
            <w:hideMark/>
          </w:tcPr>
          <w:p w14:paraId="74F1FCB0" w14:textId="77777777" w:rsidR="00DB18B6" w:rsidRPr="00D37D51" w:rsidRDefault="00DB18B6" w:rsidP="00D37D51">
            <w:pPr>
              <w:shd w:val="clear" w:color="auto" w:fill="FFFFFF" w:themeFill="background1"/>
              <w:spacing w:before="240" w:line="360" w:lineRule="auto"/>
              <w:rPr>
                <w:rFonts w:cstheme="majorBidi"/>
              </w:rPr>
            </w:pPr>
            <m:oMathPara>
              <m:oMathParaPr>
                <m:jc m:val="left"/>
              </m:oMathParaPr>
              <m:oMath>
                <m:r>
                  <w:rPr>
                    <w:rFonts w:ascii="Cambria Math" w:hAnsi="Cambria Math" w:cstheme="majorBidi"/>
                  </w:rPr>
                  <m:t>p</m:t>
                </m:r>
              </m:oMath>
            </m:oMathPara>
          </w:p>
        </w:tc>
        <w:tc>
          <w:tcPr>
            <w:tcW w:w="0" w:type="auto"/>
            <w:hideMark/>
          </w:tcPr>
          <w:p w14:paraId="0277F2F6"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Pressure (Pa)</w:t>
            </w:r>
          </w:p>
        </w:tc>
      </w:tr>
      <w:tr w:rsidR="00DB18B6" w:rsidRPr="00D37D51" w14:paraId="3FF63B5F" w14:textId="77777777" w:rsidTr="00D37D51">
        <w:trPr>
          <w:jc w:val="center"/>
        </w:trPr>
        <w:tc>
          <w:tcPr>
            <w:tcW w:w="0" w:type="auto"/>
          </w:tcPr>
          <w:p w14:paraId="653CECEE" w14:textId="77777777" w:rsidR="00DB18B6" w:rsidRPr="00D37D51" w:rsidRDefault="00000000" w:rsidP="00D37D51">
            <w:pPr>
              <w:shd w:val="clear" w:color="auto" w:fill="FFFFFF" w:themeFill="background1"/>
              <w:spacing w:before="240" w:line="360" w:lineRule="auto"/>
              <w:rPr>
                <w:rFonts w:eastAsia="Calibri" w:cstheme="majorBidi"/>
                <w:lang w:eastAsia="ja-JP"/>
              </w:rPr>
            </w:pPr>
            <m:oMathPara>
              <m:oMathParaPr>
                <m:jc m:val="left"/>
              </m:oMathParaPr>
              <m:oMath>
                <m:sSup>
                  <m:sSupPr>
                    <m:ctrlPr>
                      <w:rPr>
                        <w:rFonts w:ascii="Cambria Math" w:eastAsia="Calibri" w:hAnsi="Cambria Math" w:cstheme="majorBidi"/>
                        <w:b/>
                        <w:i/>
                      </w:rPr>
                    </m:ctrlPr>
                  </m:sSupPr>
                  <m:e>
                    <m:r>
                      <w:rPr>
                        <w:rFonts w:ascii="Cambria Math" w:eastAsia="Calibri" w:hAnsi="Cambria Math" w:cstheme="majorBidi"/>
                      </w:rPr>
                      <m:t>p</m:t>
                    </m:r>
                  </m:e>
                  <m:sup>
                    <m:r>
                      <m:rPr>
                        <m:sty m:val="bi"/>
                      </m:rPr>
                      <w:rPr>
                        <w:rFonts w:ascii="Cambria Math" w:eastAsia="Calibri" w:hAnsi="Cambria Math" w:cstheme="majorBidi"/>
                      </w:rPr>
                      <m:t>*</m:t>
                    </m:r>
                  </m:sup>
                </m:sSup>
              </m:oMath>
            </m:oMathPara>
          </w:p>
        </w:tc>
        <w:tc>
          <w:tcPr>
            <w:tcW w:w="0" w:type="auto"/>
          </w:tcPr>
          <w:p w14:paraId="6D5A6589"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pressure, </w:t>
            </w:r>
            <m:oMath>
              <m:sSup>
                <m:sSupPr>
                  <m:ctrlPr>
                    <w:rPr>
                      <w:rFonts w:ascii="Cambria Math" w:eastAsiaTheme="minorEastAsia" w:hAnsi="Cambria Math" w:cstheme="majorBidi"/>
                      <w:i/>
                    </w:rPr>
                  </m:ctrlPr>
                </m:sSupPr>
                <m:e>
                  <m:r>
                    <w:rPr>
                      <w:rFonts w:ascii="Cambria Math" w:eastAsiaTheme="minorEastAsia" w:hAnsi="Cambria Math" w:cstheme="majorBidi"/>
                    </w:rPr>
                    <m:t>p</m:t>
                  </m:r>
                </m:e>
                <m:sup>
                  <m:r>
                    <w:rPr>
                      <w:rFonts w:ascii="Cambria Math" w:eastAsiaTheme="minorEastAsia" w:hAnsi="Cambria Math" w:cstheme="majorBidi"/>
                    </w:rPr>
                    <m:t>*</m:t>
                  </m:r>
                </m:sup>
              </m:sSup>
              <m:r>
                <w:rPr>
                  <w:rFonts w:ascii="Cambria Math" w:eastAsiaTheme="minorEastAsia" w:hAnsi="Cambria Math" w:cstheme="majorBidi"/>
                </w:rPr>
                <m:t>=</m:t>
              </m:r>
              <m:f>
                <m:fPr>
                  <m:type m:val="lin"/>
                  <m:ctrlPr>
                    <w:rPr>
                      <w:rFonts w:ascii="Cambria Math" w:eastAsiaTheme="minorEastAsia" w:hAnsi="Cambria Math" w:cstheme="majorBidi"/>
                      <w:i/>
                    </w:rPr>
                  </m:ctrlPr>
                </m:fPr>
                <m:num>
                  <m:d>
                    <m:dPr>
                      <m:ctrlPr>
                        <w:rPr>
                          <w:rFonts w:ascii="Cambria Math" w:eastAsiaTheme="minorEastAsia" w:hAnsi="Cambria Math" w:cstheme="majorBidi"/>
                          <w:i/>
                        </w:rPr>
                      </m:ctrlPr>
                    </m:dPr>
                    <m:e>
                      <m:r>
                        <w:rPr>
                          <w:rFonts w:ascii="Cambria Math" w:eastAsiaTheme="minorEastAsia" w:hAnsi="Cambria Math" w:cstheme="majorBidi"/>
                        </w:rPr>
                        <m:t>p+ρgy</m:t>
                      </m:r>
                    </m:e>
                  </m:d>
                </m:num>
                <m:den>
                  <m:d>
                    <m:dPr>
                      <m:ctrlPr>
                        <w:rPr>
                          <w:rFonts w:ascii="Cambria Math" w:eastAsiaTheme="minorEastAsia" w:hAnsi="Cambria Math" w:cstheme="majorBidi"/>
                          <w:i/>
                        </w:rPr>
                      </m:ctrlPr>
                    </m:dPr>
                    <m:e>
                      <m:f>
                        <m:fPr>
                          <m:type m:val="lin"/>
                          <m:ctrlPr>
                            <w:rPr>
                              <w:rFonts w:ascii="Cambria Math" w:eastAsiaTheme="minorEastAsia" w:hAnsi="Cambria Math" w:cstheme="majorBidi"/>
                              <w:i/>
                            </w:rPr>
                          </m:ctrlPr>
                        </m:fPr>
                        <m:num>
                          <m:r>
                            <w:rPr>
                              <w:rFonts w:ascii="Cambria Math" w:eastAsiaTheme="minorEastAsia" w:hAnsi="Cambria Math" w:cstheme="majorBidi"/>
                            </w:rPr>
                            <m:t>νρ</m:t>
                          </m:r>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num>
                        <m:den>
                          <m:r>
                            <w:rPr>
                              <w:rFonts w:ascii="Cambria Math" w:eastAsiaTheme="minorEastAsia" w:hAnsi="Cambria Math" w:cstheme="majorBidi"/>
                            </w:rPr>
                            <m:t>D</m:t>
                          </m:r>
                        </m:den>
                      </m:f>
                    </m:e>
                  </m:d>
                </m:den>
              </m:f>
            </m:oMath>
          </w:p>
        </w:tc>
      </w:tr>
      <w:tr w:rsidR="00DB18B6" w:rsidRPr="00D37D51" w14:paraId="6B8A50D7" w14:textId="77777777" w:rsidTr="00D37D51">
        <w:trPr>
          <w:jc w:val="center"/>
        </w:trPr>
        <w:tc>
          <w:tcPr>
            <w:tcW w:w="0" w:type="auto"/>
          </w:tcPr>
          <w:p w14:paraId="64507610" w14:textId="77777777" w:rsidR="00DB18B6" w:rsidRPr="00D37D51" w:rsidRDefault="00DB18B6" w:rsidP="00D37D51">
            <w:pPr>
              <w:shd w:val="clear" w:color="auto" w:fill="FFFFFF" w:themeFill="background1"/>
              <w:spacing w:before="240" w:line="360" w:lineRule="auto"/>
              <w:rPr>
                <w:rFonts w:eastAsia="Calibri" w:cstheme="majorBidi"/>
                <w:iCs/>
              </w:rPr>
            </w:pPr>
            <m:oMathPara>
              <m:oMathParaPr>
                <m:jc m:val="left"/>
              </m:oMathParaPr>
              <m:oMath>
                <m:r>
                  <m:rPr>
                    <m:sty m:val="p"/>
                  </m:rPr>
                  <w:rPr>
                    <w:rFonts w:ascii="Cambria Math" w:hAnsi="Cambria Math" w:cstheme="majorBidi"/>
                    <w:lang w:eastAsia="ja-JP"/>
                  </w:rPr>
                  <m:t>Pr</m:t>
                </m:r>
              </m:oMath>
            </m:oMathPara>
          </w:p>
        </w:tc>
        <w:tc>
          <w:tcPr>
            <w:tcW w:w="0" w:type="auto"/>
          </w:tcPr>
          <w:p w14:paraId="7DCE39BF"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Prandtl number, </w:t>
            </w:r>
            <m:oMath>
              <m:r>
                <m:rPr>
                  <m:sty m:val="p"/>
                </m:rPr>
                <w:rPr>
                  <w:rFonts w:ascii="Cambria Math" w:hAnsi="Cambria Math" w:cstheme="majorBidi"/>
                </w:rPr>
                <m:t>Pr</m:t>
              </m:r>
              <m:r>
                <w:rPr>
                  <w:rFonts w:ascii="Cambria Math" w:hAnsi="Cambria Math" w:cstheme="majorBidi"/>
                </w:rPr>
                <m:t>=</m:t>
              </m:r>
              <m:f>
                <m:fPr>
                  <m:ctrlPr>
                    <w:rPr>
                      <w:rFonts w:ascii="Cambria Math" w:hAnsi="Cambria Math" w:cstheme="majorBidi"/>
                      <w:i/>
                    </w:rPr>
                  </m:ctrlPr>
                </m:fPr>
                <m:num>
                  <m:r>
                    <w:rPr>
                      <w:rFonts w:ascii="Cambria Math" w:hAnsi="Cambria Math" w:cstheme="majorBidi"/>
                    </w:rPr>
                    <m:t>ν</m:t>
                  </m:r>
                </m:num>
                <m:den>
                  <m:r>
                    <w:rPr>
                      <w:rFonts w:ascii="Cambria Math" w:hAnsi="Cambria Math" w:cstheme="majorBidi"/>
                    </w:rPr>
                    <m:t>α</m:t>
                  </m:r>
                </m:den>
              </m:f>
            </m:oMath>
          </w:p>
        </w:tc>
      </w:tr>
      <w:tr w:rsidR="00DB18B6" w:rsidRPr="00D37D51" w14:paraId="17CD7A2D" w14:textId="77777777" w:rsidTr="00D37D51">
        <w:trPr>
          <w:jc w:val="center"/>
        </w:trPr>
        <w:tc>
          <w:tcPr>
            <w:tcW w:w="0" w:type="auto"/>
          </w:tcPr>
          <w:p w14:paraId="344C3D12" w14:textId="77777777" w:rsidR="00DB18B6" w:rsidRPr="00D37D51" w:rsidRDefault="00DB18B6" w:rsidP="00D37D51">
            <w:pPr>
              <w:shd w:val="clear" w:color="auto" w:fill="FFFFFF" w:themeFill="background1"/>
              <w:spacing w:before="240" w:line="360" w:lineRule="auto"/>
              <w:rPr>
                <w:rFonts w:eastAsia="Calibri" w:cstheme="majorBidi"/>
                <w:lang w:eastAsia="ja-JP"/>
              </w:rPr>
            </w:pPr>
            <m:oMathPara>
              <m:oMathParaPr>
                <m:jc m:val="left"/>
              </m:oMathParaPr>
              <m:oMath>
                <m:r>
                  <w:rPr>
                    <w:rFonts w:ascii="Cambria Math" w:eastAsia="Calibri" w:hAnsi="Cambria Math" w:cstheme="majorBidi"/>
                    <w:lang w:eastAsia="ja-JP"/>
                  </w:rPr>
                  <m:t>q”</m:t>
                </m:r>
              </m:oMath>
            </m:oMathPara>
          </w:p>
        </w:tc>
        <w:tc>
          <w:tcPr>
            <w:tcW w:w="0" w:type="auto"/>
          </w:tcPr>
          <w:p w14:paraId="6BCFA3D8"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Local heat flux at particle surface (W/m</w:t>
            </w:r>
            <w:r w:rsidRPr="00D37D51">
              <w:rPr>
                <w:rFonts w:cstheme="majorBidi"/>
                <w:vertAlign w:val="superscript"/>
              </w:rPr>
              <w:t>2</w:t>
            </w:r>
            <w:r w:rsidRPr="00D37D51">
              <w:rPr>
                <w:rFonts w:cstheme="majorBidi"/>
              </w:rPr>
              <w:t>)</w:t>
            </w:r>
          </w:p>
        </w:tc>
      </w:tr>
      <w:tr w:rsidR="00DB18B6" w:rsidRPr="00D37D51" w14:paraId="1C7C8D8C" w14:textId="77777777" w:rsidTr="00D37D51">
        <w:trPr>
          <w:jc w:val="center"/>
        </w:trPr>
        <w:tc>
          <w:tcPr>
            <w:tcW w:w="0" w:type="auto"/>
          </w:tcPr>
          <w:p w14:paraId="40D4C89E" w14:textId="77777777" w:rsidR="00DB18B6" w:rsidRPr="00D37D51" w:rsidRDefault="00DB18B6" w:rsidP="00D37D51">
            <w:pPr>
              <w:shd w:val="clear" w:color="auto" w:fill="FFFFFF" w:themeFill="background1"/>
              <w:spacing w:before="240" w:line="360" w:lineRule="auto"/>
              <w:rPr>
                <w:rFonts w:eastAsia="Calibri" w:cstheme="majorBidi"/>
                <w:b/>
                <w:bCs/>
                <w:iCs/>
                <w:lang w:eastAsia="ja-JP"/>
              </w:rPr>
            </w:pPr>
            <m:oMathPara>
              <m:oMathParaPr>
                <m:jc m:val="left"/>
              </m:oMathParaPr>
              <m:oMath>
                <m:r>
                  <m:rPr>
                    <m:sty m:val="b"/>
                  </m:rPr>
                  <w:rPr>
                    <w:rFonts w:ascii="Cambria Math" w:eastAsia="Calibri" w:hAnsi="Cambria Math" w:cstheme="majorBidi"/>
                    <w:lang w:eastAsia="ja-JP"/>
                  </w:rPr>
                  <m:t>R</m:t>
                </m:r>
              </m:oMath>
            </m:oMathPara>
          </w:p>
        </w:tc>
        <w:tc>
          <w:tcPr>
            <w:tcW w:w="0" w:type="auto"/>
          </w:tcPr>
          <w:p w14:paraId="3E213F0C" w14:textId="77777777" w:rsidR="00DB18B6" w:rsidRPr="00D37D51" w:rsidRDefault="00DB18B6" w:rsidP="00D37D51">
            <w:pPr>
              <w:shd w:val="clear" w:color="auto" w:fill="FFFFFF" w:themeFill="background1"/>
              <w:spacing w:before="240" w:line="360" w:lineRule="auto"/>
              <w:rPr>
                <w:rFonts w:cstheme="majorBidi"/>
              </w:rPr>
            </w:pPr>
            <w:r w:rsidRPr="00D37D51">
              <w:rPr>
                <w:rStyle w:val="fontstyle01"/>
                <w:rFonts w:asciiTheme="majorBidi" w:hAnsiTheme="majorBidi" w:cstheme="majorBidi"/>
                <w:bCs/>
                <w:lang w:eastAsia="ja-JP"/>
              </w:rPr>
              <w:t>Solid-liquid interface coordinate vector in relation to referential coordinates (m)</w:t>
            </w:r>
          </w:p>
        </w:tc>
      </w:tr>
      <w:tr w:rsidR="00DB18B6" w:rsidRPr="00D37D51" w14:paraId="681EED6E" w14:textId="77777777" w:rsidTr="00D37D51">
        <w:trPr>
          <w:jc w:val="center"/>
        </w:trPr>
        <w:tc>
          <w:tcPr>
            <w:tcW w:w="0" w:type="auto"/>
          </w:tcPr>
          <w:p w14:paraId="714EF3B2" w14:textId="77777777" w:rsidR="00DB18B6" w:rsidRPr="00D37D51" w:rsidRDefault="00DB18B6" w:rsidP="00D37D51">
            <w:pPr>
              <w:shd w:val="clear" w:color="auto" w:fill="FFFFFF" w:themeFill="background1"/>
              <w:spacing w:before="240" w:line="360" w:lineRule="auto"/>
              <w:rPr>
                <w:rFonts w:eastAsia="Calibri" w:cstheme="majorBidi"/>
                <w:lang w:eastAsia="ja-JP"/>
              </w:rPr>
            </w:pPr>
            <m:oMathPara>
              <m:oMathParaPr>
                <m:jc m:val="left"/>
              </m:oMathParaPr>
              <m:oMath>
                <m:r>
                  <m:rPr>
                    <m:sty m:val="b"/>
                  </m:rPr>
                  <w:rPr>
                    <w:rStyle w:val="fontstyle01"/>
                    <w:rFonts w:ascii="Cambria Math" w:eastAsia="Calibri" w:hAnsi="Cambria Math" w:cstheme="majorBidi"/>
                    <w:lang w:eastAsia="ja-JP"/>
                  </w:rPr>
                  <m:t>r</m:t>
                </m:r>
              </m:oMath>
            </m:oMathPara>
          </w:p>
        </w:tc>
        <w:tc>
          <w:tcPr>
            <w:tcW w:w="0" w:type="auto"/>
          </w:tcPr>
          <w:p w14:paraId="7CE7EA92" w14:textId="77777777" w:rsidR="00DB18B6" w:rsidRPr="00D37D51" w:rsidRDefault="00DB18B6" w:rsidP="00D37D51">
            <w:pPr>
              <w:shd w:val="clear" w:color="auto" w:fill="FFFFFF" w:themeFill="background1"/>
              <w:spacing w:before="240" w:line="360" w:lineRule="auto"/>
              <w:rPr>
                <w:rFonts w:cstheme="majorBidi"/>
              </w:rPr>
            </w:pPr>
            <w:r w:rsidRPr="00D37D51">
              <w:rPr>
                <w:rStyle w:val="fontstyle01"/>
                <w:rFonts w:asciiTheme="majorBidi" w:hAnsiTheme="majorBidi" w:cstheme="majorBidi"/>
                <w:bCs/>
                <w:lang w:eastAsia="ja-JP"/>
              </w:rPr>
              <w:t>Solid-liquid interface coordinate vector in relation to particle center of mass (m)</w:t>
            </w:r>
          </w:p>
        </w:tc>
      </w:tr>
      <w:tr w:rsidR="00DB18B6" w:rsidRPr="00D37D51" w14:paraId="633B2147" w14:textId="77777777" w:rsidTr="00D37D51">
        <w:trPr>
          <w:jc w:val="center"/>
        </w:trPr>
        <w:tc>
          <w:tcPr>
            <w:tcW w:w="0" w:type="auto"/>
          </w:tcPr>
          <w:p w14:paraId="058781B0" w14:textId="77777777" w:rsidR="00DB18B6" w:rsidRPr="00D37D51" w:rsidRDefault="00DB18B6" w:rsidP="00D37D51">
            <w:pPr>
              <w:shd w:val="clear" w:color="auto" w:fill="FFFFFF" w:themeFill="background1"/>
              <w:spacing w:before="240" w:line="360" w:lineRule="auto"/>
              <w:jc w:val="right"/>
              <w:rPr>
                <w:rStyle w:val="fontstyle01"/>
                <w:rFonts w:asciiTheme="majorBidi" w:eastAsia="Calibri" w:hAnsiTheme="majorBidi" w:cstheme="majorBidi"/>
              </w:rPr>
            </w:pPr>
            <m:oMathPara>
              <m:oMathParaPr>
                <m:jc m:val="left"/>
              </m:oMathParaPr>
              <m:oMath>
                <m:r>
                  <m:rPr>
                    <m:sty m:val="p"/>
                  </m:rPr>
                  <w:rPr>
                    <w:rFonts w:ascii="Cambria Math" w:hAnsi="Cambria Math" w:cstheme="majorBidi"/>
                  </w:rPr>
                  <m:t>Re</m:t>
                </m:r>
              </m:oMath>
            </m:oMathPara>
          </w:p>
        </w:tc>
        <w:tc>
          <w:tcPr>
            <w:tcW w:w="0" w:type="auto"/>
          </w:tcPr>
          <w:p w14:paraId="3A86DF8E"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Channel Reynolds number, </w:t>
            </w:r>
            <m:oMath>
              <m:r>
                <m:rPr>
                  <m:sty m:val="p"/>
                </m:rPr>
                <w:rPr>
                  <w:rFonts w:ascii="Cambria Math" w:hAnsi="Cambria Math" w:cstheme="majorBidi"/>
                </w:rPr>
                <m:t>Re</m:t>
              </m:r>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u</m:t>
                      </m:r>
                    </m:e>
                    <m:sub>
                      <m:r>
                        <m:rPr>
                          <m:sty m:val="p"/>
                        </m:rPr>
                        <w:rPr>
                          <w:rFonts w:ascii="Cambria Math" w:hAnsi="Cambria Math" w:cstheme="majorBidi"/>
                        </w:rPr>
                        <m:t>max</m:t>
                      </m:r>
                    </m:sub>
                  </m:sSub>
                  <m:r>
                    <w:rPr>
                      <w:rFonts w:ascii="Cambria Math" w:hAnsi="Cambria Math" w:cstheme="majorBidi"/>
                    </w:rPr>
                    <m:t>W</m:t>
                  </m:r>
                </m:num>
                <m:den>
                  <m:r>
                    <w:rPr>
                      <w:rFonts w:ascii="Cambria Math" w:hAnsi="Cambria Math" w:cstheme="majorBidi"/>
                    </w:rPr>
                    <m:t>ν</m:t>
                  </m:r>
                </m:den>
              </m:f>
            </m:oMath>
          </w:p>
        </w:tc>
      </w:tr>
      <w:tr w:rsidR="00DB18B6" w:rsidRPr="00D37D51" w14:paraId="121BF14A" w14:textId="77777777" w:rsidTr="00D37D51">
        <w:trPr>
          <w:jc w:val="center"/>
        </w:trPr>
        <w:tc>
          <w:tcPr>
            <w:tcW w:w="0" w:type="auto"/>
            <w:shd w:val="clear" w:color="auto" w:fill="auto"/>
          </w:tcPr>
          <w:p w14:paraId="6E7880B3" w14:textId="77777777" w:rsidR="00DB18B6" w:rsidRPr="00D37D51" w:rsidRDefault="00000000" w:rsidP="00D37D51">
            <w:pPr>
              <w:shd w:val="clear" w:color="auto" w:fill="FFFFFF" w:themeFill="background1"/>
              <w:spacing w:before="240" w:line="360" w:lineRule="auto"/>
              <w:jc w:val="right"/>
              <w:rPr>
                <w:rStyle w:val="fontstyle01"/>
                <w:rFonts w:asciiTheme="majorBidi" w:eastAsia="Calibri" w:hAnsiTheme="majorBidi" w:cstheme="majorBidi"/>
                <w:lang w:eastAsia="ja-JP"/>
              </w:rPr>
            </w:pPr>
            <m:oMathPara>
              <m:oMathParaPr>
                <m:jc m:val="left"/>
              </m:oMathParaPr>
              <m:oMath>
                <m:sSub>
                  <m:sSubPr>
                    <m:ctrlPr>
                      <w:rPr>
                        <w:rFonts w:ascii="Cambria Math" w:hAnsi="Cambria Math" w:cstheme="majorBidi"/>
                      </w:rPr>
                    </m:ctrlPr>
                  </m:sSubPr>
                  <m:e>
                    <m:r>
                      <m:rPr>
                        <m:sty m:val="p"/>
                      </m:rPr>
                      <w:rPr>
                        <w:rFonts w:ascii="Cambria Math" w:hAnsi="Cambria Math" w:cstheme="majorBidi"/>
                      </w:rPr>
                      <m:t>Re</m:t>
                    </m:r>
                  </m:e>
                  <m:sub>
                    <m:r>
                      <w:rPr>
                        <w:rFonts w:ascii="Cambria Math" w:hAnsi="Cambria Math" w:cstheme="majorBidi"/>
                      </w:rPr>
                      <m:t>D</m:t>
                    </m:r>
                  </m:sub>
                </m:sSub>
              </m:oMath>
            </m:oMathPara>
          </w:p>
        </w:tc>
        <w:tc>
          <w:tcPr>
            <w:tcW w:w="0" w:type="auto"/>
          </w:tcPr>
          <w:p w14:paraId="1FEE400D" w14:textId="53436DE2"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Particle Re number based on maximum flow velocity and initial particle diameter, </w:t>
            </w:r>
            <m:oMath>
              <m:sSub>
                <m:sSubPr>
                  <m:ctrlPr>
                    <w:rPr>
                      <w:rFonts w:ascii="Cambria Math" w:hAnsi="Cambria Math" w:cstheme="majorBidi"/>
                      <w:iCs/>
                    </w:rPr>
                  </m:ctrlPr>
                </m:sSubPr>
                <m:e>
                  <m:r>
                    <m:rPr>
                      <m:sty m:val="p"/>
                    </m:rPr>
                    <w:rPr>
                      <w:rFonts w:ascii="Cambria Math" w:hAnsi="Cambria Math" w:cstheme="majorBidi"/>
                    </w:rPr>
                    <m:t>Re</m:t>
                  </m:r>
                </m:e>
                <m:sub>
                  <m:r>
                    <w:rPr>
                      <w:rFonts w:ascii="Cambria Math" w:hAnsi="Cambria Math" w:cstheme="majorBidi"/>
                    </w:rPr>
                    <m:t>D</m:t>
                  </m:r>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u</m:t>
                      </m:r>
                    </m:e>
                    <m:sub>
                      <m:r>
                        <m:rPr>
                          <m:sty m:val="p"/>
                        </m:rPr>
                        <w:rPr>
                          <w:rFonts w:ascii="Cambria Math" w:hAnsi="Cambria Math" w:cstheme="majorBidi"/>
                        </w:rPr>
                        <m:t>max</m:t>
                      </m:r>
                    </m:sub>
                  </m:sSub>
                  <m:r>
                    <w:rPr>
                      <w:rFonts w:ascii="Cambria Math" w:hAnsi="Cambria Math" w:cstheme="majorBidi"/>
                    </w:rPr>
                    <m:t>D</m:t>
                  </m:r>
                </m:num>
                <m:den>
                  <m:r>
                    <w:rPr>
                      <w:rFonts w:ascii="Cambria Math" w:hAnsi="Cambria Math" w:cstheme="majorBidi"/>
                    </w:rPr>
                    <m:t>ν</m:t>
                  </m:r>
                </m:den>
              </m:f>
            </m:oMath>
          </w:p>
        </w:tc>
      </w:tr>
      <w:tr w:rsidR="00DB18B6" w:rsidRPr="00D37D51" w14:paraId="04B7F09C" w14:textId="77777777" w:rsidTr="00D37D51">
        <w:trPr>
          <w:jc w:val="center"/>
        </w:trPr>
        <w:tc>
          <w:tcPr>
            <w:tcW w:w="0" w:type="auto"/>
          </w:tcPr>
          <w:p w14:paraId="5504710F"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bCs/>
                <w:lang w:eastAsia="ja-JP"/>
              </w:rPr>
            </w:pPr>
            <m:oMathPara>
              <m:oMathParaPr>
                <m:jc m:val="left"/>
              </m:oMathParaPr>
              <m:oMath>
                <m:r>
                  <w:rPr>
                    <w:rStyle w:val="fontstyle01"/>
                    <w:rFonts w:ascii="Cambria Math" w:eastAsia="Calibri" w:hAnsi="Cambria Math" w:cstheme="majorBidi"/>
                    <w:lang w:eastAsia="ja-JP"/>
                  </w:rPr>
                  <m:t>S</m:t>
                </m:r>
              </m:oMath>
            </m:oMathPara>
          </w:p>
        </w:tc>
        <w:tc>
          <w:tcPr>
            <w:tcW w:w="0" w:type="auto"/>
          </w:tcPr>
          <w:p w14:paraId="267229BD"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bCs/>
                <w:lang w:eastAsia="ja-JP"/>
              </w:rPr>
            </w:pPr>
            <w:r w:rsidRPr="00D37D51">
              <w:rPr>
                <w:rStyle w:val="fontstyle01"/>
                <w:rFonts w:asciiTheme="majorBidi" w:hAnsiTheme="majorBidi" w:cstheme="majorBidi"/>
                <w:bCs/>
                <w:lang w:eastAsia="ja-JP"/>
              </w:rPr>
              <w:t>Particle surface area (m</w:t>
            </w:r>
            <w:r w:rsidRPr="00D37D51">
              <w:rPr>
                <w:rStyle w:val="fontstyle01"/>
                <w:rFonts w:asciiTheme="majorBidi" w:hAnsiTheme="majorBidi" w:cstheme="majorBidi"/>
                <w:bCs/>
                <w:vertAlign w:val="superscript"/>
                <w:lang w:eastAsia="ja-JP"/>
              </w:rPr>
              <w:t>2</w:t>
            </w:r>
            <w:r w:rsidRPr="00D37D51">
              <w:rPr>
                <w:rStyle w:val="fontstyle01"/>
                <w:rFonts w:asciiTheme="majorBidi" w:hAnsiTheme="majorBidi" w:cstheme="majorBidi"/>
                <w:bCs/>
                <w:lang w:eastAsia="ja-JP"/>
              </w:rPr>
              <w:t xml:space="preserve">) </w:t>
            </w:r>
          </w:p>
        </w:tc>
      </w:tr>
      <w:tr w:rsidR="00DB18B6" w:rsidRPr="00D37D51" w14:paraId="00140A17" w14:textId="77777777" w:rsidTr="00D37D51">
        <w:trPr>
          <w:jc w:val="center"/>
        </w:trPr>
        <w:tc>
          <w:tcPr>
            <w:tcW w:w="0" w:type="auto"/>
          </w:tcPr>
          <w:p w14:paraId="1F9645F3" w14:textId="77777777" w:rsidR="00DB18B6" w:rsidRPr="00D37D51" w:rsidRDefault="00000000" w:rsidP="00D37D51">
            <w:pPr>
              <w:shd w:val="clear" w:color="auto" w:fill="FFFFFF" w:themeFill="background1"/>
              <w:spacing w:before="240" w:line="360" w:lineRule="auto"/>
              <w:rPr>
                <w:rStyle w:val="fontstyle01"/>
                <w:rFonts w:asciiTheme="majorBidi" w:eastAsia="Calibri" w:hAnsiTheme="majorBidi" w:cstheme="majorBidi"/>
                <w:lang w:eastAsia="ja-JP"/>
              </w:rPr>
            </w:pPr>
            <m:oMathPara>
              <m:oMathParaPr>
                <m:jc m:val="left"/>
              </m:oMathParaPr>
              <m:oMath>
                <m:sSub>
                  <m:sSubPr>
                    <m:ctrlPr>
                      <w:rPr>
                        <w:rStyle w:val="fontstyle01"/>
                        <w:rFonts w:ascii="Cambria Math" w:eastAsia="Calibri" w:hAnsi="Cambria Math" w:cstheme="majorBidi"/>
                        <w:i/>
                        <w:color w:val="auto"/>
                      </w:rPr>
                    </m:ctrlPr>
                  </m:sSubPr>
                  <m:e>
                    <m:acc>
                      <m:accPr>
                        <m:chr m:val="̇"/>
                        <m:ctrlPr>
                          <w:rPr>
                            <w:rStyle w:val="fontstyle01"/>
                            <w:rFonts w:ascii="Cambria Math" w:eastAsia="Calibri" w:hAnsi="Cambria Math" w:cstheme="majorBidi"/>
                            <w:i/>
                            <w:color w:val="auto"/>
                          </w:rPr>
                        </m:ctrlPr>
                      </m:accPr>
                      <m:e>
                        <m:r>
                          <w:rPr>
                            <w:rStyle w:val="fontstyle01"/>
                            <w:rFonts w:ascii="Cambria Math" w:eastAsia="Calibri" w:hAnsi="Cambria Math" w:cstheme="majorBidi"/>
                          </w:rPr>
                          <m:t>S</m:t>
                        </m:r>
                      </m:e>
                    </m:acc>
                  </m:e>
                  <m:sub>
                    <m:r>
                      <m:rPr>
                        <m:sty m:val="p"/>
                      </m:rPr>
                      <w:rPr>
                        <w:rStyle w:val="fontstyle01"/>
                        <w:rFonts w:ascii="Cambria Math" w:hAnsi="Cambria Math" w:cstheme="majorBidi"/>
                      </w:rPr>
                      <m:t>mass</m:t>
                    </m:r>
                  </m:sub>
                </m:sSub>
              </m:oMath>
            </m:oMathPara>
          </w:p>
        </w:tc>
        <w:tc>
          <w:tcPr>
            <w:tcW w:w="0" w:type="auto"/>
          </w:tcPr>
          <w:p w14:paraId="6306345F"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bCs/>
                <w:lang w:eastAsia="ja-JP"/>
              </w:rPr>
            </w:pPr>
            <w:r w:rsidRPr="00D37D51">
              <w:rPr>
                <w:rFonts w:cstheme="majorBidi"/>
              </w:rPr>
              <w:t>Volumetric mass source term (kg/m</w:t>
            </w:r>
            <w:r w:rsidRPr="00D37D51">
              <w:rPr>
                <w:rFonts w:cstheme="majorBidi"/>
                <w:vertAlign w:val="superscript"/>
              </w:rPr>
              <w:t>3</w:t>
            </w:r>
            <w:r w:rsidRPr="00D37D51">
              <w:rPr>
                <w:rFonts w:cstheme="majorBidi"/>
              </w:rPr>
              <w:t>∙s)</w:t>
            </w:r>
          </w:p>
        </w:tc>
      </w:tr>
      <w:tr w:rsidR="00DB18B6" w:rsidRPr="00D37D51" w14:paraId="36EF4794" w14:textId="77777777" w:rsidTr="00D37D51">
        <w:trPr>
          <w:jc w:val="center"/>
        </w:trPr>
        <w:tc>
          <w:tcPr>
            <w:tcW w:w="0" w:type="auto"/>
          </w:tcPr>
          <w:p w14:paraId="1BD3C536" w14:textId="77777777" w:rsidR="00DB18B6" w:rsidRPr="00D37D51" w:rsidRDefault="00000000" w:rsidP="00D37D51">
            <w:pPr>
              <w:shd w:val="clear" w:color="auto" w:fill="FFFFFF" w:themeFill="background1"/>
              <w:spacing w:before="240" w:line="360" w:lineRule="auto"/>
              <w:rPr>
                <w:rStyle w:val="fontstyle01"/>
                <w:rFonts w:asciiTheme="majorBidi" w:eastAsia="Calibri" w:hAnsiTheme="majorBidi" w:cstheme="majorBidi"/>
                <w:lang w:eastAsia="ja-JP"/>
              </w:rPr>
            </w:pPr>
            <m:oMathPara>
              <m:oMathParaPr>
                <m:jc m:val="left"/>
              </m:oMathParaPr>
              <m:oMath>
                <m:sSup>
                  <m:sSupPr>
                    <m:ctrlPr>
                      <w:rPr>
                        <w:rStyle w:val="fontstyle01"/>
                        <w:rFonts w:ascii="Cambria Math" w:eastAsia="Calibri" w:hAnsi="Cambria Math" w:cstheme="majorBidi"/>
                        <w:i/>
                        <w:color w:val="auto"/>
                      </w:rPr>
                    </m:ctrlPr>
                  </m:sSupPr>
                  <m:e>
                    <m:acc>
                      <m:accPr>
                        <m:chr m:val="̇"/>
                        <m:ctrlPr>
                          <w:rPr>
                            <w:rStyle w:val="fontstyle01"/>
                            <w:rFonts w:ascii="Cambria Math" w:eastAsia="Calibri" w:hAnsi="Cambria Math" w:cstheme="majorBidi"/>
                            <w:i/>
                            <w:color w:val="auto"/>
                          </w:rPr>
                        </m:ctrlPr>
                      </m:accPr>
                      <m:e>
                        <m:r>
                          <w:rPr>
                            <w:rStyle w:val="fontstyle01"/>
                            <w:rFonts w:ascii="Cambria Math" w:eastAsia="Calibri" w:hAnsi="Cambria Math" w:cstheme="majorBidi"/>
                          </w:rPr>
                          <m:t>S</m:t>
                        </m:r>
                      </m:e>
                    </m:acc>
                  </m:e>
                  <m:sup>
                    <m:r>
                      <w:rPr>
                        <w:rStyle w:val="fontstyle01"/>
                        <w:rFonts w:ascii="Cambria Math" w:eastAsia="Calibri" w:hAnsi="Cambria Math" w:cstheme="majorBidi"/>
                      </w:rPr>
                      <m:t>*</m:t>
                    </m:r>
                  </m:sup>
                </m:sSup>
              </m:oMath>
            </m:oMathPara>
          </w:p>
        </w:tc>
        <w:tc>
          <w:tcPr>
            <w:tcW w:w="0" w:type="auto"/>
          </w:tcPr>
          <w:p w14:paraId="26416C95" w14:textId="77777777" w:rsidR="00DB18B6" w:rsidRPr="00D37D51" w:rsidRDefault="00DB18B6" w:rsidP="00D37D51">
            <w:pPr>
              <w:shd w:val="clear" w:color="auto" w:fill="FFFFFF" w:themeFill="background1"/>
              <w:spacing w:before="240" w:line="360" w:lineRule="auto"/>
              <w:rPr>
                <w:rStyle w:val="fontstyle01"/>
                <w:rFonts w:asciiTheme="majorBidi" w:hAnsiTheme="majorBidi" w:cstheme="majorBidi"/>
                <w:bCs/>
                <w:lang w:eastAsia="ja-JP"/>
              </w:rPr>
            </w:pPr>
            <w:r w:rsidRPr="00D37D51">
              <w:rPr>
                <w:rFonts w:cstheme="majorBidi"/>
              </w:rPr>
              <w:t xml:space="preserve">Dimensionless mass source term, </w:t>
            </w:r>
            <m:oMath>
              <m:sSup>
                <m:sSupPr>
                  <m:ctrlPr>
                    <w:rPr>
                      <w:rStyle w:val="fontstyle01"/>
                      <w:rFonts w:ascii="Cambria Math" w:eastAsia="Calibri" w:hAnsi="Cambria Math" w:cstheme="majorBidi"/>
                      <w:i/>
                      <w:color w:val="auto"/>
                    </w:rPr>
                  </m:ctrlPr>
                </m:sSupPr>
                <m:e>
                  <m:acc>
                    <m:accPr>
                      <m:chr m:val="̇"/>
                      <m:ctrlPr>
                        <w:rPr>
                          <w:rStyle w:val="fontstyle01"/>
                          <w:rFonts w:ascii="Cambria Math" w:eastAsia="Calibri" w:hAnsi="Cambria Math" w:cstheme="majorBidi"/>
                          <w:i/>
                          <w:color w:val="auto"/>
                        </w:rPr>
                      </m:ctrlPr>
                    </m:accPr>
                    <m:e>
                      <m:r>
                        <w:rPr>
                          <w:rStyle w:val="fontstyle01"/>
                          <w:rFonts w:ascii="Cambria Math" w:eastAsia="Calibri" w:hAnsi="Cambria Math" w:cstheme="majorBidi"/>
                        </w:rPr>
                        <m:t>S</m:t>
                      </m:r>
                    </m:e>
                  </m:acc>
                </m:e>
                <m:sup>
                  <m:r>
                    <w:rPr>
                      <w:rStyle w:val="fontstyle01"/>
                      <w:rFonts w:ascii="Cambria Math" w:eastAsia="Calibri" w:hAnsi="Cambria Math" w:cstheme="majorBidi"/>
                    </w:rPr>
                    <m:t>*</m:t>
                  </m:r>
                </m:sup>
              </m:sSup>
              <m:r>
                <w:rPr>
                  <w:rStyle w:val="fontstyle01"/>
                  <w:rFonts w:ascii="Cambria Math" w:eastAsia="Calibri" w:hAnsi="Cambria Math" w:cstheme="majorBidi"/>
                </w:rPr>
                <m:t>=</m:t>
              </m:r>
              <m:f>
                <m:fPr>
                  <m:ctrlPr>
                    <w:rPr>
                      <w:rStyle w:val="fontstyle01"/>
                      <w:rFonts w:ascii="Cambria Math" w:eastAsia="Calibri" w:hAnsi="Cambria Math" w:cstheme="majorBidi"/>
                      <w:i/>
                      <w:color w:val="auto"/>
                    </w:rPr>
                  </m:ctrlPr>
                </m:fPr>
                <m:num>
                  <m:sSub>
                    <m:sSubPr>
                      <m:ctrlPr>
                        <w:rPr>
                          <w:rStyle w:val="fontstyle01"/>
                          <w:rFonts w:ascii="Cambria Math" w:eastAsia="Calibri" w:hAnsi="Cambria Math" w:cstheme="majorBidi"/>
                          <w:i/>
                          <w:color w:val="auto"/>
                        </w:rPr>
                      </m:ctrlPr>
                    </m:sSubPr>
                    <m:e>
                      <m:acc>
                        <m:accPr>
                          <m:chr m:val="̇"/>
                          <m:ctrlPr>
                            <w:rPr>
                              <w:rStyle w:val="fontstyle01"/>
                              <w:rFonts w:ascii="Cambria Math" w:eastAsia="Calibri" w:hAnsi="Cambria Math" w:cstheme="majorBidi"/>
                              <w:i/>
                              <w:color w:val="auto"/>
                            </w:rPr>
                          </m:ctrlPr>
                        </m:accPr>
                        <m:e>
                          <m:r>
                            <w:rPr>
                              <w:rStyle w:val="fontstyle01"/>
                              <w:rFonts w:ascii="Cambria Math" w:eastAsia="Calibri" w:hAnsi="Cambria Math" w:cstheme="majorBidi"/>
                            </w:rPr>
                            <m:t>S</m:t>
                          </m:r>
                        </m:e>
                      </m:acc>
                    </m:e>
                    <m:sub>
                      <m:r>
                        <m:rPr>
                          <m:sty m:val="p"/>
                        </m:rPr>
                        <w:rPr>
                          <w:rStyle w:val="fontstyle01"/>
                          <w:rFonts w:ascii="Cambria Math" w:eastAsia="Calibri" w:hAnsi="Cambria Math" w:cstheme="majorBidi"/>
                        </w:rPr>
                        <m:t>mass</m:t>
                      </m:r>
                    </m:sub>
                  </m:sSub>
                  <m:sSup>
                    <m:sSupPr>
                      <m:ctrlPr>
                        <w:rPr>
                          <w:rStyle w:val="fontstyle01"/>
                          <w:rFonts w:ascii="Cambria Math" w:eastAsia="Calibri" w:hAnsi="Cambria Math" w:cstheme="majorBidi"/>
                          <w:i/>
                          <w:color w:val="auto"/>
                        </w:rPr>
                      </m:ctrlPr>
                    </m:sSupPr>
                    <m:e>
                      <m:r>
                        <w:rPr>
                          <w:rStyle w:val="fontstyle01"/>
                          <w:rFonts w:ascii="Cambria Math" w:eastAsia="Calibri" w:hAnsi="Cambria Math" w:cstheme="majorBidi"/>
                        </w:rPr>
                        <m:t>D</m:t>
                      </m:r>
                    </m:e>
                    <m:sup>
                      <m:r>
                        <w:rPr>
                          <w:rStyle w:val="fontstyle01"/>
                          <w:rFonts w:ascii="Cambria Math" w:eastAsia="Calibri" w:hAnsi="Cambria Math" w:cstheme="majorBidi"/>
                        </w:rPr>
                        <m:t>2</m:t>
                      </m:r>
                    </m:sup>
                  </m:sSup>
                </m:num>
                <m:den>
                  <m:r>
                    <w:rPr>
                      <w:rStyle w:val="fontstyle01"/>
                      <w:rFonts w:ascii="Cambria Math" w:eastAsia="Calibri" w:hAnsi="Cambria Math" w:cstheme="majorBidi"/>
                    </w:rPr>
                    <m:t>μ</m:t>
                  </m:r>
                </m:den>
              </m:f>
            </m:oMath>
          </w:p>
        </w:tc>
      </w:tr>
      <w:tr w:rsidR="00DB18B6" w:rsidRPr="00D37D51" w14:paraId="01384061" w14:textId="77777777" w:rsidTr="00D37D51">
        <w:trPr>
          <w:jc w:val="center"/>
        </w:trPr>
        <w:tc>
          <w:tcPr>
            <w:tcW w:w="0" w:type="auto"/>
          </w:tcPr>
          <w:p w14:paraId="1499BC21" w14:textId="77777777" w:rsidR="00DB18B6" w:rsidRPr="00D37D51" w:rsidRDefault="00DB18B6" w:rsidP="00D37D51">
            <w:pPr>
              <w:shd w:val="clear" w:color="auto" w:fill="FFFFFF" w:themeFill="background1"/>
              <w:spacing w:before="240" w:line="360" w:lineRule="auto"/>
              <w:jc w:val="center"/>
              <w:rPr>
                <w:rFonts w:eastAsia="Calibri" w:cstheme="majorBidi"/>
              </w:rPr>
            </w:pPr>
            <m:oMathPara>
              <m:oMathParaPr>
                <m:jc m:val="left"/>
              </m:oMathParaPr>
              <m:oMath>
                <m:r>
                  <m:rPr>
                    <m:sty m:val="p"/>
                  </m:rPr>
                  <w:rPr>
                    <w:rStyle w:val="fontstyle01"/>
                    <w:rFonts w:ascii="Cambria Math" w:hAnsi="Cambria Math" w:cstheme="majorBidi"/>
                  </w:rPr>
                  <m:t>Ste</m:t>
                </m:r>
              </m:oMath>
            </m:oMathPara>
          </w:p>
        </w:tc>
        <w:tc>
          <w:tcPr>
            <w:tcW w:w="0" w:type="auto"/>
          </w:tcPr>
          <w:p w14:paraId="68D2FCC7"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Stefan number, </w:t>
            </w:r>
            <m:oMath>
              <m:r>
                <m:rPr>
                  <m:sty m:val="p"/>
                </m:rPr>
                <w:rPr>
                  <w:rFonts w:ascii="Cambria Math" w:eastAsia="Calibri" w:hAnsi="Cambria Math" w:cstheme="majorBidi"/>
                </w:rPr>
                <m:t>Ste</m:t>
              </m:r>
              <m:r>
                <w:rPr>
                  <w:rFonts w:ascii="Cambria Math" w:eastAsia="Calibri" w:hAnsi="Cambria Math" w:cstheme="majorBidi"/>
                </w:rPr>
                <m:t>=</m:t>
              </m:r>
              <m:f>
                <m:fPr>
                  <m:ctrlPr>
                    <w:rPr>
                      <w:rFonts w:ascii="Cambria Math" w:eastAsia="Calibri" w:hAnsi="Cambria Math" w:cstheme="majorBidi"/>
                      <w:i/>
                    </w:rPr>
                  </m:ctrlPr>
                </m:fPr>
                <m:num>
                  <m:r>
                    <w:rPr>
                      <w:rFonts w:ascii="Cambria Math" w:eastAsia="Calibri" w:hAnsi="Cambria Math" w:cstheme="majorBidi"/>
                    </w:rPr>
                    <m:t>c</m:t>
                  </m:r>
                  <m:d>
                    <m:dPr>
                      <m:ctrlPr>
                        <w:rPr>
                          <w:rFonts w:ascii="Cambria Math" w:eastAsia="Calibri" w:hAnsi="Cambria Math" w:cstheme="majorBidi"/>
                          <w:i/>
                        </w:rPr>
                      </m:ctrlPr>
                    </m:dPr>
                    <m:e>
                      <m:sSub>
                        <m:sSubPr>
                          <m:ctrlPr>
                            <w:rPr>
                              <w:rFonts w:ascii="Cambria Math" w:eastAsia="Calibri" w:hAnsi="Cambria Math" w:cstheme="majorBidi"/>
                              <w:i/>
                            </w:rPr>
                          </m:ctrlPr>
                        </m:sSubPr>
                        <m:e>
                          <m:r>
                            <w:rPr>
                              <w:rFonts w:ascii="Cambria Math" w:eastAsia="Calibri" w:hAnsi="Cambria Math" w:cstheme="majorBidi"/>
                            </w:rPr>
                            <m:t>T</m:t>
                          </m:r>
                        </m:e>
                        <m:sub>
                          <m:r>
                            <w:rPr>
                              <w:rFonts w:ascii="Cambria Math" w:eastAsia="Calibri" w:hAnsi="Cambria Math" w:cstheme="majorBidi"/>
                            </w:rPr>
                            <m:t>h</m:t>
                          </m:r>
                        </m:sub>
                      </m:sSub>
                      <m:r>
                        <w:rPr>
                          <w:rFonts w:ascii="Cambria Math" w:eastAsia="Calibri" w:hAnsi="Cambria Math" w:cstheme="majorBidi"/>
                        </w:rPr>
                        <m:t>-</m:t>
                      </m:r>
                      <m:sSub>
                        <m:sSubPr>
                          <m:ctrlPr>
                            <w:rPr>
                              <w:rFonts w:ascii="Cambria Math" w:eastAsia="Calibri" w:hAnsi="Cambria Math" w:cstheme="majorBidi"/>
                              <w:i/>
                            </w:rPr>
                          </m:ctrlPr>
                        </m:sSubPr>
                        <m:e>
                          <m:r>
                            <w:rPr>
                              <w:rFonts w:ascii="Cambria Math" w:eastAsia="Calibri" w:hAnsi="Cambria Math" w:cstheme="majorBidi"/>
                            </w:rPr>
                            <m:t>T</m:t>
                          </m:r>
                        </m:e>
                        <m:sub>
                          <m:r>
                            <w:rPr>
                              <w:rFonts w:ascii="Cambria Math" w:eastAsia="Calibri" w:hAnsi="Cambria Math" w:cstheme="majorBidi"/>
                            </w:rPr>
                            <m:t>m</m:t>
                          </m:r>
                        </m:sub>
                      </m:sSub>
                    </m:e>
                  </m:d>
                </m:num>
                <m:den>
                  <m:sSub>
                    <m:sSubPr>
                      <m:ctrlPr>
                        <w:rPr>
                          <w:rFonts w:ascii="Cambria Math" w:eastAsia="Calibri" w:hAnsi="Cambria Math" w:cstheme="majorBidi"/>
                          <w:i/>
                        </w:rPr>
                      </m:ctrlPr>
                    </m:sSubPr>
                    <m:e>
                      <m:r>
                        <w:rPr>
                          <w:rFonts w:ascii="Cambria Math" w:eastAsia="Calibri" w:hAnsi="Cambria Math" w:cstheme="majorBidi"/>
                        </w:rPr>
                        <m:t>h</m:t>
                      </m:r>
                    </m:e>
                    <m:sub>
                      <m:r>
                        <m:rPr>
                          <m:sty m:val="p"/>
                        </m:rPr>
                        <w:rPr>
                          <w:rFonts w:ascii="Cambria Math" w:eastAsia="Calibri" w:hAnsi="Cambria Math" w:cstheme="majorBidi"/>
                        </w:rPr>
                        <m:t>sl</m:t>
                      </m:r>
                    </m:sub>
                  </m:sSub>
                </m:den>
              </m:f>
            </m:oMath>
          </w:p>
        </w:tc>
      </w:tr>
      <w:tr w:rsidR="00DB18B6" w:rsidRPr="00D37D51" w14:paraId="0EF16609" w14:textId="77777777" w:rsidTr="00D37D51">
        <w:trPr>
          <w:jc w:val="center"/>
        </w:trPr>
        <w:tc>
          <w:tcPr>
            <w:tcW w:w="0" w:type="auto"/>
          </w:tcPr>
          <w:p w14:paraId="660A73CC" w14:textId="77777777" w:rsidR="00DB18B6" w:rsidRPr="00D37D51" w:rsidRDefault="00DB18B6" w:rsidP="00D37D51">
            <w:pPr>
              <w:shd w:val="clear" w:color="auto" w:fill="FFFFFF" w:themeFill="background1"/>
              <w:spacing w:before="240" w:line="360" w:lineRule="auto"/>
              <w:jc w:val="center"/>
              <w:rPr>
                <w:rStyle w:val="fontstyle01"/>
                <w:rFonts w:asciiTheme="majorBidi" w:eastAsia="Calibri" w:hAnsiTheme="majorBidi" w:cstheme="majorBidi"/>
              </w:rPr>
            </w:pPr>
            <m:oMathPara>
              <m:oMathParaPr>
                <m:jc m:val="left"/>
              </m:oMathParaPr>
              <m:oMath>
                <m:r>
                  <w:rPr>
                    <w:rFonts w:ascii="Cambria Math" w:eastAsia="Calibri" w:hAnsi="Cambria Math" w:cstheme="majorBidi"/>
                  </w:rPr>
                  <m:t>T</m:t>
                </m:r>
              </m:oMath>
            </m:oMathPara>
          </w:p>
        </w:tc>
        <w:tc>
          <w:tcPr>
            <w:tcW w:w="0" w:type="auto"/>
          </w:tcPr>
          <w:p w14:paraId="3A09398B"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Temperature (K)</w:t>
            </w:r>
          </w:p>
        </w:tc>
      </w:tr>
      <w:tr w:rsidR="00DB18B6" w:rsidRPr="00D37D51" w14:paraId="151CA395" w14:textId="77777777" w:rsidTr="00D37D51">
        <w:trPr>
          <w:jc w:val="center"/>
        </w:trPr>
        <w:tc>
          <w:tcPr>
            <w:tcW w:w="0" w:type="auto"/>
          </w:tcPr>
          <w:p w14:paraId="5DE42742" w14:textId="77777777" w:rsidR="00DB18B6" w:rsidRPr="00D37D51" w:rsidRDefault="00000000" w:rsidP="00D37D51">
            <w:pPr>
              <w:shd w:val="clear" w:color="auto" w:fill="FFFFFF" w:themeFill="background1"/>
              <w:spacing w:before="240" w:line="360" w:lineRule="auto"/>
              <w:jc w:val="center"/>
              <w:rPr>
                <w:rStyle w:val="fontstyle01"/>
                <w:rFonts w:asciiTheme="majorBidi" w:eastAsia="Calibri" w:hAnsiTheme="majorBidi" w:cstheme="majorBidi"/>
              </w:rPr>
            </w:pPr>
            <m:oMathPara>
              <m:oMathParaPr>
                <m:jc m:val="left"/>
              </m:oMathParaPr>
              <m:oMath>
                <m:sSup>
                  <m:sSupPr>
                    <m:ctrlPr>
                      <w:rPr>
                        <w:rFonts w:ascii="Cambria Math" w:eastAsia="Calibri" w:hAnsi="Cambria Math" w:cstheme="majorBidi"/>
                        <w:b/>
                        <w:i/>
                      </w:rPr>
                    </m:ctrlPr>
                  </m:sSupPr>
                  <m:e>
                    <m:r>
                      <w:rPr>
                        <w:rFonts w:ascii="Cambria Math" w:eastAsia="Calibri" w:hAnsi="Cambria Math" w:cstheme="majorBidi"/>
                      </w:rPr>
                      <m:t>T</m:t>
                    </m:r>
                  </m:e>
                  <m:sup>
                    <m:r>
                      <m:rPr>
                        <m:sty m:val="bi"/>
                      </m:rPr>
                      <w:rPr>
                        <w:rFonts w:ascii="Cambria Math" w:eastAsia="Calibri" w:hAnsi="Cambria Math" w:cstheme="majorBidi"/>
                      </w:rPr>
                      <m:t>*</m:t>
                    </m:r>
                  </m:sup>
                </m:sSup>
              </m:oMath>
            </m:oMathPara>
          </w:p>
        </w:tc>
        <w:tc>
          <w:tcPr>
            <w:tcW w:w="0" w:type="auto"/>
          </w:tcPr>
          <w:p w14:paraId="14C2ED77"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temperature, </w:t>
            </w:r>
            <m:oMath>
              <m:sSup>
                <m:sSupPr>
                  <m:ctrlPr>
                    <w:rPr>
                      <w:rFonts w:ascii="Cambria Math" w:eastAsiaTheme="minorEastAsia" w:hAnsi="Cambria Math" w:cstheme="majorBidi"/>
                      <w:i/>
                    </w:rPr>
                  </m:ctrlPr>
                </m:sSupPr>
                <m:e>
                  <m:r>
                    <w:rPr>
                      <w:rFonts w:ascii="Cambria Math" w:eastAsiaTheme="minorEastAsia" w:hAnsi="Cambria Math" w:cstheme="majorBidi"/>
                    </w:rPr>
                    <m:t>T</m:t>
                  </m:r>
                </m:e>
                <m:sup>
                  <m:r>
                    <w:rPr>
                      <w:rFonts w:ascii="Cambria Math" w:eastAsiaTheme="minorEastAsia" w:hAnsi="Cambria Math" w:cstheme="majorBidi"/>
                    </w:rPr>
                    <m:t>*</m:t>
                  </m:r>
                </m:sup>
              </m:sSup>
              <m:r>
                <w:rPr>
                  <w:rFonts w:ascii="Cambria Math" w:eastAsiaTheme="minorEastAsia" w:hAnsi="Cambria Math" w:cstheme="majorBidi"/>
                </w:rPr>
                <m:t>=</m:t>
              </m:r>
              <m:f>
                <m:fPr>
                  <m:type m:val="lin"/>
                  <m:ctrlPr>
                    <w:rPr>
                      <w:rFonts w:ascii="Cambria Math" w:eastAsiaTheme="minorEastAsia" w:hAnsi="Cambria Math" w:cstheme="majorBidi"/>
                      <w:i/>
                    </w:rPr>
                  </m:ctrlPr>
                </m:fPr>
                <m:num>
                  <m:d>
                    <m:dPr>
                      <m:ctrlPr>
                        <w:rPr>
                          <w:rFonts w:ascii="Cambria Math" w:eastAsiaTheme="minorEastAsia" w:hAnsi="Cambria Math" w:cstheme="majorBidi"/>
                          <w:i/>
                        </w:rPr>
                      </m:ctrlPr>
                    </m:dPr>
                    <m:e>
                      <m:r>
                        <w:rPr>
                          <w:rFonts w:ascii="Cambria Math" w:eastAsiaTheme="minorEastAsia" w:hAnsi="Cambria Math" w:cstheme="majorBidi"/>
                        </w:rPr>
                        <m:t>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e>
                  </m:d>
                </m:num>
                <m:den>
                  <m:d>
                    <m:dPr>
                      <m:ctrlPr>
                        <w:rPr>
                          <w:rFonts w:ascii="Cambria Math" w:eastAsiaTheme="minorEastAsia" w:hAnsi="Cambria Math" w:cstheme="majorBidi"/>
                          <w:i/>
                        </w:rPr>
                      </m:ctrlPr>
                    </m:dPr>
                    <m:e>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h</m:t>
                          </m:r>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m</m:t>
                          </m:r>
                        </m:sub>
                      </m:sSub>
                    </m:e>
                  </m:d>
                </m:den>
              </m:f>
            </m:oMath>
          </w:p>
        </w:tc>
      </w:tr>
      <w:tr w:rsidR="00DB18B6" w:rsidRPr="00D37D51" w14:paraId="34B4A135" w14:textId="77777777" w:rsidTr="00D37D51">
        <w:trPr>
          <w:jc w:val="center"/>
        </w:trPr>
        <w:tc>
          <w:tcPr>
            <w:tcW w:w="0" w:type="auto"/>
          </w:tcPr>
          <w:p w14:paraId="06BC4B32" w14:textId="77777777" w:rsidR="00DB18B6" w:rsidRPr="00D37D51" w:rsidRDefault="00000000" w:rsidP="00D37D51">
            <w:pPr>
              <w:shd w:val="clear" w:color="auto" w:fill="FFFFFF" w:themeFill="background1"/>
              <w:spacing w:before="240" w:line="360" w:lineRule="auto"/>
              <w:jc w:val="center"/>
              <w:rPr>
                <w:rStyle w:val="fontstyle01"/>
                <w:rFonts w:asciiTheme="majorBidi" w:eastAsia="Calibri" w:hAnsiTheme="majorBidi" w:cstheme="majorBidi"/>
              </w:rPr>
            </w:pPr>
            <m:oMathPara>
              <m:oMathParaPr>
                <m:jc m:val="left"/>
              </m:oMathParaPr>
              <m:oMath>
                <m:sSub>
                  <m:sSubPr>
                    <m:ctrlPr>
                      <w:rPr>
                        <w:rFonts w:ascii="Cambria Math" w:eastAsia="Calibri" w:hAnsi="Cambria Math" w:cstheme="majorBidi"/>
                        <w:i/>
                      </w:rPr>
                    </m:ctrlPr>
                  </m:sSubPr>
                  <m:e>
                    <m:r>
                      <w:rPr>
                        <w:rFonts w:ascii="Cambria Math" w:eastAsia="Calibri" w:hAnsi="Cambria Math" w:cstheme="majorBidi"/>
                      </w:rPr>
                      <m:t>T</m:t>
                    </m:r>
                  </m:e>
                  <m:sub>
                    <m:r>
                      <w:rPr>
                        <w:rFonts w:ascii="Cambria Math" w:eastAsia="Calibri" w:hAnsi="Cambria Math" w:cstheme="majorBidi"/>
                      </w:rPr>
                      <m:t>h</m:t>
                    </m:r>
                  </m:sub>
                </m:sSub>
              </m:oMath>
            </m:oMathPara>
          </w:p>
        </w:tc>
        <w:tc>
          <w:tcPr>
            <w:tcW w:w="0" w:type="auto"/>
          </w:tcPr>
          <w:p w14:paraId="009D7C42"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Hot wall temperature (K)</w:t>
            </w:r>
          </w:p>
        </w:tc>
      </w:tr>
      <w:tr w:rsidR="00DB18B6" w:rsidRPr="00D37D51" w14:paraId="44CAE2EE" w14:textId="77777777" w:rsidTr="00D37D51">
        <w:trPr>
          <w:jc w:val="center"/>
        </w:trPr>
        <w:tc>
          <w:tcPr>
            <w:tcW w:w="0" w:type="auto"/>
          </w:tcPr>
          <w:p w14:paraId="10992EB2" w14:textId="77777777" w:rsidR="00DB18B6" w:rsidRPr="00D37D51" w:rsidRDefault="00000000" w:rsidP="00D37D51">
            <w:pPr>
              <w:shd w:val="clear" w:color="auto" w:fill="FFFFFF" w:themeFill="background1"/>
              <w:spacing w:before="240" w:line="360" w:lineRule="auto"/>
              <w:jc w:val="center"/>
              <w:rPr>
                <w:rStyle w:val="fontstyle01"/>
                <w:rFonts w:asciiTheme="majorBidi" w:eastAsia="Calibri" w:hAnsiTheme="majorBidi" w:cstheme="majorBidi"/>
              </w:rPr>
            </w:pPr>
            <m:oMathPara>
              <m:oMathParaPr>
                <m:jc m:val="left"/>
              </m:oMathParaPr>
              <m:oMath>
                <m:sSub>
                  <m:sSubPr>
                    <m:ctrlPr>
                      <w:rPr>
                        <w:rFonts w:ascii="Cambria Math" w:eastAsia="Calibri" w:hAnsi="Cambria Math" w:cstheme="majorBidi"/>
                        <w:i/>
                      </w:rPr>
                    </m:ctrlPr>
                  </m:sSubPr>
                  <m:e>
                    <m:r>
                      <w:rPr>
                        <w:rFonts w:ascii="Cambria Math" w:eastAsia="Calibri" w:hAnsi="Cambria Math" w:cstheme="majorBidi"/>
                      </w:rPr>
                      <m:t>T</m:t>
                    </m:r>
                  </m:e>
                  <m:sub>
                    <m:r>
                      <w:rPr>
                        <w:rFonts w:ascii="Cambria Math" w:eastAsia="Calibri" w:hAnsi="Cambria Math" w:cstheme="majorBidi"/>
                      </w:rPr>
                      <m:t>m</m:t>
                    </m:r>
                  </m:sub>
                </m:sSub>
              </m:oMath>
            </m:oMathPara>
          </w:p>
        </w:tc>
        <w:tc>
          <w:tcPr>
            <w:tcW w:w="0" w:type="auto"/>
          </w:tcPr>
          <w:p w14:paraId="5FA129BB"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Melting temperature of the particle (K)</w:t>
            </w:r>
          </w:p>
        </w:tc>
      </w:tr>
      <w:tr w:rsidR="00DB18B6" w:rsidRPr="00D37D51" w14:paraId="4768A823" w14:textId="77777777" w:rsidTr="00D37D51">
        <w:trPr>
          <w:jc w:val="center"/>
        </w:trPr>
        <w:tc>
          <w:tcPr>
            <w:tcW w:w="0" w:type="auto"/>
            <w:hideMark/>
          </w:tcPr>
          <w:p w14:paraId="3670AD83" w14:textId="77777777" w:rsidR="00DB18B6" w:rsidRPr="00D37D51" w:rsidRDefault="00DB18B6" w:rsidP="00D37D51">
            <w:pPr>
              <w:shd w:val="clear" w:color="auto" w:fill="FFFFFF" w:themeFill="background1"/>
              <w:spacing w:before="240" w:line="360" w:lineRule="auto"/>
              <w:rPr>
                <w:rFonts w:cstheme="majorBidi"/>
              </w:rPr>
            </w:pPr>
            <m:oMathPara>
              <m:oMathParaPr>
                <m:jc m:val="left"/>
              </m:oMathParaPr>
              <m:oMath>
                <m:r>
                  <w:rPr>
                    <w:rFonts w:ascii="Cambria Math" w:hAnsi="Cambria Math" w:cstheme="majorBidi"/>
                  </w:rPr>
                  <m:t>t</m:t>
                </m:r>
              </m:oMath>
            </m:oMathPara>
          </w:p>
        </w:tc>
        <w:tc>
          <w:tcPr>
            <w:tcW w:w="0" w:type="auto"/>
            <w:hideMark/>
          </w:tcPr>
          <w:p w14:paraId="1BBD4765"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Time (s)</w:t>
            </w:r>
          </w:p>
        </w:tc>
      </w:tr>
      <w:tr w:rsidR="00DB18B6" w:rsidRPr="00D37D51" w14:paraId="064C1C4D" w14:textId="77777777" w:rsidTr="00D37D51">
        <w:trPr>
          <w:jc w:val="center"/>
        </w:trPr>
        <w:tc>
          <w:tcPr>
            <w:tcW w:w="0" w:type="auto"/>
          </w:tcPr>
          <w:p w14:paraId="15071445"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Calibri" w:hAnsi="Cambria Math" w:cstheme="majorBidi"/>
                        <w:i/>
                      </w:rPr>
                    </m:ctrlPr>
                  </m:sSupPr>
                  <m:e>
                    <m:r>
                      <w:rPr>
                        <w:rFonts w:ascii="Cambria Math" w:eastAsia="Calibri" w:hAnsi="Cambria Math" w:cstheme="majorBidi"/>
                      </w:rPr>
                      <m:t>t</m:t>
                    </m:r>
                  </m:e>
                  <m:sup>
                    <m:r>
                      <w:rPr>
                        <w:rFonts w:ascii="Cambria Math" w:eastAsia="Calibri" w:hAnsi="Cambria Math" w:cstheme="majorBidi"/>
                      </w:rPr>
                      <m:t>*</m:t>
                    </m:r>
                  </m:sup>
                </m:sSup>
              </m:oMath>
            </m:oMathPara>
          </w:p>
        </w:tc>
        <w:tc>
          <w:tcPr>
            <w:tcW w:w="0" w:type="auto"/>
          </w:tcPr>
          <w:p w14:paraId="4BA14E78"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Dimensionless time, </w:t>
            </w:r>
            <m:oMath>
              <m:sSup>
                <m:sSupPr>
                  <m:ctrlPr>
                    <w:rPr>
                      <w:rFonts w:ascii="Cambria Math" w:eastAsia="Calibri" w:hAnsi="Cambria Math" w:cstheme="majorBidi"/>
                      <w:i/>
                    </w:rPr>
                  </m:ctrlPr>
                </m:sSupPr>
                <m:e>
                  <m:r>
                    <w:rPr>
                      <w:rFonts w:ascii="Cambria Math" w:eastAsia="Calibri" w:hAnsi="Cambria Math" w:cstheme="majorBidi"/>
                    </w:rPr>
                    <m:t>t</m:t>
                  </m:r>
                </m:e>
                <m:sup>
                  <m:r>
                    <w:rPr>
                      <w:rFonts w:ascii="Cambria Math" w:eastAsia="Calibri" w:hAnsi="Cambria Math" w:cstheme="majorBidi"/>
                    </w:rPr>
                    <m:t>*</m:t>
                  </m:r>
                </m:sup>
              </m:sSup>
              <m:r>
                <w:rPr>
                  <w:rFonts w:ascii="Cambria Math" w:eastAsia="Calibri" w:hAnsi="Cambria Math" w:cstheme="majorBidi"/>
                </w:rPr>
                <m:t>=</m:t>
              </m:r>
              <m:f>
                <m:fPr>
                  <m:ctrlPr>
                    <w:rPr>
                      <w:rFonts w:ascii="Cambria Math" w:eastAsia="Calibri" w:hAnsi="Cambria Math" w:cstheme="majorBidi"/>
                      <w:i/>
                    </w:rPr>
                  </m:ctrlPr>
                </m:fPr>
                <m:num>
                  <m:r>
                    <w:rPr>
                      <w:rFonts w:ascii="Cambria Math" w:eastAsia="Calibri" w:hAnsi="Cambria Math" w:cstheme="majorBidi"/>
                    </w:rPr>
                    <m:t>tν</m:t>
                  </m:r>
                </m:num>
                <m:den>
                  <m:sSup>
                    <m:sSupPr>
                      <m:ctrlPr>
                        <w:rPr>
                          <w:rFonts w:ascii="Cambria Math" w:eastAsia="Calibri" w:hAnsi="Cambria Math" w:cstheme="majorBidi"/>
                          <w:i/>
                        </w:rPr>
                      </m:ctrlPr>
                    </m:sSupPr>
                    <m:e>
                      <m:r>
                        <w:rPr>
                          <w:rFonts w:ascii="Cambria Math" w:eastAsia="Calibri" w:hAnsi="Cambria Math" w:cstheme="majorBidi"/>
                        </w:rPr>
                        <m:t>D</m:t>
                      </m:r>
                    </m:e>
                    <m:sup>
                      <m:r>
                        <w:rPr>
                          <w:rFonts w:ascii="Cambria Math" w:eastAsia="Calibri" w:hAnsi="Cambria Math" w:cstheme="majorBidi"/>
                        </w:rPr>
                        <m:t>2</m:t>
                      </m:r>
                    </m:sup>
                  </m:sSup>
                </m:den>
              </m:f>
            </m:oMath>
          </w:p>
        </w:tc>
      </w:tr>
      <w:tr w:rsidR="00DB18B6" w:rsidRPr="00D37D51" w14:paraId="5DDE83CF" w14:textId="77777777" w:rsidTr="00D37D51">
        <w:trPr>
          <w:jc w:val="center"/>
        </w:trPr>
        <w:tc>
          <w:tcPr>
            <w:tcW w:w="0" w:type="auto"/>
          </w:tcPr>
          <w:p w14:paraId="30E66D1F"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u</m:t>
                </m:r>
              </m:oMath>
            </m:oMathPara>
          </w:p>
        </w:tc>
        <w:tc>
          <w:tcPr>
            <w:tcW w:w="0" w:type="auto"/>
          </w:tcPr>
          <w:p w14:paraId="12F50C1E"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Velocity in </w:t>
            </w:r>
            <w:r w:rsidRPr="00D37D51">
              <w:rPr>
                <w:rFonts w:cstheme="majorBidi"/>
                <w:i/>
                <w:iCs/>
              </w:rPr>
              <w:t>x</w:t>
            </w:r>
            <w:r w:rsidRPr="00D37D51">
              <w:rPr>
                <w:rFonts w:cstheme="majorBidi"/>
              </w:rPr>
              <w:t>-direction</w:t>
            </w:r>
          </w:p>
        </w:tc>
      </w:tr>
      <w:tr w:rsidR="00DB18B6" w:rsidRPr="00D37D51" w14:paraId="12D8D6E3" w14:textId="77777777" w:rsidTr="00D37D51">
        <w:trPr>
          <w:jc w:val="center"/>
        </w:trPr>
        <w:tc>
          <w:tcPr>
            <w:tcW w:w="0" w:type="auto"/>
          </w:tcPr>
          <w:p w14:paraId="3C737CC8" w14:textId="77777777" w:rsidR="00DB18B6" w:rsidRPr="00D37D51" w:rsidRDefault="00000000" w:rsidP="00D37D51">
            <w:pPr>
              <w:shd w:val="clear" w:color="auto" w:fill="FFFFFF" w:themeFill="background1"/>
              <w:spacing w:before="240" w:line="360" w:lineRule="auto"/>
              <w:rPr>
                <w:rFonts w:eastAsia="Calibri" w:cstheme="majorBidi"/>
                <w:b/>
              </w:rPr>
            </w:pPr>
            <m:oMathPara>
              <m:oMathParaPr>
                <m:jc m:val="left"/>
              </m:oMathParaPr>
              <m:oMath>
                <m:sSub>
                  <m:sSubPr>
                    <m:ctrlPr>
                      <w:rPr>
                        <w:rFonts w:ascii="Cambria Math" w:hAnsi="Cambria Math" w:cstheme="majorBidi"/>
                        <w:i/>
                      </w:rPr>
                    </m:ctrlPr>
                  </m:sSubPr>
                  <m:e>
                    <m:r>
                      <w:rPr>
                        <w:rFonts w:ascii="Cambria Math" w:hAnsi="Cambria Math" w:cstheme="majorBidi"/>
                      </w:rPr>
                      <m:t>u</m:t>
                    </m:r>
                  </m:e>
                  <m:sub>
                    <m:r>
                      <m:rPr>
                        <m:sty m:val="p"/>
                      </m:rPr>
                      <w:rPr>
                        <w:rFonts w:ascii="Cambria Math" w:hAnsi="Cambria Math" w:cstheme="majorBidi"/>
                      </w:rPr>
                      <m:t>max</m:t>
                    </m:r>
                  </m:sub>
                </m:sSub>
              </m:oMath>
            </m:oMathPara>
          </w:p>
        </w:tc>
        <w:tc>
          <w:tcPr>
            <w:tcW w:w="0" w:type="auto"/>
          </w:tcPr>
          <w:p w14:paraId="3586E3AB"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Maximum velocity of the fully developed undisturbed flow (m/s)</w:t>
            </w:r>
          </w:p>
        </w:tc>
      </w:tr>
      <w:tr w:rsidR="00DB18B6" w:rsidRPr="00D37D51" w14:paraId="57AF19D7" w14:textId="77777777" w:rsidTr="00D37D51">
        <w:trPr>
          <w:jc w:val="center"/>
        </w:trPr>
        <w:tc>
          <w:tcPr>
            <w:tcW w:w="0" w:type="auto"/>
          </w:tcPr>
          <w:p w14:paraId="23B88C0C"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b>
                  <m:sSubPr>
                    <m:ctrlPr>
                      <w:rPr>
                        <w:rFonts w:ascii="Cambria Math" w:eastAsia="Calibri" w:hAnsi="Cambria Math" w:cstheme="majorBidi"/>
                        <w:i/>
                      </w:rPr>
                    </m:ctrlPr>
                  </m:sSubPr>
                  <m:e>
                    <m:r>
                      <w:rPr>
                        <w:rFonts w:ascii="Cambria Math" w:eastAsia="Calibri" w:hAnsi="Cambria Math" w:cstheme="majorBidi"/>
                      </w:rPr>
                      <m:t>u</m:t>
                    </m:r>
                  </m:e>
                  <m:sub>
                    <m:r>
                      <m:rPr>
                        <m:sty m:val="p"/>
                      </m:rPr>
                      <w:rPr>
                        <w:rFonts w:ascii="Cambria Math" w:eastAsia="Calibri" w:hAnsi="Cambria Math" w:cstheme="majorBidi"/>
                      </w:rPr>
                      <m:t>slip</m:t>
                    </m:r>
                  </m:sub>
                </m:sSub>
              </m:oMath>
            </m:oMathPara>
          </w:p>
        </w:tc>
        <w:tc>
          <w:tcPr>
            <w:tcW w:w="0" w:type="auto"/>
          </w:tcPr>
          <w:p w14:paraId="79E16A11" w14:textId="77777777" w:rsidR="00DB18B6" w:rsidRPr="00D37D51" w:rsidRDefault="00DB18B6" w:rsidP="00D37D51">
            <w:pPr>
              <w:shd w:val="clear" w:color="auto" w:fill="FFFFFF" w:themeFill="background1"/>
              <w:spacing w:before="240" w:line="360" w:lineRule="auto"/>
              <w:rPr>
                <w:rFonts w:cstheme="majorBidi"/>
              </w:rPr>
            </w:pPr>
            <w:r w:rsidRPr="00D37D51">
              <w:rPr>
                <w:rFonts w:eastAsiaTheme="minorEastAsia" w:cstheme="majorBidi"/>
              </w:rPr>
              <w:t xml:space="preserve">The slip velocity between the flow and the particle in the </w:t>
            </w:r>
            <w:r w:rsidRPr="00D37D51">
              <w:rPr>
                <w:rFonts w:eastAsiaTheme="minorEastAsia" w:cstheme="majorBidi"/>
                <w:i/>
                <w:iCs/>
              </w:rPr>
              <w:t>x</w:t>
            </w:r>
            <w:r w:rsidRPr="00D37D51">
              <w:rPr>
                <w:rFonts w:eastAsiaTheme="minorEastAsia" w:cstheme="majorBidi"/>
              </w:rPr>
              <w:t xml:space="preserve">-direction (m/s) </w:t>
            </w:r>
          </w:p>
        </w:tc>
      </w:tr>
      <w:tr w:rsidR="00DB18B6" w:rsidRPr="00D37D51" w14:paraId="2E633AAB" w14:textId="77777777" w:rsidTr="00D37D51">
        <w:trPr>
          <w:jc w:val="center"/>
        </w:trPr>
        <w:tc>
          <w:tcPr>
            <w:tcW w:w="0" w:type="auto"/>
          </w:tcPr>
          <w:p w14:paraId="737F3D1F"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bSup>
                  <m:sSubSupPr>
                    <m:ctrlPr>
                      <w:rPr>
                        <w:rFonts w:ascii="Cambria Math" w:eastAsia="Calibri" w:hAnsi="Cambria Math" w:cstheme="majorBidi"/>
                        <w:i/>
                      </w:rPr>
                    </m:ctrlPr>
                  </m:sSubSupPr>
                  <m:e>
                    <m:r>
                      <w:rPr>
                        <w:rFonts w:ascii="Cambria Math" w:eastAsia="Calibri" w:hAnsi="Cambria Math" w:cstheme="majorBidi"/>
                      </w:rPr>
                      <m:t>u</m:t>
                    </m:r>
                  </m:e>
                  <m:sub>
                    <m:r>
                      <m:rPr>
                        <m:sty m:val="p"/>
                      </m:rPr>
                      <w:rPr>
                        <w:rFonts w:ascii="Cambria Math" w:eastAsia="Calibri" w:hAnsi="Cambria Math" w:cstheme="majorBidi"/>
                      </w:rPr>
                      <m:t>slip</m:t>
                    </m:r>
                  </m:sub>
                  <m:sup>
                    <m:r>
                      <w:rPr>
                        <w:rFonts w:ascii="Cambria Math" w:eastAsia="Calibri" w:hAnsi="Cambria Math" w:cstheme="majorBidi"/>
                      </w:rPr>
                      <m:t>*</m:t>
                    </m:r>
                  </m:sup>
                </m:sSubSup>
              </m:oMath>
            </m:oMathPara>
          </w:p>
        </w:tc>
        <w:tc>
          <w:tcPr>
            <w:tcW w:w="0" w:type="auto"/>
          </w:tcPr>
          <w:p w14:paraId="7358BD4D" w14:textId="77777777" w:rsidR="00DB18B6" w:rsidRPr="00D37D51" w:rsidRDefault="00DB18B6" w:rsidP="00D37D51">
            <w:pPr>
              <w:shd w:val="clear" w:color="auto" w:fill="FFFFFF" w:themeFill="background1"/>
              <w:spacing w:before="240" w:line="360" w:lineRule="auto"/>
              <w:rPr>
                <w:rFonts w:eastAsiaTheme="minorEastAsia" w:cstheme="majorBidi"/>
              </w:rPr>
            </w:pPr>
            <w:r w:rsidRPr="00D37D51">
              <w:rPr>
                <w:rFonts w:eastAsiaTheme="minorEastAsia" w:cstheme="majorBidi"/>
              </w:rPr>
              <w:t xml:space="preserve">Dimensionless slip velocity, </w:t>
            </w:r>
            <m:oMath>
              <m:sSubSup>
                <m:sSubSupPr>
                  <m:ctrlPr>
                    <w:rPr>
                      <w:rFonts w:ascii="Cambria Math" w:eastAsiaTheme="minorEastAsia" w:hAnsi="Cambria Math" w:cstheme="majorBidi"/>
                      <w:i/>
                    </w:rPr>
                  </m:ctrlPr>
                </m:sSubSupPr>
                <m:e>
                  <m:r>
                    <w:rPr>
                      <w:rFonts w:ascii="Cambria Math" w:eastAsiaTheme="minorEastAsia" w:hAnsi="Cambria Math" w:cstheme="majorBidi"/>
                    </w:rPr>
                    <m:t>u</m:t>
                  </m:r>
                </m:e>
                <m:sub>
                  <m:r>
                    <m:rPr>
                      <m:sty m:val="p"/>
                    </m:rPr>
                    <w:rPr>
                      <w:rFonts w:ascii="Cambria Math" w:eastAsiaTheme="minorEastAsia" w:hAnsi="Cambria Math" w:cstheme="majorBidi"/>
                    </w:rPr>
                    <m:t>slip</m:t>
                  </m:r>
                </m:sub>
                <m:sup>
                  <m:r>
                    <w:rPr>
                      <w:rFonts w:ascii="Cambria Math" w:eastAsiaTheme="minorEastAsia" w:hAnsi="Cambria Math" w:cstheme="majorBidi"/>
                    </w:rPr>
                    <m:t>*</m:t>
                  </m:r>
                </m:sup>
              </m:sSubSup>
              <m:r>
                <w:rPr>
                  <w:rFonts w:ascii="Cambria Math" w:eastAsiaTheme="minorEastAsia" w:hAnsi="Cambria Math" w:cstheme="majorBidi"/>
                </w:rPr>
                <m:t>=</m:t>
              </m:r>
              <m:f>
                <m:fPr>
                  <m:type m:val="lin"/>
                  <m:ctrlPr>
                    <w:rPr>
                      <w:rFonts w:ascii="Cambria Math" w:eastAsiaTheme="minorEastAsia" w:hAnsi="Cambria Math" w:cstheme="majorBidi"/>
                      <w:i/>
                    </w:rPr>
                  </m:ctrlPr>
                </m:fPr>
                <m:num>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slip</m:t>
                      </m:r>
                    </m:sub>
                  </m:sSub>
                  <m:r>
                    <w:rPr>
                      <w:rFonts w:ascii="Cambria Math" w:eastAsiaTheme="minorEastAsia" w:hAnsi="Cambria Math" w:cstheme="majorBidi"/>
                    </w:rPr>
                    <m:t>D</m:t>
                  </m:r>
                </m:num>
                <m:den>
                  <m:r>
                    <w:rPr>
                      <w:rFonts w:ascii="Cambria Math" w:eastAsiaTheme="minorEastAsia" w:hAnsi="Cambria Math" w:cstheme="majorBidi"/>
                    </w:rPr>
                    <m:t>ν</m:t>
                  </m:r>
                </m:den>
              </m:f>
            </m:oMath>
          </w:p>
        </w:tc>
      </w:tr>
      <w:tr w:rsidR="00DB18B6" w:rsidRPr="00D37D51" w14:paraId="404521A6" w14:textId="77777777" w:rsidTr="00D37D51">
        <w:trPr>
          <w:jc w:val="center"/>
        </w:trPr>
        <w:tc>
          <w:tcPr>
            <w:tcW w:w="0" w:type="auto"/>
            <w:hideMark/>
          </w:tcPr>
          <w:p w14:paraId="2FCE8A2A" w14:textId="77777777" w:rsidR="00DB18B6" w:rsidRPr="00D37D51" w:rsidRDefault="00DB18B6" w:rsidP="00D37D51">
            <w:pPr>
              <w:shd w:val="clear" w:color="auto" w:fill="FFFFFF" w:themeFill="background1"/>
              <w:spacing w:before="240" w:line="360" w:lineRule="auto"/>
              <w:rPr>
                <w:rFonts w:eastAsia="Calibri" w:cstheme="majorBidi"/>
                <w:b/>
                <w:bCs/>
                <w:iCs/>
              </w:rPr>
            </w:pPr>
            <m:oMathPara>
              <m:oMathParaPr>
                <m:jc m:val="left"/>
              </m:oMathParaPr>
              <m:oMath>
                <m:r>
                  <m:rPr>
                    <m:sty m:val="b"/>
                  </m:rPr>
                  <w:rPr>
                    <w:rFonts w:ascii="Cambria Math" w:eastAsia="Calibri" w:hAnsi="Cambria Math" w:cstheme="majorBidi"/>
                  </w:rPr>
                  <m:t>V</m:t>
                </m:r>
              </m:oMath>
            </m:oMathPara>
          </w:p>
        </w:tc>
        <w:tc>
          <w:tcPr>
            <w:tcW w:w="0" w:type="auto"/>
            <w:hideMark/>
          </w:tcPr>
          <w:p w14:paraId="21973125"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Velocity vector (m/s)</w:t>
            </w:r>
          </w:p>
        </w:tc>
      </w:tr>
      <w:tr w:rsidR="00DB18B6" w:rsidRPr="00D37D51" w14:paraId="1BF9E9FF" w14:textId="77777777" w:rsidTr="00D37D51">
        <w:trPr>
          <w:jc w:val="center"/>
        </w:trPr>
        <w:tc>
          <w:tcPr>
            <w:tcW w:w="0" w:type="auto"/>
          </w:tcPr>
          <w:p w14:paraId="3728A28A" w14:textId="77777777" w:rsidR="00DB18B6" w:rsidRPr="00D37D51" w:rsidRDefault="00000000" w:rsidP="00D37D51">
            <w:pPr>
              <w:shd w:val="clear" w:color="auto" w:fill="FFFFFF" w:themeFill="background1"/>
              <w:spacing w:before="240" w:line="360" w:lineRule="auto"/>
              <w:rPr>
                <w:rFonts w:eastAsia="Calibri" w:cstheme="majorBidi"/>
                <w:b/>
              </w:rPr>
            </w:pPr>
            <m:oMathPara>
              <m:oMathParaPr>
                <m:jc m:val="left"/>
              </m:oMathParaPr>
              <m:oMath>
                <m:sSup>
                  <m:sSupPr>
                    <m:ctrlPr>
                      <w:rPr>
                        <w:rFonts w:ascii="Cambria Math" w:eastAsia="Calibri" w:hAnsi="Cambria Math" w:cstheme="majorBidi"/>
                        <w:b/>
                        <w:i/>
                      </w:rPr>
                    </m:ctrlPr>
                  </m:sSupPr>
                  <m:e>
                    <m:r>
                      <m:rPr>
                        <m:sty m:val="b"/>
                      </m:rPr>
                      <w:rPr>
                        <w:rFonts w:ascii="Cambria Math" w:eastAsia="Calibri" w:hAnsi="Cambria Math" w:cstheme="majorBidi"/>
                      </w:rPr>
                      <m:t>V</m:t>
                    </m:r>
                  </m:e>
                  <m:sup>
                    <m:r>
                      <m:rPr>
                        <m:sty m:val="bi"/>
                      </m:rPr>
                      <w:rPr>
                        <w:rFonts w:ascii="Cambria Math" w:eastAsia="Calibri" w:hAnsi="Cambria Math" w:cstheme="majorBidi"/>
                      </w:rPr>
                      <m:t>*</m:t>
                    </m:r>
                  </m:sup>
                </m:sSup>
              </m:oMath>
            </m:oMathPara>
          </w:p>
        </w:tc>
        <w:tc>
          <w:tcPr>
            <w:tcW w:w="0" w:type="auto"/>
          </w:tcPr>
          <w:p w14:paraId="2CF05BAE"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velocity vector, </w:t>
            </w:r>
            <m:oMath>
              <m:sSup>
                <m:sSupPr>
                  <m:ctrlPr>
                    <w:rPr>
                      <w:rFonts w:ascii="Cambria Math" w:eastAsiaTheme="minorEastAsia" w:hAnsi="Cambria Math" w:cstheme="majorBidi"/>
                      <w:i/>
                    </w:rPr>
                  </m:ctrlPr>
                </m:sSupPr>
                <m:e>
                  <m:r>
                    <m:rPr>
                      <m:sty m:val="b"/>
                    </m:rPr>
                    <w:rPr>
                      <w:rFonts w:ascii="Cambria Math" w:eastAsiaTheme="minorEastAsia" w:hAnsi="Cambria Math" w:cstheme="majorBidi"/>
                    </w:rPr>
                    <m:t>V</m:t>
                  </m:r>
                </m:e>
                <m:sup>
                  <m:r>
                    <w:rPr>
                      <w:rFonts w:ascii="Cambria Math" w:eastAsiaTheme="minorEastAsia" w:hAnsi="Cambria Math" w:cstheme="majorBidi"/>
                    </w:rPr>
                    <m:t>*</m:t>
                  </m:r>
                </m:sup>
              </m:sSup>
              <m:r>
                <w:rPr>
                  <w:rFonts w:ascii="Cambria Math" w:eastAsiaTheme="minorEastAsia" w:hAnsi="Cambria Math" w:cstheme="majorBidi"/>
                </w:rPr>
                <m:t>=</m:t>
              </m:r>
              <m:f>
                <m:fPr>
                  <m:type m:val="lin"/>
                  <m:ctrlPr>
                    <w:rPr>
                      <w:rFonts w:ascii="Cambria Math" w:eastAsiaTheme="minorEastAsia" w:hAnsi="Cambria Math" w:cstheme="majorBidi"/>
                      <w:i/>
                    </w:rPr>
                  </m:ctrlPr>
                </m:fPr>
                <m:num>
                  <m:r>
                    <m:rPr>
                      <m:sty m:val="b"/>
                    </m:rPr>
                    <w:rPr>
                      <w:rFonts w:ascii="Cambria Math" w:eastAsiaTheme="minorEastAsia" w:hAnsi="Cambria Math" w:cstheme="majorBidi"/>
                    </w:rPr>
                    <m:t>V</m:t>
                  </m:r>
                </m:num>
                <m:den>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den>
              </m:f>
            </m:oMath>
          </w:p>
        </w:tc>
      </w:tr>
      <w:tr w:rsidR="00DB18B6" w:rsidRPr="00D37D51" w14:paraId="6ED8CEFC" w14:textId="77777777" w:rsidTr="00D37D51">
        <w:trPr>
          <w:jc w:val="center"/>
        </w:trPr>
        <w:tc>
          <w:tcPr>
            <w:tcW w:w="0" w:type="auto"/>
          </w:tcPr>
          <w:p w14:paraId="5D928F90" w14:textId="77777777" w:rsidR="00DB18B6" w:rsidRPr="00D37D51" w:rsidRDefault="00000000" w:rsidP="00D37D51">
            <w:pPr>
              <w:shd w:val="clear" w:color="auto" w:fill="FFFFFF" w:themeFill="background1"/>
              <w:spacing w:before="240" w:line="360" w:lineRule="auto"/>
              <w:rPr>
                <w:rFonts w:eastAsia="Calibri" w:cstheme="majorBidi"/>
                <w:b/>
              </w:rPr>
            </w:pPr>
            <m:oMathPara>
              <m:oMathParaPr>
                <m:jc m:val="left"/>
              </m:oMathParaPr>
              <m:oMath>
                <m:sSub>
                  <m:sSubPr>
                    <m:ctrlPr>
                      <w:rPr>
                        <w:rStyle w:val="fontstyle01"/>
                        <w:rFonts w:ascii="Cambria Math" w:hAnsi="Cambria Math" w:cstheme="majorBidi"/>
                        <w:b/>
                        <w:bCs/>
                        <w:i/>
                        <w:color w:val="auto"/>
                      </w:rPr>
                    </m:ctrlPr>
                  </m:sSubPr>
                  <m:e>
                    <m:r>
                      <m:rPr>
                        <m:sty m:val="b"/>
                      </m:rPr>
                      <w:rPr>
                        <w:rStyle w:val="fontstyle01"/>
                        <w:rFonts w:ascii="Cambria Math" w:hAnsi="Cambria Math" w:cstheme="majorBidi"/>
                      </w:rPr>
                      <m:t>V</m:t>
                    </m:r>
                  </m:e>
                  <m:sub>
                    <m:r>
                      <m:rPr>
                        <m:sty m:val="p"/>
                      </m:rPr>
                      <w:rPr>
                        <w:rStyle w:val="fontstyle01"/>
                        <w:rFonts w:ascii="Cambria Math" w:hAnsi="Cambria Math" w:cstheme="majorBidi"/>
                      </w:rPr>
                      <m:t>frame</m:t>
                    </m:r>
                  </m:sub>
                </m:sSub>
              </m:oMath>
            </m:oMathPara>
          </w:p>
        </w:tc>
        <w:tc>
          <w:tcPr>
            <w:tcW w:w="0" w:type="auto"/>
          </w:tcPr>
          <w:p w14:paraId="5A9A5C6E"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Moving velocity vector of the reference frame (m/s)</w:t>
            </w:r>
          </w:p>
        </w:tc>
      </w:tr>
      <w:tr w:rsidR="00DB18B6" w:rsidRPr="00D37D51" w14:paraId="74451008" w14:textId="77777777" w:rsidTr="00D37D51">
        <w:trPr>
          <w:jc w:val="center"/>
        </w:trPr>
        <w:tc>
          <w:tcPr>
            <w:tcW w:w="0" w:type="auto"/>
          </w:tcPr>
          <w:p w14:paraId="0E899063" w14:textId="77777777" w:rsidR="00DB18B6" w:rsidRPr="00D37D51" w:rsidRDefault="00000000" w:rsidP="00D37D51">
            <w:pPr>
              <w:shd w:val="clear" w:color="auto" w:fill="FFFFFF" w:themeFill="background1"/>
              <w:spacing w:before="240" w:line="360" w:lineRule="auto"/>
              <w:rPr>
                <w:rFonts w:eastAsia="Calibri" w:cstheme="majorBidi"/>
                <w:b/>
                <w:bCs/>
              </w:rPr>
            </w:pPr>
            <m:oMathPara>
              <m:oMathParaPr>
                <m:jc m:val="left"/>
              </m:oMathParaPr>
              <m:oMath>
                <m:sSub>
                  <m:sSubPr>
                    <m:ctrlPr>
                      <w:rPr>
                        <w:rStyle w:val="fontstyle01"/>
                        <w:rFonts w:ascii="Cambria Math" w:hAnsi="Cambria Math" w:cstheme="majorBidi"/>
                        <w:b/>
                        <w:bCs/>
                        <w:i/>
                        <w:color w:val="auto"/>
                      </w:rPr>
                    </m:ctrlPr>
                  </m:sSubPr>
                  <m:e>
                    <m:r>
                      <m:rPr>
                        <m:sty m:val="b"/>
                      </m:rPr>
                      <w:rPr>
                        <w:rStyle w:val="fontstyle01"/>
                        <w:rFonts w:ascii="Cambria Math" w:hAnsi="Cambria Math" w:cstheme="majorBidi"/>
                      </w:rPr>
                      <m:t>V</m:t>
                    </m:r>
                  </m:e>
                  <m:sub>
                    <m:r>
                      <m:rPr>
                        <m:sty m:val="p"/>
                      </m:rPr>
                      <w:rPr>
                        <w:rStyle w:val="fontstyle01"/>
                        <w:rFonts w:ascii="Cambria Math" w:hAnsi="Cambria Math" w:cstheme="majorBidi"/>
                      </w:rPr>
                      <m:t>mesh</m:t>
                    </m:r>
                  </m:sub>
                </m:sSub>
              </m:oMath>
            </m:oMathPara>
          </w:p>
        </w:tc>
        <w:tc>
          <w:tcPr>
            <w:tcW w:w="0" w:type="auto"/>
          </w:tcPr>
          <w:p w14:paraId="4E74DCBD"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Mesh velocity vector (m/s)</w:t>
            </w:r>
          </w:p>
        </w:tc>
      </w:tr>
      <w:tr w:rsidR="00DB18B6" w:rsidRPr="00D37D51" w14:paraId="537E2F0F" w14:textId="77777777" w:rsidTr="00D37D51">
        <w:trPr>
          <w:jc w:val="center"/>
        </w:trPr>
        <w:tc>
          <w:tcPr>
            <w:tcW w:w="0" w:type="auto"/>
          </w:tcPr>
          <w:p w14:paraId="1884E6CA" w14:textId="77777777" w:rsidR="00DB18B6" w:rsidRPr="00D37D51" w:rsidRDefault="00DB18B6" w:rsidP="00D37D51">
            <w:pPr>
              <w:shd w:val="clear" w:color="auto" w:fill="FFFFFF" w:themeFill="background1"/>
              <w:spacing w:before="240" w:line="360" w:lineRule="auto"/>
              <w:rPr>
                <w:rStyle w:val="fontstyle01"/>
                <w:rFonts w:asciiTheme="majorBidi" w:eastAsia="Calibri" w:hAnsiTheme="majorBidi" w:cstheme="majorBidi"/>
                <w:b/>
                <w:bCs/>
              </w:rPr>
            </w:pPr>
            <m:oMathPara>
              <m:oMathParaPr>
                <m:jc m:val="left"/>
              </m:oMathParaPr>
              <m:oMath>
                <m:r>
                  <w:rPr>
                    <w:rFonts w:ascii="Cambria Math" w:eastAsia="Calibri" w:hAnsi="Cambria Math" w:cstheme="majorBidi"/>
                  </w:rPr>
                  <m:t>v</m:t>
                </m:r>
              </m:oMath>
            </m:oMathPara>
          </w:p>
        </w:tc>
        <w:tc>
          <w:tcPr>
            <w:tcW w:w="0" w:type="auto"/>
          </w:tcPr>
          <w:p w14:paraId="3D968BCE" w14:textId="77777777" w:rsidR="00DB18B6" w:rsidRPr="00D37D51" w:rsidRDefault="00DB18B6" w:rsidP="00D37D51">
            <w:pPr>
              <w:shd w:val="clear" w:color="auto" w:fill="FFFFFF" w:themeFill="background1"/>
              <w:spacing w:before="240" w:line="360" w:lineRule="auto"/>
              <w:rPr>
                <w:rFonts w:cstheme="majorBidi"/>
              </w:rPr>
            </w:pPr>
            <w:r w:rsidRPr="00D37D51">
              <w:rPr>
                <w:rFonts w:eastAsiaTheme="minorEastAsia" w:cstheme="majorBidi"/>
              </w:rPr>
              <w:t xml:space="preserve">Velocity in </w:t>
            </w:r>
            <w:r w:rsidRPr="00D37D51">
              <w:rPr>
                <w:rFonts w:eastAsiaTheme="minorEastAsia" w:cstheme="majorBidi"/>
                <w:i/>
                <w:iCs/>
              </w:rPr>
              <w:t>y</w:t>
            </w:r>
            <w:r w:rsidRPr="00D37D51">
              <w:rPr>
                <w:rFonts w:eastAsiaTheme="minorEastAsia" w:cstheme="majorBidi"/>
              </w:rPr>
              <w:t>-direction</w:t>
            </w:r>
          </w:p>
        </w:tc>
      </w:tr>
      <w:tr w:rsidR="00DB18B6" w:rsidRPr="00D37D51" w14:paraId="177272AA" w14:textId="77777777" w:rsidTr="00D37D51">
        <w:trPr>
          <w:jc w:val="center"/>
        </w:trPr>
        <w:tc>
          <w:tcPr>
            <w:tcW w:w="0" w:type="auto"/>
          </w:tcPr>
          <w:p w14:paraId="2AE02865"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b>
                  <m:sSubPr>
                    <m:ctrlPr>
                      <w:rPr>
                        <w:rFonts w:ascii="Cambria Math" w:eastAsiaTheme="minorEastAsia" w:hAnsi="Cambria Math" w:cstheme="majorBidi"/>
                        <w:b/>
                        <w:i/>
                      </w:rPr>
                    </m:ctrlPr>
                  </m:sSubPr>
                  <m:e>
                    <m:r>
                      <w:rPr>
                        <w:rFonts w:ascii="Cambria Math" w:eastAsiaTheme="minorEastAsia" w:hAnsi="Cambria Math" w:cstheme="majorBidi"/>
                      </w:rPr>
                      <m:t>V</m:t>
                    </m:r>
                  </m:e>
                  <m:sub>
                    <m:r>
                      <m:rPr>
                        <m:sty m:val="p"/>
                      </m:rPr>
                      <w:rPr>
                        <w:rFonts w:ascii="Cambria Math" w:eastAsiaTheme="minorEastAsia" w:hAnsi="Cambria Math" w:cstheme="majorBidi"/>
                      </w:rPr>
                      <m:t>CV</m:t>
                    </m:r>
                  </m:sub>
                </m:sSub>
              </m:oMath>
            </m:oMathPara>
          </w:p>
        </w:tc>
        <w:tc>
          <w:tcPr>
            <w:tcW w:w="0" w:type="auto"/>
          </w:tcPr>
          <w:p w14:paraId="747A6B47" w14:textId="77777777" w:rsidR="00DB18B6" w:rsidRPr="00D37D51" w:rsidRDefault="00DB18B6" w:rsidP="00D37D51">
            <w:pPr>
              <w:shd w:val="clear" w:color="auto" w:fill="FFFFFF" w:themeFill="background1"/>
              <w:spacing w:before="240" w:line="360" w:lineRule="auto"/>
              <w:rPr>
                <w:rFonts w:eastAsiaTheme="minorEastAsia" w:cstheme="majorBidi"/>
              </w:rPr>
            </w:pPr>
            <w:r w:rsidRPr="00D37D51">
              <w:rPr>
                <w:rFonts w:cstheme="majorBidi"/>
              </w:rPr>
              <w:t>Volume of the control volume, (m</w:t>
            </w:r>
            <w:r w:rsidRPr="00D37D51">
              <w:rPr>
                <w:rFonts w:cstheme="majorBidi"/>
                <w:vertAlign w:val="superscript"/>
              </w:rPr>
              <w:t>3</w:t>
            </w:r>
            <w:r w:rsidRPr="00D37D51">
              <w:rPr>
                <w:rFonts w:cstheme="majorBidi"/>
              </w:rPr>
              <w:t>)</w:t>
            </w:r>
          </w:p>
        </w:tc>
      </w:tr>
      <w:tr w:rsidR="00DB18B6" w:rsidRPr="00D37D51" w14:paraId="4D382045" w14:textId="77777777" w:rsidTr="00D37D51">
        <w:trPr>
          <w:jc w:val="center"/>
        </w:trPr>
        <w:tc>
          <w:tcPr>
            <w:tcW w:w="0" w:type="auto"/>
            <w:hideMark/>
          </w:tcPr>
          <w:p w14:paraId="1CA59E94" w14:textId="77777777" w:rsidR="00DB18B6" w:rsidRPr="00D37D51" w:rsidRDefault="00DB18B6" w:rsidP="00D37D51">
            <w:pPr>
              <w:shd w:val="clear" w:color="auto" w:fill="FFFFFF" w:themeFill="background1"/>
              <w:spacing w:before="240" w:line="360" w:lineRule="auto"/>
              <w:rPr>
                <w:rFonts w:cstheme="majorBidi"/>
              </w:rPr>
            </w:pPr>
            <m:oMathPara>
              <m:oMathParaPr>
                <m:jc m:val="left"/>
              </m:oMathParaPr>
              <m:oMath>
                <m:r>
                  <w:rPr>
                    <w:rFonts w:ascii="Cambria Math" w:hAnsi="Cambria Math" w:cstheme="majorBidi"/>
                  </w:rPr>
                  <m:t>W</m:t>
                </m:r>
              </m:oMath>
            </m:oMathPara>
          </w:p>
        </w:tc>
        <w:tc>
          <w:tcPr>
            <w:tcW w:w="0" w:type="auto"/>
            <w:hideMark/>
          </w:tcPr>
          <w:p w14:paraId="18C15DCC"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Width of the computational domain (m)</w:t>
            </w:r>
          </w:p>
        </w:tc>
      </w:tr>
      <w:tr w:rsidR="00DB18B6" w:rsidRPr="00D37D51" w14:paraId="3BA6A475" w14:textId="77777777" w:rsidTr="00D37D51">
        <w:trPr>
          <w:jc w:val="center"/>
        </w:trPr>
        <w:tc>
          <w:tcPr>
            <w:tcW w:w="0" w:type="auto"/>
          </w:tcPr>
          <w:p w14:paraId="7D3AC3A4" w14:textId="77777777" w:rsidR="00DB18B6" w:rsidRPr="00D37D51" w:rsidRDefault="00DB18B6" w:rsidP="00D37D51">
            <w:pPr>
              <w:shd w:val="clear" w:color="auto" w:fill="FFFFFF" w:themeFill="background1"/>
              <w:spacing w:before="240" w:line="360" w:lineRule="auto"/>
              <w:rPr>
                <w:rFonts w:eastAsia="Calibri" w:cstheme="majorBidi"/>
                <w:b/>
                <w:bCs/>
              </w:rPr>
            </w:pPr>
            <m:oMathPara>
              <m:oMathParaPr>
                <m:jc m:val="left"/>
              </m:oMathParaPr>
              <m:oMath>
                <m:r>
                  <m:rPr>
                    <m:sty m:val="bi"/>
                  </m:rPr>
                  <w:rPr>
                    <w:rFonts w:ascii="Cambria Math" w:eastAsia="Calibri" w:hAnsi="Cambria Math" w:cstheme="majorBidi"/>
                  </w:rPr>
                  <m:t>X</m:t>
                </m:r>
              </m:oMath>
            </m:oMathPara>
          </w:p>
        </w:tc>
        <w:tc>
          <w:tcPr>
            <w:tcW w:w="0" w:type="auto"/>
            <w:shd w:val="clear" w:color="auto" w:fill="FFFFFF" w:themeFill="background1"/>
          </w:tcPr>
          <w:p w14:paraId="52705CD8"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Coordinates of a particular point </w:t>
            </w:r>
          </w:p>
        </w:tc>
      </w:tr>
      <w:tr w:rsidR="00DB18B6" w:rsidRPr="00D37D51" w14:paraId="5881C98D" w14:textId="77777777" w:rsidTr="00D37D51">
        <w:trPr>
          <w:jc w:val="center"/>
        </w:trPr>
        <w:tc>
          <w:tcPr>
            <w:tcW w:w="0" w:type="auto"/>
            <w:hideMark/>
          </w:tcPr>
          <w:p w14:paraId="02FFFC1E"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x</m:t>
                </m:r>
              </m:oMath>
            </m:oMathPara>
          </w:p>
        </w:tc>
        <w:tc>
          <w:tcPr>
            <w:tcW w:w="0" w:type="auto"/>
            <w:hideMark/>
          </w:tcPr>
          <w:p w14:paraId="3177B5AF"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i/>
                <w:iCs/>
              </w:rPr>
              <w:t>x</w:t>
            </w:r>
            <w:r w:rsidRPr="00D37D51">
              <w:rPr>
                <w:rFonts w:cstheme="majorBidi"/>
              </w:rPr>
              <w:t>-coordinate (m)</w:t>
            </w:r>
          </w:p>
        </w:tc>
      </w:tr>
      <w:tr w:rsidR="00DB18B6" w:rsidRPr="00D37D51" w14:paraId="6A3EC0B3" w14:textId="77777777" w:rsidTr="00D37D51">
        <w:trPr>
          <w:jc w:val="center"/>
        </w:trPr>
        <w:tc>
          <w:tcPr>
            <w:tcW w:w="0" w:type="auto"/>
          </w:tcPr>
          <w:p w14:paraId="061E01F0"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Theme="minorEastAsia" w:hAnsi="Cambria Math" w:cstheme="majorBidi"/>
                        <w:i/>
                      </w:rPr>
                    </m:ctrlPr>
                  </m:sSupPr>
                  <m:e>
                    <m:r>
                      <w:rPr>
                        <w:rFonts w:ascii="Cambria Math" w:eastAsiaTheme="minorEastAsia" w:hAnsi="Cambria Math" w:cstheme="majorBidi"/>
                      </w:rPr>
                      <m:t>x</m:t>
                    </m:r>
                  </m:e>
                  <m:sup>
                    <m:r>
                      <w:rPr>
                        <w:rFonts w:ascii="Cambria Math" w:eastAsiaTheme="minorEastAsia" w:hAnsi="Cambria Math" w:cstheme="majorBidi"/>
                      </w:rPr>
                      <m:t>*</m:t>
                    </m:r>
                  </m:sup>
                </m:sSup>
              </m:oMath>
            </m:oMathPara>
          </w:p>
        </w:tc>
        <w:tc>
          <w:tcPr>
            <w:tcW w:w="0" w:type="auto"/>
          </w:tcPr>
          <w:p w14:paraId="483D1440" w14:textId="77777777" w:rsidR="00DB18B6" w:rsidRPr="00D37D51" w:rsidRDefault="00DB18B6" w:rsidP="00D37D51">
            <w:pPr>
              <w:shd w:val="clear" w:color="auto" w:fill="FFFFFF" w:themeFill="background1"/>
              <w:spacing w:before="240" w:line="360" w:lineRule="auto"/>
              <w:rPr>
                <w:rFonts w:cstheme="majorBidi"/>
                <w:i/>
                <w:iCs/>
              </w:rPr>
            </w:pPr>
            <w:r w:rsidRPr="00D37D51">
              <w:rPr>
                <w:rFonts w:cstheme="majorBidi"/>
              </w:rPr>
              <w:t xml:space="preserve">Dimensionless position in the x-direction, </w:t>
            </w:r>
            <m:oMath>
              <m:sSup>
                <m:sSupPr>
                  <m:ctrlPr>
                    <w:rPr>
                      <w:rFonts w:ascii="Cambria Math" w:eastAsia="Calibri" w:hAnsi="Cambria Math" w:cstheme="majorBidi"/>
                      <w:i/>
                    </w:rPr>
                  </m:ctrlPr>
                </m:sSupPr>
                <m:e>
                  <m:r>
                    <w:rPr>
                      <w:rFonts w:ascii="Cambria Math" w:eastAsia="Calibri" w:hAnsi="Cambria Math" w:cstheme="majorBidi"/>
                    </w:rPr>
                    <m:t>x</m:t>
                  </m:r>
                </m:e>
                <m:sup>
                  <m:r>
                    <w:rPr>
                      <w:rFonts w:ascii="Cambria Math" w:eastAsia="Calibri" w:hAnsi="Cambria Math" w:cstheme="majorBidi"/>
                    </w:rPr>
                    <m:t>*</m:t>
                  </m:r>
                </m:sup>
              </m:sSup>
              <m:r>
                <w:rPr>
                  <w:rFonts w:ascii="Cambria Math" w:eastAsia="Calibri" w:hAnsi="Cambria Math" w:cstheme="majorBidi"/>
                </w:rPr>
                <m:t>=x/D</m:t>
              </m:r>
            </m:oMath>
          </w:p>
        </w:tc>
      </w:tr>
      <w:tr w:rsidR="00DB18B6" w:rsidRPr="00D37D51" w14:paraId="3C0A4C7B" w14:textId="77777777" w:rsidTr="00D37D51">
        <w:trPr>
          <w:jc w:val="center"/>
        </w:trPr>
        <w:tc>
          <w:tcPr>
            <w:tcW w:w="0" w:type="auto"/>
          </w:tcPr>
          <w:p w14:paraId="047390FC"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Calibri" w:hAnsi="Cambria Math" w:cstheme="majorBidi"/>
                        <w:i/>
                      </w:rPr>
                    </m:ctrlPr>
                  </m:sSupPr>
                  <m:e>
                    <m:r>
                      <w:rPr>
                        <w:rFonts w:ascii="Cambria Math" w:eastAsia="Calibri" w:hAnsi="Cambria Math" w:cstheme="majorBidi"/>
                      </w:rPr>
                      <m:t>Y</m:t>
                    </m:r>
                  </m:e>
                  <m:sup>
                    <m:r>
                      <w:rPr>
                        <w:rFonts w:ascii="Cambria Math" w:eastAsia="Calibri" w:hAnsi="Cambria Math" w:cstheme="majorBidi"/>
                      </w:rPr>
                      <m:t>*</m:t>
                    </m:r>
                  </m:sup>
                </m:sSup>
              </m:oMath>
            </m:oMathPara>
          </w:p>
        </w:tc>
        <w:tc>
          <w:tcPr>
            <w:tcW w:w="0" w:type="auto"/>
          </w:tcPr>
          <w:p w14:paraId="608DD3FC" w14:textId="77777777" w:rsidR="00DB18B6" w:rsidRPr="00D37D51" w:rsidRDefault="00DB18B6" w:rsidP="00D37D51">
            <w:pPr>
              <w:shd w:val="clear" w:color="auto" w:fill="FFFFFF" w:themeFill="background1"/>
              <w:spacing w:before="240" w:line="360" w:lineRule="auto"/>
              <w:rPr>
                <w:rFonts w:cstheme="majorBidi"/>
              </w:rPr>
            </w:pPr>
            <w:r w:rsidRPr="00D37D51">
              <w:rPr>
                <w:rFonts w:eastAsiaTheme="minorEastAsia" w:cstheme="majorBidi"/>
              </w:rPr>
              <w:t xml:space="preserve">Dimensionless lateral position of the particle, </w:t>
            </w:r>
            <m:oMath>
              <m:sSup>
                <m:sSupPr>
                  <m:ctrlPr>
                    <w:rPr>
                      <w:rFonts w:ascii="Cambria Math" w:eastAsia="Calibri" w:hAnsi="Cambria Math" w:cstheme="majorBidi"/>
                      <w:i/>
                    </w:rPr>
                  </m:ctrlPr>
                </m:sSupPr>
                <m:e>
                  <m:r>
                    <w:rPr>
                      <w:rFonts w:ascii="Cambria Math" w:eastAsia="Calibri" w:hAnsi="Cambria Math" w:cstheme="majorBidi"/>
                    </w:rPr>
                    <m:t>Y</m:t>
                  </m:r>
                </m:e>
                <m:sup>
                  <m:r>
                    <w:rPr>
                      <w:rFonts w:ascii="Cambria Math" w:eastAsia="Calibri" w:hAnsi="Cambria Math" w:cstheme="majorBidi"/>
                    </w:rPr>
                    <m:t>*</m:t>
                  </m:r>
                </m:sup>
              </m:sSup>
              <m:r>
                <w:rPr>
                  <w:rFonts w:ascii="Cambria Math" w:eastAsia="Calibri" w:hAnsi="Cambria Math" w:cstheme="majorBidi"/>
                </w:rPr>
                <m:t>=y/W</m:t>
              </m:r>
            </m:oMath>
          </w:p>
        </w:tc>
      </w:tr>
      <w:tr w:rsidR="00DB18B6" w:rsidRPr="00D37D51" w14:paraId="6D98BF81" w14:textId="77777777" w:rsidTr="00D37D51">
        <w:trPr>
          <w:jc w:val="center"/>
        </w:trPr>
        <w:tc>
          <w:tcPr>
            <w:tcW w:w="0" w:type="auto"/>
            <w:hideMark/>
          </w:tcPr>
          <w:p w14:paraId="7224CDAB"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y</m:t>
                </m:r>
              </m:oMath>
            </m:oMathPara>
          </w:p>
        </w:tc>
        <w:tc>
          <w:tcPr>
            <w:tcW w:w="0" w:type="auto"/>
            <w:hideMark/>
          </w:tcPr>
          <w:p w14:paraId="08F301CD"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i/>
                <w:iCs/>
              </w:rPr>
              <w:t>y</w:t>
            </w:r>
            <w:r w:rsidRPr="00D37D51">
              <w:rPr>
                <w:rFonts w:cstheme="majorBidi"/>
              </w:rPr>
              <w:t>-coordinate (m)</w:t>
            </w:r>
          </w:p>
        </w:tc>
      </w:tr>
      <w:tr w:rsidR="00DB18B6" w:rsidRPr="00D37D51" w14:paraId="3BE086CC" w14:textId="77777777" w:rsidTr="00D37D51">
        <w:trPr>
          <w:jc w:val="center"/>
        </w:trPr>
        <w:tc>
          <w:tcPr>
            <w:tcW w:w="0" w:type="auto"/>
          </w:tcPr>
          <w:p w14:paraId="17F7B43F" w14:textId="77777777" w:rsidR="00DB18B6" w:rsidRPr="00D37D51" w:rsidRDefault="00000000" w:rsidP="00D37D51">
            <w:pPr>
              <w:shd w:val="clear" w:color="auto" w:fill="FFFFFF" w:themeFill="background1"/>
              <w:spacing w:before="240" w:line="360" w:lineRule="auto"/>
              <w:rPr>
                <w:rFonts w:eastAsia="Calibri" w:cstheme="majorBidi"/>
              </w:rPr>
            </w:pPr>
            <m:oMathPara>
              <m:oMathParaPr>
                <m:jc m:val="left"/>
              </m:oMathParaPr>
              <m:oMath>
                <m:sSup>
                  <m:sSupPr>
                    <m:ctrlPr>
                      <w:rPr>
                        <w:rFonts w:ascii="Cambria Math" w:eastAsiaTheme="minorEastAsia" w:hAnsi="Cambria Math" w:cstheme="majorBidi"/>
                        <w:i/>
                      </w:rPr>
                    </m:ctrlPr>
                  </m:sSupPr>
                  <m:e>
                    <m:r>
                      <w:rPr>
                        <w:rFonts w:ascii="Cambria Math" w:eastAsiaTheme="minorEastAsia" w:hAnsi="Cambria Math" w:cstheme="majorBidi"/>
                      </w:rPr>
                      <m:t>y</m:t>
                    </m:r>
                  </m:e>
                  <m:sup>
                    <m:r>
                      <w:rPr>
                        <w:rFonts w:ascii="Cambria Math" w:eastAsiaTheme="minorEastAsia" w:hAnsi="Cambria Math" w:cstheme="majorBidi"/>
                      </w:rPr>
                      <m:t>*</m:t>
                    </m:r>
                  </m:sup>
                </m:sSup>
              </m:oMath>
            </m:oMathPara>
          </w:p>
        </w:tc>
        <w:tc>
          <w:tcPr>
            <w:tcW w:w="0" w:type="auto"/>
          </w:tcPr>
          <w:p w14:paraId="14CA9C72" w14:textId="77777777" w:rsidR="00DB18B6" w:rsidRPr="00D37D51" w:rsidRDefault="00DB18B6" w:rsidP="00D37D51">
            <w:pPr>
              <w:shd w:val="clear" w:color="auto" w:fill="FFFFFF" w:themeFill="background1"/>
              <w:spacing w:before="240" w:line="360" w:lineRule="auto"/>
              <w:rPr>
                <w:rFonts w:cstheme="majorBidi"/>
                <w:i/>
                <w:iCs/>
              </w:rPr>
            </w:pPr>
            <w:r w:rsidRPr="00D37D51">
              <w:rPr>
                <w:rFonts w:cstheme="majorBidi"/>
              </w:rPr>
              <w:t xml:space="preserve">Dimensionless position in the y-direction, </w:t>
            </w:r>
            <m:oMath>
              <m:sSup>
                <m:sSupPr>
                  <m:ctrlPr>
                    <w:rPr>
                      <w:rFonts w:ascii="Cambria Math" w:eastAsia="Calibri" w:hAnsi="Cambria Math" w:cstheme="majorBidi"/>
                      <w:i/>
                    </w:rPr>
                  </m:ctrlPr>
                </m:sSupPr>
                <m:e>
                  <m:r>
                    <w:rPr>
                      <w:rFonts w:ascii="Cambria Math" w:eastAsia="Calibri" w:hAnsi="Cambria Math" w:cstheme="majorBidi"/>
                    </w:rPr>
                    <m:t>y</m:t>
                  </m:r>
                </m:e>
                <m:sup>
                  <m:r>
                    <w:rPr>
                      <w:rFonts w:ascii="Cambria Math" w:eastAsia="Calibri" w:hAnsi="Cambria Math" w:cstheme="majorBidi"/>
                    </w:rPr>
                    <m:t>*</m:t>
                  </m:r>
                </m:sup>
              </m:sSup>
              <m:r>
                <w:rPr>
                  <w:rFonts w:ascii="Cambria Math" w:eastAsia="Calibri" w:hAnsi="Cambria Math" w:cstheme="majorBidi"/>
                </w:rPr>
                <m:t>=y/D</m:t>
              </m:r>
            </m:oMath>
          </w:p>
        </w:tc>
      </w:tr>
      <w:tr w:rsidR="00DB18B6" w:rsidRPr="00D37D51" w14:paraId="790C8483" w14:textId="77777777" w:rsidTr="00D37D51">
        <w:trPr>
          <w:jc w:val="center"/>
        </w:trPr>
        <w:tc>
          <w:tcPr>
            <w:tcW w:w="0" w:type="auto"/>
          </w:tcPr>
          <w:p w14:paraId="2FA02198"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Z</m:t>
                </m:r>
              </m:oMath>
            </m:oMathPara>
          </w:p>
        </w:tc>
        <w:tc>
          <w:tcPr>
            <w:tcW w:w="0" w:type="auto"/>
          </w:tcPr>
          <w:p w14:paraId="2D3583C2" w14:textId="77777777" w:rsidR="00DB18B6" w:rsidRPr="00D37D51" w:rsidRDefault="00DB18B6" w:rsidP="00D37D51">
            <w:pPr>
              <w:shd w:val="clear" w:color="auto" w:fill="FFFFFF" w:themeFill="background1"/>
              <w:spacing w:before="240" w:line="360" w:lineRule="auto"/>
              <w:rPr>
                <w:rFonts w:cstheme="majorBidi"/>
              </w:rPr>
            </w:pPr>
            <w:r w:rsidRPr="00D37D51">
              <w:rPr>
                <w:rFonts w:eastAsiaTheme="minorEastAsia" w:cstheme="majorBidi"/>
                <w:bCs/>
              </w:rPr>
              <w:t>Unit depth of the particle in the direction normal to the plane</w:t>
            </w:r>
          </w:p>
        </w:tc>
      </w:tr>
      <w:tr w:rsidR="00DB18B6" w:rsidRPr="00D37D51" w14:paraId="3690D73E" w14:textId="77777777" w:rsidTr="00D37D51">
        <w:trPr>
          <w:jc w:val="center"/>
        </w:trPr>
        <w:tc>
          <w:tcPr>
            <w:tcW w:w="0" w:type="auto"/>
          </w:tcPr>
          <w:p w14:paraId="70448A07"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m:rPr>
                    <m:sty m:val="p"/>
                  </m:rPr>
                  <w:rPr>
                    <w:rFonts w:ascii="Cambria Math" w:eastAsia="Calibri" w:hAnsi="Cambria Math" w:cstheme="majorBidi"/>
                  </w:rPr>
                  <m:t>Γ</m:t>
                </m:r>
              </m:oMath>
            </m:oMathPara>
          </w:p>
        </w:tc>
        <w:tc>
          <w:tcPr>
            <w:tcW w:w="0" w:type="auto"/>
            <w:shd w:val="clear" w:color="auto" w:fill="FFFFFF" w:themeFill="background1"/>
          </w:tcPr>
          <w:p w14:paraId="107012E0" w14:textId="77777777" w:rsidR="00DB18B6" w:rsidRPr="00D37D51" w:rsidRDefault="00DB18B6" w:rsidP="00D37D51">
            <w:pPr>
              <w:shd w:val="clear" w:color="auto" w:fill="FFFFFF" w:themeFill="background1"/>
              <w:spacing w:before="240" w:line="360" w:lineRule="auto"/>
              <w:rPr>
                <w:rFonts w:eastAsiaTheme="minorEastAsia" w:cstheme="majorBidi"/>
                <w:bCs/>
              </w:rPr>
            </w:pPr>
            <w:r w:rsidRPr="00D37D51">
              <w:rPr>
                <w:rFonts w:eastAsiaTheme="minorEastAsia" w:cstheme="majorBidi"/>
                <w:bCs/>
              </w:rPr>
              <w:t>Diffusion coefficient</w:t>
            </w:r>
          </w:p>
        </w:tc>
      </w:tr>
      <w:tr w:rsidR="00DB18B6" w:rsidRPr="00D37D51" w14:paraId="2FACACA5" w14:textId="77777777" w:rsidTr="00D37D51">
        <w:trPr>
          <w:jc w:val="center"/>
        </w:trPr>
        <w:tc>
          <w:tcPr>
            <w:tcW w:w="0" w:type="auto"/>
            <w:hideMark/>
          </w:tcPr>
          <w:p w14:paraId="6D9E4461" w14:textId="77777777" w:rsidR="00DB18B6" w:rsidRPr="00D37D51" w:rsidRDefault="00DB18B6" w:rsidP="00D37D51">
            <w:pPr>
              <w:shd w:val="clear" w:color="auto" w:fill="FFFFFF" w:themeFill="background1"/>
              <w:spacing w:before="240" w:line="360" w:lineRule="auto"/>
              <w:rPr>
                <w:rFonts w:cstheme="majorBidi"/>
              </w:rPr>
            </w:pPr>
            <m:oMathPara>
              <m:oMathParaPr>
                <m:jc m:val="left"/>
              </m:oMathParaPr>
              <m:oMath>
                <m:r>
                  <w:rPr>
                    <w:rFonts w:ascii="Cambria Math" w:hAnsi="Cambria Math" w:cstheme="majorBidi"/>
                  </w:rPr>
                  <m:t>α</m:t>
                </m:r>
              </m:oMath>
            </m:oMathPara>
          </w:p>
        </w:tc>
        <w:tc>
          <w:tcPr>
            <w:tcW w:w="0" w:type="auto"/>
            <w:hideMark/>
          </w:tcPr>
          <w:p w14:paraId="6BB23BCA"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Thermal diffusivity of the fluid (m</w:t>
            </w:r>
            <w:r w:rsidRPr="00D37D51">
              <w:rPr>
                <w:rFonts w:cstheme="majorBidi"/>
                <w:vertAlign w:val="superscript"/>
              </w:rPr>
              <w:t>2</w:t>
            </w:r>
            <w:r w:rsidRPr="00D37D51">
              <w:rPr>
                <w:rFonts w:cstheme="majorBidi"/>
              </w:rPr>
              <w:t>/s)</w:t>
            </w:r>
          </w:p>
        </w:tc>
      </w:tr>
      <w:tr w:rsidR="00DB18B6" w:rsidRPr="00D37D51" w14:paraId="21F126EE" w14:textId="77777777" w:rsidTr="00D37D51">
        <w:trPr>
          <w:jc w:val="center"/>
        </w:trPr>
        <w:tc>
          <w:tcPr>
            <w:tcW w:w="0" w:type="auto"/>
          </w:tcPr>
          <w:p w14:paraId="0E67FDF3" w14:textId="77777777" w:rsidR="00DB18B6" w:rsidRPr="00D37D51" w:rsidRDefault="00DB18B6" w:rsidP="00D37D51">
            <w:pPr>
              <w:shd w:val="clear" w:color="auto" w:fill="FFFFFF" w:themeFill="background1"/>
              <w:spacing w:before="240" w:line="360" w:lineRule="auto"/>
              <w:rPr>
                <w:rFonts w:eastAsia="Calibri" w:cstheme="majorBidi"/>
                <w:i/>
                <w:iCs/>
              </w:rPr>
            </w:pPr>
            <m:oMathPara>
              <m:oMathParaPr>
                <m:jc m:val="left"/>
              </m:oMathParaPr>
              <m:oMath>
                <m:r>
                  <w:rPr>
                    <w:rFonts w:ascii="Cambria Math" w:eastAsia="Calibri" w:hAnsi="Cambria Math" w:cstheme="majorBidi"/>
                  </w:rPr>
                  <m:t>β</m:t>
                </m:r>
              </m:oMath>
            </m:oMathPara>
          </w:p>
        </w:tc>
        <w:tc>
          <w:tcPr>
            <w:tcW w:w="0" w:type="auto"/>
          </w:tcPr>
          <w:p w14:paraId="46861C1C"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Coefficient of thermal expansion (1/K)</w:t>
            </w:r>
          </w:p>
        </w:tc>
      </w:tr>
      <w:tr w:rsidR="00DB18B6" w:rsidRPr="00D37D51" w14:paraId="52273D6D" w14:textId="77777777" w:rsidTr="00D37D51">
        <w:trPr>
          <w:jc w:val="center"/>
        </w:trPr>
        <w:tc>
          <w:tcPr>
            <w:tcW w:w="0" w:type="auto"/>
            <w:hideMark/>
          </w:tcPr>
          <w:p w14:paraId="3B6F3A40"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μ</m:t>
                </m:r>
              </m:oMath>
            </m:oMathPara>
          </w:p>
        </w:tc>
        <w:tc>
          <w:tcPr>
            <w:tcW w:w="0" w:type="auto"/>
            <w:hideMark/>
          </w:tcPr>
          <w:p w14:paraId="351A6F29"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Dynamic viscosity (kg/m·s)</w:t>
            </w:r>
          </w:p>
        </w:tc>
      </w:tr>
      <w:tr w:rsidR="00DB18B6" w:rsidRPr="00D37D51" w14:paraId="58F7CD52" w14:textId="77777777" w:rsidTr="00D37D51">
        <w:trPr>
          <w:jc w:val="center"/>
        </w:trPr>
        <w:tc>
          <w:tcPr>
            <w:tcW w:w="0" w:type="auto"/>
          </w:tcPr>
          <w:p w14:paraId="466C6E04"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ν</m:t>
                </m:r>
              </m:oMath>
            </m:oMathPara>
          </w:p>
        </w:tc>
        <w:tc>
          <w:tcPr>
            <w:tcW w:w="0" w:type="auto"/>
          </w:tcPr>
          <w:p w14:paraId="48C56D1D"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Kinematic viscosity (m</w:t>
            </w:r>
            <w:r w:rsidRPr="00D37D51">
              <w:rPr>
                <w:rFonts w:cstheme="majorBidi"/>
                <w:vertAlign w:val="superscript"/>
              </w:rPr>
              <w:t>2</w:t>
            </w:r>
            <w:r w:rsidRPr="00D37D51">
              <w:rPr>
                <w:rFonts w:cstheme="majorBidi"/>
              </w:rPr>
              <w:t>/s)</w:t>
            </w:r>
          </w:p>
        </w:tc>
      </w:tr>
      <w:tr w:rsidR="00DB18B6" w:rsidRPr="00D37D51" w14:paraId="1FC759C0" w14:textId="77777777" w:rsidTr="00D37D51">
        <w:trPr>
          <w:jc w:val="center"/>
        </w:trPr>
        <w:tc>
          <w:tcPr>
            <w:tcW w:w="0" w:type="auto"/>
            <w:hideMark/>
          </w:tcPr>
          <w:p w14:paraId="358CB02F"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hAnsi="Cambria Math" w:cstheme="majorBidi"/>
                  </w:rPr>
                  <m:t>ρ</m:t>
                </m:r>
              </m:oMath>
            </m:oMathPara>
          </w:p>
        </w:tc>
        <w:tc>
          <w:tcPr>
            <w:tcW w:w="0" w:type="auto"/>
            <w:hideMark/>
          </w:tcPr>
          <w:p w14:paraId="714FDC67"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Density (kg/m</w:t>
            </w:r>
            <w:r w:rsidRPr="00D37D51">
              <w:rPr>
                <w:rFonts w:cstheme="majorBidi"/>
                <w:vertAlign w:val="superscript"/>
              </w:rPr>
              <w:t>3</w:t>
            </w:r>
            <w:r w:rsidRPr="00D37D51">
              <w:rPr>
                <w:rFonts w:cstheme="majorBidi"/>
              </w:rPr>
              <w:t>)</w:t>
            </w:r>
          </w:p>
        </w:tc>
      </w:tr>
      <w:tr w:rsidR="00DB18B6" w:rsidRPr="00D37D51" w14:paraId="36CC3C6B" w14:textId="77777777" w:rsidTr="00D37D51">
        <w:trPr>
          <w:jc w:val="center"/>
        </w:trPr>
        <w:tc>
          <w:tcPr>
            <w:tcW w:w="0" w:type="auto"/>
          </w:tcPr>
          <w:p w14:paraId="3DCAD7D1"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σ</m:t>
                </m:r>
              </m:oMath>
            </m:oMathPara>
          </w:p>
        </w:tc>
        <w:tc>
          <w:tcPr>
            <w:tcW w:w="0" w:type="auto"/>
          </w:tcPr>
          <w:p w14:paraId="29C64831"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Stress tensor (Pa)</w:t>
            </w:r>
          </w:p>
        </w:tc>
      </w:tr>
      <w:tr w:rsidR="00DB18B6" w:rsidRPr="00D37D51" w14:paraId="1A1CECBA" w14:textId="77777777" w:rsidTr="00D37D51">
        <w:trPr>
          <w:jc w:val="center"/>
        </w:trPr>
        <w:tc>
          <w:tcPr>
            <w:tcW w:w="0" w:type="auto"/>
          </w:tcPr>
          <w:p w14:paraId="5436ACB0" w14:textId="77777777" w:rsidR="00DB18B6" w:rsidRPr="00D37D51" w:rsidRDefault="00DB18B6" w:rsidP="00D37D51">
            <w:pPr>
              <w:shd w:val="clear" w:color="auto" w:fill="FFFFFF" w:themeFill="background1"/>
              <w:spacing w:before="240" w:line="360" w:lineRule="auto"/>
              <w:rPr>
                <w:rFonts w:eastAsia="Calibri" w:cstheme="majorBidi"/>
              </w:rPr>
            </w:pPr>
            <m:oMathPara>
              <m:oMathParaPr>
                <m:jc m:val="left"/>
              </m:oMathParaPr>
              <m:oMath>
                <m:r>
                  <w:rPr>
                    <w:rFonts w:ascii="Cambria Math" w:eastAsia="Calibri" w:hAnsi="Cambria Math" w:cstheme="majorBidi"/>
                  </w:rPr>
                  <m:t>ϕ</m:t>
                </m:r>
              </m:oMath>
            </m:oMathPara>
          </w:p>
        </w:tc>
        <w:tc>
          <w:tcPr>
            <w:tcW w:w="0" w:type="auto"/>
          </w:tcPr>
          <w:p w14:paraId="508BB148"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General scalar quantity</w:t>
            </w:r>
          </w:p>
        </w:tc>
      </w:tr>
      <w:tr w:rsidR="00DB18B6" w:rsidRPr="00D37D51" w14:paraId="4F344D06" w14:textId="77777777" w:rsidTr="00D37D51">
        <w:trPr>
          <w:jc w:val="center"/>
        </w:trPr>
        <w:tc>
          <w:tcPr>
            <w:tcW w:w="0" w:type="auto"/>
          </w:tcPr>
          <w:p w14:paraId="62B25FAE" w14:textId="77777777" w:rsidR="00DB18B6" w:rsidRPr="00D37D51" w:rsidRDefault="00DB18B6" w:rsidP="00D37D51">
            <w:pPr>
              <w:shd w:val="clear" w:color="auto" w:fill="FFFFFF" w:themeFill="background1"/>
              <w:spacing w:before="240" w:line="360" w:lineRule="auto"/>
              <w:rPr>
                <w:rFonts w:eastAsia="Calibri" w:cstheme="majorBidi"/>
                <w:b/>
                <w:bCs/>
                <w:iCs/>
              </w:rPr>
            </w:pPr>
            <m:oMathPara>
              <m:oMathParaPr>
                <m:jc m:val="left"/>
              </m:oMathParaPr>
              <m:oMath>
                <m:r>
                  <m:rPr>
                    <m:sty m:val="b"/>
                  </m:rPr>
                  <w:rPr>
                    <w:rFonts w:ascii="Cambria Math" w:eastAsia="Calibri" w:hAnsi="Cambria Math" w:cstheme="majorBidi"/>
                  </w:rPr>
                  <m:t>ω</m:t>
                </m:r>
              </m:oMath>
            </m:oMathPara>
          </w:p>
        </w:tc>
        <w:tc>
          <w:tcPr>
            <w:tcW w:w="0" w:type="auto"/>
          </w:tcPr>
          <w:p w14:paraId="700D7451"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Rotational velocity vector (1/s)</w:t>
            </w:r>
          </w:p>
        </w:tc>
      </w:tr>
      <w:tr w:rsidR="00DB18B6" w:rsidRPr="00D37D51" w14:paraId="2B98623C" w14:textId="77777777" w:rsidTr="00D37D51">
        <w:trPr>
          <w:jc w:val="center"/>
        </w:trPr>
        <w:tc>
          <w:tcPr>
            <w:tcW w:w="0" w:type="auto"/>
          </w:tcPr>
          <w:p w14:paraId="247BB3ED" w14:textId="77777777" w:rsidR="00DB18B6" w:rsidRPr="00D37D51" w:rsidRDefault="00000000" w:rsidP="00D37D51">
            <w:pPr>
              <w:shd w:val="clear" w:color="auto" w:fill="FFFFFF" w:themeFill="background1"/>
              <w:spacing w:before="240" w:line="360" w:lineRule="auto"/>
              <w:rPr>
                <w:rFonts w:eastAsia="Calibri" w:cstheme="majorBidi"/>
                <w:b/>
              </w:rPr>
            </w:pPr>
            <m:oMathPara>
              <m:oMathParaPr>
                <m:jc m:val="left"/>
              </m:oMathParaPr>
              <m:oMath>
                <m:sSup>
                  <m:sSupPr>
                    <m:ctrlPr>
                      <w:rPr>
                        <w:rFonts w:ascii="Cambria Math" w:eastAsia="Calibri" w:hAnsi="Cambria Math" w:cstheme="majorBidi"/>
                        <w:b/>
                        <w:i/>
                      </w:rPr>
                    </m:ctrlPr>
                  </m:sSupPr>
                  <m:e>
                    <m:r>
                      <m:rPr>
                        <m:sty m:val="b"/>
                      </m:rPr>
                      <w:rPr>
                        <w:rFonts w:ascii="Cambria Math" w:eastAsia="Calibri" w:hAnsi="Cambria Math" w:cstheme="majorBidi"/>
                      </w:rPr>
                      <m:t>ω</m:t>
                    </m:r>
                  </m:e>
                  <m:sup>
                    <m:r>
                      <m:rPr>
                        <m:sty m:val="bi"/>
                      </m:rPr>
                      <w:rPr>
                        <w:rFonts w:ascii="Cambria Math" w:eastAsia="Calibri" w:hAnsi="Cambria Math" w:cstheme="majorBidi"/>
                      </w:rPr>
                      <m:t>*</m:t>
                    </m:r>
                  </m:sup>
                </m:sSup>
              </m:oMath>
            </m:oMathPara>
          </w:p>
        </w:tc>
        <w:tc>
          <w:tcPr>
            <w:tcW w:w="0" w:type="auto"/>
          </w:tcPr>
          <w:p w14:paraId="38B24F48" w14:textId="77777777" w:rsidR="00DB18B6" w:rsidRPr="00D37D51" w:rsidRDefault="00DB18B6" w:rsidP="00D37D51">
            <w:pPr>
              <w:shd w:val="clear" w:color="auto" w:fill="FFFFFF" w:themeFill="background1"/>
              <w:spacing w:before="240" w:line="360" w:lineRule="auto"/>
              <w:rPr>
                <w:rFonts w:cstheme="majorBidi"/>
              </w:rPr>
            </w:pPr>
            <w:r w:rsidRPr="00D37D51">
              <w:rPr>
                <w:rFonts w:eastAsia="Calibri" w:cstheme="majorBidi"/>
              </w:rPr>
              <w:t xml:space="preserve">Dimensionless rotational velocity vector, </w:t>
            </w:r>
            <m:oMath>
              <m:sSup>
                <m:sSupPr>
                  <m:ctrlPr>
                    <w:rPr>
                      <w:rFonts w:ascii="Cambria Math" w:eastAsiaTheme="minorEastAsia" w:hAnsi="Cambria Math" w:cstheme="majorBidi"/>
                      <w:i/>
                    </w:rPr>
                  </m:ctrlPr>
                </m:sSupPr>
                <m:e>
                  <m:r>
                    <m:rPr>
                      <m:sty m:val="b"/>
                    </m:rPr>
                    <w:rPr>
                      <w:rFonts w:ascii="Cambria Math" w:eastAsia="Calibri" w:hAnsi="Cambria Math" w:cstheme="majorBidi"/>
                    </w:rPr>
                    <m:t>ω</m:t>
                  </m:r>
                </m:e>
                <m:sup>
                  <m:r>
                    <w:rPr>
                      <w:rFonts w:ascii="Cambria Math" w:eastAsiaTheme="minorEastAsia" w:hAnsi="Cambria Math" w:cstheme="majorBidi"/>
                    </w:rPr>
                    <m:t>*</m:t>
                  </m:r>
                </m:sup>
              </m:sSup>
              <m:r>
                <w:rPr>
                  <w:rFonts w:ascii="Cambria Math" w:eastAsiaTheme="minorEastAsia" w:hAnsi="Cambria Math" w:cstheme="majorBidi"/>
                </w:rPr>
                <m:t>=</m:t>
              </m:r>
              <m:f>
                <m:fPr>
                  <m:type m:val="lin"/>
                  <m:ctrlPr>
                    <w:rPr>
                      <w:rFonts w:ascii="Cambria Math" w:eastAsiaTheme="minorEastAsia" w:hAnsi="Cambria Math" w:cstheme="majorBidi"/>
                      <w:i/>
                    </w:rPr>
                  </m:ctrlPr>
                </m:fPr>
                <m:num>
                  <m:r>
                    <m:rPr>
                      <m:sty m:val="b"/>
                    </m:rPr>
                    <w:rPr>
                      <w:rFonts w:ascii="Cambria Math" w:eastAsia="Calibri" w:hAnsi="Cambria Math" w:cstheme="majorBidi"/>
                    </w:rPr>
                    <m:t>ω</m:t>
                  </m:r>
                  <m:r>
                    <w:rPr>
                      <w:rFonts w:ascii="Cambria Math" w:eastAsia="Calibri" w:hAnsi="Cambria Math" w:cstheme="majorBidi"/>
                    </w:rPr>
                    <m:t>D</m:t>
                  </m:r>
                </m:num>
                <m:den>
                  <m:sSub>
                    <m:sSubPr>
                      <m:ctrlPr>
                        <w:rPr>
                          <w:rFonts w:ascii="Cambria Math" w:eastAsiaTheme="minorEastAsia" w:hAnsi="Cambria Math" w:cstheme="majorBidi"/>
                          <w:i/>
                        </w:rPr>
                      </m:ctrlPr>
                    </m:sSubPr>
                    <m:e>
                      <m:r>
                        <w:rPr>
                          <w:rFonts w:ascii="Cambria Math" w:eastAsiaTheme="minorEastAsia" w:hAnsi="Cambria Math" w:cstheme="majorBidi"/>
                        </w:rPr>
                        <m:t>u</m:t>
                      </m:r>
                    </m:e>
                    <m:sub>
                      <m:r>
                        <m:rPr>
                          <m:sty m:val="p"/>
                        </m:rPr>
                        <w:rPr>
                          <w:rFonts w:ascii="Cambria Math" w:eastAsiaTheme="minorEastAsia" w:hAnsi="Cambria Math" w:cstheme="majorBidi"/>
                        </w:rPr>
                        <m:t>max</m:t>
                      </m:r>
                    </m:sub>
                  </m:sSub>
                </m:den>
              </m:f>
            </m:oMath>
          </w:p>
        </w:tc>
      </w:tr>
      <w:tr w:rsidR="00DB18B6" w:rsidRPr="00D37D51" w14:paraId="092E29B1" w14:textId="77777777" w:rsidTr="00D37D51">
        <w:trPr>
          <w:jc w:val="center"/>
        </w:trPr>
        <w:tc>
          <w:tcPr>
            <w:tcW w:w="0" w:type="auto"/>
            <w:gridSpan w:val="2"/>
            <w:hideMark/>
          </w:tcPr>
          <w:p w14:paraId="0FFD72EA" w14:textId="77777777" w:rsidR="00DB18B6" w:rsidRPr="00D37D51" w:rsidRDefault="00DB18B6" w:rsidP="00C425A7">
            <w:pPr>
              <w:shd w:val="clear" w:color="auto" w:fill="FFFFFF" w:themeFill="background1"/>
              <w:spacing w:before="240" w:line="360" w:lineRule="auto"/>
              <w:rPr>
                <w:rFonts w:cstheme="majorBidi"/>
              </w:rPr>
            </w:pPr>
            <w:r w:rsidRPr="00D37D51">
              <w:rPr>
                <w:rFonts w:cstheme="majorBidi"/>
                <w:b/>
                <w:bCs/>
              </w:rPr>
              <w:lastRenderedPageBreak/>
              <w:t>Subscripts</w:t>
            </w:r>
          </w:p>
        </w:tc>
      </w:tr>
      <w:tr w:rsidR="00DB18B6" w:rsidRPr="00D37D51" w14:paraId="6584F70B" w14:textId="77777777" w:rsidTr="00D37D51">
        <w:trPr>
          <w:jc w:val="center"/>
        </w:trPr>
        <w:tc>
          <w:tcPr>
            <w:tcW w:w="0" w:type="auto"/>
          </w:tcPr>
          <w:p w14:paraId="4B0224FF" w14:textId="77777777" w:rsidR="00DB18B6" w:rsidRPr="00D37D51" w:rsidRDefault="00DB18B6" w:rsidP="00D37D51">
            <w:pPr>
              <w:shd w:val="clear" w:color="auto" w:fill="FFFFFF" w:themeFill="background1"/>
              <w:spacing w:before="240" w:line="360" w:lineRule="auto"/>
              <w:rPr>
                <w:rFonts w:eastAsia="Calibri" w:cstheme="majorBidi"/>
                <w:i/>
                <w:iCs/>
              </w:rPr>
            </w:pPr>
            <m:oMathPara>
              <m:oMathParaPr>
                <m:jc m:val="left"/>
              </m:oMathParaPr>
              <m:oMath>
                <m:r>
                  <w:rPr>
                    <w:rFonts w:ascii="Cambria Math" w:eastAsia="Calibri" w:hAnsi="Cambria Math" w:cstheme="majorBidi"/>
                  </w:rPr>
                  <m:t>0</m:t>
                </m:r>
              </m:oMath>
            </m:oMathPara>
          </w:p>
        </w:tc>
        <w:tc>
          <w:tcPr>
            <w:tcW w:w="0" w:type="auto"/>
          </w:tcPr>
          <w:p w14:paraId="2C521F3B"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Initial</w:t>
            </w:r>
          </w:p>
        </w:tc>
      </w:tr>
      <w:tr w:rsidR="00DB18B6" w:rsidRPr="00D37D51" w14:paraId="48564878" w14:textId="77777777" w:rsidTr="00D37D51">
        <w:trPr>
          <w:jc w:val="center"/>
        </w:trPr>
        <w:tc>
          <w:tcPr>
            <w:tcW w:w="0" w:type="auto"/>
          </w:tcPr>
          <w:p w14:paraId="39064E51" w14:textId="77777777" w:rsidR="00DB18B6" w:rsidRPr="00D37D51" w:rsidRDefault="00DB18B6" w:rsidP="00D37D51">
            <w:pPr>
              <w:shd w:val="clear" w:color="auto" w:fill="FFFFFF" w:themeFill="background1"/>
              <w:spacing w:before="240" w:line="360" w:lineRule="auto"/>
              <w:rPr>
                <w:rFonts w:eastAsia="Calibri" w:cstheme="majorBidi"/>
                <w:iCs/>
              </w:rPr>
            </w:pPr>
            <m:oMathPara>
              <m:oMathParaPr>
                <m:jc m:val="left"/>
              </m:oMathParaPr>
              <m:oMath>
                <m:r>
                  <m:rPr>
                    <m:sty m:val="p"/>
                  </m:rPr>
                  <w:rPr>
                    <w:rFonts w:ascii="Cambria Math" w:eastAsia="Calibri" w:hAnsi="Cambria Math" w:cstheme="majorBidi"/>
                  </w:rPr>
                  <m:t>Eq</m:t>
                </m:r>
              </m:oMath>
            </m:oMathPara>
          </w:p>
        </w:tc>
        <w:tc>
          <w:tcPr>
            <w:tcW w:w="0" w:type="auto"/>
          </w:tcPr>
          <w:p w14:paraId="41F753CA"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Equilibrium</w:t>
            </w:r>
          </w:p>
        </w:tc>
      </w:tr>
      <w:tr w:rsidR="00DB18B6" w:rsidRPr="00D37D51" w14:paraId="16A588CD" w14:textId="77777777" w:rsidTr="00D37D51">
        <w:trPr>
          <w:jc w:val="center"/>
        </w:trPr>
        <w:tc>
          <w:tcPr>
            <w:tcW w:w="0" w:type="auto"/>
          </w:tcPr>
          <w:p w14:paraId="31270680" w14:textId="77777777" w:rsidR="00DB18B6" w:rsidRPr="00D37D51" w:rsidRDefault="00DB18B6" w:rsidP="00D37D51">
            <w:pPr>
              <w:shd w:val="clear" w:color="auto" w:fill="FFFFFF" w:themeFill="background1"/>
              <w:spacing w:before="240" w:line="360" w:lineRule="auto"/>
              <w:rPr>
                <w:rFonts w:eastAsia="Calibri" w:cstheme="majorBidi"/>
                <w:i/>
                <w:iCs/>
              </w:rPr>
            </w:pPr>
            <m:oMathPara>
              <m:oMathParaPr>
                <m:jc m:val="left"/>
              </m:oMathParaPr>
              <m:oMath>
                <m:r>
                  <w:rPr>
                    <w:rFonts w:ascii="Cambria Math" w:eastAsia="Calibri" w:hAnsi="Cambria Math" w:cstheme="majorBidi"/>
                  </w:rPr>
                  <m:t>i</m:t>
                </m:r>
              </m:oMath>
            </m:oMathPara>
          </w:p>
        </w:tc>
        <w:tc>
          <w:tcPr>
            <w:tcW w:w="0" w:type="auto"/>
          </w:tcPr>
          <w:p w14:paraId="41312D59"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Inlet</w:t>
            </w:r>
          </w:p>
        </w:tc>
      </w:tr>
      <w:tr w:rsidR="00DB18B6" w:rsidRPr="00D37D51" w14:paraId="2959B873" w14:textId="77777777" w:rsidTr="00D37D51">
        <w:trPr>
          <w:jc w:val="center"/>
        </w:trPr>
        <w:tc>
          <w:tcPr>
            <w:tcW w:w="0" w:type="auto"/>
            <w:hideMark/>
          </w:tcPr>
          <w:p w14:paraId="677DCF4D" w14:textId="77777777" w:rsidR="00DB18B6" w:rsidRPr="00D37D51" w:rsidRDefault="00DB18B6" w:rsidP="00D37D51">
            <w:pPr>
              <w:shd w:val="clear" w:color="auto" w:fill="FFFFFF" w:themeFill="background1"/>
              <w:spacing w:before="240" w:line="360" w:lineRule="auto"/>
              <w:rPr>
                <w:rFonts w:cstheme="majorBidi"/>
              </w:rPr>
            </w:pPr>
            <m:oMathPara>
              <m:oMathParaPr>
                <m:jc m:val="left"/>
              </m:oMathParaPr>
              <m:oMath>
                <m:r>
                  <w:rPr>
                    <w:rFonts w:ascii="Cambria Math" w:hAnsi="Cambria Math" w:cstheme="majorBidi"/>
                  </w:rPr>
                  <m:t>l</m:t>
                </m:r>
              </m:oMath>
            </m:oMathPara>
          </w:p>
        </w:tc>
        <w:tc>
          <w:tcPr>
            <w:tcW w:w="0" w:type="auto"/>
            <w:hideMark/>
          </w:tcPr>
          <w:p w14:paraId="6086AAF7"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Liquid </w:t>
            </w:r>
          </w:p>
        </w:tc>
      </w:tr>
      <w:tr w:rsidR="00DB18B6" w:rsidRPr="00D37D51" w14:paraId="4DE56CD8" w14:textId="77777777" w:rsidTr="00D37D51">
        <w:trPr>
          <w:jc w:val="center"/>
        </w:trPr>
        <w:tc>
          <w:tcPr>
            <w:tcW w:w="0" w:type="auto"/>
          </w:tcPr>
          <w:p w14:paraId="7205CAC6" w14:textId="77777777" w:rsidR="00DB18B6" w:rsidRPr="00D37D51" w:rsidRDefault="00DB18B6" w:rsidP="00D37D51">
            <w:pPr>
              <w:shd w:val="clear" w:color="auto" w:fill="FFFFFF" w:themeFill="background1"/>
              <w:spacing w:before="240" w:line="360" w:lineRule="auto"/>
              <w:rPr>
                <w:rFonts w:eastAsia="Calibri" w:cstheme="majorBidi"/>
                <w:i/>
                <w:iCs/>
              </w:rPr>
            </w:pPr>
            <m:oMathPara>
              <m:oMathParaPr>
                <m:jc m:val="left"/>
              </m:oMathParaPr>
              <m:oMath>
                <m:r>
                  <w:rPr>
                    <w:rFonts w:ascii="Cambria Math" w:eastAsia="Calibri" w:hAnsi="Cambria Math" w:cstheme="majorBidi"/>
                  </w:rPr>
                  <m:t>o</m:t>
                </m:r>
              </m:oMath>
            </m:oMathPara>
          </w:p>
        </w:tc>
        <w:tc>
          <w:tcPr>
            <w:tcW w:w="0" w:type="auto"/>
          </w:tcPr>
          <w:p w14:paraId="6340F434"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Outlet</w:t>
            </w:r>
          </w:p>
        </w:tc>
      </w:tr>
      <w:tr w:rsidR="00DB18B6" w:rsidRPr="00D37D51" w14:paraId="6849C10F" w14:textId="77777777" w:rsidTr="00D37D51">
        <w:trPr>
          <w:jc w:val="center"/>
        </w:trPr>
        <w:tc>
          <w:tcPr>
            <w:tcW w:w="0" w:type="auto"/>
          </w:tcPr>
          <w:p w14:paraId="758D8144" w14:textId="77777777" w:rsidR="00DB18B6" w:rsidRPr="00D37D51" w:rsidRDefault="00DB18B6" w:rsidP="00D37D51">
            <w:pPr>
              <w:shd w:val="clear" w:color="auto" w:fill="FFFFFF" w:themeFill="background1"/>
              <w:spacing w:before="240" w:line="360" w:lineRule="auto"/>
              <w:jc w:val="center"/>
              <w:rPr>
                <w:rFonts w:eastAsia="Calibri" w:cstheme="majorBidi"/>
              </w:rPr>
            </w:pPr>
            <m:oMathPara>
              <m:oMathParaPr>
                <m:jc m:val="left"/>
              </m:oMathParaPr>
              <m:oMath>
                <m:r>
                  <w:rPr>
                    <w:rFonts w:ascii="Cambria Math" w:eastAsia="Calibri" w:hAnsi="Cambria Math" w:cstheme="majorBidi"/>
                  </w:rPr>
                  <m:t>p</m:t>
                </m:r>
              </m:oMath>
            </m:oMathPara>
          </w:p>
        </w:tc>
        <w:tc>
          <w:tcPr>
            <w:tcW w:w="0" w:type="auto"/>
          </w:tcPr>
          <w:p w14:paraId="50A515FF"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Particle</w:t>
            </w:r>
          </w:p>
        </w:tc>
      </w:tr>
      <w:tr w:rsidR="00DB18B6" w:rsidRPr="00D37D51" w14:paraId="1FD42D3C" w14:textId="77777777" w:rsidTr="00D37D51">
        <w:trPr>
          <w:jc w:val="center"/>
        </w:trPr>
        <w:tc>
          <w:tcPr>
            <w:tcW w:w="0" w:type="auto"/>
          </w:tcPr>
          <w:p w14:paraId="70804C17" w14:textId="77777777" w:rsidR="00DB18B6" w:rsidRPr="00D37D51" w:rsidRDefault="00DB18B6" w:rsidP="00D37D51">
            <w:pPr>
              <w:shd w:val="clear" w:color="auto" w:fill="FFFFFF" w:themeFill="background1"/>
              <w:spacing w:before="240" w:line="360" w:lineRule="auto"/>
              <w:jc w:val="center"/>
              <w:rPr>
                <w:rFonts w:eastAsia="Calibri" w:cstheme="majorBidi"/>
                <w:iCs/>
              </w:rPr>
            </w:pPr>
            <m:oMathPara>
              <m:oMathParaPr>
                <m:jc m:val="left"/>
              </m:oMathParaPr>
              <m:oMath>
                <m:r>
                  <m:rPr>
                    <m:sty m:val="p"/>
                  </m:rPr>
                  <w:rPr>
                    <w:rFonts w:ascii="Cambria Math" w:eastAsia="Calibri" w:hAnsi="Cambria Math" w:cstheme="majorBidi"/>
                  </w:rPr>
                  <m:t>ref</m:t>
                </m:r>
              </m:oMath>
            </m:oMathPara>
          </w:p>
        </w:tc>
        <w:tc>
          <w:tcPr>
            <w:tcW w:w="0" w:type="auto"/>
          </w:tcPr>
          <w:p w14:paraId="04F400ED"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Referential domain (moving with the dynamic mesh)</w:t>
            </w:r>
          </w:p>
        </w:tc>
      </w:tr>
      <w:tr w:rsidR="00DB18B6" w:rsidRPr="00D37D51" w14:paraId="2BC2ED7E" w14:textId="77777777" w:rsidTr="00D37D51">
        <w:trPr>
          <w:jc w:val="center"/>
        </w:trPr>
        <w:tc>
          <w:tcPr>
            <w:tcW w:w="0" w:type="auto"/>
          </w:tcPr>
          <w:p w14:paraId="29D825EC" w14:textId="77777777" w:rsidR="00DB18B6" w:rsidRPr="00D37D51" w:rsidRDefault="00DB18B6" w:rsidP="00D37D51">
            <w:pPr>
              <w:shd w:val="clear" w:color="auto" w:fill="FFFFFF" w:themeFill="background1"/>
              <w:spacing w:before="240" w:line="360" w:lineRule="auto"/>
              <w:jc w:val="center"/>
              <w:rPr>
                <w:rFonts w:eastAsia="Calibri" w:cstheme="majorBidi"/>
              </w:rPr>
            </w:pPr>
            <m:oMathPara>
              <m:oMathParaPr>
                <m:jc m:val="left"/>
              </m:oMathParaPr>
              <m:oMath>
                <m:r>
                  <w:rPr>
                    <w:rFonts w:ascii="Cambria Math" w:eastAsia="Calibri" w:hAnsi="Cambria Math" w:cstheme="majorBidi"/>
                  </w:rPr>
                  <m:t>s</m:t>
                </m:r>
              </m:oMath>
            </m:oMathPara>
          </w:p>
        </w:tc>
        <w:tc>
          <w:tcPr>
            <w:tcW w:w="0" w:type="auto"/>
          </w:tcPr>
          <w:p w14:paraId="6433A161" w14:textId="77777777" w:rsidR="00DB18B6" w:rsidRPr="00D37D51" w:rsidRDefault="00DB18B6" w:rsidP="00D37D51">
            <w:pPr>
              <w:shd w:val="clear" w:color="auto" w:fill="FFFFFF" w:themeFill="background1"/>
              <w:spacing w:before="240" w:line="360" w:lineRule="auto"/>
              <w:rPr>
                <w:rFonts w:cstheme="majorBidi"/>
              </w:rPr>
            </w:pPr>
            <w:r w:rsidRPr="00D37D51">
              <w:rPr>
                <w:rFonts w:cstheme="majorBidi"/>
              </w:rPr>
              <w:t xml:space="preserve">Solid </w:t>
            </w:r>
          </w:p>
        </w:tc>
      </w:tr>
    </w:tbl>
    <w:p w14:paraId="6A6BF9A4" w14:textId="77777777" w:rsidR="00DB18B6" w:rsidRDefault="00DB18B6" w:rsidP="00450CCB">
      <w:pPr>
        <w:spacing w:before="240" w:line="360" w:lineRule="auto"/>
        <w:jc w:val="both"/>
        <w:rPr>
          <w:rFonts w:cstheme="majorBidi"/>
        </w:rPr>
      </w:pPr>
    </w:p>
    <w:p w14:paraId="17B1D8AB" w14:textId="77777777" w:rsidR="00DB18B6" w:rsidRDefault="00DB18B6" w:rsidP="00450CCB">
      <w:pPr>
        <w:spacing w:before="240" w:line="360" w:lineRule="auto"/>
        <w:jc w:val="both"/>
        <w:rPr>
          <w:rFonts w:cstheme="majorBidi"/>
        </w:rPr>
      </w:pPr>
    </w:p>
    <w:p w14:paraId="38EF4D92" w14:textId="77777777" w:rsidR="00DB18B6" w:rsidRDefault="00DB18B6" w:rsidP="00450CCB">
      <w:pPr>
        <w:spacing w:before="240" w:line="360" w:lineRule="auto"/>
        <w:jc w:val="both"/>
        <w:rPr>
          <w:rFonts w:cstheme="majorBidi"/>
        </w:rPr>
      </w:pPr>
    </w:p>
    <w:p w14:paraId="71E527BE" w14:textId="77777777" w:rsidR="00DB18B6" w:rsidRDefault="00DB18B6" w:rsidP="00450CCB">
      <w:pPr>
        <w:spacing w:before="240" w:line="360" w:lineRule="auto"/>
        <w:jc w:val="both"/>
        <w:rPr>
          <w:rFonts w:cstheme="majorBidi"/>
        </w:rPr>
      </w:pPr>
    </w:p>
    <w:p w14:paraId="028B4F66" w14:textId="77777777" w:rsidR="00F17EFE" w:rsidRDefault="00F17EFE" w:rsidP="00450CCB">
      <w:pPr>
        <w:spacing w:before="240" w:line="360" w:lineRule="auto"/>
        <w:jc w:val="both"/>
        <w:rPr>
          <w:rFonts w:cstheme="majorBidi"/>
        </w:rPr>
      </w:pPr>
    </w:p>
    <w:p w14:paraId="642E742D" w14:textId="77777777" w:rsidR="00F17EFE" w:rsidRDefault="00F17EFE" w:rsidP="00450CCB">
      <w:pPr>
        <w:spacing w:before="240" w:line="360" w:lineRule="auto"/>
        <w:jc w:val="both"/>
        <w:rPr>
          <w:rFonts w:cstheme="majorBidi"/>
        </w:rPr>
      </w:pPr>
    </w:p>
    <w:p w14:paraId="5B943B73" w14:textId="77777777" w:rsidR="00F17EFE" w:rsidRDefault="00F17EFE" w:rsidP="00450CCB">
      <w:pPr>
        <w:spacing w:before="240" w:line="360" w:lineRule="auto"/>
        <w:jc w:val="both"/>
        <w:rPr>
          <w:rFonts w:cstheme="majorBidi"/>
        </w:rPr>
      </w:pPr>
    </w:p>
    <w:p w14:paraId="0824C307" w14:textId="77777777" w:rsidR="00D7099A" w:rsidRDefault="00D7099A" w:rsidP="00450CCB">
      <w:pPr>
        <w:spacing w:before="240" w:line="360" w:lineRule="auto"/>
        <w:jc w:val="both"/>
        <w:rPr>
          <w:rFonts w:cstheme="majorBidi"/>
        </w:rPr>
      </w:pPr>
    </w:p>
    <w:p w14:paraId="7E9175CC" w14:textId="77777777" w:rsidR="00D7099A" w:rsidRDefault="00D7099A" w:rsidP="00450CCB">
      <w:pPr>
        <w:spacing w:before="240" w:line="360" w:lineRule="auto"/>
        <w:jc w:val="both"/>
        <w:rPr>
          <w:rFonts w:cstheme="majorBidi"/>
        </w:rPr>
      </w:pPr>
    </w:p>
    <w:p w14:paraId="3099EED7" w14:textId="318F0485" w:rsidR="00D7099A" w:rsidRPr="00C55E41" w:rsidRDefault="00D7099A" w:rsidP="00700DBA">
      <w:pPr>
        <w:pStyle w:val="Heading1"/>
        <w:numPr>
          <w:ilvl w:val="0"/>
          <w:numId w:val="4"/>
        </w:numPr>
        <w:spacing w:before="0" w:after="0" w:line="480" w:lineRule="auto"/>
        <w:ind w:left="288" w:hanging="288"/>
        <w:rPr>
          <w:sz w:val="28"/>
          <w:szCs w:val="28"/>
        </w:rPr>
      </w:pPr>
      <w:bookmarkStart w:id="105" w:name="_Toc172367706"/>
      <w:r w:rsidRPr="00C55E41">
        <w:rPr>
          <w:sz w:val="28"/>
          <w:szCs w:val="28"/>
        </w:rPr>
        <w:lastRenderedPageBreak/>
        <w:t>Future Work</w:t>
      </w:r>
      <w:bookmarkEnd w:id="105"/>
    </w:p>
    <w:p w14:paraId="1C6C6A6D" w14:textId="77777777" w:rsidR="00D7099A" w:rsidRDefault="00D7099A" w:rsidP="002A0243">
      <w:pPr>
        <w:spacing w:before="240" w:after="240" w:line="480" w:lineRule="auto"/>
        <w:jc w:val="both"/>
      </w:pPr>
      <w:r>
        <w:t xml:space="preserve">In this dissertation, a freeze desalination setup is fabricated and evaluated under a variety of operational conditions. </w:t>
      </w:r>
      <w:r w:rsidRPr="00F718D4">
        <w:t xml:space="preserve">The experimental study </w:t>
      </w:r>
      <w:r>
        <w:t>demonstrated</w:t>
      </w:r>
      <w:r w:rsidRPr="00F718D4">
        <w:t xml:space="preserve"> promising results, </w:t>
      </w:r>
      <w:r>
        <w:t>showing</w:t>
      </w:r>
      <w:r w:rsidRPr="00F718D4">
        <w:t xml:space="preserve"> the efficacy and feasibility of a </w:t>
      </w:r>
      <w:r>
        <w:t>novel</w:t>
      </w:r>
      <w:r w:rsidRPr="00F718D4">
        <w:t xml:space="preserve"> freeze desalination system </w:t>
      </w:r>
      <w:r>
        <w:t>compared</w:t>
      </w:r>
      <w:r w:rsidRPr="00F718D4">
        <w:t xml:space="preserve"> to existing direct and indirect contact freezing methods. This novel setup not only simplifies the operational process but also achieves high desalination rates and maintains satisfactory recovery ratios, making it an effective solution for desalinating high</w:t>
      </w:r>
      <w:r>
        <w:t>-</w:t>
      </w:r>
      <w:r w:rsidRPr="00F718D4">
        <w:t xml:space="preserve">salinity brine. Despite these advantages, </w:t>
      </w:r>
      <w:r>
        <w:t>several aspects of the current configuration</w:t>
      </w:r>
      <w:r w:rsidRPr="00F718D4">
        <w:t xml:space="preserve"> require further modifications or enhancements to optimize performance. Future </w:t>
      </w:r>
      <w:r>
        <w:t>improvements</w:t>
      </w:r>
      <w:r w:rsidRPr="00F718D4">
        <w:t xml:space="preserve"> should focus on refining these areas to fully leverage the potential of this innovative desalination approach.</w:t>
      </w:r>
    </w:p>
    <w:p w14:paraId="063B938B" w14:textId="77777777" w:rsidR="00D7099A" w:rsidRDefault="00D7099A" w:rsidP="00700DBA">
      <w:pPr>
        <w:pStyle w:val="ListParagraph"/>
        <w:numPr>
          <w:ilvl w:val="0"/>
          <w:numId w:val="6"/>
        </w:numPr>
        <w:spacing w:before="240" w:after="240" w:line="480" w:lineRule="auto"/>
        <w:jc w:val="both"/>
      </w:pPr>
      <w:r>
        <w:t xml:space="preserve">One enhancement that could be implemented in the current study involves control over the temperature and duration of the freezing process. The study indicates that quicker crystallization correlates with higher salinity levels in the produced ice. By modulating the temperature within the freezing chamber—starting with a higher ICL temperature when the brine is first introduced, then gradually reducing this temperature—it's possible to refine the quality of the ice produced. This controlled approach helps manage the crystallization rate, potentially leading to ice with lower salinity. Additionally, regulating the duration of the freezing process could also yield benefits. By ensuring that the freezing process reaches a steady state, where the temperature of the outlet mixture is uniform across all exiting components, the consistency and efficiency of the freeze desalination process can be significantly improved. </w:t>
      </w:r>
    </w:p>
    <w:p w14:paraId="3697FAF6" w14:textId="77777777" w:rsidR="00D7099A" w:rsidRDefault="00D7099A" w:rsidP="00700DBA">
      <w:pPr>
        <w:pStyle w:val="ListParagraph"/>
        <w:numPr>
          <w:ilvl w:val="0"/>
          <w:numId w:val="6"/>
        </w:numPr>
        <w:spacing w:before="240" w:after="240" w:line="480" w:lineRule="auto"/>
        <w:jc w:val="both"/>
      </w:pPr>
      <w:r>
        <w:lastRenderedPageBreak/>
        <w:t>One of the primary challenges identified in this study is the separation process—specifically, the efficient extraction of ice from the slurry and the removal of unfrozen concentrated brine from the ICL-brine stream. Enhancements in ice-slurry separation could be achieved by utilizing the rotary solid-liquid separator equipped with a suitably sized mesh for the inner cylinder. Additionally, maintaining a sealed environment during the separation process can prevent ice from melting, which is essential for improving the ice recovery ratio. As for separating the concentrated brine from the ICL-brine stream, while the current use of dual filter separators effectively reduces the volume of concentrated brine, a small amount still manages to reach the ICL tank and subsequently the heat exchanger. Implementing a high-efficiency liquid separator could address this residual issue by ensuring a more complete and effective separation, thus avoiding brine accumulation in the heat exchanger.</w:t>
      </w:r>
    </w:p>
    <w:p w14:paraId="4CC48EFB" w14:textId="53586F70" w:rsidR="00D7099A" w:rsidRPr="00C55E41" w:rsidRDefault="00D7099A" w:rsidP="00700DBA">
      <w:pPr>
        <w:pStyle w:val="ListParagraph"/>
        <w:numPr>
          <w:ilvl w:val="0"/>
          <w:numId w:val="6"/>
        </w:numPr>
        <w:spacing w:before="240" w:after="240" w:line="480" w:lineRule="auto"/>
        <w:jc w:val="both"/>
        <w:rPr>
          <w:rFonts w:cstheme="majorBidi"/>
        </w:rPr>
      </w:pPr>
      <w:r>
        <w:t xml:space="preserve">Addressing the efficiency of brine rejection from the collected ice presents another significant challenge in this study. While the current use of a centrifugal separator together with intermittent ice crushing has demonstrated remarkable desalination rates, it fails to produce potable water. To improve the efficacy of brine rejection, one promising strategy could be to implement continuous ice crushing throughout the centrifugal separation process. This approach helps because once the collected ice dries out shortly after being collected, removing any remaining brine becomes increasingly difficult. Continuously crushing the ice can help keep it in a state that more readily releases trapped brine. Additionally, another method to enhance brine rejection could involve washing the collected ice during the centrifugation process. This washing could be performed using </w:t>
      </w:r>
      <w:r>
        <w:lastRenderedPageBreak/>
        <w:t>either cold potable water or a cold brine solution with low salinity, which would help flush out the brine entrapped in the ice.</w:t>
      </w:r>
    </w:p>
    <w:p w14:paraId="2BAE11F8" w14:textId="77777777" w:rsidR="00D7099A" w:rsidRDefault="00D7099A" w:rsidP="002A0243">
      <w:pPr>
        <w:spacing w:before="240" w:after="240" w:line="480" w:lineRule="auto"/>
        <w:ind w:firstLine="720"/>
        <w:jc w:val="both"/>
        <w:rPr>
          <w:rFonts w:cstheme="majorBidi"/>
        </w:rPr>
      </w:pPr>
      <w:r>
        <w:rPr>
          <w:rFonts w:cstheme="majorBidi"/>
        </w:rPr>
        <w:t xml:space="preserve">The energy enhancement of the proposed freeze desalination setup was another objectibe of this dissertation. </w:t>
      </w:r>
      <w:r w:rsidRPr="00C74022">
        <w:rPr>
          <w:rFonts w:cstheme="majorBidi"/>
        </w:rPr>
        <w:t xml:space="preserve">A </w:t>
      </w:r>
      <w:r>
        <w:rPr>
          <w:rFonts w:cstheme="majorBidi"/>
        </w:rPr>
        <w:t>notable method</w:t>
      </w:r>
      <w:r w:rsidRPr="00C74022">
        <w:rPr>
          <w:rFonts w:cstheme="majorBidi"/>
        </w:rPr>
        <w:t xml:space="preserve"> </w:t>
      </w:r>
      <w:r>
        <w:rPr>
          <w:rFonts w:cstheme="majorBidi"/>
        </w:rPr>
        <w:t>for</w:t>
      </w:r>
      <w:r w:rsidRPr="00C74022">
        <w:rPr>
          <w:rFonts w:cstheme="majorBidi"/>
        </w:rPr>
        <w:t xml:space="preserve"> enhancing the energy efficiency in the proposed </w:t>
      </w:r>
      <w:r>
        <w:rPr>
          <w:rFonts w:cstheme="majorBidi"/>
        </w:rPr>
        <w:t>system</w:t>
      </w:r>
      <w:r w:rsidRPr="00C74022">
        <w:rPr>
          <w:rFonts w:cstheme="majorBidi"/>
        </w:rPr>
        <w:t xml:space="preserve"> involves </w:t>
      </w:r>
      <w:r>
        <w:rPr>
          <w:rFonts w:cstheme="majorBidi"/>
        </w:rPr>
        <w:t>recovering</w:t>
      </w:r>
      <w:r w:rsidRPr="00C74022">
        <w:rPr>
          <w:rFonts w:cstheme="majorBidi"/>
        </w:rPr>
        <w:t xml:space="preserve"> the cold energy of the </w:t>
      </w:r>
      <w:r>
        <w:rPr>
          <w:rFonts w:cstheme="majorBidi"/>
        </w:rPr>
        <w:t xml:space="preserve">produced </w:t>
      </w:r>
      <w:r w:rsidRPr="00C74022">
        <w:rPr>
          <w:rFonts w:cstheme="majorBidi"/>
        </w:rPr>
        <w:t xml:space="preserve">ice to cool the refrigeration unit's condenser. This </w:t>
      </w:r>
      <w:r>
        <w:rPr>
          <w:rFonts w:cstheme="majorBidi"/>
        </w:rPr>
        <w:t xml:space="preserve">goal can be </w:t>
      </w:r>
      <w:r w:rsidRPr="00C74022">
        <w:rPr>
          <w:rFonts w:cstheme="majorBidi"/>
        </w:rPr>
        <w:t xml:space="preserve">accomplished by circulating an ice-water slurry through a heat exchanger, allowing it to absorb heat from the condensing refrigerant. To deepen the understanding of heat transfer in ice-water slurry, a computational model </w:t>
      </w:r>
      <w:r>
        <w:rPr>
          <w:rFonts w:cstheme="majorBidi"/>
        </w:rPr>
        <w:t>was</w:t>
      </w:r>
      <w:r w:rsidRPr="00C74022">
        <w:rPr>
          <w:rFonts w:cstheme="majorBidi"/>
        </w:rPr>
        <w:t xml:space="preserve"> developed that simulates the melting process of a solid particle suspended in its own melt.</w:t>
      </w:r>
      <w:r>
        <w:rPr>
          <w:rFonts w:cstheme="majorBidi"/>
        </w:rPr>
        <w:t xml:space="preserve"> </w:t>
      </w:r>
      <w:r w:rsidRPr="00DB18B6">
        <w:rPr>
          <w:rFonts w:cstheme="majorBidi"/>
        </w:rPr>
        <w:t xml:space="preserve">This study explores </w:t>
      </w:r>
      <w:r>
        <w:rPr>
          <w:rFonts w:cstheme="majorBidi"/>
        </w:rPr>
        <w:t xml:space="preserve">a </w:t>
      </w:r>
      <w:r w:rsidRPr="00DB18B6">
        <w:rPr>
          <w:rFonts w:cstheme="majorBidi"/>
        </w:rPr>
        <w:t>particle melting within a two-dimensional domain</w:t>
      </w:r>
      <w:r>
        <w:rPr>
          <w:rFonts w:cstheme="majorBidi"/>
        </w:rPr>
        <w:t xml:space="preserve"> under Poiseuille flow condition</w:t>
      </w:r>
      <w:r w:rsidRPr="00DB18B6">
        <w:rPr>
          <w:rFonts w:cstheme="majorBidi"/>
        </w:rPr>
        <w:t>. The model</w:t>
      </w:r>
      <w:r>
        <w:rPr>
          <w:rFonts w:cstheme="majorBidi"/>
        </w:rPr>
        <w:t xml:space="preserve"> </w:t>
      </w:r>
      <w:r w:rsidRPr="00DB18B6">
        <w:rPr>
          <w:rFonts w:cstheme="majorBidi"/>
        </w:rPr>
        <w:t xml:space="preserve">is designed for scalability to three dimensions with minimal adjustments needed in the User-Defined Functions (UDFs) and the setup configurations in the </w:t>
      </w:r>
      <w:r>
        <w:rPr>
          <w:rFonts w:cstheme="majorBidi"/>
        </w:rPr>
        <w:t>CFD</w:t>
      </w:r>
      <w:r w:rsidRPr="00DB18B6">
        <w:rPr>
          <w:rFonts w:cstheme="majorBidi"/>
        </w:rPr>
        <w:t xml:space="preserve"> package. Transitioning to a three-dimensional framework will allow for a broader range of studies, enabling more simulations that can better mirror complex real-life applications. </w:t>
      </w:r>
    </w:p>
    <w:p w14:paraId="4FF42851" w14:textId="77777777" w:rsidR="00D7099A" w:rsidRPr="00C74022" w:rsidRDefault="00D7099A" w:rsidP="00700DBA">
      <w:pPr>
        <w:pStyle w:val="ListParagraph"/>
        <w:numPr>
          <w:ilvl w:val="0"/>
          <w:numId w:val="6"/>
        </w:numPr>
        <w:spacing w:before="240" w:after="240" w:line="480" w:lineRule="auto"/>
        <w:jc w:val="both"/>
        <w:rPr>
          <w:rFonts w:cstheme="majorBidi"/>
        </w:rPr>
      </w:pPr>
      <w:r w:rsidRPr="00C74022">
        <w:rPr>
          <w:rFonts w:cstheme="majorBidi"/>
        </w:rPr>
        <w:t xml:space="preserve">One potential study is the simulation of particle migration within circular tubes and square ducts. Previous studies have identified the phenomenon of dual equilibrium locations in the neutrally buoyant migration of particles within tube Poiseuille flow. These dual equilibrium points are influenced by several factors, including the diameters of the particle and tube, the particle's initial position, the tube's length, and the </w:t>
      </w:r>
      <m:oMath>
        <m:r>
          <m:rPr>
            <m:sty m:val="p"/>
          </m:rPr>
          <w:rPr>
            <w:rFonts w:ascii="Cambria Math" w:hAnsi="Cambria Math" w:cstheme="majorBidi"/>
          </w:rPr>
          <m:t>Re</m:t>
        </m:r>
      </m:oMath>
      <w:r w:rsidRPr="00C74022">
        <w:rPr>
          <w:rFonts w:cstheme="majorBidi"/>
        </w:rPr>
        <w:t xml:space="preserve"> number. Although these phenomena have been studied numerically, most existing research has focused on determining the particle's equilibrium position by calculating the lift force on a laterally fixed positioned particle, with only a few studies addressing the transient movement of </w:t>
      </w:r>
      <w:r w:rsidRPr="00C74022">
        <w:rPr>
          <w:rFonts w:cstheme="majorBidi"/>
        </w:rPr>
        <w:lastRenderedPageBreak/>
        <w:t xml:space="preserve">particles. Moreover, the ALE method, which offers a more precise direct interface tracking technique, has not been applied in these studies. </w:t>
      </w:r>
    </w:p>
    <w:p w14:paraId="64BB815E" w14:textId="77777777" w:rsidR="00D7099A" w:rsidRPr="00C74022" w:rsidRDefault="00D7099A" w:rsidP="00700DBA">
      <w:pPr>
        <w:pStyle w:val="ListParagraph"/>
        <w:numPr>
          <w:ilvl w:val="0"/>
          <w:numId w:val="6"/>
        </w:numPr>
        <w:spacing w:before="240" w:after="240" w:line="480" w:lineRule="auto"/>
        <w:jc w:val="both"/>
        <w:rPr>
          <w:rFonts w:cstheme="majorBidi"/>
        </w:rPr>
      </w:pPr>
      <w:r w:rsidRPr="00C74022">
        <w:rPr>
          <w:rFonts w:cstheme="majorBidi"/>
        </w:rPr>
        <w:t xml:space="preserve">Another </w:t>
      </w:r>
      <w:r>
        <w:rPr>
          <w:rFonts w:cstheme="majorBidi"/>
        </w:rPr>
        <w:t>possible</w:t>
      </w:r>
      <w:r w:rsidRPr="00C74022">
        <w:rPr>
          <w:rFonts w:cstheme="majorBidi"/>
        </w:rPr>
        <w:t xml:space="preserve"> extension of the current study involves exploring the melting behavior of a spherical particle within circular tubes or square ducts. While employing the ALE method for these configurations might increase computational demands, the enhanced accuracy provided by this approach could significantly outweigh these challenges. </w:t>
      </w:r>
    </w:p>
    <w:p w14:paraId="550137AA" w14:textId="77777777" w:rsidR="00D7099A" w:rsidRDefault="00D7099A" w:rsidP="00450CCB">
      <w:pPr>
        <w:spacing w:before="240" w:line="360" w:lineRule="auto"/>
        <w:jc w:val="both"/>
        <w:rPr>
          <w:rFonts w:cstheme="majorBidi"/>
        </w:rPr>
      </w:pPr>
    </w:p>
    <w:p w14:paraId="5413BF36" w14:textId="77777777" w:rsidR="00D7099A" w:rsidRDefault="00D7099A" w:rsidP="00450CCB">
      <w:pPr>
        <w:spacing w:before="240" w:line="360" w:lineRule="auto"/>
        <w:jc w:val="both"/>
        <w:rPr>
          <w:rFonts w:cstheme="majorBidi"/>
        </w:rPr>
      </w:pPr>
    </w:p>
    <w:p w14:paraId="27822CFA" w14:textId="77777777" w:rsidR="00D7099A" w:rsidRDefault="00D7099A" w:rsidP="00450CCB">
      <w:pPr>
        <w:spacing w:before="240" w:line="360" w:lineRule="auto"/>
        <w:jc w:val="both"/>
        <w:rPr>
          <w:rFonts w:cstheme="majorBidi"/>
        </w:rPr>
      </w:pPr>
    </w:p>
    <w:p w14:paraId="6645F4DA" w14:textId="77777777" w:rsidR="00D7099A" w:rsidRDefault="00D7099A" w:rsidP="00450CCB">
      <w:pPr>
        <w:spacing w:before="240" w:line="360" w:lineRule="auto"/>
        <w:jc w:val="both"/>
        <w:rPr>
          <w:rFonts w:cstheme="majorBidi"/>
        </w:rPr>
      </w:pPr>
    </w:p>
    <w:p w14:paraId="3CD5D3E1" w14:textId="77777777" w:rsidR="00D7099A" w:rsidRDefault="00D7099A" w:rsidP="00450CCB">
      <w:pPr>
        <w:spacing w:before="240" w:line="360" w:lineRule="auto"/>
        <w:jc w:val="both"/>
        <w:rPr>
          <w:rFonts w:cstheme="majorBidi"/>
        </w:rPr>
      </w:pPr>
    </w:p>
    <w:p w14:paraId="70630CC6" w14:textId="77777777" w:rsidR="00D7099A" w:rsidRDefault="00D7099A" w:rsidP="00450CCB">
      <w:pPr>
        <w:spacing w:before="240" w:line="360" w:lineRule="auto"/>
        <w:jc w:val="both"/>
        <w:rPr>
          <w:rFonts w:cstheme="majorBidi"/>
        </w:rPr>
      </w:pPr>
    </w:p>
    <w:p w14:paraId="1F1724FB" w14:textId="77777777" w:rsidR="00D7099A" w:rsidRDefault="00D7099A" w:rsidP="00450CCB">
      <w:pPr>
        <w:spacing w:before="240" w:line="360" w:lineRule="auto"/>
        <w:jc w:val="both"/>
        <w:rPr>
          <w:rFonts w:cstheme="majorBidi"/>
        </w:rPr>
      </w:pPr>
    </w:p>
    <w:p w14:paraId="53F4A08D" w14:textId="77777777" w:rsidR="00D7099A" w:rsidRDefault="00D7099A" w:rsidP="00450CCB">
      <w:pPr>
        <w:spacing w:before="240" w:line="360" w:lineRule="auto"/>
        <w:jc w:val="both"/>
        <w:rPr>
          <w:rFonts w:cstheme="majorBidi"/>
        </w:rPr>
      </w:pPr>
    </w:p>
    <w:p w14:paraId="671D2382" w14:textId="77777777" w:rsidR="00D7099A" w:rsidRDefault="00D7099A" w:rsidP="00450CCB">
      <w:pPr>
        <w:spacing w:before="240" w:line="360" w:lineRule="auto"/>
        <w:jc w:val="both"/>
        <w:rPr>
          <w:rFonts w:cstheme="majorBidi"/>
        </w:rPr>
      </w:pPr>
    </w:p>
    <w:p w14:paraId="5B1D7793" w14:textId="77777777" w:rsidR="00D7099A" w:rsidRDefault="00D7099A" w:rsidP="00450CCB">
      <w:pPr>
        <w:spacing w:before="240" w:line="360" w:lineRule="auto"/>
        <w:jc w:val="both"/>
        <w:rPr>
          <w:rFonts w:cstheme="majorBidi"/>
        </w:rPr>
      </w:pPr>
    </w:p>
    <w:p w14:paraId="3B24C5AA" w14:textId="77777777" w:rsidR="00D7099A" w:rsidRDefault="00D7099A" w:rsidP="00450CCB">
      <w:pPr>
        <w:spacing w:before="240" w:line="360" w:lineRule="auto"/>
        <w:jc w:val="both"/>
        <w:rPr>
          <w:rFonts w:cstheme="majorBidi"/>
        </w:rPr>
      </w:pPr>
    </w:p>
    <w:p w14:paraId="3A74DEF3" w14:textId="77777777" w:rsidR="00D7099A" w:rsidRDefault="00D7099A" w:rsidP="00450CCB">
      <w:pPr>
        <w:spacing w:before="240" w:line="360" w:lineRule="auto"/>
        <w:jc w:val="both"/>
        <w:rPr>
          <w:rFonts w:cstheme="majorBidi"/>
        </w:rPr>
      </w:pPr>
    </w:p>
    <w:p w14:paraId="64F24864" w14:textId="77777777" w:rsidR="00286ED2" w:rsidRDefault="00286ED2" w:rsidP="004834D3">
      <w:pPr>
        <w:spacing w:before="240" w:line="360" w:lineRule="auto"/>
        <w:jc w:val="both"/>
        <w:rPr>
          <w:rFonts w:cstheme="majorBidi"/>
        </w:rPr>
      </w:pPr>
    </w:p>
    <w:p w14:paraId="1E3B4706" w14:textId="77777777" w:rsidR="00286ED2" w:rsidRDefault="00286ED2" w:rsidP="004834D3">
      <w:pPr>
        <w:spacing w:before="240" w:line="360" w:lineRule="auto"/>
        <w:jc w:val="both"/>
        <w:rPr>
          <w:rFonts w:cstheme="majorBidi"/>
        </w:rPr>
      </w:pPr>
    </w:p>
    <w:p w14:paraId="7D56F78B" w14:textId="28CADAE1" w:rsidR="00C80F28" w:rsidRPr="00C55E41" w:rsidRDefault="00C80F28" w:rsidP="00700DBA">
      <w:pPr>
        <w:pStyle w:val="Heading1"/>
        <w:numPr>
          <w:ilvl w:val="0"/>
          <w:numId w:val="4"/>
        </w:numPr>
        <w:spacing w:before="480" w:after="240" w:line="480" w:lineRule="auto"/>
        <w:rPr>
          <w:sz w:val="28"/>
          <w:szCs w:val="28"/>
        </w:rPr>
      </w:pPr>
      <w:bookmarkStart w:id="106" w:name="_Toc172367707"/>
      <w:r w:rsidRPr="00C55E41">
        <w:rPr>
          <w:sz w:val="28"/>
          <w:szCs w:val="28"/>
        </w:rPr>
        <w:lastRenderedPageBreak/>
        <w:t>References</w:t>
      </w:r>
      <w:bookmarkEnd w:id="106"/>
    </w:p>
    <w:p w14:paraId="136314BA" w14:textId="13221FF9" w:rsidR="00D83446" w:rsidRPr="00D83446" w:rsidRDefault="00C80F28" w:rsidP="00C55E41">
      <w:pPr>
        <w:widowControl w:val="0"/>
        <w:autoSpaceDE w:val="0"/>
        <w:autoSpaceDN w:val="0"/>
        <w:adjustRightInd w:val="0"/>
        <w:spacing w:before="240" w:after="240" w:line="480" w:lineRule="auto"/>
        <w:ind w:left="634" w:hanging="634"/>
        <w:rPr>
          <w:rFonts w:ascii="Times New Roman" w:hAnsi="Times New Roman" w:cs="Times New Roman"/>
          <w:noProof/>
          <w:kern w:val="0"/>
        </w:rPr>
      </w:pPr>
      <w:r w:rsidRPr="004834D3">
        <w:rPr>
          <w:rFonts w:cstheme="majorBidi"/>
        </w:rPr>
        <w:fldChar w:fldCharType="begin" w:fldLock="1"/>
      </w:r>
      <w:r w:rsidRPr="004834D3">
        <w:rPr>
          <w:rFonts w:cstheme="majorBidi"/>
        </w:rPr>
        <w:instrText xml:space="preserve">ADDIN Mendeley Bibliography CSL_BIBLIOGRAPHY </w:instrText>
      </w:r>
      <w:r w:rsidRPr="004834D3">
        <w:rPr>
          <w:rFonts w:cstheme="majorBidi"/>
        </w:rPr>
        <w:fldChar w:fldCharType="separate"/>
      </w:r>
      <w:r w:rsidR="00D83446" w:rsidRPr="00D83446">
        <w:rPr>
          <w:rFonts w:ascii="Times New Roman" w:hAnsi="Times New Roman" w:cs="Times New Roman"/>
          <w:noProof/>
          <w:kern w:val="0"/>
        </w:rPr>
        <w:t>[1]</w:t>
      </w:r>
      <w:r w:rsidR="00D83446" w:rsidRPr="00D83446">
        <w:rPr>
          <w:rFonts w:ascii="Times New Roman" w:hAnsi="Times New Roman" w:cs="Times New Roman"/>
          <w:noProof/>
          <w:kern w:val="0"/>
        </w:rPr>
        <w:tab/>
        <w:t>K. Elsaid, M. Kamil, E.T. Sayed, M.A. Abdelkareem, T. Wilberforce, A. Olabi, Environmental impact of desalination technologies: A review, Sci. Total Environ. 748 (2020) 141528. https://doi.org/10.1016/j.scitotenv.2020.141528.</w:t>
      </w:r>
    </w:p>
    <w:p w14:paraId="5B1EEE7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w:t>
      </w:r>
      <w:r w:rsidRPr="00D83446">
        <w:rPr>
          <w:rFonts w:ascii="Times New Roman" w:hAnsi="Times New Roman" w:cs="Times New Roman"/>
          <w:noProof/>
          <w:kern w:val="0"/>
        </w:rPr>
        <w:tab/>
        <w:t>V.G. Gude, N. Nirmalakhandan, Desalination at low temperatures and low pressures, Desalination. 244 (2009) 239–247. https://doi.org/10.1016/j.desal.2008.06.005.</w:t>
      </w:r>
    </w:p>
    <w:p w14:paraId="4CB0708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w:t>
      </w:r>
      <w:r w:rsidRPr="00D83446">
        <w:rPr>
          <w:rFonts w:ascii="Times New Roman" w:hAnsi="Times New Roman" w:cs="Times New Roman"/>
          <w:noProof/>
          <w:kern w:val="0"/>
        </w:rPr>
        <w:tab/>
        <w:t>P. Gleick, R.W. Miller, The World’s Water: The biennial report on freshwater resources 2002-2003, Island Press, 2003. https://doi.org/10.5070/g311810517.</w:t>
      </w:r>
    </w:p>
    <w:p w14:paraId="27DAB91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w:t>
      </w:r>
      <w:r w:rsidRPr="00D83446">
        <w:rPr>
          <w:rFonts w:ascii="Times New Roman" w:hAnsi="Times New Roman" w:cs="Times New Roman"/>
          <w:noProof/>
          <w:kern w:val="0"/>
        </w:rPr>
        <w:tab/>
        <w:t>M.C. Mickley, Membrane Concentrate Disposal: Practices and Regulation, US Department of the Interior, Bureau of Reclamation, 2006. https://www.usbr.gov/research/dwpr/reportpdfs/report123.pdf.</w:t>
      </w:r>
    </w:p>
    <w:p w14:paraId="0CFADE4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w:t>
      </w:r>
      <w:r w:rsidRPr="00D83446">
        <w:rPr>
          <w:rFonts w:ascii="Times New Roman" w:hAnsi="Times New Roman" w:cs="Times New Roman"/>
          <w:noProof/>
          <w:kern w:val="0"/>
        </w:rPr>
        <w:tab/>
        <w:t>H. Djuma, A. Bruggeman, M. Eliades, M.A. Lange, Non-conventional water resources research in semi-arid countries of the Middle East, Desalin. Water Treat. 57 (2016) 2290–2303. https://doi.org/10.1080/19443994.2014.984930.</w:t>
      </w:r>
    </w:p>
    <w:p w14:paraId="0F2F05F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w:t>
      </w:r>
      <w:r w:rsidRPr="00D83446">
        <w:rPr>
          <w:rFonts w:ascii="Times New Roman" w:hAnsi="Times New Roman" w:cs="Times New Roman"/>
          <w:noProof/>
          <w:kern w:val="0"/>
        </w:rPr>
        <w:tab/>
        <w:t>B.D. Richter, D. Abell, E. Bacha, K. Brauman, S. Calos, A. Cohn, C. Disla, S.F. O’Brien, D. Hodges, S. Kaiser, M. Loughran, C. Mestre, M. Reardon, E. Siegfried, Tapped out: How can cities secure their water future?, Water Policy. 15 (2013) 335–363. https://doi.org/10.2166/wp.2013.105.</w:t>
      </w:r>
    </w:p>
    <w:p w14:paraId="1A05A8D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w:t>
      </w:r>
      <w:r w:rsidRPr="00D83446">
        <w:rPr>
          <w:rFonts w:ascii="Times New Roman" w:hAnsi="Times New Roman" w:cs="Times New Roman"/>
          <w:noProof/>
          <w:kern w:val="0"/>
        </w:rPr>
        <w:tab/>
        <w:t>V.G. Gude, Desalination and water reuse to address global water scarcity, Rev. Environ. Sci. Biotechnol. 16 (2017) 591–609. https://doi.org/10.1007/s11157-017-9449-7.</w:t>
      </w:r>
    </w:p>
    <w:p w14:paraId="662AB8C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[8]</w:t>
      </w:r>
      <w:r w:rsidRPr="00D83446">
        <w:rPr>
          <w:rFonts w:ascii="Times New Roman" w:hAnsi="Times New Roman" w:cs="Times New Roman"/>
          <w:noProof/>
          <w:kern w:val="0"/>
        </w:rPr>
        <w:tab/>
        <w:t>J. Schewe, J. Heinke, D. Gerten, I. Haddeland, N.W. Arnell, D.B. Clark, R. Dankers, S. Eisner, B.M. Fekete, F.J. Colón-González, S.N. Gosling, H. Kim, X. Liu, Y. Masaki, F.T. Portmann, Y. Satoh, T. Stacke, Q. Tang, Y. Wada, D. Wisser, T. Albrecht, K. Frieler, F. Piontek, L. Warszawski, P. Kabat, Multimodel assessment of water scarcity under climate change, Proc. Natl. Acad. Sci. U. S. A. 111 (2014) 3245–3250. https://doi.org/10.1073/pnas.1222460110.</w:t>
      </w:r>
    </w:p>
    <w:p w14:paraId="0FFEF25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w:t>
      </w:r>
      <w:r w:rsidRPr="00D83446">
        <w:rPr>
          <w:rFonts w:ascii="Times New Roman" w:hAnsi="Times New Roman" w:cs="Times New Roman"/>
          <w:noProof/>
          <w:kern w:val="0"/>
        </w:rPr>
        <w:tab/>
        <w:t>F. Macedonio, E. Drioli, A.A. Gusev, A. Bardow, R. Semiat, M. Kurihara, Efficient technologies for worldwide clean water supply, Chem. Eng. Process. Process Intensif. 51 (2012) 2–17. https://doi.org/10.1016/j.cep.2011.09.011.</w:t>
      </w:r>
    </w:p>
    <w:p w14:paraId="42A319B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w:t>
      </w:r>
      <w:r w:rsidRPr="00D83446">
        <w:rPr>
          <w:rFonts w:ascii="Times New Roman" w:hAnsi="Times New Roman" w:cs="Times New Roman"/>
          <w:noProof/>
          <w:kern w:val="0"/>
        </w:rPr>
        <w:tab/>
        <w:t>M.M. Mekonnen, A.Y. Hoekstra, Four billion people facing severe water scarcity, Sci. Adv. 2 (2016) e1500323. https://doi.org/10.1126/sciadv.1500323.</w:t>
      </w:r>
    </w:p>
    <w:p w14:paraId="061D765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w:t>
      </w:r>
      <w:r w:rsidRPr="00D83446">
        <w:rPr>
          <w:rFonts w:ascii="Times New Roman" w:hAnsi="Times New Roman" w:cs="Times New Roman"/>
          <w:noProof/>
          <w:kern w:val="0"/>
        </w:rPr>
        <w:tab/>
        <w:t>M. Qadir, Policy Note: Addressing Trade-offs to Promote Safely Managed Wastewater in Developing Countries, Water Econ. Policy. 4 (2018) 1871002. https://doi.org/10.1142/S2382624X18710029.</w:t>
      </w:r>
    </w:p>
    <w:p w14:paraId="3351B5A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w:t>
      </w:r>
      <w:r w:rsidRPr="00D83446">
        <w:rPr>
          <w:rFonts w:ascii="Times New Roman" w:hAnsi="Times New Roman" w:cs="Times New Roman"/>
          <w:noProof/>
          <w:kern w:val="0"/>
        </w:rPr>
        <w:tab/>
        <w:t>M.T.H. Van Vliet, M. Florke, Y. Wada, Quality matters for water scarcity, Nat. Geosci. 10 (2017) 800–802. https://doi.org/10.1038/NGEO3047.</w:t>
      </w:r>
    </w:p>
    <w:p w14:paraId="60B3B86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w:t>
      </w:r>
      <w:r w:rsidRPr="00D83446">
        <w:rPr>
          <w:rFonts w:ascii="Times New Roman" w:hAnsi="Times New Roman" w:cs="Times New Roman"/>
          <w:noProof/>
          <w:kern w:val="0"/>
        </w:rPr>
        <w:tab/>
        <w:t>E. Jones, M.T.H. van Vliet, Drought impacts on river salinity in the southern US: Implications for water scarcity, Sci. Total Environ. 644 (2018) 844–853. https://doi.org/10.1016/j.scitotenv.2018.06.373.</w:t>
      </w:r>
    </w:p>
    <w:p w14:paraId="69B5A88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w:t>
      </w:r>
      <w:r w:rsidRPr="00D83446">
        <w:rPr>
          <w:rFonts w:ascii="Times New Roman" w:hAnsi="Times New Roman" w:cs="Times New Roman"/>
          <w:noProof/>
          <w:kern w:val="0"/>
        </w:rPr>
        <w:tab/>
        <w:t>N.C. Darre, G.S. Toor, Desalination of Water: a Review, Curr. Pollut. Reports. 4 (2018) 104–111. https://doi.org/10.1007/s40726-018-0085-9.</w:t>
      </w:r>
    </w:p>
    <w:p w14:paraId="790FE2F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[15]</w:t>
      </w:r>
      <w:r w:rsidRPr="00D83446">
        <w:rPr>
          <w:rFonts w:ascii="Times New Roman" w:hAnsi="Times New Roman" w:cs="Times New Roman"/>
          <w:noProof/>
          <w:kern w:val="0"/>
        </w:rPr>
        <w:tab/>
        <w:t>N. Ghaffour, T.M. Missimer, G.L. Amy, Technical review and evaluation of the economics of water desalination: Current and future challenges for better water supply sustainability, Desalination. 309 (2013) 197–207. https://doi.org/10.1016/j.desal.2012.10.015.</w:t>
      </w:r>
    </w:p>
    <w:p w14:paraId="718405D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w:t>
      </w:r>
      <w:r w:rsidRPr="00D83446">
        <w:rPr>
          <w:rFonts w:ascii="Times New Roman" w:hAnsi="Times New Roman" w:cs="Times New Roman"/>
          <w:noProof/>
          <w:kern w:val="0"/>
        </w:rPr>
        <w:tab/>
        <w:t>M.W. Shahzad, M. Burhan, L. Ang, K.C. Ng, Energy-water-environment nexus underpinning future desalination sustainability, Desalination. 413 (2017) 52–64. https://doi.org/10.1016/j.desal.2017.03.009.</w:t>
      </w:r>
    </w:p>
    <w:p w14:paraId="70E0BB6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w:t>
      </w:r>
      <w:r w:rsidRPr="00D83446">
        <w:rPr>
          <w:rFonts w:ascii="Times New Roman" w:hAnsi="Times New Roman" w:cs="Times New Roman"/>
          <w:noProof/>
          <w:kern w:val="0"/>
        </w:rPr>
        <w:tab/>
        <w:t>E. Jones, M. Qadir, M.T.H. van Vliet, V. Smakhtin, S. mu Kang, The state of desalination and brine production: A global outlook, Sci. Total Environ. 657 (2019) 1343–1356. https://doi.org/10.1016/j.scitotenv.2018.12.076.</w:t>
      </w:r>
    </w:p>
    <w:p w14:paraId="788173F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[18]</w:t>
      </w:r>
      <w:r w:rsidRPr="00D83446">
        <w:rPr>
          <w:rFonts w:ascii="Times New Roman" w:hAnsi="Times New Roman" w:cs="Times New Roman"/>
          <w:noProof/>
          <w:kern w:val="0"/>
        </w:rPr>
        <w:tab/>
        <w:t>S. Lattemann, M.D. Kennedy, J.C. Schippers, G. Amy, Chapter 2 Global Desalination Situation, Sustain. Sci. Eng. 2 (2010) 7–39. https://doi.org/10.1016/S1871-2711(09)00202-5.</w:t>
      </w:r>
    </w:p>
    <w:p w14:paraId="1949E08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[19]</w:t>
      </w:r>
      <w:r w:rsidRPr="00D83446">
        <w:rPr>
          <w:rFonts w:ascii="Times New Roman" w:hAnsi="Times New Roman" w:cs="Times New Roman"/>
          <w:noProof/>
          <w:kern w:val="0"/>
        </w:rPr>
        <w:tab/>
        <w:t>S.K. Natarajan, S.K. Suraparaju, R.M. Elavarasan, A review on low-temperature thermal desalination approach, Environ. Sci. Pollut. Res. 29 (2022) 32443–32466. https://doi.org/10.1007/s11356-022-19147-5.</w:t>
      </w:r>
    </w:p>
    <w:p w14:paraId="4238991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[20]</w:t>
      </w:r>
      <w:r w:rsidRPr="00D83446">
        <w:rPr>
          <w:rFonts w:ascii="Times New Roman" w:hAnsi="Times New Roman" w:cs="Times New Roman"/>
          <w:noProof/>
          <w:kern w:val="0"/>
        </w:rPr>
        <w:tab/>
        <w:t>WHO, Guidelines for Drinking-water Quality, World Heal. Organ. 1 (2008) 1–668.</w:t>
      </w:r>
    </w:p>
    <w:p w14:paraId="10565B6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[21]</w:t>
      </w:r>
      <w:r w:rsidRPr="00D83446">
        <w:rPr>
          <w:rFonts w:ascii="Times New Roman" w:hAnsi="Times New Roman" w:cs="Times New Roman"/>
          <w:noProof/>
          <w:kern w:val="0"/>
        </w:rPr>
        <w:tab/>
        <w:t>L.F. Greenlee, D.F. Lawler, B.D. Freeman, B. Marrot, P. Moulin, Reverse osmosis desalination: Water sources, technology, and today’s challenges, Water Res. 43 (2009) 2317–2348. https://doi.org/10.1016/j.watres.2009.03.010.</w:t>
      </w:r>
    </w:p>
    <w:p w14:paraId="5BFD59E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[22]</w:t>
      </w:r>
      <w:r w:rsidRPr="00D83446">
        <w:rPr>
          <w:rFonts w:ascii="Times New Roman" w:hAnsi="Times New Roman" w:cs="Times New Roman"/>
          <w:noProof/>
          <w:kern w:val="0"/>
        </w:rPr>
        <w:tab/>
        <w:t>M. Cheryan, Ultrafiltration and Microfiltration Handbook, CRC press, 1998. https://doi.org/10.1201/9781482278743.</w:t>
      </w:r>
    </w:p>
    <w:p w14:paraId="216EEAC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[23]</w:t>
      </w:r>
      <w:r w:rsidRPr="00D83446">
        <w:rPr>
          <w:rFonts w:ascii="Times New Roman" w:hAnsi="Times New Roman" w:cs="Times New Roman"/>
          <w:noProof/>
          <w:kern w:val="0"/>
        </w:rPr>
        <w:tab/>
        <w:t>A. Campione, L. Gurreri, M. Ciofalo, G. Micale, A. Tamburini, A. Cipollina, Electrodialysis for water desalination: A critical assessment of recent developments on process fundamentals, models and applications, Desalination. 434 (2018) 121–160. https://doi.org/10.1016/j.desal.2017.12.044.</w:t>
      </w:r>
    </w:p>
    <w:p w14:paraId="3732AC4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[24]</w:t>
      </w:r>
      <w:r w:rsidRPr="00D83446">
        <w:rPr>
          <w:rFonts w:ascii="Times New Roman" w:hAnsi="Times New Roman" w:cs="Times New Roman"/>
          <w:noProof/>
          <w:kern w:val="0"/>
        </w:rPr>
        <w:tab/>
        <w:t>B. Van der Bruggen, C. Vandecasteele, Distillation vs. membrane filtration: Overview of process evolutions in seawater desalination, Desalination. 143 (2002) 207–218. https://doi.org/10.1016/S0011-9164(02)00259-X.</w:t>
      </w:r>
    </w:p>
    <w:p w14:paraId="2E08695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[25]</w:t>
      </w:r>
      <w:r w:rsidRPr="00D83446">
        <w:rPr>
          <w:rFonts w:ascii="Times New Roman" w:hAnsi="Times New Roman" w:cs="Times New Roman"/>
          <w:noProof/>
          <w:kern w:val="0"/>
        </w:rPr>
        <w:tab/>
        <w:t>I.C. Watson, O.J. Morin, L. Henthorne, Desalting Handbook for Planners, Desalin. Water Purif. Res. Dev. Progr. Rep. No. 72. (2003) 1–310. http://www.ncbi.nlm.nih.gov/pubmed/22126638.</w:t>
      </w:r>
    </w:p>
    <w:p w14:paraId="13BE6CB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[26]</w:t>
      </w:r>
      <w:r w:rsidRPr="00D83446">
        <w:rPr>
          <w:rFonts w:ascii="Times New Roman" w:hAnsi="Times New Roman" w:cs="Times New Roman"/>
          <w:noProof/>
          <w:kern w:val="0"/>
        </w:rPr>
        <w:tab/>
        <w:t>M. Qasim, M. Badrelzaman, N.N. Darwish, N.A. Darwish, N. Hilal, Reverse osmosis desalination: A state-of-the-art review, Desalination. 459 (2019) 59–104. https://doi.org/10.1016/j.desal.2019.02.008.</w:t>
      </w:r>
    </w:p>
    <w:p w14:paraId="0B5CE20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[27]</w:t>
      </w:r>
      <w:r w:rsidRPr="00D83446">
        <w:rPr>
          <w:rFonts w:ascii="Times New Roman" w:hAnsi="Times New Roman" w:cs="Times New Roman"/>
          <w:noProof/>
          <w:kern w:val="0"/>
        </w:rPr>
        <w:tab/>
        <w:t>K.P. Lee, T.C. Arnot, D. Mattia, A review of reverse osmosis membrane materials for desalination-Development to date and future potential, J. Memb. Sci. 370 (2011) 1–22. https://doi.org/10.1016/j.memsci.2010.12.036.</w:t>
      </w:r>
    </w:p>
    <w:p w14:paraId="0558CA1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[28]</w:t>
      </w:r>
      <w:r w:rsidRPr="00D83446">
        <w:rPr>
          <w:rFonts w:ascii="Times New Roman" w:hAnsi="Times New Roman" w:cs="Times New Roman"/>
          <w:noProof/>
          <w:kern w:val="0"/>
        </w:rPr>
        <w:tab/>
        <w:t>C. Fritzmann, J. Löwenberg, T. Wintgens, T. Melin, State-of-the-art of reverse osmosis desalination, Desalination. 216 (2007) 1–76. https://doi.org/10.1016/j.desal.2006.12.009.</w:t>
      </w:r>
    </w:p>
    <w:p w14:paraId="3A4DA52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[29]</w:t>
      </w:r>
      <w:r w:rsidRPr="00D83446">
        <w:rPr>
          <w:rFonts w:ascii="Times New Roman" w:hAnsi="Times New Roman" w:cs="Times New Roman"/>
          <w:noProof/>
          <w:kern w:val="0"/>
        </w:rPr>
        <w:tab/>
        <w:t>L. Malaeb, G.M. Ayoub, Reverse osmosis technology for water treatment: State of the art review, Desalination. 267 (2011) 1–8. https://doi.org/10.1016/j.desal.2010.09.001.</w:t>
      </w:r>
    </w:p>
    <w:p w14:paraId="4FC4B57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[30]</w:t>
      </w:r>
      <w:r w:rsidRPr="00D83446">
        <w:rPr>
          <w:rFonts w:ascii="Times New Roman" w:hAnsi="Times New Roman" w:cs="Times New Roman"/>
          <w:noProof/>
          <w:kern w:val="0"/>
        </w:rPr>
        <w:tab/>
        <w:t>H. Rabiee, K.R. Khalilpour, J.M. Betts, N. Tapper, Energy-water nexus: Renewable-integrated hybridized desalination systems, Polygeneration with Polystorage Chem. Energy Hubs. (2018) 409–458. https://doi.org/10.1016/B978-0-12-813306-4.00013-6.</w:t>
      </w:r>
    </w:p>
    <w:p w14:paraId="48732F5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[31]</w:t>
      </w:r>
      <w:r w:rsidRPr="00D83446">
        <w:rPr>
          <w:rFonts w:ascii="Times New Roman" w:hAnsi="Times New Roman" w:cs="Times New Roman"/>
          <w:noProof/>
          <w:kern w:val="0"/>
        </w:rPr>
        <w:tab/>
        <w:t>H.C. Flemming, G. Schaule, T. Griebe, J. Schmitt, A. Tamachkiarowa, Biofouling - The Achilles heel of membrane processes, Desalination. 113 (1997) 215–225. https://doi.org/10.1016/S0011-9164(97)00132-X.</w:t>
      </w:r>
    </w:p>
    <w:p w14:paraId="05ECCA0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[32]</w:t>
      </w:r>
      <w:r w:rsidRPr="00D83446">
        <w:rPr>
          <w:rFonts w:ascii="Times New Roman" w:hAnsi="Times New Roman" w:cs="Times New Roman"/>
          <w:noProof/>
          <w:kern w:val="0"/>
        </w:rPr>
        <w:tab/>
        <w:t>M. Kamal, Optimal scheduling, design, operation and control of reverse osmosis desalination. Prediction of RO membrane performance under different design and operating conditions, synthesis of RO networks using MINLP optimization framework involving fouling, boron, University of Bradford, 2021.</w:t>
      </w:r>
    </w:p>
    <w:p w14:paraId="680FD7D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[33]</w:t>
      </w:r>
      <w:r w:rsidRPr="00D83446">
        <w:rPr>
          <w:rFonts w:ascii="Times New Roman" w:hAnsi="Times New Roman" w:cs="Times New Roman"/>
          <w:noProof/>
          <w:kern w:val="0"/>
        </w:rPr>
        <w:tab/>
        <w:t>M. Ahmed, R. Kumar, B. Garudachari, J.P. Thomas, Performance evaluation of a thermoresponsive polyelectrolyte draw solution in a pilot scale forward osmosis seawater desalination system, Desalination. 452 (2019) 132–140. https://doi.org/10.1016/j.desal.2018.11.013.</w:t>
      </w:r>
    </w:p>
    <w:p w14:paraId="42D9519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[34]</w:t>
      </w:r>
      <w:r w:rsidRPr="00D83446">
        <w:rPr>
          <w:rFonts w:ascii="Times New Roman" w:hAnsi="Times New Roman" w:cs="Times New Roman"/>
          <w:noProof/>
          <w:kern w:val="0"/>
        </w:rPr>
        <w:tab/>
        <w:t>M. Amjad, J. Gardy, A. Hassanpour, D. Wen, Novel draw solution for forward osmosis based solar desalination, Appl. Energy. 230 (2018) 220–231. https://doi.org/10.1016/j.apenergy.2018.08.021.</w:t>
      </w:r>
    </w:p>
    <w:p w14:paraId="261CD87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[35]</w:t>
      </w:r>
      <w:r w:rsidRPr="00D83446">
        <w:rPr>
          <w:rFonts w:ascii="Times New Roman" w:hAnsi="Times New Roman" w:cs="Times New Roman"/>
          <w:noProof/>
          <w:kern w:val="0"/>
        </w:rPr>
        <w:tab/>
        <w:t xml:space="preserve">N. Abdullah, M.H. Tajuddin, N. Yusof, Forward Osmosis (FO) for Removal of Heavy Metals, Nanotechnol. Water Wastewater Treat. Theory Appl. (2019) 177–204. </w:t>
      </w:r>
      <w:r w:rsidRPr="00D83446">
        <w:rPr>
          <w:rFonts w:ascii="Times New Roman" w:hAnsi="Times New Roman" w:cs="Times New Roman"/>
          <w:noProof/>
          <w:kern w:val="0"/>
        </w:rPr>
        <w:lastRenderedPageBreak/>
        <w:t>https://doi.org/10.1016/B978-0-12-813902-8.00010-1.</w:t>
      </w:r>
    </w:p>
    <w:p w14:paraId="3BA829D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[36]</w:t>
      </w:r>
      <w:r w:rsidRPr="00D83446">
        <w:rPr>
          <w:rFonts w:ascii="Times New Roman" w:hAnsi="Times New Roman" w:cs="Times New Roman"/>
          <w:noProof/>
          <w:kern w:val="0"/>
        </w:rPr>
        <w:tab/>
        <w:t>W. Tang, H.Y. Ng, Concentration of brine by forward osmosis: Performance and influence of membrane structure, Desalination. 224 (2008) 143–153. https://doi.org/10.1016/j.desal.2007.04.085.</w:t>
      </w:r>
    </w:p>
    <w:p w14:paraId="3D58E45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[37]</w:t>
      </w:r>
      <w:r w:rsidRPr="00D83446">
        <w:rPr>
          <w:rFonts w:ascii="Times New Roman" w:hAnsi="Times New Roman" w:cs="Times New Roman"/>
          <w:noProof/>
          <w:kern w:val="0"/>
        </w:rPr>
        <w:tab/>
        <w:t>E.A. Bell, T.E. Poynor, K.B. Newhart, J. Regnery, B.D. Coday, T.Y. Cath, Produced water treatment using forward osmosis membranes: Evaluation of extended-time performance and fouling, J. Memb. Sci. 525 (2017) 77–88. https://doi.org/10.1016/j.memsci.2016.10.032.</w:t>
      </w:r>
    </w:p>
    <w:p w14:paraId="163C6D9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[38]</w:t>
      </w:r>
      <w:r w:rsidRPr="00D83446">
        <w:rPr>
          <w:rFonts w:ascii="Times New Roman" w:hAnsi="Times New Roman" w:cs="Times New Roman"/>
          <w:noProof/>
          <w:kern w:val="0"/>
        </w:rPr>
        <w:tab/>
        <w:t>D.J. Johnson, W.A. Suwaileh, A.W. Mohammed, N. Hilal, Osmotic’s potential: An overview of draw solutes for forward osmosis, Desalination. 434 (2018) 100–120. https://doi.org/10.1016/j.desal.2017.09.017.</w:t>
      </w:r>
    </w:p>
    <w:p w14:paraId="2744219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[39]</w:t>
      </w:r>
      <w:r w:rsidRPr="00D83446">
        <w:rPr>
          <w:rFonts w:ascii="Times New Roman" w:hAnsi="Times New Roman" w:cs="Times New Roman"/>
          <w:noProof/>
          <w:kern w:val="0"/>
        </w:rPr>
        <w:tab/>
        <w:t>D. Zhao, S. Chen, C.X. Guo, Q. Zhao, X. Lu, Multi-functional forward osmosis draw solutes for seawater desalination, Chinese J. Chem. Eng. 24 (2016) 23–30. https://doi.org/10.1016/j.cjche.2015.06.018.</w:t>
      </w:r>
    </w:p>
    <w:p w14:paraId="7BC9E72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[40]</w:t>
      </w:r>
      <w:r w:rsidRPr="00D83446">
        <w:rPr>
          <w:rFonts w:ascii="Times New Roman" w:hAnsi="Times New Roman" w:cs="Times New Roman"/>
          <w:noProof/>
          <w:kern w:val="0"/>
        </w:rPr>
        <w:tab/>
        <w:t>A. Panagopoulos, K.J. Haralambous, M. Loizidou, Desalination brine disposal methods and treatment technologies - A review, Sci. Total Environ. 693 (2019) 133545. https://doi.org/10.1016/j.scitotenv.2019.07.351.</w:t>
      </w:r>
    </w:p>
    <w:p w14:paraId="0BB6F8E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[41]</w:t>
      </w:r>
      <w:r w:rsidRPr="00D83446">
        <w:rPr>
          <w:rFonts w:ascii="Times New Roman" w:hAnsi="Times New Roman" w:cs="Times New Roman"/>
          <w:noProof/>
          <w:kern w:val="0"/>
        </w:rPr>
        <w:tab/>
        <w:t>P.G. Youssef, R.K. Al-Dadah, S.M. Mahmoud, Comparative analysis of desalination technologies, Energy Procedia. 61 (2014) 2604–2607. https://doi.org/10.1016/j.egypro.2014.12.258.</w:t>
      </w:r>
    </w:p>
    <w:p w14:paraId="05776F1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[42]</w:t>
      </w:r>
      <w:r w:rsidRPr="00D83446">
        <w:rPr>
          <w:rFonts w:ascii="Times New Roman" w:hAnsi="Times New Roman" w:cs="Times New Roman"/>
          <w:noProof/>
          <w:kern w:val="0"/>
        </w:rPr>
        <w:tab/>
        <w:t>H.T. El-Dessouky, H.M. Ettouney, Fundamentals of Salt Water Desalination, Elsevier, 2002. https://doi.org/10.1016/b978-0-444-50810-2.x5000-3.</w:t>
      </w:r>
    </w:p>
    <w:p w14:paraId="51ED8F8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[43]</w:t>
      </w:r>
      <w:r w:rsidRPr="00D83446">
        <w:rPr>
          <w:rFonts w:ascii="Times New Roman" w:hAnsi="Times New Roman" w:cs="Times New Roman"/>
          <w:noProof/>
          <w:kern w:val="0"/>
        </w:rPr>
        <w:tab/>
        <w:t>H. Ettouney, Conventional Thermal Process, Seawater Desalin. Conv. Renew. Energy Process. (2009) 306. https://doi.org/10.1007/978-3-642-01150-4.</w:t>
      </w:r>
    </w:p>
    <w:p w14:paraId="21A84DD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[44]</w:t>
      </w:r>
      <w:r w:rsidRPr="00D83446">
        <w:rPr>
          <w:rFonts w:ascii="Times New Roman" w:hAnsi="Times New Roman" w:cs="Times New Roman"/>
          <w:noProof/>
          <w:kern w:val="0"/>
        </w:rPr>
        <w:tab/>
        <w:t>I.M. Mujtaba, M.T. Sowgath, Desalination Technologies: Design and Operation, Elsevier, 2022. https://doi.org/10.1016/C2016-0-05222-1.</w:t>
      </w:r>
    </w:p>
    <w:p w14:paraId="50C001F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[45]</w:t>
      </w:r>
      <w:r w:rsidRPr="00D83446">
        <w:rPr>
          <w:rFonts w:ascii="Times New Roman" w:hAnsi="Times New Roman" w:cs="Times New Roman"/>
          <w:noProof/>
          <w:kern w:val="0"/>
        </w:rPr>
        <w:tab/>
        <w:t>O.K. Buros, The ABCs of Desalting, International Desalination Association Topsfield, MA, 2000. http://www.water.ca.gov/pubs/surfacewater/abcs_of_desalting/abcs_of_desalting.pdf.</w:t>
      </w:r>
    </w:p>
    <w:p w14:paraId="7118ED3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[46]</w:t>
      </w:r>
      <w:r w:rsidRPr="00D83446">
        <w:rPr>
          <w:rFonts w:ascii="Times New Roman" w:hAnsi="Times New Roman" w:cs="Times New Roman"/>
          <w:noProof/>
          <w:kern w:val="0"/>
        </w:rPr>
        <w:tab/>
        <w:t>A. Al-Karaghouli, L.L. Kazmerski, Energy consumption and water production cost of conventional and renewable-energy-powered desalination processes, Renew. Sustain. Energy Rev. 24 (2013) 343–356. https://doi.org/10.1016/j.rser.2012.12.064.</w:t>
      </w:r>
    </w:p>
    <w:p w14:paraId="6450906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[47]</w:t>
      </w:r>
      <w:r w:rsidRPr="00D83446">
        <w:rPr>
          <w:rFonts w:ascii="Times New Roman" w:hAnsi="Times New Roman" w:cs="Times New Roman"/>
          <w:noProof/>
          <w:kern w:val="0"/>
        </w:rPr>
        <w:tab/>
        <w:t>X. Wang, A. Christ, K. Regenauer-Lieb, K. Hooman, H.T. Chua, Low grade heat driven multi-effect distillation technology, Int. J. Heat Mass Transf. 54 (2011) 5497–5503. https://doi.org/doi.org/10.1016/j.ijheatmasstransfer.2011.07.041.</w:t>
      </w:r>
    </w:p>
    <w:p w14:paraId="01C06F0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[48]</w:t>
      </w:r>
      <w:r w:rsidRPr="00D83446">
        <w:rPr>
          <w:rFonts w:ascii="Times New Roman" w:hAnsi="Times New Roman" w:cs="Times New Roman"/>
          <w:noProof/>
          <w:kern w:val="0"/>
        </w:rPr>
        <w:tab/>
        <w:t>H. Sharon, K.S. Reddy, A review of solar energy driven desalination technologies, Renew. Sustain. Energy Rev. 41 (2015) 1080–1118. https://doi.org/10.1016/j.rser.2014.09.002.</w:t>
      </w:r>
    </w:p>
    <w:p w14:paraId="4E6F139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[49]</w:t>
      </w:r>
      <w:r w:rsidRPr="00D83446">
        <w:rPr>
          <w:rFonts w:ascii="Times New Roman" w:hAnsi="Times New Roman" w:cs="Times New Roman"/>
          <w:noProof/>
          <w:kern w:val="0"/>
        </w:rPr>
        <w:tab/>
        <w:t>A. Cipollina, G. Micale, L. Rizzuti, A critical assessment of desalination operations in Sicily, Desalination. 182 (2005) 1–12. https://doi.org/10.1016/j.desal.2005.03.004.</w:t>
      </w:r>
    </w:p>
    <w:p w14:paraId="164F515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[50]</w:t>
      </w:r>
      <w:r w:rsidRPr="00D83446">
        <w:rPr>
          <w:rFonts w:ascii="Times New Roman" w:hAnsi="Times New Roman" w:cs="Times New Roman"/>
          <w:noProof/>
          <w:kern w:val="0"/>
        </w:rPr>
        <w:tab/>
        <w:t>I. Ullah, M.G. Rasul, Recent developments in solar thermal desalination technologies: A review, Energies. 12 (2019). https://doi.org/10.3390/en12010119.</w:t>
      </w:r>
    </w:p>
    <w:p w14:paraId="7BF12E8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[51]</w:t>
      </w:r>
      <w:r w:rsidRPr="00D83446">
        <w:rPr>
          <w:rFonts w:ascii="Times New Roman" w:hAnsi="Times New Roman" w:cs="Times New Roman"/>
          <w:noProof/>
          <w:kern w:val="0"/>
        </w:rPr>
        <w:tab/>
        <w:t>C. Sommariva, V.S.N. Syambabu, Increase in water production in UAE, Desalination. 138 (2001) 173–179. https://doi.org/10.1016/S0011-9164(01)00261-2.</w:t>
      </w:r>
    </w:p>
    <w:p w14:paraId="6E92F7C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[52]</w:t>
      </w:r>
      <w:r w:rsidRPr="00D83446">
        <w:rPr>
          <w:rFonts w:ascii="Times New Roman" w:hAnsi="Times New Roman" w:cs="Times New Roman"/>
          <w:noProof/>
          <w:kern w:val="0"/>
        </w:rPr>
        <w:tab/>
        <w:t>T. Mezher, H. Fath, Z. Abbas, A. Khaled, Techno-economic assessment and environmental impacts of desalination technologies, Desalination. 266 (2011) 263–273. https://doi.org/10.1016/j.desal.2010.08.035.</w:t>
      </w:r>
    </w:p>
    <w:p w14:paraId="1737E47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[53]</w:t>
      </w:r>
      <w:r w:rsidRPr="00D83446">
        <w:rPr>
          <w:rFonts w:ascii="Times New Roman" w:hAnsi="Times New Roman" w:cs="Times New Roman"/>
          <w:noProof/>
          <w:kern w:val="0"/>
        </w:rPr>
        <w:tab/>
        <w:t>G. Cipolletta, N. Lancioni, Ç. Akyol, A.L. Eusebi, F. Fatone, Brine treatment technologies towards minimum/zero liquid discharge and resource recovery: State of the art and techno-economic assessment, J. Environ. Manage. 300 (2021). https://doi.org/10.1016/j.jenvman.2021.113681.</w:t>
      </w:r>
    </w:p>
    <w:p w14:paraId="564436A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[54]</w:t>
      </w:r>
      <w:r w:rsidRPr="00D83446">
        <w:rPr>
          <w:rFonts w:ascii="Times New Roman" w:hAnsi="Times New Roman" w:cs="Times New Roman"/>
          <w:noProof/>
          <w:kern w:val="0"/>
        </w:rPr>
        <w:tab/>
        <w:t>G.A. Tsalidis, J.J.E. Gallart, J.B. Corberá, F.C. Blanco, S. Harris, G. Korevaar, Social life cycle assessment of brine treatment and recovery technology: A social hotspot and site-specific evaluation, Sustain. Prod. Consum. 22 (2020) 77–87. https://doi.org/10.1016/j.spc.2020.02.003.</w:t>
      </w:r>
    </w:p>
    <w:p w14:paraId="11F11F2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[55]</w:t>
      </w:r>
      <w:r w:rsidRPr="00D83446">
        <w:rPr>
          <w:rFonts w:ascii="Times New Roman" w:hAnsi="Times New Roman" w:cs="Times New Roman"/>
          <w:noProof/>
          <w:kern w:val="0"/>
        </w:rPr>
        <w:tab/>
        <w:t>A. Panagopoulos, K.J. Haralambous, Minimal Liquid Discharge (MLD) and Zero Liquid Discharge (ZLD) strategies for wastewater management and resource recovery-Analysis, challenges and prospects, J. Environ. Chem. Eng. 8 (2020) 104418. https://doi.org/10.1016/j.jece.2020.104418.</w:t>
      </w:r>
    </w:p>
    <w:p w14:paraId="6A43D78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[56]</w:t>
      </w:r>
      <w:r w:rsidRPr="00D83446">
        <w:rPr>
          <w:rFonts w:ascii="Times New Roman" w:hAnsi="Times New Roman" w:cs="Times New Roman"/>
          <w:noProof/>
          <w:kern w:val="0"/>
        </w:rPr>
        <w:tab/>
        <w:t xml:space="preserve">Michael Mickley, Updated and extended survey of US municipal desalination plants, Desalination and Water Purification Research and Development Program Report No. 207, </w:t>
      </w:r>
      <w:r w:rsidRPr="00D83446">
        <w:rPr>
          <w:rFonts w:ascii="Times New Roman" w:hAnsi="Times New Roman" w:cs="Times New Roman"/>
          <w:noProof/>
          <w:kern w:val="0"/>
        </w:rPr>
        <w:lastRenderedPageBreak/>
        <w:t>Desalin. Water Purif. Res. Dev. Progr. Rep. 27 (2018).</w:t>
      </w:r>
    </w:p>
    <w:p w14:paraId="47B04C2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[57]</w:t>
      </w:r>
      <w:r w:rsidRPr="00D83446">
        <w:rPr>
          <w:rFonts w:ascii="Times New Roman" w:hAnsi="Times New Roman" w:cs="Times New Roman"/>
          <w:noProof/>
          <w:kern w:val="0"/>
        </w:rPr>
        <w:tab/>
        <w:t>A. Giwa, V. Dufour, F. Al Marzooqi, M. Al Kaabi, S.W. Hasan, Brine management methods: Recent innovations and current status, Desalination. 407 (2017) 1–23. https://doi.org/10.1016/j.desal.2016.12.008.</w:t>
      </w:r>
    </w:p>
    <w:p w14:paraId="5165720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[58]</w:t>
      </w:r>
      <w:r w:rsidRPr="00D83446">
        <w:rPr>
          <w:rFonts w:ascii="Times New Roman" w:hAnsi="Times New Roman" w:cs="Times New Roman"/>
          <w:noProof/>
          <w:kern w:val="0"/>
        </w:rPr>
        <w:tab/>
        <w:t>D. Zhao, L.Y. Lee, S.L. Ong, P. Chowdhury, K.B. Siah, H.Y. Ng, Electrodialysis reversal for industrial reverse osmosis brine treatment, Sep. Purif. Technol. 213 (2019) 339–347. https://doi.org/10.1016/j.seppur.2018.12.056.</w:t>
      </w:r>
    </w:p>
    <w:p w14:paraId="3BD3F01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[59]</w:t>
      </w:r>
      <w:r w:rsidRPr="00D83446">
        <w:rPr>
          <w:rFonts w:ascii="Times New Roman" w:hAnsi="Times New Roman" w:cs="Times New Roman"/>
          <w:noProof/>
          <w:kern w:val="0"/>
        </w:rPr>
        <w:tab/>
        <w:t>F. Mansour, S.Y. Alnouri, M. Al-Hindi, F. Azizi, P. Linke, Screening and cost assessment strategies for end-of-Pipe Zero Liquid Discharge systems, J. Clean. Prod. 179 (2018) 460–477. https://doi.org/10.1016/j.jclepro.2018.01.064.</w:t>
      </w:r>
    </w:p>
    <w:p w14:paraId="4CAED77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[60]</w:t>
      </w:r>
      <w:r w:rsidRPr="00D83446">
        <w:rPr>
          <w:rFonts w:ascii="Times New Roman" w:hAnsi="Times New Roman" w:cs="Times New Roman"/>
          <w:noProof/>
          <w:kern w:val="0"/>
        </w:rPr>
        <w:tab/>
        <w:t>T. Tong, M. Elimelech, The Global Rise of Zero Liquid Discharge for Wastewater Management: Drivers, Technologies, and Future Directions, Environ. Sci. Technol. 50 (2016) 6846–6855. https://doi.org/10.1021/acs.est.6b01000.</w:t>
      </w:r>
    </w:p>
    <w:p w14:paraId="6A8C7E5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[61]</w:t>
      </w:r>
      <w:r w:rsidRPr="00D83446">
        <w:rPr>
          <w:rFonts w:ascii="Times New Roman" w:hAnsi="Times New Roman" w:cs="Times New Roman"/>
          <w:noProof/>
          <w:kern w:val="0"/>
        </w:rPr>
        <w:tab/>
        <w:t>G.U. Semblante, J.Z. Lee, L.Y. Lee, S.L. Ong, H.Y. Ng, Brine pre-treatment technologies for zero liquid discharge systems, Desalination. 441 (2018) 96–111. https://doi.org/10.1016/j.desal.2018.04.006.</w:t>
      </w:r>
    </w:p>
    <w:p w14:paraId="2AD6C8F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[62]</w:t>
      </w:r>
      <w:r w:rsidRPr="00D83446">
        <w:rPr>
          <w:rFonts w:ascii="Times New Roman" w:hAnsi="Times New Roman" w:cs="Times New Roman"/>
          <w:noProof/>
          <w:kern w:val="0"/>
        </w:rPr>
        <w:tab/>
        <w:t>S. Eslamian, Urban Water Reuse, Taylor &amp; Francis Group, 2016.</w:t>
      </w:r>
    </w:p>
    <w:p w14:paraId="0CE84F8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[63]</w:t>
      </w:r>
      <w:r w:rsidRPr="00D83446">
        <w:rPr>
          <w:rFonts w:ascii="Times New Roman" w:hAnsi="Times New Roman" w:cs="Times New Roman"/>
          <w:noProof/>
          <w:kern w:val="0"/>
        </w:rPr>
        <w:tab/>
        <w:t>T. Younos, Environmental Issues of Desalination, J. Contemp. Water Res. Educ. 132 (2009) 11–18. https://doi.org/10.1111/j.1936-704x.2005.mp132001003.x.</w:t>
      </w:r>
    </w:p>
    <w:p w14:paraId="474080F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[64]</w:t>
      </w:r>
      <w:r w:rsidRPr="00D83446">
        <w:rPr>
          <w:rFonts w:ascii="Times New Roman" w:hAnsi="Times New Roman" w:cs="Times New Roman"/>
          <w:noProof/>
          <w:kern w:val="0"/>
        </w:rPr>
        <w:tab/>
        <w:t xml:space="preserve">J.R. Ziolkowska, Is Desalination Affordable?—Regional Cost and Price Analysis, Water </w:t>
      </w:r>
      <w:r w:rsidRPr="00D83446">
        <w:rPr>
          <w:rFonts w:ascii="Times New Roman" w:hAnsi="Times New Roman" w:cs="Times New Roman"/>
          <w:noProof/>
          <w:kern w:val="0"/>
        </w:rPr>
        <w:lastRenderedPageBreak/>
        <w:t>Resour. Manag. 29 (2015) 1385–1397. https://doi.org/10.1007/s11269-014-0901-y.</w:t>
      </w:r>
    </w:p>
    <w:p w14:paraId="109FFB5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[65]</w:t>
      </w:r>
      <w:r w:rsidRPr="00D83446">
        <w:rPr>
          <w:rFonts w:ascii="Times New Roman" w:hAnsi="Times New Roman" w:cs="Times New Roman"/>
          <w:noProof/>
          <w:kern w:val="0"/>
        </w:rPr>
        <w:tab/>
        <w:t>H. Arafat, Desalination sustainability: a technical, socioeconomic, and environmental approach, Elsevier, 2017.</w:t>
      </w:r>
    </w:p>
    <w:p w14:paraId="647A054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[66]</w:t>
      </w:r>
      <w:r w:rsidRPr="00D83446">
        <w:rPr>
          <w:rFonts w:ascii="Times New Roman" w:hAnsi="Times New Roman" w:cs="Times New Roman"/>
          <w:noProof/>
          <w:kern w:val="0"/>
        </w:rPr>
        <w:tab/>
        <w:t>S. Lattemann, T. Höpner, Environmental impact and impact assessment of seawater desalination, Desalination. 220 (2008) 1–15. https://doi.org/10.1016/j.desal.2007.03.009.</w:t>
      </w:r>
    </w:p>
    <w:p w14:paraId="382887D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[67]</w:t>
      </w:r>
      <w:r w:rsidRPr="00D83446">
        <w:rPr>
          <w:rFonts w:ascii="Times New Roman" w:hAnsi="Times New Roman" w:cs="Times New Roman"/>
          <w:noProof/>
          <w:kern w:val="0"/>
        </w:rPr>
        <w:tab/>
        <w:t>J.R. Ziolkowska, R. Reyes, Prospects for Desalination in the United States-Experiences From California, Florida, and Texas, in: Compet. Water Resour. Exp. Manag. Approaches US Eur., Elsevier, 2017: pp. 298–316. https://doi.org/10.1016/B978-0-12-803237-4.00017-3.</w:t>
      </w:r>
    </w:p>
    <w:p w14:paraId="05F065A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[68]</w:t>
      </w:r>
      <w:r w:rsidRPr="00D83446">
        <w:rPr>
          <w:rFonts w:ascii="Times New Roman" w:hAnsi="Times New Roman" w:cs="Times New Roman"/>
          <w:noProof/>
          <w:kern w:val="0"/>
        </w:rPr>
        <w:tab/>
        <w:t>J.S. Chang, Understanding the role of ecological indicator use in assessing the effects of desalination plants, Desalination. 365 (2015) 416–433. https://doi.org/10.1016/j.desal.2015.03.013.</w:t>
      </w:r>
    </w:p>
    <w:p w14:paraId="7277842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[69]</w:t>
      </w:r>
      <w:r w:rsidRPr="00D83446">
        <w:rPr>
          <w:rFonts w:ascii="Times New Roman" w:hAnsi="Times New Roman" w:cs="Times New Roman"/>
          <w:noProof/>
          <w:kern w:val="0"/>
        </w:rPr>
        <w:tab/>
        <w:t>A. Valipour, N. Hamnabard, K.S. Woo, Y.H. Ahn, Performance of high-rate constructed phytoremediation process with attached growth for domestic wastewater treatment: Effect of high TDS and Cu, J. Environ. Manage. 145 (2014) 1–8. https://doi.org/10.1016/j.jenvman.2014.06.009.</w:t>
      </w:r>
    </w:p>
    <w:p w14:paraId="6E152AD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[70]</w:t>
      </w:r>
      <w:r w:rsidRPr="00D83446">
        <w:rPr>
          <w:rFonts w:ascii="Times New Roman" w:hAnsi="Times New Roman" w:cs="Times New Roman"/>
          <w:noProof/>
          <w:kern w:val="0"/>
        </w:rPr>
        <w:tab/>
        <w:t>D.C. Thomas, S.M. Benson, Carbon dioxide capture for storage in deep geologic formations-results from the CO2 Capture Project: Vol 2-Geologic Storage of Carbon Dioxide with Monitoring and Verification, Elsevier, 2015.</w:t>
      </w:r>
    </w:p>
    <w:p w14:paraId="3D18C11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[71]</w:t>
      </w:r>
      <w:r w:rsidRPr="00D83446">
        <w:rPr>
          <w:rFonts w:ascii="Times New Roman" w:hAnsi="Times New Roman" w:cs="Times New Roman"/>
          <w:noProof/>
          <w:kern w:val="0"/>
        </w:rPr>
        <w:tab/>
        <w:t xml:space="preserve">R.G. Maliva, T.M. Missimer, R. Fontaine, Injection Well Options for Sustainable </w:t>
      </w:r>
      <w:r w:rsidRPr="00D83446">
        <w:rPr>
          <w:rFonts w:ascii="Times New Roman" w:hAnsi="Times New Roman" w:cs="Times New Roman"/>
          <w:noProof/>
          <w:kern w:val="0"/>
        </w:rPr>
        <w:lastRenderedPageBreak/>
        <w:t>Disposal of Desalination Concentrate, IDA J. Desalin. Water Reuse. 3 (2011) 17–23. https://doi.org/10.1179/ida.2011.3.3.17.</w:t>
      </w:r>
    </w:p>
    <w:p w14:paraId="79B43A2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[72]</w:t>
      </w:r>
      <w:r w:rsidRPr="00D83446">
        <w:rPr>
          <w:rFonts w:ascii="Times New Roman" w:hAnsi="Times New Roman" w:cs="Times New Roman"/>
          <w:noProof/>
          <w:kern w:val="0"/>
        </w:rPr>
        <w:tab/>
        <w:t>J.B. Gálvez, S.M. Rodríguez, E. Delyannis, V.G. Belessiotis, S.C. Bhattacharya, S. Kumar, Solar Energy Conversion and Photoenergy Systems: Thermal Systems and Desalination Plants, EOLSS Publications, 2010.</w:t>
      </w:r>
    </w:p>
    <w:p w14:paraId="1227460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[73]</w:t>
      </w:r>
      <w:r w:rsidRPr="00D83446">
        <w:rPr>
          <w:rFonts w:ascii="Times New Roman" w:hAnsi="Times New Roman" w:cs="Times New Roman"/>
          <w:noProof/>
          <w:kern w:val="0"/>
        </w:rPr>
        <w:tab/>
        <w:t>P.M.G. Olabarria, Constructive Engineering of Large Reverse Osmosis Desalination Plants, Chemical Publishing Company, Chemical Publishing Company, 2015.</w:t>
      </w:r>
    </w:p>
    <w:p w14:paraId="07B74BF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[74]</w:t>
      </w:r>
      <w:r w:rsidRPr="00D83446">
        <w:rPr>
          <w:rFonts w:ascii="Times New Roman" w:hAnsi="Times New Roman" w:cs="Times New Roman"/>
          <w:noProof/>
          <w:kern w:val="0"/>
        </w:rPr>
        <w:tab/>
        <w:t>R. Bergman, Reverse osmosis and nanofiltration, American Water Works Association, 2007.</w:t>
      </w:r>
    </w:p>
    <w:p w14:paraId="1DE959F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[75]</w:t>
      </w:r>
      <w:r w:rsidRPr="00D83446">
        <w:rPr>
          <w:rFonts w:ascii="Times New Roman" w:hAnsi="Times New Roman" w:cs="Times New Roman"/>
          <w:noProof/>
          <w:kern w:val="0"/>
        </w:rPr>
        <w:tab/>
        <w:t>S.M. Badawy, Laboratory freezing desalination of seawater, Desalin. Water Treat. 57 (2016) 11040–11047. https://doi.org/10.1080/19443994.2015.1041163.</w:t>
      </w:r>
    </w:p>
    <w:p w14:paraId="1C2DCE9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[76]</w:t>
      </w:r>
      <w:r w:rsidRPr="00D83446">
        <w:rPr>
          <w:rFonts w:ascii="Times New Roman" w:hAnsi="Times New Roman" w:cs="Times New Roman"/>
          <w:noProof/>
          <w:kern w:val="0"/>
        </w:rPr>
        <w:tab/>
        <w:t>M.S. Rahman, M. Ahmed, X.D. Chen, Freezing-melting process and desalination: I. review of the state-of-the-art, Sep. Purif. Rev. 35 (2006) 59–96. https://doi.org/10.1080/15422110600671734.</w:t>
      </w:r>
    </w:p>
    <w:p w14:paraId="245A8F7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[77]</w:t>
      </w:r>
      <w:r w:rsidRPr="00D83446">
        <w:rPr>
          <w:rFonts w:ascii="Times New Roman" w:hAnsi="Times New Roman" w:cs="Times New Roman"/>
          <w:noProof/>
          <w:kern w:val="0"/>
        </w:rPr>
        <w:tab/>
        <w:t>A. Brunetti, F. Macedonio, G. Barbieri, E. Drioli, Membrane engineering for environmental protection and sustainable industrial growth: Options for water and gas treatment, Environ. Eng. Res. 20 (2015) 307–328. https://doi.org/10.4491/eer.2015.074.</w:t>
      </w:r>
    </w:p>
    <w:p w14:paraId="413E3BD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[78]</w:t>
      </w:r>
      <w:r w:rsidRPr="00D83446">
        <w:rPr>
          <w:rFonts w:ascii="Times New Roman" w:hAnsi="Times New Roman" w:cs="Times New Roman"/>
          <w:noProof/>
          <w:kern w:val="0"/>
        </w:rPr>
        <w:tab/>
        <w:t>P.M. Williams, M. Ahmad, B.S. Connolly, Freeze desalination: An assessment of an ice maker machine for desalting brines, Desalination. 308 (2013) 219–224. https://doi.org/10.1016/j.desal.2012.07.037.</w:t>
      </w:r>
    </w:p>
    <w:p w14:paraId="0B8B8E9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[79]</w:t>
      </w:r>
      <w:r w:rsidRPr="00D83446">
        <w:rPr>
          <w:rFonts w:ascii="Times New Roman" w:hAnsi="Times New Roman" w:cs="Times New Roman"/>
          <w:noProof/>
          <w:kern w:val="0"/>
        </w:rPr>
        <w:tab/>
        <w:t>K. El Kadi, I. Janajreh, Desalination by Freeze Crystallization: An Overview, Int. J. Therm. Environ. Eng. 15 (2019) 103–110. https://doi.org/10.5383/ijtee.15.02.004.</w:t>
      </w:r>
    </w:p>
    <w:p w14:paraId="03EAE42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[80]</w:t>
      </w:r>
      <w:r w:rsidRPr="00D83446">
        <w:rPr>
          <w:rFonts w:ascii="Times New Roman" w:hAnsi="Times New Roman" w:cs="Times New Roman"/>
          <w:noProof/>
          <w:kern w:val="0"/>
        </w:rPr>
        <w:tab/>
        <w:t>D.G. Randall, J. Nathoo, A succinct review of the treatment of Reverse Osmosis brines using Freeze Crystallization, J. Water Process Eng. 8 (2015) 186–194. https://doi.org/10.1016/j.jwpe.2015.10.005.</w:t>
      </w:r>
    </w:p>
    <w:p w14:paraId="653F216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[81]</w:t>
      </w:r>
      <w:r w:rsidRPr="00D83446">
        <w:rPr>
          <w:rFonts w:ascii="Times New Roman" w:hAnsi="Times New Roman" w:cs="Times New Roman"/>
          <w:noProof/>
          <w:kern w:val="0"/>
        </w:rPr>
        <w:tab/>
        <w:t>P.M. Williams, M. Ahmad, B.S. Connolly, D.L. Oatley-Radcliffe, Technology for freeze concentration in the desalination industry, Desalination. 356 (2015) 314–327. https://doi.org/10.1016/j.desal.2014.10.023.</w:t>
      </w:r>
    </w:p>
    <w:p w14:paraId="41F05A1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[82]</w:t>
      </w:r>
      <w:r w:rsidRPr="00D83446">
        <w:rPr>
          <w:rFonts w:ascii="Times New Roman" w:hAnsi="Times New Roman" w:cs="Times New Roman"/>
          <w:noProof/>
          <w:kern w:val="0"/>
        </w:rPr>
        <w:tab/>
        <w:t>M.S. Rahman, M. Ahmed, X.D. Chen, Freezing-melting process and desalination: Review of present status and future prospects, Int. J. Nucl. Desalin. 2 (2007) 253–264. https://doi.org/10.1504/IJND.2007.013549.</w:t>
      </w:r>
    </w:p>
    <w:p w14:paraId="3CBCBB4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[83]</w:t>
      </w:r>
      <w:r w:rsidRPr="00D83446">
        <w:rPr>
          <w:rFonts w:ascii="Times New Roman" w:hAnsi="Times New Roman" w:cs="Times New Roman"/>
          <w:noProof/>
          <w:kern w:val="0"/>
        </w:rPr>
        <w:tab/>
        <w:t>J. Kucera, Desalination: Water from Water, John Wiley &amp; Sons, 2014. https://doi.org/10.1002/9781118904855.</w:t>
      </w:r>
    </w:p>
    <w:p w14:paraId="2F69A95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[84]</w:t>
      </w:r>
      <w:r w:rsidRPr="00D83446">
        <w:rPr>
          <w:rFonts w:ascii="Times New Roman" w:hAnsi="Times New Roman" w:cs="Times New Roman"/>
          <w:noProof/>
          <w:kern w:val="0"/>
        </w:rPr>
        <w:tab/>
        <w:t>A.J. Barduhn, A. Manudhane, Temperatures required for eutectic freezing of natural waters, Desalination. 28 (1979) 233–241. https://doi.org/10.1016/S0011-9164(00)82232-8.</w:t>
      </w:r>
    </w:p>
    <w:p w14:paraId="0391ABC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[85]</w:t>
      </w:r>
      <w:r w:rsidRPr="00D83446">
        <w:rPr>
          <w:rFonts w:ascii="Times New Roman" w:hAnsi="Times New Roman" w:cs="Times New Roman"/>
          <w:noProof/>
          <w:kern w:val="0"/>
        </w:rPr>
        <w:tab/>
        <w:t>L.C. Dickey, Evaporation of water from agitated freezing slurries at low pressure, Desalination. 104 (1996) 155–163. https://doi.org/10.1016/0011-9164(96)00038-0.</w:t>
      </w:r>
    </w:p>
    <w:p w14:paraId="06777D8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[86]</w:t>
      </w:r>
      <w:r w:rsidRPr="00D83446">
        <w:rPr>
          <w:rFonts w:ascii="Times New Roman" w:hAnsi="Times New Roman" w:cs="Times New Roman"/>
          <w:noProof/>
          <w:kern w:val="0"/>
        </w:rPr>
        <w:tab/>
        <w:t xml:space="preserve">B. Kalista, H. Shin, J. Cho, A. Jang, Current development and future prospect review of freeze desalination, Desalination. 447 (2018) 167–181. </w:t>
      </w:r>
      <w:r w:rsidRPr="00D83446">
        <w:rPr>
          <w:rFonts w:ascii="Times New Roman" w:hAnsi="Times New Roman" w:cs="Times New Roman"/>
          <w:noProof/>
          <w:kern w:val="0"/>
        </w:rPr>
        <w:lastRenderedPageBreak/>
        <w:t>https://doi.org/10.1016/j.desal.2018.09.009.</w:t>
      </w:r>
    </w:p>
    <w:p w14:paraId="3116AF0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[87]</w:t>
      </w:r>
      <w:r w:rsidRPr="00D83446">
        <w:rPr>
          <w:rFonts w:ascii="Times New Roman" w:hAnsi="Times New Roman" w:cs="Times New Roman"/>
          <w:noProof/>
          <w:kern w:val="0"/>
        </w:rPr>
        <w:tab/>
        <w:t>C. Xie, L. Zhang, Y. Liu, Q. Lv, G. Ruan, S.S. Hosseini, A direct contact type ice generator for seawater freezing desalination using LNG cold energy, Desalination. 435 (2018) 293–300. https://doi.org/10.1016/j.desal.2017.04.002.</w:t>
      </w:r>
    </w:p>
    <w:p w14:paraId="4E449DD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[88]</w:t>
      </w:r>
      <w:r w:rsidRPr="00D83446">
        <w:rPr>
          <w:rFonts w:ascii="Times New Roman" w:hAnsi="Times New Roman" w:cs="Times New Roman"/>
          <w:noProof/>
          <w:kern w:val="0"/>
        </w:rPr>
        <w:tab/>
        <w:t>H. Yuan, P. Sun, J. Zhang, K. Sun, N. Mei, P. Zhou, Theoretical and experimental investigation of an absorption refrigeration and pre-desalination system for marine engine exhaust gas heat recovery, Appl. Therm. Eng. 150 (2019) 224–236. https://doi.org/10.1016/j.applthermaleng.2018.12.153.</w:t>
      </w:r>
    </w:p>
    <w:p w14:paraId="3968313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[89]</w:t>
      </w:r>
      <w:r w:rsidRPr="00D83446">
        <w:rPr>
          <w:rFonts w:ascii="Times New Roman" w:hAnsi="Times New Roman" w:cs="Times New Roman"/>
          <w:noProof/>
          <w:kern w:val="0"/>
        </w:rPr>
        <w:tab/>
        <w:t>J. Chang, J. Zuo, K.J. Lu, T.S. Chung, Freeze desalination of seawater using LNG cold energy, Water Res. 102 (2016) 282–293. https://doi.org/10.1016/j.watres.2016.06.046.</w:t>
      </w:r>
    </w:p>
    <w:p w14:paraId="6D34412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[90]</w:t>
      </w:r>
      <w:r w:rsidRPr="00D83446">
        <w:rPr>
          <w:rFonts w:ascii="Times New Roman" w:hAnsi="Times New Roman" w:cs="Times New Roman"/>
          <w:noProof/>
          <w:kern w:val="0"/>
        </w:rPr>
        <w:tab/>
        <w:t>I. Janajreh, H. Zhang, K. El Kadi, N. Ghaffour, Freeze desalination: Current research development and future prospects, Water Res. 229 (2023) 119389. https://doi.org/10.1016/j.watres.2022.119389.</w:t>
      </w:r>
    </w:p>
    <w:p w14:paraId="08B5386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[91]</w:t>
      </w:r>
      <w:r w:rsidRPr="00D83446">
        <w:rPr>
          <w:rFonts w:ascii="Times New Roman" w:hAnsi="Times New Roman" w:cs="Times New Roman"/>
          <w:noProof/>
          <w:kern w:val="0"/>
        </w:rPr>
        <w:tab/>
        <w:t>S. Hirakawa, K. Kosugi, Utilization of LNG cold, Int. J. Refrig. 4 (1981) 17–21. https://doi.org/10.1016/0140-7007(81)90076-1.</w:t>
      </w:r>
    </w:p>
    <w:p w14:paraId="2B41DEB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[92]</w:t>
      </w:r>
      <w:r w:rsidRPr="00D83446">
        <w:rPr>
          <w:rFonts w:ascii="Times New Roman" w:hAnsi="Times New Roman" w:cs="Times New Roman"/>
          <w:noProof/>
          <w:kern w:val="0"/>
        </w:rPr>
        <w:tab/>
        <w:t>A.J. Barduhn, The freezing process for water conversion in the United States, 1968.</w:t>
      </w:r>
    </w:p>
    <w:p w14:paraId="1909489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[93]</w:t>
      </w:r>
      <w:r w:rsidRPr="00D83446">
        <w:rPr>
          <w:rFonts w:ascii="Times New Roman" w:hAnsi="Times New Roman" w:cs="Times New Roman"/>
          <w:noProof/>
          <w:kern w:val="0"/>
        </w:rPr>
        <w:tab/>
        <w:t>G.L. Stepakoff, A.P. Modica, The hydrolysis of halocarbon refrigerants in freeze desalination processes Part 1. Solubility and hydrolysis rates of Freon 114 (CClF2CClF2), Desalination. 12 (1973) 85–105. https://doi.org/10.1016/S0011-9164(00)80177-0.</w:t>
      </w:r>
    </w:p>
    <w:p w14:paraId="1433120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[94]</w:t>
      </w:r>
      <w:r w:rsidRPr="00D83446">
        <w:rPr>
          <w:rFonts w:ascii="Times New Roman" w:hAnsi="Times New Roman" w:cs="Times New Roman"/>
          <w:noProof/>
          <w:kern w:val="0"/>
        </w:rPr>
        <w:tab/>
        <w:t xml:space="preserve">P. Wang, T.S. Chung, A conceptual demonstration of freeze desalination-membrane </w:t>
      </w:r>
      <w:r w:rsidRPr="00D83446">
        <w:rPr>
          <w:rFonts w:ascii="Times New Roman" w:hAnsi="Times New Roman" w:cs="Times New Roman"/>
          <w:noProof/>
          <w:kern w:val="0"/>
        </w:rPr>
        <w:lastRenderedPageBreak/>
        <w:t>distillation (FD-MD) hybrid desalination process utilizing liquefied natural gas (LNG) cold energy, Water Res. 46 (2012) 4037–4052. https://doi.org/10.1016/j.watres.2012.04.042.</w:t>
      </w:r>
    </w:p>
    <w:p w14:paraId="0647D82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[95]</w:t>
      </w:r>
      <w:r w:rsidRPr="00D83446">
        <w:rPr>
          <w:rFonts w:ascii="Times New Roman" w:hAnsi="Times New Roman" w:cs="Times New Roman"/>
          <w:noProof/>
          <w:kern w:val="0"/>
        </w:rPr>
        <w:tab/>
        <w:t>W. Lin, M. Huang, A. Gu, A seawater freeze desalination prototype system utilizing LNG cold energy, Int. J. Hydrogen Energy. 42 (2017) 18691–18698. https://doi.org/10.1016/j.ijhydene.2017.04.176.</w:t>
      </w:r>
    </w:p>
    <w:p w14:paraId="0D3C5E2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[96]</w:t>
      </w:r>
      <w:r w:rsidRPr="00D83446">
        <w:rPr>
          <w:rFonts w:ascii="Times New Roman" w:hAnsi="Times New Roman" w:cs="Times New Roman"/>
          <w:noProof/>
          <w:kern w:val="0"/>
        </w:rPr>
        <w:tab/>
        <w:t>K.R. Morison, R.W. Hartel, Evaporation and freeze concentration, in: Handb. Food Eng. Second Ed., CRC Press, 2006: pp. 495–552. https://doi.org/10.1201/9780429449734-9.</w:t>
      </w:r>
    </w:p>
    <w:p w14:paraId="5FF5066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[97]</w:t>
      </w:r>
      <w:r w:rsidRPr="00D83446">
        <w:rPr>
          <w:rFonts w:ascii="Times New Roman" w:hAnsi="Times New Roman" w:cs="Times New Roman"/>
          <w:noProof/>
          <w:kern w:val="0"/>
        </w:rPr>
        <w:tab/>
        <w:t>H.F. Wiegandt, A. Madani, P. Harriott, Ice crystallization developments for the butane direct-contact process, Desalination. 67 (1987) 107–126. https://doi.org/10.1016/0011-9164(87)90237-2.</w:t>
      </w:r>
    </w:p>
    <w:p w14:paraId="5602E65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[98]</w:t>
      </w:r>
      <w:r w:rsidRPr="00D83446">
        <w:rPr>
          <w:rFonts w:ascii="Times New Roman" w:hAnsi="Times New Roman" w:cs="Times New Roman"/>
          <w:noProof/>
          <w:kern w:val="0"/>
        </w:rPr>
        <w:tab/>
        <w:t>A.J. Barduhn, The state of the crystallization processes for desalting saline waters, Desalination. 5 (1968) 173–184. https://doi.org/10.1016/S0011-9164(00)80212-X.</w:t>
      </w:r>
    </w:p>
    <w:p w14:paraId="484BAAC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[99]</w:t>
      </w:r>
      <w:r w:rsidRPr="00D83446">
        <w:rPr>
          <w:rFonts w:ascii="Times New Roman" w:hAnsi="Times New Roman" w:cs="Times New Roman"/>
          <w:noProof/>
          <w:kern w:val="0"/>
        </w:rPr>
        <w:tab/>
        <w:t>H. Thijssen, Current developments in freeze concentration of liquid foods, Free. Dry. Adv. Food Technol. (1975) 481–501.</w:t>
      </w:r>
    </w:p>
    <w:p w14:paraId="19E2F12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[100]</w:t>
      </w:r>
      <w:r w:rsidRPr="00D83446">
        <w:rPr>
          <w:rFonts w:ascii="Times New Roman" w:hAnsi="Times New Roman" w:cs="Times New Roman"/>
          <w:noProof/>
          <w:kern w:val="0"/>
        </w:rPr>
        <w:tab/>
        <w:t>Josef Shwartz, Ronald F. Probstein, Experimental Study of Slurry Separators for Use in Desalination, M, I.T.-Dept Mech Eng-Fluid Mech. Lab. Publ 69-1. 6 (1969) 239–266. https://doi.org/10.1016/0011-9164(69)80007-X.</w:t>
      </w:r>
    </w:p>
    <w:p w14:paraId="324A37B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[101]</w:t>
      </w:r>
      <w:r w:rsidRPr="00D83446">
        <w:rPr>
          <w:rFonts w:ascii="Times New Roman" w:hAnsi="Times New Roman" w:cs="Times New Roman"/>
          <w:noProof/>
          <w:kern w:val="0"/>
        </w:rPr>
        <w:tab/>
        <w:t xml:space="preserve">G.T. Arulampalam, C. Bates, L.F. Khaw, L. McGrath, Investigation of purification mechanism in a column crystalliser operating under total reflux and continuous </w:t>
      </w:r>
      <w:r w:rsidRPr="00D83446">
        <w:rPr>
          <w:rFonts w:ascii="Times New Roman" w:hAnsi="Times New Roman" w:cs="Times New Roman"/>
          <w:noProof/>
          <w:kern w:val="0"/>
        </w:rPr>
        <w:lastRenderedPageBreak/>
        <w:t>conditions, Desalination. 36 (1981) 87–97. https://doi.org/10.1016/S0011-9164(00)88633-6.</w:t>
      </w:r>
    </w:p>
    <w:p w14:paraId="64492DF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[102]</w:t>
      </w:r>
      <w:r w:rsidRPr="00D83446">
        <w:rPr>
          <w:rFonts w:ascii="Times New Roman" w:hAnsi="Times New Roman" w:cs="Times New Roman"/>
          <w:noProof/>
          <w:kern w:val="0"/>
        </w:rPr>
        <w:tab/>
        <w:t>S.S. Deshpande, M. Cheryan, S.K. Sathe, D.K. Salunkhe, Freeze concentration of fruit juices, C R C Crit. Rev. Food Sci. Nutr. 20 (1984) 173–248. https://doi.org/10.1080/10408398409527389.</w:t>
      </w:r>
    </w:p>
    <w:p w14:paraId="6674600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[103]</w:t>
      </w:r>
      <w:r w:rsidRPr="00D83446">
        <w:rPr>
          <w:rFonts w:ascii="Times New Roman" w:hAnsi="Times New Roman" w:cs="Times New Roman"/>
          <w:noProof/>
          <w:kern w:val="0"/>
        </w:rPr>
        <w:tab/>
        <w:t>A. Najim, A review of advances in freeze desalination and future prospects, Npj Clean Water. 5 (2022). https://doi.org/10.1038/s41545-022-00158-1.</w:t>
      </w:r>
    </w:p>
    <w:p w14:paraId="1995A2F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[104]</w:t>
      </w:r>
      <w:r w:rsidRPr="00D83446">
        <w:rPr>
          <w:rFonts w:ascii="Times New Roman" w:hAnsi="Times New Roman" w:cs="Times New Roman"/>
          <w:noProof/>
          <w:kern w:val="0"/>
        </w:rPr>
        <w:tab/>
        <w:t>S. Moharramzadeh, S.K. Ong, J. Alleman, K.S. Cetin, Parametric study of the progressive freeze concentration for desalination, Desalination. 510 (2021) 115077. https://doi.org/10.1016/j.desal.2021.115077.</w:t>
      </w:r>
    </w:p>
    <w:p w14:paraId="1C99F28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[105]</w:t>
      </w:r>
      <w:r w:rsidRPr="00D83446">
        <w:rPr>
          <w:rFonts w:ascii="Times New Roman" w:hAnsi="Times New Roman" w:cs="Times New Roman"/>
          <w:noProof/>
          <w:kern w:val="0"/>
        </w:rPr>
        <w:tab/>
        <w:t>E.T. Igunnu, G.Z. Chen, Produced water treatment technologies, Int. J. Low-Carbon Technol. 9 (2014) 157–177. https://doi.org/10.1093/ijlct/cts049.</w:t>
      </w:r>
    </w:p>
    <w:p w14:paraId="58FA67E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[106]</w:t>
      </w:r>
      <w:r w:rsidRPr="00D83446">
        <w:rPr>
          <w:rFonts w:ascii="Times New Roman" w:hAnsi="Times New Roman" w:cs="Times New Roman"/>
          <w:noProof/>
          <w:kern w:val="0"/>
        </w:rPr>
        <w:tab/>
        <w:t>Z. Ding, F.G.F. Qin, J. Yuan, S. Huang, R. Jiang, Y. Shao, Concentration of apple juice with an intelligent freeze concentrator, J. Food Eng. 256 (2019) 61–72. https://doi.org/10.1016/j.jfoodeng.2019.03.018.</w:t>
      </w:r>
    </w:p>
    <w:p w14:paraId="1972007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[107]</w:t>
      </w:r>
      <w:r w:rsidRPr="00D83446">
        <w:rPr>
          <w:rFonts w:ascii="Times New Roman" w:hAnsi="Times New Roman" w:cs="Times New Roman"/>
          <w:noProof/>
          <w:kern w:val="0"/>
        </w:rPr>
        <w:tab/>
        <w:t>S. Samsuri, N.A. Amran, M. Jusoh, Spiral finned crystallizer for progressive freezeconcentration process, Chem. Eng. Res. Des. 104 (2015) 280–286. https://doi.org/10.1016/j.cherd.2015.06.040.</w:t>
      </w:r>
    </w:p>
    <w:p w14:paraId="4588710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[108]</w:t>
      </w:r>
      <w:r w:rsidRPr="00D83446">
        <w:rPr>
          <w:rFonts w:ascii="Times New Roman" w:hAnsi="Times New Roman" w:cs="Times New Roman"/>
          <w:noProof/>
          <w:kern w:val="0"/>
        </w:rPr>
        <w:tab/>
        <w:t xml:space="preserve">H. Jaster, G.D. Arend, K. Rezzadori, V.C. Chaves, F.H. Reginatto, J.C.C. Petrus, Enhancement of antioxidant activity and physicochemical properties of yogurt enriched </w:t>
      </w:r>
      <w:r w:rsidRPr="00D83446">
        <w:rPr>
          <w:rFonts w:ascii="Times New Roman" w:hAnsi="Times New Roman" w:cs="Times New Roman"/>
          <w:noProof/>
          <w:kern w:val="0"/>
        </w:rPr>
        <w:lastRenderedPageBreak/>
        <w:t>with concentrated strawberry pulp obtained by block freeze concentration, Food Res. Int. 104 (2018) 119–125. https://doi.org/10.1016/j.foodres.2017.10.006.</w:t>
      </w:r>
    </w:p>
    <w:p w14:paraId="1E65024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[109]</w:t>
      </w:r>
      <w:r w:rsidRPr="00D83446">
        <w:rPr>
          <w:rFonts w:ascii="Times New Roman" w:hAnsi="Times New Roman" w:cs="Times New Roman"/>
          <w:noProof/>
          <w:kern w:val="0"/>
        </w:rPr>
        <w:tab/>
        <w:t>D. Weber, J. Hubbuch, Raman spectroscopy as a process analytical technology to investigate biopharmaceutical freeze concentration processes, Biotechnol. Bioeng. 118 (2021) 4708–4719. https://doi.org/10.1002/bit.27936.</w:t>
      </w:r>
    </w:p>
    <w:p w14:paraId="2415CE8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[110]</w:t>
      </w:r>
      <w:r w:rsidRPr="00D83446">
        <w:rPr>
          <w:rFonts w:ascii="Times New Roman" w:hAnsi="Times New Roman" w:cs="Times New Roman"/>
          <w:noProof/>
          <w:kern w:val="0"/>
        </w:rPr>
        <w:tab/>
        <w:t>S. Samsuri, N.A.N. Rizan, S.H. Hung, N.A. Amran, N.S. Sambudi, Progressive Freeze Concentration for Volume Reduction of Produced Water and Biodiesel Wastewater, Chem. Eng. Technol. 42 (2019) 1764–1770. https://doi.org/10.1002/ceat.201800505.</w:t>
      </w:r>
    </w:p>
    <w:p w14:paraId="73A14F0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[111]</w:t>
      </w:r>
      <w:r w:rsidRPr="00D83446">
        <w:rPr>
          <w:rFonts w:ascii="Times New Roman" w:hAnsi="Times New Roman" w:cs="Times New Roman"/>
          <w:noProof/>
          <w:kern w:val="0"/>
        </w:rPr>
        <w:tab/>
        <w:t>K.S. Spiegler, A.D.K. Laird, eds., Principles of Desalination, Elsevier, 1966. https://doi.org/10.1016/b978-0-12-395660-6.x5001-0.</w:t>
      </w:r>
    </w:p>
    <w:p w14:paraId="0E62E4D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[112]</w:t>
      </w:r>
      <w:r w:rsidRPr="00D83446">
        <w:rPr>
          <w:rFonts w:ascii="Times New Roman" w:hAnsi="Times New Roman" w:cs="Times New Roman"/>
          <w:noProof/>
          <w:kern w:val="0"/>
        </w:rPr>
        <w:tab/>
        <w:t>I. Janajreh, H. Zhang, K. El Kadi, N. Ghaffour, Freeze desalination : Current research development and future prospects, Water Res. 229 (2023) 119389. https://doi.org/10.1016/j.watres.2022.119389.</w:t>
      </w:r>
    </w:p>
    <w:p w14:paraId="02F2DA3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[113]</w:t>
      </w:r>
      <w:r w:rsidRPr="00D83446">
        <w:rPr>
          <w:rFonts w:ascii="Times New Roman" w:hAnsi="Times New Roman" w:cs="Times New Roman"/>
          <w:noProof/>
          <w:kern w:val="0"/>
        </w:rPr>
        <w:tab/>
        <w:t>C.W. Ong, C.L. Chen, Technical and economic evaluation of seawater freezing desalination using liquefied natural gas, Energy. 181 (2019) 429–439. https://doi.org/10.1016/j.energy.2019.05.193.</w:t>
      </w:r>
    </w:p>
    <w:p w14:paraId="39AA20F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[114]</w:t>
      </w:r>
      <w:r w:rsidRPr="00D83446">
        <w:rPr>
          <w:rFonts w:ascii="Times New Roman" w:hAnsi="Times New Roman" w:cs="Times New Roman"/>
          <w:noProof/>
          <w:kern w:val="0"/>
        </w:rPr>
        <w:tab/>
        <w:t>Y. Liu, T. Ming, Y. Wu, R. de Richter, Y. Fang, N. Zhou, Desalination of seawater by spray freezing in a natural draft tower, Desalination. 496 (2020) 114700. https://doi.org/10.1016/j.desal.2020.114700.</w:t>
      </w:r>
    </w:p>
    <w:p w14:paraId="4EC0357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[115]</w:t>
      </w:r>
      <w:r w:rsidRPr="00D83446">
        <w:rPr>
          <w:rFonts w:ascii="Times New Roman" w:hAnsi="Times New Roman" w:cs="Times New Roman"/>
          <w:noProof/>
          <w:kern w:val="0"/>
        </w:rPr>
        <w:tab/>
        <w:t xml:space="preserve">H. Jayakody, R. Al-Dadah, S. Mahmoud, Numerical investigation of indirect freeze </w:t>
      </w:r>
      <w:r w:rsidRPr="00D83446">
        <w:rPr>
          <w:rFonts w:ascii="Times New Roman" w:hAnsi="Times New Roman" w:cs="Times New Roman"/>
          <w:noProof/>
          <w:kern w:val="0"/>
        </w:rPr>
        <w:lastRenderedPageBreak/>
        <w:t>desalination using an ice maker machine, Energy Convers. Manag. 168 (2018) 407–420. https://doi.org/10.1016/j.enconman.2018.05.010.</w:t>
      </w:r>
    </w:p>
    <w:p w14:paraId="3ECF355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[116]</w:t>
      </w:r>
      <w:r w:rsidRPr="00D83446">
        <w:rPr>
          <w:rFonts w:ascii="Times New Roman" w:hAnsi="Times New Roman" w:cs="Times New Roman"/>
          <w:noProof/>
          <w:kern w:val="0"/>
        </w:rPr>
        <w:tab/>
        <w:t>A. Eghtesad, M. Salakhi, H. Afshin, S.K. Hannani, Numerical investigation and optimization of indirect freeze desalination, Desalination. 481 (2020) 114378. https://doi.org/10.1016/j.desal.2020.114378.</w:t>
      </w:r>
    </w:p>
    <w:p w14:paraId="2E3E767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[117]</w:t>
      </w:r>
      <w:r w:rsidRPr="00D83446">
        <w:rPr>
          <w:rFonts w:ascii="Times New Roman" w:hAnsi="Times New Roman" w:cs="Times New Roman"/>
          <w:noProof/>
          <w:kern w:val="0"/>
        </w:rPr>
        <w:tab/>
        <w:t>P. Sahu, S. Krishnaswamy, N.K. Pande, Process intensification using a novel continuous U-shaped crystallizer for freeze desalination, Chem. Eng. Process. - Process Intensif. 153 (2020) 107970. https://doi.org/10.1016/j.cep.2020.107970.</w:t>
      </w:r>
    </w:p>
    <w:p w14:paraId="2D548D7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[118]</w:t>
      </w:r>
      <w:r w:rsidRPr="00D83446">
        <w:rPr>
          <w:rFonts w:ascii="Times New Roman" w:hAnsi="Times New Roman" w:cs="Times New Roman"/>
          <w:noProof/>
          <w:kern w:val="0"/>
        </w:rPr>
        <w:tab/>
        <w:t>D. Chen, C. Zhang, H. Rong, C. Wei, S. Gou, Experimental study on seawater desalination through supercooled water dynamic ice making, Desalination. 476 (2020) 114233. https://doi.org/10.1016/j.desal.2019.114233.</w:t>
      </w:r>
    </w:p>
    <w:p w14:paraId="1FC442A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[119]</w:t>
      </w:r>
      <w:r w:rsidRPr="00D83446">
        <w:rPr>
          <w:rFonts w:ascii="Times New Roman" w:hAnsi="Times New Roman" w:cs="Times New Roman"/>
          <w:noProof/>
          <w:kern w:val="0"/>
        </w:rPr>
        <w:tab/>
        <w:t>A. Elhefny, H. Shabgard, J. Cai, R. Kaviani, R.N. Parthasarathy, Thermochemical modeling and performance evaluation of freeze desalination systems, Desalination. (2024) 117423.</w:t>
      </w:r>
    </w:p>
    <w:p w14:paraId="473E0FD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[120]</w:t>
      </w:r>
      <w:r w:rsidRPr="00D83446">
        <w:rPr>
          <w:rFonts w:ascii="Times New Roman" w:hAnsi="Times New Roman" w:cs="Times New Roman"/>
          <w:noProof/>
          <w:kern w:val="0"/>
        </w:rPr>
        <w:tab/>
        <w:t>L. Erlbeck, D. Wössner, K. Schlachter, T. Kunz, F.J. Methner, M. Rädle, Investigation of a novel scraped surface crystallizer with included ice-pressing section as new purification technology, Sep. Purif. Technol. 228 (2019) 115748. https://doi.org/10.1016/j.seppur.2019.115748.</w:t>
      </w:r>
    </w:p>
    <w:p w14:paraId="32F322D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[121]</w:t>
      </w:r>
      <w:r w:rsidRPr="00D83446">
        <w:rPr>
          <w:rFonts w:ascii="Times New Roman" w:hAnsi="Times New Roman" w:cs="Times New Roman"/>
          <w:noProof/>
          <w:kern w:val="0"/>
        </w:rPr>
        <w:tab/>
        <w:t>L. Erlbeck, M. Rädle, R. Nessel, F. Illner, W. Müller, K. Rudolph, T. Kunz, F.J. Methner, Investigation of the depletion of ions through freeze desalination, Desalination. 407 (2017) 93–102. https://doi.org/10.1016/j.desal.2016.12.009.</w:t>
      </w:r>
    </w:p>
    <w:p w14:paraId="348B991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[122]</w:t>
      </w:r>
      <w:r w:rsidRPr="00D83446">
        <w:rPr>
          <w:rFonts w:ascii="Times New Roman" w:hAnsi="Times New Roman" w:cs="Times New Roman"/>
          <w:noProof/>
          <w:kern w:val="0"/>
        </w:rPr>
        <w:tab/>
        <w:t>Y. Mandri, A. Rich, D. Mangin, S. Abderafi, C. Bebon, N. Semlali, J.P. Klein, T. Bounahmidi, A. Bouhaouss, Parametric study of the sweating step in the seawater desalination process by indirect freezing, Desalination. 269 (2011) 142–147. https://doi.org/10.1016/j.desal.2010.10.053.</w:t>
      </w:r>
    </w:p>
    <w:p w14:paraId="6A7D208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[123]</w:t>
      </w:r>
      <w:r w:rsidRPr="00D83446">
        <w:rPr>
          <w:rFonts w:ascii="Times New Roman" w:hAnsi="Times New Roman" w:cs="Times New Roman"/>
          <w:noProof/>
          <w:kern w:val="0"/>
        </w:rPr>
        <w:tab/>
        <w:t>H. Yang, M. Fu, Z. Zhan, R. Wang, Y. Jiang, Study on combined freezing-based desalination processes with microwave treatment, Desalination. 475 (2020) 114201. https://doi.org/10.1016/j.desal.2019.114201.</w:t>
      </w:r>
    </w:p>
    <w:p w14:paraId="5D54FF8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[124]</w:t>
      </w:r>
      <w:r w:rsidRPr="00D83446">
        <w:rPr>
          <w:rFonts w:ascii="Times New Roman" w:hAnsi="Times New Roman" w:cs="Times New Roman"/>
          <w:noProof/>
          <w:kern w:val="0"/>
        </w:rPr>
        <w:tab/>
        <w:t>M. Hasan, N. Rotich, M. John, M. Louhi-Kultanen, Salt recovery from wastewater by air-cooled eutectic freeze crystallization, Chem. Eng. J. 326 (2017) 192–200. https://doi.org/10.1016/j.cej.2017.05.136.</w:t>
      </w:r>
    </w:p>
    <w:p w14:paraId="20DCCCB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[125]</w:t>
      </w:r>
      <w:r w:rsidRPr="00D83446">
        <w:rPr>
          <w:rFonts w:ascii="Times New Roman" w:hAnsi="Times New Roman" w:cs="Times New Roman"/>
          <w:noProof/>
          <w:kern w:val="0"/>
        </w:rPr>
        <w:tab/>
        <w:t>A. Alkhalidi, S. Kiwan, A. Al-Hayajneh, Experimental investigation of water desalination using freezing technology, Case Stud. Therm. Eng. 28 (2021) 101685. https://doi.org/10.1016/j.csite.2021.101685.</w:t>
      </w:r>
    </w:p>
    <w:p w14:paraId="51A76CE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[126]</w:t>
      </w:r>
      <w:r w:rsidRPr="00D83446">
        <w:rPr>
          <w:rFonts w:ascii="Times New Roman" w:hAnsi="Times New Roman" w:cs="Times New Roman"/>
          <w:noProof/>
          <w:kern w:val="0"/>
        </w:rPr>
        <w:tab/>
        <w:t>M. Landau, A. Martindale, Assessment of crystalliser designs for a butane freeze desalination process, Desalination. 3 (1967) 318–329. https://doi.org/10.1016/S0011-9164(00)80161-7.</w:t>
      </w:r>
    </w:p>
    <w:p w14:paraId="1F0A295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[127]</w:t>
      </w:r>
      <w:r w:rsidRPr="00D83446">
        <w:rPr>
          <w:rFonts w:ascii="Times New Roman" w:hAnsi="Times New Roman" w:cs="Times New Roman"/>
          <w:noProof/>
          <w:kern w:val="0"/>
        </w:rPr>
        <w:tab/>
        <w:t>W. Gibson, D. Emmermann, G. Grossman, R. Johnson, A. Modica, A. Pallone, Spray freezer and pressurized counterwasher for freeze desalination, Desalination. 14 (1974) 249–262. https://doi.org/10.1016/S0011-9164(00)80258-1.</w:t>
      </w:r>
    </w:p>
    <w:p w14:paraId="63E0003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[128]</w:t>
      </w:r>
      <w:r w:rsidRPr="00D83446">
        <w:rPr>
          <w:rFonts w:ascii="Times New Roman" w:hAnsi="Times New Roman" w:cs="Times New Roman"/>
          <w:noProof/>
          <w:kern w:val="0"/>
        </w:rPr>
        <w:tab/>
        <w:t xml:space="preserve">Heat Transfer Applications using 3M </w:t>
      </w:r>
      <w:r w:rsidRPr="00D83446">
        <w:rPr>
          <w:rFonts w:ascii="Times New Roman" w:hAnsi="Times New Roman" w:cs="Times New Roman"/>
          <w:noProof/>
          <w:kern w:val="0"/>
          <w:vertAlign w:val="superscript"/>
        </w:rPr>
        <w:t>TM</w:t>
      </w:r>
      <w:r w:rsidRPr="00D83446">
        <w:rPr>
          <w:rFonts w:ascii="Times New Roman" w:hAnsi="Times New Roman" w:cs="Times New Roman"/>
          <w:noProof/>
          <w:kern w:val="0"/>
        </w:rPr>
        <w:t xml:space="preserve"> Novec </w:t>
      </w:r>
      <w:r w:rsidRPr="00D83446">
        <w:rPr>
          <w:rFonts w:ascii="Times New Roman" w:hAnsi="Times New Roman" w:cs="Times New Roman"/>
          <w:noProof/>
          <w:kern w:val="0"/>
          <w:vertAlign w:val="superscript"/>
        </w:rPr>
        <w:t>TM</w:t>
      </w:r>
      <w:r w:rsidRPr="00D83446">
        <w:rPr>
          <w:rFonts w:ascii="Times New Roman" w:hAnsi="Times New Roman" w:cs="Times New Roman"/>
          <w:noProof/>
          <w:kern w:val="0"/>
        </w:rPr>
        <w:t xml:space="preserve"> Engineered Fluids, 2013. https://multimedia.3m.com/mws/media/1091997O/3m-novec-engineered-fluids-for-heat-</w:t>
      </w:r>
      <w:r w:rsidRPr="00D83446">
        <w:rPr>
          <w:rFonts w:ascii="Times New Roman" w:hAnsi="Times New Roman" w:cs="Times New Roman"/>
          <w:noProof/>
          <w:kern w:val="0"/>
        </w:rPr>
        <w:lastRenderedPageBreak/>
        <w:t>transfer-line-card.pdf.</w:t>
      </w:r>
    </w:p>
    <w:p w14:paraId="2375E8A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[129]</w:t>
      </w:r>
      <w:r w:rsidRPr="00D83446">
        <w:rPr>
          <w:rFonts w:ascii="Times New Roman" w:hAnsi="Times New Roman" w:cs="Times New Roman"/>
          <w:noProof/>
          <w:kern w:val="0"/>
        </w:rPr>
        <w:tab/>
        <w:t>Silmid, (2023) https://www.silmid.com/us/specialties/specialty-ch.</w:t>
      </w:r>
    </w:p>
    <w:p w14:paraId="7D6ADC8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[130]</w:t>
      </w:r>
      <w:r w:rsidRPr="00D83446">
        <w:rPr>
          <w:rFonts w:ascii="Times New Roman" w:hAnsi="Times New Roman" w:cs="Times New Roman"/>
          <w:noProof/>
          <w:kern w:val="0"/>
        </w:rPr>
        <w:tab/>
        <w:t>M.S. Rahman, M. Al-Khusaibi, Freezing-Melting Desalination Process, in: Wiley Blackwell 6, 2014: pp. 473–501. https://doi.org/10.1002/9781118904855.ch10.</w:t>
      </w:r>
    </w:p>
    <w:p w14:paraId="079B180A"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[131]</w:t>
      </w:r>
      <w:r w:rsidRPr="00D83446">
        <w:rPr>
          <w:rFonts w:ascii="Times New Roman" w:hAnsi="Times New Roman" w:cs="Times New Roman"/>
          <w:noProof/>
          <w:kern w:val="0"/>
        </w:rPr>
        <w:tab/>
        <w:t>PSF ‐ 1.5 cSt silicone heat transfer fluid product information, 2023. https://doi.org/https://www.clearcoproducts.com/pdf/volatile/NP-PSF-1_5cSt.pdf.</w:t>
      </w:r>
    </w:p>
    <w:p w14:paraId="63F5E7C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[132]</w:t>
      </w:r>
      <w:r w:rsidRPr="00D83446">
        <w:rPr>
          <w:rFonts w:ascii="Times New Roman" w:hAnsi="Times New Roman" w:cs="Times New Roman"/>
          <w:noProof/>
          <w:kern w:val="0"/>
        </w:rPr>
        <w:tab/>
        <w:t>Gelest, (2023) https://www.gelest.com/product/DMS-T01.5/.</w:t>
      </w:r>
    </w:p>
    <w:p w14:paraId="6BCAE88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[133]</w:t>
      </w:r>
      <w:r w:rsidRPr="00D83446">
        <w:rPr>
          <w:rFonts w:ascii="Times New Roman" w:hAnsi="Times New Roman" w:cs="Times New Roman"/>
          <w:noProof/>
          <w:kern w:val="0"/>
        </w:rPr>
        <w:tab/>
        <w:t>R. Kaviani, H. Shabgard, An experimental study on a novel direct contact freeze-desalination unit, in: ASTFE Digit. Libr., 2023.</w:t>
      </w:r>
    </w:p>
    <w:p w14:paraId="62479EA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[134]</w:t>
      </w:r>
      <w:r w:rsidRPr="00D83446">
        <w:rPr>
          <w:rFonts w:ascii="Times New Roman" w:hAnsi="Times New Roman" w:cs="Times New Roman"/>
          <w:noProof/>
          <w:kern w:val="0"/>
        </w:rPr>
        <w:tab/>
        <w:t>R. Kaviani, H. Shabgard, A. Elhefny, J. Cai, R. Parthasarathy, Experimental and theoretical study of a novel freeze desalination system with an intermediate cooling liquid, Desalination. 576 (2024) 117381. https://doi.org/10.1016/j.desal.2024.117381.</w:t>
      </w:r>
    </w:p>
    <w:p w14:paraId="709EEA4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[135]</w:t>
      </w:r>
      <w:r w:rsidRPr="00D83446">
        <w:rPr>
          <w:rFonts w:ascii="Times New Roman" w:hAnsi="Times New Roman" w:cs="Times New Roman"/>
          <w:noProof/>
          <w:kern w:val="0"/>
        </w:rPr>
        <w:tab/>
        <w:t>P. Gorbounov, M. Battistin, E. Thomas, Comparison of liquid coolants suitable for single-phase detector cooling, (2016) 1–17.</w:t>
      </w:r>
    </w:p>
    <w:p w14:paraId="1B8F603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[136]</w:t>
      </w:r>
      <w:r w:rsidRPr="00D83446">
        <w:rPr>
          <w:rFonts w:ascii="Times New Roman" w:hAnsi="Times New Roman" w:cs="Times New Roman"/>
          <w:noProof/>
          <w:kern w:val="0"/>
        </w:rPr>
        <w:tab/>
        <w:t>Copeland, Copelametic ® Two-Stage Compressors Application and Service Instructions, (2010) 1–11.</w:t>
      </w:r>
    </w:p>
    <w:p w14:paraId="666A17E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[137]</w:t>
      </w:r>
      <w:r w:rsidRPr="00D83446">
        <w:rPr>
          <w:rFonts w:ascii="Times New Roman" w:hAnsi="Times New Roman" w:cs="Times New Roman"/>
          <w:noProof/>
          <w:kern w:val="0"/>
        </w:rPr>
        <w:tab/>
        <w:t>Westermeyer Industries Inc., Product Catalog: Components for the refrigeration and air conditioning industry, (2018) 114.</w:t>
      </w:r>
    </w:p>
    <w:p w14:paraId="0F25076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[138]</w:t>
      </w:r>
      <w:r w:rsidRPr="00D83446">
        <w:rPr>
          <w:rFonts w:ascii="Times New Roman" w:hAnsi="Times New Roman" w:cs="Times New Roman"/>
          <w:noProof/>
          <w:kern w:val="0"/>
        </w:rPr>
        <w:tab/>
        <w:t xml:space="preserve">H. Shabgard, R. Parthasarathy, J. Cai, R. Kaviani, A. Elhefny, Apparatus and method for </w:t>
      </w:r>
      <w:r w:rsidRPr="00D83446">
        <w:rPr>
          <w:rFonts w:ascii="Times New Roman" w:hAnsi="Times New Roman" w:cs="Times New Roman"/>
          <w:noProof/>
          <w:kern w:val="0"/>
        </w:rPr>
        <w:lastRenderedPageBreak/>
        <w:t>continuous separation of solid particles from solid-liquid slurries, (2022). https://patents.google.com/patent/US20220371918A1/en.</w:t>
      </w:r>
    </w:p>
    <w:p w14:paraId="1A99397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[139]</w:t>
      </w:r>
      <w:r w:rsidRPr="00D83446">
        <w:rPr>
          <w:rFonts w:ascii="Times New Roman" w:hAnsi="Times New Roman" w:cs="Times New Roman"/>
          <w:noProof/>
          <w:kern w:val="0"/>
        </w:rPr>
        <w:tab/>
        <w:t>B. Verbeek, Eutectic Freeze Crystallization on Sodium Chloride: Analysis of a full experimental cycle, Technical University of Delf, 2011. http://resolver.tudelft.nl/uuid:2d3bca49-1f4f-41f1-a2aa-b821712d82ec.</w:t>
      </w:r>
    </w:p>
    <w:p w14:paraId="033E04D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[140]</w:t>
      </w:r>
      <w:r w:rsidRPr="00D83446">
        <w:rPr>
          <w:rFonts w:ascii="Times New Roman" w:hAnsi="Times New Roman" w:cs="Times New Roman"/>
          <w:noProof/>
          <w:kern w:val="0"/>
        </w:rPr>
        <w:tab/>
        <w:t>F.E. Genceli, Scaling-Up Eutectic Freeze Crystallization, Technical University of Delf, 2008. http://resolver.tudelft.nl/uuid:c64d84d8-6552-4d3c-9c02-1d511c689c43.</w:t>
      </w:r>
    </w:p>
    <w:p w14:paraId="7D4C5C9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[141]</w:t>
      </w:r>
      <w:r w:rsidRPr="00D83446">
        <w:rPr>
          <w:rFonts w:ascii="Times New Roman" w:hAnsi="Times New Roman" w:cs="Times New Roman"/>
          <w:noProof/>
          <w:kern w:val="0"/>
        </w:rPr>
        <w:tab/>
        <w:t>M.M. Conde, M. Rovere, P. Gallo, Molecular dynamics simulations of freezing-point depression of TIP4P/2005 water in solution with NaCl, J. Mol. Liq. 261 (2018) 513–519. https://doi.org/10.1016/j.molliq.2018.03.126.</w:t>
      </w:r>
    </w:p>
    <w:p w14:paraId="7588ADF9"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[142]</w:t>
      </w:r>
      <w:r w:rsidRPr="00D83446">
        <w:rPr>
          <w:rFonts w:ascii="Times New Roman" w:hAnsi="Times New Roman" w:cs="Times New Roman"/>
          <w:noProof/>
          <w:kern w:val="0"/>
        </w:rPr>
        <w:tab/>
        <w:t>H. Kumano, T. Asaoka, A. Saito, S. Okawa, Formulation of the latent heat of fusion of ice in aqueous solution, Int. J. Refrig. 32 (2009) 175–182. https://doi.org/10.1016/j.ijrefrig.2008.07.010.</w:t>
      </w:r>
    </w:p>
    <w:p w14:paraId="1787255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[143]</w:t>
      </w:r>
      <w:r w:rsidRPr="00D83446">
        <w:rPr>
          <w:rFonts w:ascii="Times New Roman" w:hAnsi="Times New Roman" w:cs="Times New Roman"/>
          <w:noProof/>
          <w:kern w:val="0"/>
        </w:rPr>
        <w:tab/>
        <w:t>H. Zhang, I. Janajreh, M.I. Hassan Ali, K. Askar, Freezing desalination: Heat and mass validated modeling and experimental parametric analyses, Case Stud. Therm. Eng. 26 (2021) 101189. https://doi.org/10.1016/j.csite.2021.101189.</w:t>
      </w:r>
    </w:p>
    <w:p w14:paraId="36AF51A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[144]</w:t>
      </w:r>
      <w:r w:rsidRPr="00D83446">
        <w:rPr>
          <w:rFonts w:ascii="Times New Roman" w:hAnsi="Times New Roman" w:cs="Times New Roman"/>
          <w:noProof/>
          <w:kern w:val="0"/>
        </w:rPr>
        <w:tab/>
        <w:t>A. Zambrano, Y. Ruiz, E. Hernández, M. Raventós, F.L. Moreno, Freeze desalination by the integration of falling film and block freeze-concentration techniques, Desalination. 436 (2018) 56–62. https://doi.org/10.1016/j.desal.2018.02.015.</w:t>
      </w:r>
    </w:p>
    <w:p w14:paraId="7EDBE9C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[145]</w:t>
      </w:r>
      <w:r w:rsidRPr="00D83446">
        <w:rPr>
          <w:rFonts w:ascii="Times New Roman" w:hAnsi="Times New Roman" w:cs="Times New Roman"/>
          <w:noProof/>
          <w:kern w:val="0"/>
        </w:rPr>
        <w:tab/>
        <w:t xml:space="preserve">C.S. Luo, W.W. Chen, W.F. Han, Experimental study on factors affecting the quality of </w:t>
      </w:r>
      <w:r w:rsidRPr="00D83446">
        <w:rPr>
          <w:rFonts w:ascii="Times New Roman" w:hAnsi="Times New Roman" w:cs="Times New Roman"/>
          <w:noProof/>
          <w:kern w:val="0"/>
        </w:rPr>
        <w:lastRenderedPageBreak/>
        <w:t>ice crystal during the freezing concentration for the brackish water, Desalination. 260 (2010) 231–238. https://doi.org/10.1016/j.desal.2010.04.018.</w:t>
      </w:r>
    </w:p>
    <w:p w14:paraId="55A4520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[146]</w:t>
      </w:r>
      <w:r w:rsidRPr="00D83446">
        <w:rPr>
          <w:rFonts w:ascii="Times New Roman" w:hAnsi="Times New Roman" w:cs="Times New Roman"/>
          <w:noProof/>
          <w:kern w:val="0"/>
        </w:rPr>
        <w:tab/>
        <w:t>H.M. Abdelmoaty, A.U. Mahgoub, A.W. Abdeldayem, Performance analysis of salt reduction levels in indirect freeze desalination system with and without magnetic field exposure, Desalination. 508 (2021) 115021. https://doi.org/10.1016/j.desal.2021.115021.</w:t>
      </w:r>
    </w:p>
    <w:p w14:paraId="1BEBD58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[147]</w:t>
      </w:r>
      <w:r w:rsidRPr="00D83446">
        <w:rPr>
          <w:rFonts w:ascii="Times New Roman" w:hAnsi="Times New Roman" w:cs="Times New Roman"/>
          <w:noProof/>
          <w:kern w:val="0"/>
        </w:rPr>
        <w:tab/>
        <w:t>F. Dierich, P.A. Nikrityuk, S. Ananiev, 2D modeling of moving particles with phase-change effect, Chem. Eng. Sci. 66 (2011) 5459–5473. https://doi.org/10.1016/j.ces.2011.06.075.</w:t>
      </w:r>
    </w:p>
    <w:p w14:paraId="416C312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[148]</w:t>
      </w:r>
      <w:r w:rsidRPr="00D83446">
        <w:rPr>
          <w:rFonts w:ascii="Times New Roman" w:hAnsi="Times New Roman" w:cs="Times New Roman"/>
          <w:noProof/>
          <w:kern w:val="0"/>
        </w:rPr>
        <w:tab/>
        <w:t>W. Guo, Y. Zhang, Z. Meng, P. Zhang, S. Poncet, Non-uniform melting of a spherical ice particle in free ascending, Int. J. Heat Mass Transf. 148 (2020). https://doi.org/10.1016/j.ijheatmasstransfer.2019.119097.</w:t>
      </w:r>
    </w:p>
    <w:p w14:paraId="6EA58D9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[149]</w:t>
      </w:r>
      <w:r w:rsidRPr="00D83446">
        <w:rPr>
          <w:rFonts w:ascii="Times New Roman" w:hAnsi="Times New Roman" w:cs="Times New Roman"/>
          <w:noProof/>
          <w:kern w:val="0"/>
        </w:rPr>
        <w:tab/>
        <w:t>K. Suzuki, T. Kawasaki, T. Asaoka, M. Yoshino, Numerical simulations of solid–liquid and solid–solid interactions in ice slurry flows by the thermal immersed boundary–lattice Boltzmann method, Int. J. Heat Mass Transf. 157 (2020) 119944. https://doi.org/10.1016/j.ijheatmasstransfer.2020.119944.</w:t>
      </w:r>
    </w:p>
    <w:p w14:paraId="6035A21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[150]</w:t>
      </w:r>
      <w:r w:rsidRPr="00D83446">
        <w:rPr>
          <w:rFonts w:ascii="Times New Roman" w:hAnsi="Times New Roman" w:cs="Times New Roman"/>
          <w:noProof/>
          <w:kern w:val="0"/>
        </w:rPr>
        <w:tab/>
        <w:t>K. Suzuki, T. Kuroiwa, T. Asaoka, M. Yoshino, Particle-resolved simulations of ice slurry flows in a square duct by the thermal immersed boundary–lattice Boltzmann method, Comput. Fluids. 228 (2021) 105064. https://doi.org/10.1016/j.compfluid.2021.105064.</w:t>
      </w:r>
    </w:p>
    <w:p w14:paraId="049803B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[151]</w:t>
      </w:r>
      <w:r w:rsidRPr="00D83446">
        <w:rPr>
          <w:rFonts w:ascii="Times New Roman" w:hAnsi="Times New Roman" w:cs="Times New Roman"/>
          <w:noProof/>
          <w:kern w:val="0"/>
        </w:rPr>
        <w:tab/>
        <w:t>I. Sarbu, A. Dorca, Review on heat transfer analysis in thermal energy storage using latent heat storage systems and phase change materials, Int. J. Energy Res. 43 (2019) 29–64. https://doi.org/10.1002/er.4196.</w:t>
      </w:r>
    </w:p>
    <w:p w14:paraId="56D3D95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[152]</w:t>
      </w:r>
      <w:r w:rsidRPr="00D83446">
        <w:rPr>
          <w:rFonts w:ascii="Times New Roman" w:hAnsi="Times New Roman" w:cs="Times New Roman"/>
          <w:noProof/>
          <w:kern w:val="0"/>
        </w:rPr>
        <w:tab/>
        <w:t>P.K.S. Rathore, S.K. Shukla, Potential of macroencapsulated pcm for thermal energy storage in buildings: A comprehensive review, Constr. Build. Mater. 225 (2019) 723–744. https://doi.org/10.1016/j.conbuildmat.2019.07.221.</w:t>
      </w:r>
    </w:p>
    <w:p w14:paraId="18452E6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[153]</w:t>
      </w:r>
      <w:r w:rsidRPr="00D83446">
        <w:rPr>
          <w:rFonts w:ascii="Times New Roman" w:hAnsi="Times New Roman" w:cs="Times New Roman"/>
          <w:noProof/>
          <w:kern w:val="0"/>
        </w:rPr>
        <w:tab/>
        <w:t>H.M. Ali, Recent advancements in PV cooling and efficiency enhancement integrating phase change materials based systems – A comprehensive review, Sol. Energy. 197 (2020) 163–198. https://doi.org/10.1016/j.solener.2019.11.075.</w:t>
      </w:r>
    </w:p>
    <w:p w14:paraId="3112ED4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[154]</w:t>
      </w:r>
      <w:r w:rsidRPr="00D83446">
        <w:rPr>
          <w:rFonts w:ascii="Times New Roman" w:hAnsi="Times New Roman" w:cs="Times New Roman"/>
          <w:noProof/>
          <w:kern w:val="0"/>
        </w:rPr>
        <w:tab/>
        <w:t>J. Luo, D. Zou, Y. Wang, S. Wang, L. Huang, Battery thermal management systems (BTMs) based on phase change material (PCM): A comprehensive review, Chem. Eng. J. 430 (2022) 132741. https://doi.org/10.1016/j.cej.2021.132741.</w:t>
      </w:r>
    </w:p>
    <w:p w14:paraId="3E269DC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[155]</w:t>
      </w:r>
      <w:r w:rsidRPr="00D83446">
        <w:rPr>
          <w:rFonts w:ascii="Times New Roman" w:hAnsi="Times New Roman" w:cs="Times New Roman"/>
          <w:noProof/>
          <w:kern w:val="0"/>
        </w:rPr>
        <w:tab/>
        <w:t>J.J. Zhang, C.H. Yang, Z.G. Jin, S.X. Ma, J.S. Zhang, X.M. Pang, Experimental study of jet impingement heat transfer with microencapsulated phase change material slurry, Appl. Therm. Eng. 188 (2021). https://doi.org/10.1016/j.applthermaleng.2021.116588.</w:t>
      </w:r>
    </w:p>
    <w:p w14:paraId="6A7FD05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[156]</w:t>
      </w:r>
      <w:r w:rsidRPr="00D83446">
        <w:rPr>
          <w:rFonts w:ascii="Times New Roman" w:hAnsi="Times New Roman" w:cs="Times New Roman"/>
          <w:noProof/>
          <w:kern w:val="0"/>
        </w:rPr>
        <w:tab/>
        <w:t>C.J. Ho, S.T. Hsu, T.F. Yang, B.L. Chen, S. Rashidi, W.M. Yan, Cooling performance of mini-channel heat sink with water-based nano-PCM emulsion-An experimental study, Int. J. Therm. Sci. 164 (2021). https://doi.org/10.1016/j.ijthermalsci.2021.106903.</w:t>
      </w:r>
    </w:p>
    <w:p w14:paraId="44681C1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[157]</w:t>
      </w:r>
      <w:r w:rsidRPr="00D83446">
        <w:rPr>
          <w:rFonts w:ascii="Times New Roman" w:hAnsi="Times New Roman" w:cs="Times New Roman"/>
          <w:noProof/>
          <w:kern w:val="0"/>
        </w:rPr>
        <w:tab/>
        <w:t>R. Pakrouh, M.J. Hosseini, R. Bahrampoury, A.A. Ranjbar, S.M. Borhani, Cylindrical battery thermal management based on microencapsulated phase change slurry, J. Energy Storage. 40 (2021) 102602. https://doi.org/10.1016/j.est.2021.102602.</w:t>
      </w:r>
    </w:p>
    <w:p w14:paraId="690A04E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[158]</w:t>
      </w:r>
      <w:r w:rsidRPr="00D83446">
        <w:rPr>
          <w:rFonts w:ascii="Times New Roman" w:hAnsi="Times New Roman" w:cs="Times New Roman"/>
          <w:noProof/>
          <w:kern w:val="0"/>
        </w:rPr>
        <w:tab/>
        <w:t xml:space="preserve">A. Chananipoor, Z. Azizi, B. Raei, N. Tahmasebi, Optimization of the thermal performance of nano-encapsulated phase change material slurry in double pipe heat exchanger: Design of experiments using response surface methodology (RSM), J. Build. </w:t>
      </w:r>
      <w:r w:rsidRPr="00D83446">
        <w:rPr>
          <w:rFonts w:ascii="Times New Roman" w:hAnsi="Times New Roman" w:cs="Times New Roman"/>
          <w:noProof/>
          <w:kern w:val="0"/>
        </w:rPr>
        <w:lastRenderedPageBreak/>
        <w:t>Eng. 34 (2021) 101929. https://doi.org/10.1016/j.jobe.2020.101929.</w:t>
      </w:r>
    </w:p>
    <w:p w14:paraId="406A0ED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[159]</w:t>
      </w:r>
      <w:r w:rsidRPr="00D83446">
        <w:rPr>
          <w:rFonts w:ascii="Times New Roman" w:hAnsi="Times New Roman" w:cs="Times New Roman"/>
          <w:noProof/>
          <w:kern w:val="0"/>
        </w:rPr>
        <w:tab/>
        <w:t>Z. Wang, J. Qu, R. Zhang, X. Han, J. Wu, Photo-thermal performance evaluation on MWCNTs-dispersed microencapsulated PCM slurries for direct absorption solar collectors, J. Energy Storage. 26 (2019) 100793. https://doi.org/10.1016/j.est.2019.100793.</w:t>
      </w:r>
    </w:p>
    <w:p w14:paraId="3FC9406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[160]</w:t>
      </w:r>
      <w:r w:rsidRPr="00D83446">
        <w:rPr>
          <w:rFonts w:ascii="Times New Roman" w:hAnsi="Times New Roman" w:cs="Times New Roman"/>
          <w:noProof/>
          <w:kern w:val="0"/>
        </w:rPr>
        <w:tab/>
        <w:t>Q. Lin, S. Wang, Z. Ma, J. Wang, T. Zhang, Simulation of the Melting Process of Ice Slurry for Energy Storage Using a Two-Fluid Lattice Boltzmann Method, Energy Procedia. 121 (2017) 110–117. https://doi.org/10.1016/j.egypro.2017.08.007.</w:t>
      </w:r>
    </w:p>
    <w:p w14:paraId="26B87C8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[161]</w:t>
      </w:r>
      <w:r w:rsidRPr="00D83446">
        <w:rPr>
          <w:rFonts w:ascii="Times New Roman" w:hAnsi="Times New Roman" w:cs="Times New Roman"/>
          <w:noProof/>
          <w:kern w:val="0"/>
        </w:rPr>
        <w:tab/>
        <w:t>A. Kumar, S. Roy, Heat transfer characteristics during melting of a metal spherical particle in its own liquid, Int. J. Therm. Sci. 49 (2010) 397–408. https://doi.org/10.1016/j.ijthermalsci.2009.07.011.</w:t>
      </w:r>
    </w:p>
    <w:p w14:paraId="0E8DD0A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[162]</w:t>
      </w:r>
      <w:r w:rsidRPr="00D83446">
        <w:rPr>
          <w:rFonts w:ascii="Times New Roman" w:hAnsi="Times New Roman" w:cs="Times New Roman"/>
          <w:noProof/>
          <w:kern w:val="0"/>
        </w:rPr>
        <w:tab/>
        <w:t>H. Gan, J.J. Feng, H.H. Hu, Simulation of the sedimentation of melting solid particles, Int. J. Multiph. Flow. 29 (2003) 751–769. https://doi.org/10.1016/S0301-9322(03)00035-1.</w:t>
      </w:r>
    </w:p>
    <w:p w14:paraId="7189BA4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[163]</w:t>
      </w:r>
      <w:r w:rsidRPr="00D83446">
        <w:rPr>
          <w:rFonts w:ascii="Times New Roman" w:hAnsi="Times New Roman" w:cs="Times New Roman"/>
          <w:noProof/>
          <w:kern w:val="0"/>
        </w:rPr>
        <w:tab/>
        <w:t>H. Shabgard, H. Hu, P.A. Boettcher, M. McCarthy, Y. Sun, Heat transfer analysis of PCM slurry flow between parallel plates, Int. J. Heat Mass Transf. 99 (2016) 895–903. https://doi.org/10.1016/j.ijheatmasstransfer.2016.04.020.</w:t>
      </w:r>
    </w:p>
    <w:p w14:paraId="4BBC376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[164]</w:t>
      </w:r>
      <w:r w:rsidRPr="00D83446">
        <w:rPr>
          <w:rFonts w:ascii="Times New Roman" w:hAnsi="Times New Roman" w:cs="Times New Roman"/>
          <w:noProof/>
          <w:kern w:val="0"/>
        </w:rPr>
        <w:tab/>
        <w:t>R. Kaviani, M. Naghashnejad, H. Shabgard, Lateral Migration of a Melting Particle in a Vertical Poiseuille Flow, in: Proc. Therm. Fluids Eng. Summer Conf., 7th Thermal and Fluids Engineering Conference (TFEC), 2022: pp. 691–699. https://doi.org/10.1615/tfec2022.mpp.040972.</w:t>
      </w:r>
    </w:p>
    <w:p w14:paraId="0EA6E70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lastRenderedPageBreak/>
        <w:t>[165]</w:t>
      </w:r>
      <w:r w:rsidRPr="00D83446">
        <w:rPr>
          <w:rFonts w:ascii="Times New Roman" w:hAnsi="Times New Roman" w:cs="Times New Roman"/>
          <w:noProof/>
          <w:kern w:val="0"/>
        </w:rPr>
        <w:tab/>
        <w:t>A. Prosperetti, G. Tryggvason, Computational methods for multiphase flow, Cambridge university press, 2007. https://doi.org/10.1017/CBO9780511607486.</w:t>
      </w:r>
    </w:p>
    <w:p w14:paraId="33F8D0C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[166]</w:t>
      </w:r>
      <w:r w:rsidRPr="00D83446">
        <w:rPr>
          <w:rFonts w:ascii="Times New Roman" w:hAnsi="Times New Roman" w:cs="Times New Roman"/>
          <w:noProof/>
          <w:kern w:val="0"/>
        </w:rPr>
        <w:tab/>
        <w:t>C.W. Hirt, B.D. Nichols, Volume of fluid (VOF) method for the dynamics of free boundaries, J. Comput. Phys. 39 (1981) 201–225. https://doi.org/10.1016/0021-9991(81)90145-5.</w:t>
      </w:r>
    </w:p>
    <w:p w14:paraId="6B6D4936"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[167]</w:t>
      </w:r>
      <w:r w:rsidRPr="00D83446">
        <w:rPr>
          <w:rFonts w:ascii="Times New Roman" w:hAnsi="Times New Roman" w:cs="Times New Roman"/>
          <w:noProof/>
          <w:kern w:val="0"/>
        </w:rPr>
        <w:tab/>
        <w:t>S. Osher, R. Fedkiw,, K. Piechor, Level Set Methods and Dynamic Implicit Surfaces, Appl. Mech. Rev. 57 (2004) B15–B15. https://doi.org/10.1115/1.1760520.</w:t>
      </w:r>
    </w:p>
    <w:p w14:paraId="5A9E994C"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[168]</w:t>
      </w:r>
      <w:r w:rsidRPr="00D83446">
        <w:rPr>
          <w:rFonts w:ascii="Times New Roman" w:hAnsi="Times New Roman" w:cs="Times New Roman"/>
          <w:noProof/>
          <w:kern w:val="0"/>
        </w:rPr>
        <w:tab/>
        <w:t>J. Donea, A. Huerta, J. ‐Ph. Ponthot, A. Rodríguez‐Ferran, Arbitrary Lagrangian– Eulerian Methods, in: Encycl. Comput. Mech., 1st ed., Wiley, 2004: pp. 413–437. https://doi.org/10.1002/0470091355.ecm009.</w:t>
      </w:r>
    </w:p>
    <w:p w14:paraId="116BDC0B"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[169]</w:t>
      </w:r>
      <w:r w:rsidRPr="00D83446">
        <w:rPr>
          <w:rFonts w:ascii="Times New Roman" w:hAnsi="Times New Roman" w:cs="Times New Roman"/>
          <w:noProof/>
          <w:kern w:val="0"/>
        </w:rPr>
        <w:tab/>
        <w:t>ANSYS Fluent Theory Guide, ANSYS Inc., USA. 15317 (2013) 814. http://www.afs.enea.it/project/neptunius/docs/fluent/html/th/main_pre.htm.</w:t>
      </w:r>
    </w:p>
    <w:p w14:paraId="71E546E5"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[170]</w:t>
      </w:r>
      <w:r w:rsidRPr="00D83446">
        <w:rPr>
          <w:rFonts w:ascii="Times New Roman" w:hAnsi="Times New Roman" w:cs="Times New Roman"/>
          <w:noProof/>
          <w:kern w:val="0"/>
        </w:rPr>
        <w:tab/>
        <w:t>R. Kaviani, M. Naghashnejad, H. Shabgard, Migration and heat transfer modeling of a neutrally buoyant melting particle in Poiseuille flow, Phys. Fluids. 35 (2023). https://doi.org/10.1063/5.0145904.</w:t>
      </w:r>
    </w:p>
    <w:p w14:paraId="03DDA22D"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[171]</w:t>
      </w:r>
      <w:r w:rsidRPr="00D83446">
        <w:rPr>
          <w:rFonts w:ascii="Times New Roman" w:hAnsi="Times New Roman" w:cs="Times New Roman"/>
          <w:noProof/>
          <w:kern w:val="0"/>
        </w:rPr>
        <w:tab/>
        <w:t>H.H. Hu, N.A. Patankar, M.Y. Zhu, Direct Numerical Simulations of Fluid-Solid Systems Using the Arbitrary Lagrangian-Eulerian Technique, J. Comput. Phys. 169 (2001) 427–462. https://doi.org/10.1006/jcph.2000.6592.</w:t>
      </w:r>
    </w:p>
    <w:p w14:paraId="68A349E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[172]</w:t>
      </w:r>
      <w:r w:rsidRPr="00D83446">
        <w:rPr>
          <w:rFonts w:ascii="Times New Roman" w:hAnsi="Times New Roman" w:cs="Times New Roman"/>
          <w:noProof/>
          <w:kern w:val="0"/>
        </w:rPr>
        <w:tab/>
        <w:t xml:space="preserve">L. Li, S.J. Sherwin, P.W. Bearman, A moving frame of reference algorithm for fluid/structure interaction of rotating and translating bodies, Int. J. Numer. Methods </w:t>
      </w:r>
      <w:r w:rsidRPr="00D83446">
        <w:rPr>
          <w:rFonts w:ascii="Times New Roman" w:hAnsi="Times New Roman" w:cs="Times New Roman"/>
          <w:noProof/>
          <w:kern w:val="0"/>
        </w:rPr>
        <w:lastRenderedPageBreak/>
        <w:t>Fluids. 38 (2002) 187–206. https://doi.org/10.1002/fld.216.</w:t>
      </w:r>
    </w:p>
    <w:p w14:paraId="5B55F2AF"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[173]</w:t>
      </w:r>
      <w:r w:rsidRPr="00D83446">
        <w:rPr>
          <w:rFonts w:ascii="Times New Roman" w:hAnsi="Times New Roman" w:cs="Times New Roman"/>
          <w:noProof/>
          <w:kern w:val="0"/>
        </w:rPr>
        <w:tab/>
        <w:t>A. Faghri, Y. Zhang, Transport Phenomena in Multiphase Systems, 1st ed., Elsevier, 2006.</w:t>
      </w:r>
    </w:p>
    <w:p w14:paraId="0B4C1B63"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[174]</w:t>
      </w:r>
      <w:r w:rsidRPr="00D83446">
        <w:rPr>
          <w:rFonts w:ascii="Times New Roman" w:hAnsi="Times New Roman" w:cs="Times New Roman"/>
          <w:noProof/>
          <w:kern w:val="0"/>
        </w:rPr>
        <w:tab/>
        <w:t>S. V. Patankar, Numerical heat transfer and fluid flow., 1st ed., CRC Press, 1980. https://doi.org/10.13182/nse81-a20112.</w:t>
      </w:r>
    </w:p>
    <w:p w14:paraId="01C36974"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[175]</w:t>
      </w:r>
      <w:r w:rsidRPr="00D83446">
        <w:rPr>
          <w:rFonts w:ascii="Times New Roman" w:hAnsi="Times New Roman" w:cs="Times New Roman"/>
          <w:noProof/>
          <w:kern w:val="0"/>
        </w:rPr>
        <w:tab/>
        <w:t>J.H. Ferziger, M. Perić, R.L. Street, Computational Methods for Fluid Dynamics, 4th ed., Springer Berlin Heidelberg, 2019. https://doi.org/10.1007/978-3-319-99693-6.</w:t>
      </w:r>
    </w:p>
    <w:p w14:paraId="40B13B5E"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[176]</w:t>
      </w:r>
      <w:r w:rsidRPr="00D83446">
        <w:rPr>
          <w:rFonts w:ascii="Times New Roman" w:hAnsi="Times New Roman" w:cs="Times New Roman"/>
          <w:noProof/>
          <w:kern w:val="0"/>
        </w:rPr>
        <w:tab/>
        <w:t>H. Gan, J. Chang, J.J. Feng, H.H. Hu, Direct numerical simulation of the sedimentation of solid particles with thermal convection, J. Fluid Mech. 481 (2003) 385–411. https://doi.org/10.1017/S0022112003003938.</w:t>
      </w:r>
    </w:p>
    <w:p w14:paraId="6A3F4FC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[177]</w:t>
      </w:r>
      <w:r w:rsidRPr="00D83446">
        <w:rPr>
          <w:rFonts w:ascii="Times New Roman" w:hAnsi="Times New Roman" w:cs="Times New Roman"/>
          <w:noProof/>
          <w:kern w:val="0"/>
        </w:rPr>
        <w:tab/>
        <w:t>J. Hu, Z. Guo, A numerical study on the migration of a neutrally buoyant particle in a Poiseuille flow with thermal convection, Int. J. Heat Mass Transf. 108 (2017) 2158–2168. https://doi.org/10.1016/j.ijheatmasstransfer.2017.01.077.</w:t>
      </w:r>
    </w:p>
    <w:p w14:paraId="19E472D7"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[178]</w:t>
      </w:r>
      <w:r w:rsidRPr="00D83446">
        <w:rPr>
          <w:rFonts w:ascii="Times New Roman" w:hAnsi="Times New Roman" w:cs="Times New Roman"/>
          <w:noProof/>
          <w:kern w:val="0"/>
        </w:rPr>
        <w:tab/>
        <w:t>W. Liu, C.Y. Wu, Inertial migration of a neutrally buoyant circular particle in a planar Poiseuille flow with thermal fluids, Phys. Fluids. 33 (2021). https://doi.org/10.1063/5.0051024.</w:t>
      </w:r>
    </w:p>
    <w:p w14:paraId="6C166B02"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[179]</w:t>
      </w:r>
      <w:r w:rsidRPr="00D83446">
        <w:rPr>
          <w:rFonts w:ascii="Times New Roman" w:hAnsi="Times New Roman" w:cs="Times New Roman"/>
          <w:noProof/>
          <w:kern w:val="0"/>
        </w:rPr>
        <w:tab/>
        <w:t>Z. Yu, X. Shao, A. Wachs, A fictitious domain method for particulate flows with heat transfer, J. Comput. Phys. 217 (2006) 424–452. https://doi.org/10.1016/j.jcp.2006.01.016.</w:t>
      </w:r>
    </w:p>
    <w:p w14:paraId="331421D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[180]</w:t>
      </w:r>
      <w:r w:rsidRPr="00D83446">
        <w:rPr>
          <w:rFonts w:ascii="Times New Roman" w:hAnsi="Times New Roman" w:cs="Times New Roman"/>
          <w:noProof/>
          <w:kern w:val="0"/>
        </w:rPr>
        <w:tab/>
        <w:t xml:space="preserve">Z.G. Feng, E.E. Michaelides, Heat transfer in particulate flows with Direct Numerical Simulation (DNS), Int. J. Heat Mass Transf. 52 (2009) 777–786. </w:t>
      </w:r>
      <w:r w:rsidRPr="00D83446">
        <w:rPr>
          <w:rFonts w:ascii="Times New Roman" w:hAnsi="Times New Roman" w:cs="Times New Roman"/>
          <w:noProof/>
          <w:kern w:val="0"/>
        </w:rPr>
        <w:lastRenderedPageBreak/>
        <w:t>https://doi.org/10.1016/j.ijheatmasstransfer.2008.07.023.</w:t>
      </w:r>
    </w:p>
    <w:p w14:paraId="26620C98"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[181]</w:t>
      </w:r>
      <w:r w:rsidRPr="00D83446">
        <w:rPr>
          <w:rFonts w:ascii="Times New Roman" w:hAnsi="Times New Roman" w:cs="Times New Roman"/>
          <w:noProof/>
          <w:kern w:val="0"/>
        </w:rPr>
        <w:tab/>
        <w:t>S.K. Kang, Y.A. Hassan, A direct-forcing immersed boundary method for the thermal lattice Boltzmann method, Comput. Fluids. 49 (2011) 36–45. https://doi.org/10.1016/j.compfluid.2011.04.016.</w:t>
      </w:r>
    </w:p>
    <w:p w14:paraId="1A89E981"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kern w:val="0"/>
        </w:rPr>
      </w:pPr>
      <w:r w:rsidRPr="00D83446">
        <w:rPr>
          <w:rFonts w:ascii="Times New Roman" w:hAnsi="Times New Roman" w:cs="Times New Roman"/>
          <w:noProof/>
          <w:kern w:val="0"/>
        </w:rPr>
        <w:t>[182]</w:t>
      </w:r>
      <w:r w:rsidRPr="00D83446">
        <w:rPr>
          <w:rFonts w:ascii="Times New Roman" w:hAnsi="Times New Roman" w:cs="Times New Roman"/>
          <w:noProof/>
          <w:kern w:val="0"/>
        </w:rPr>
        <w:tab/>
        <w:t>B. Yang, S. Chen, C. Cao, Z. Liu, C. Zheng, Lattice Boltzmann simulation of two cold particles settling in Newtonian fluid with thermal convection, Int. J. Heat Mass Transf. 93 (2016) 477–490. https://doi.org/10.1016/j.ijheatmasstransfer.2015.10.030.</w:t>
      </w:r>
    </w:p>
    <w:p w14:paraId="37CFBBE0" w14:textId="77777777" w:rsidR="00D83446" w:rsidRPr="00D83446" w:rsidRDefault="00D83446" w:rsidP="00C55E41">
      <w:pPr>
        <w:widowControl w:val="0"/>
        <w:autoSpaceDE w:val="0"/>
        <w:autoSpaceDN w:val="0"/>
        <w:adjustRightInd w:val="0"/>
        <w:spacing w:before="240" w:after="240" w:line="480" w:lineRule="auto"/>
        <w:ind w:left="640" w:hanging="640"/>
        <w:rPr>
          <w:rFonts w:ascii="Times New Roman" w:hAnsi="Times New Roman" w:cs="Times New Roman"/>
          <w:noProof/>
        </w:rPr>
      </w:pPr>
      <w:r w:rsidRPr="00D83446">
        <w:rPr>
          <w:rFonts w:ascii="Times New Roman" w:hAnsi="Times New Roman" w:cs="Times New Roman"/>
          <w:noProof/>
          <w:kern w:val="0"/>
        </w:rPr>
        <w:t>[183]</w:t>
      </w:r>
      <w:r w:rsidRPr="00D83446">
        <w:rPr>
          <w:rFonts w:ascii="Times New Roman" w:hAnsi="Times New Roman" w:cs="Times New Roman"/>
          <w:noProof/>
          <w:kern w:val="0"/>
        </w:rPr>
        <w:tab/>
        <w:t>D.R. Oliver, Influence of particle rotation on radial migration in the Poiseuille flow of suspensions, Nature. 194 (1962) 1269–1271. https://doi.org/10.1038/1941269b0.</w:t>
      </w:r>
    </w:p>
    <w:p w14:paraId="0544930D" w14:textId="04081CD3" w:rsidR="00C80F28" w:rsidRPr="004834D3" w:rsidRDefault="00C80F28" w:rsidP="00C55E41">
      <w:pPr>
        <w:spacing w:before="240" w:after="240" w:line="480" w:lineRule="auto"/>
        <w:rPr>
          <w:rFonts w:cstheme="majorBidi"/>
        </w:rPr>
      </w:pPr>
      <w:r w:rsidRPr="004834D3">
        <w:rPr>
          <w:rFonts w:cstheme="majorBidi"/>
        </w:rPr>
        <w:fldChar w:fldCharType="end"/>
      </w:r>
    </w:p>
    <w:sectPr w:rsidR="00C80F28" w:rsidRPr="004834D3" w:rsidSect="00903FB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F592C" w14:textId="77777777" w:rsidR="000B4192" w:rsidRDefault="000B4192" w:rsidP="000C49DB">
      <w:pPr>
        <w:spacing w:after="0" w:line="240" w:lineRule="auto"/>
      </w:pPr>
      <w:r>
        <w:separator/>
      </w:r>
    </w:p>
  </w:endnote>
  <w:endnote w:type="continuationSeparator" w:id="0">
    <w:p w14:paraId="14B97C55" w14:textId="77777777" w:rsidR="000B4192" w:rsidRDefault="000B4192" w:rsidP="000C4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2145895"/>
      <w:docPartObj>
        <w:docPartGallery w:val="Page Numbers (Bottom of Page)"/>
        <w:docPartUnique/>
      </w:docPartObj>
    </w:sdtPr>
    <w:sdtEndPr>
      <w:rPr>
        <w:noProof/>
      </w:rPr>
    </w:sdtEndPr>
    <w:sdtContent>
      <w:p w14:paraId="7E2F3128" w14:textId="77777777" w:rsidR="0064549C" w:rsidRDefault="006454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7DC1D7" w14:textId="77777777" w:rsidR="0064549C" w:rsidRDefault="0064549C" w:rsidP="00903F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FFA8C" w14:textId="77777777" w:rsidR="000B4192" w:rsidRDefault="000B4192" w:rsidP="000C49DB">
      <w:pPr>
        <w:spacing w:after="0" w:line="240" w:lineRule="auto"/>
      </w:pPr>
      <w:r>
        <w:separator/>
      </w:r>
    </w:p>
  </w:footnote>
  <w:footnote w:type="continuationSeparator" w:id="0">
    <w:p w14:paraId="461385E5" w14:textId="77777777" w:rsidR="000B4192" w:rsidRDefault="000B4192" w:rsidP="000C49DB">
      <w:pPr>
        <w:spacing w:after="0" w:line="240" w:lineRule="auto"/>
      </w:pPr>
      <w:r>
        <w:continuationSeparator/>
      </w:r>
    </w:p>
  </w:footnote>
  <w:footnote w:id="1">
    <w:p w14:paraId="18E978B7" w14:textId="038FC71B" w:rsidR="002E4D3F" w:rsidRDefault="002E4D3F" w:rsidP="002E4D3F">
      <w:pPr>
        <w:pStyle w:val="FootnoteText"/>
        <w:jc w:val="both"/>
      </w:pPr>
      <w:r w:rsidRPr="002F637A">
        <w:rPr>
          <w:rStyle w:val="FootnoteReference"/>
        </w:rPr>
        <w:footnoteRef/>
      </w:r>
      <w:r>
        <w:t xml:space="preserve"> The content of this chapter is an extension of a published paper by the author. The paper contains results of research which was solely conducted as partial fulfillment for the PhD requirement. Materials presented in the paper have not been submitted for a course or extra credit.</w:t>
      </w:r>
    </w:p>
  </w:footnote>
  <w:footnote w:id="2">
    <w:p w14:paraId="198BEA5E" w14:textId="2EDAAE03" w:rsidR="00C37648" w:rsidRDefault="00C37648" w:rsidP="00C37648">
      <w:pPr>
        <w:pStyle w:val="FootnoteText"/>
        <w:jc w:val="both"/>
      </w:pPr>
      <w:r>
        <w:rPr>
          <w:rStyle w:val="FootnoteReference"/>
        </w:rPr>
        <w:footnoteRef/>
      </w:r>
      <w:r>
        <w:t xml:space="preserve"> The content of this chapter is an extension of a published paper by the author. The paper contains results of research which was solely conducted as partial fulfillment for the PhD requirement. Materials presented in the paper have not been submitted for a course or extra credit.</w:t>
      </w:r>
    </w:p>
  </w:footnote>
  <w:footnote w:id="3">
    <w:p w14:paraId="2430609B" w14:textId="11ADD2B9" w:rsidR="002E4D3F" w:rsidRDefault="002E4D3F" w:rsidP="002E4D3F">
      <w:pPr>
        <w:pStyle w:val="FootnoteText"/>
        <w:jc w:val="both"/>
      </w:pPr>
      <w:r w:rsidRPr="002F637A">
        <w:rPr>
          <w:rStyle w:val="FootnoteReference"/>
        </w:rPr>
        <w:footnoteRef/>
      </w:r>
      <w:r>
        <w:t xml:space="preserve"> The content of this chapter is an extension of a published paper by the author. The paper contains results of research which was solely conducted as partial fulfillment for the PhD requirement. Materials presented in the paper have not been submitted for a course or extra credit.</w:t>
      </w:r>
    </w:p>
  </w:footnote>
  <w:footnote w:id="4">
    <w:p w14:paraId="1287CEC5" w14:textId="6972F22B" w:rsidR="002E4D3F" w:rsidRDefault="002E4D3F" w:rsidP="002E4D3F">
      <w:pPr>
        <w:pStyle w:val="FootnoteText"/>
        <w:jc w:val="both"/>
      </w:pPr>
      <w:r w:rsidRPr="002F637A">
        <w:rPr>
          <w:rStyle w:val="FootnoteReference"/>
        </w:rPr>
        <w:footnoteRef/>
      </w:r>
      <w:r>
        <w:t xml:space="preserve"> The content of this chapter is an extension of a published paper by the author. The paper contains results of research which was solely conducted as partial fulfillment for the PhD requirement. Materials presented in the paper have not been submitted for a course or extra credit.</w:t>
      </w:r>
    </w:p>
  </w:footnote>
  <w:footnote w:id="5">
    <w:p w14:paraId="1A3B6D86" w14:textId="1CA8634A" w:rsidR="006737DE" w:rsidRDefault="006737DE" w:rsidP="002E4D3F">
      <w:pPr>
        <w:pStyle w:val="FootnoteText"/>
        <w:jc w:val="both"/>
      </w:pPr>
      <w:r w:rsidRPr="002F637A">
        <w:rPr>
          <w:rStyle w:val="FootnoteReference"/>
        </w:rPr>
        <w:footnoteRef/>
      </w:r>
      <w:r>
        <w:t xml:space="preserve"> The </w:t>
      </w:r>
      <w:r w:rsidR="002E4D3F">
        <w:t>content</w:t>
      </w:r>
      <w:r>
        <w:t xml:space="preserve"> of this chapter is an extension of a published paper by the author. The paper contains results of research which </w:t>
      </w:r>
      <w:r w:rsidR="002E4D3F">
        <w:t xml:space="preserve">was solely conducted as partial fulfillment for the PhD requirement. Materials presented in the paper have not been submitted for a course or extra credit.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236EA"/>
    <w:multiLevelType w:val="hybridMultilevel"/>
    <w:tmpl w:val="FD4CF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B4631"/>
    <w:multiLevelType w:val="hybridMultilevel"/>
    <w:tmpl w:val="5C48B082"/>
    <w:lvl w:ilvl="0" w:tplc="574A32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E2A16"/>
    <w:multiLevelType w:val="multilevel"/>
    <w:tmpl w:val="7B16A14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 w15:restartNumberingAfterBreak="0">
    <w:nsid w:val="2B715A08"/>
    <w:multiLevelType w:val="multilevel"/>
    <w:tmpl w:val="5574DEBC"/>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FB27140"/>
    <w:multiLevelType w:val="multilevel"/>
    <w:tmpl w:val="406247DC"/>
    <w:lvl w:ilvl="0">
      <w:start w:val="1"/>
      <w:numFmt w:val="decimal"/>
      <w:pStyle w:val="DissertationHeader"/>
      <w:suff w:val="space"/>
      <w:lvlText w:val="Chapter %1."/>
      <w:lvlJc w:val="left"/>
      <w:pPr>
        <w:ind w:left="144" w:hanging="144"/>
      </w:pPr>
      <w:rPr>
        <w:rFonts w:ascii="Arial" w:hAnsi="Arial" w:hint="default"/>
      </w:rPr>
    </w:lvl>
    <w:lvl w:ilvl="1">
      <w:start w:val="1"/>
      <w:numFmt w:val="decimal"/>
      <w:lvlText w:val="%1.%2."/>
      <w:lvlJc w:val="left"/>
      <w:pPr>
        <w:ind w:left="288" w:firstLine="0"/>
      </w:pPr>
      <w:rPr>
        <w:rFonts w:hint="default"/>
      </w:rPr>
    </w:lvl>
    <w:lvl w:ilvl="2">
      <w:start w:val="1"/>
      <w:numFmt w:val="decimal"/>
      <w:lvlText w:val="%1.%2.%3."/>
      <w:lvlJc w:val="left"/>
      <w:pPr>
        <w:ind w:left="720" w:hanging="144"/>
      </w:pPr>
      <w:rPr>
        <w:rFonts w:hint="default"/>
      </w:rPr>
    </w:lvl>
    <w:lvl w:ilvl="3">
      <w:start w:val="1"/>
      <w:numFmt w:val="none"/>
      <w:lvlText w:val="%1.%2.%3.1."/>
      <w:lvlJc w:val="left"/>
      <w:pPr>
        <w:ind w:left="1008" w:hanging="144"/>
      </w:pPr>
      <w:rPr>
        <w:rFonts w:hint="default"/>
      </w:rPr>
    </w:lvl>
    <w:lvl w:ilvl="4">
      <w:start w:val="1"/>
      <w:numFmt w:val="lowerLetter"/>
      <w:lvlText w:val="(%5)"/>
      <w:lvlJc w:val="left"/>
      <w:pPr>
        <w:ind w:left="1296" w:hanging="144"/>
      </w:pPr>
      <w:rPr>
        <w:rFonts w:hint="default"/>
      </w:rPr>
    </w:lvl>
    <w:lvl w:ilvl="5">
      <w:start w:val="1"/>
      <w:numFmt w:val="lowerRoman"/>
      <w:lvlText w:val="(%6)"/>
      <w:lvlJc w:val="left"/>
      <w:pPr>
        <w:ind w:left="1584" w:hanging="144"/>
      </w:pPr>
      <w:rPr>
        <w:rFonts w:hint="default"/>
      </w:rPr>
    </w:lvl>
    <w:lvl w:ilvl="6">
      <w:start w:val="1"/>
      <w:numFmt w:val="decimal"/>
      <w:lvlText w:val="%7."/>
      <w:lvlJc w:val="left"/>
      <w:pPr>
        <w:ind w:left="1872" w:hanging="144"/>
      </w:pPr>
      <w:rPr>
        <w:rFonts w:hint="default"/>
      </w:rPr>
    </w:lvl>
    <w:lvl w:ilvl="7">
      <w:start w:val="1"/>
      <w:numFmt w:val="lowerLetter"/>
      <w:lvlText w:val="%8."/>
      <w:lvlJc w:val="left"/>
      <w:pPr>
        <w:ind w:left="2160" w:hanging="144"/>
      </w:pPr>
      <w:rPr>
        <w:rFonts w:hint="default"/>
      </w:rPr>
    </w:lvl>
    <w:lvl w:ilvl="8">
      <w:start w:val="1"/>
      <w:numFmt w:val="lowerRoman"/>
      <w:lvlText w:val="%9."/>
      <w:lvlJc w:val="left"/>
      <w:pPr>
        <w:ind w:left="2448" w:hanging="144"/>
      </w:pPr>
      <w:rPr>
        <w:rFonts w:hint="default"/>
      </w:rPr>
    </w:lvl>
  </w:abstractNum>
  <w:abstractNum w:abstractNumId="5" w15:restartNumberingAfterBreak="0">
    <w:nsid w:val="39A3544E"/>
    <w:multiLevelType w:val="multilevel"/>
    <w:tmpl w:val="B5BA397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15:restartNumberingAfterBreak="0">
    <w:nsid w:val="5AC2165A"/>
    <w:multiLevelType w:val="hybridMultilevel"/>
    <w:tmpl w:val="3DC2D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335450">
    <w:abstractNumId w:val="3"/>
  </w:num>
  <w:num w:numId="2" w16cid:durableId="1851486099">
    <w:abstractNumId w:val="1"/>
  </w:num>
  <w:num w:numId="3" w16cid:durableId="1789857800">
    <w:abstractNumId w:val="4"/>
  </w:num>
  <w:num w:numId="4" w16cid:durableId="1723407152">
    <w:abstractNumId w:val="5"/>
  </w:num>
  <w:num w:numId="5" w16cid:durableId="2096826268">
    <w:abstractNumId w:val="2"/>
  </w:num>
  <w:num w:numId="6" w16cid:durableId="526286663">
    <w:abstractNumId w:val="6"/>
  </w:num>
  <w:num w:numId="7" w16cid:durableId="11668473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MzIytzC3NDE2sTRU0lEKTi0uzszPAykwMqgFALaiIgMtAAAA"/>
  </w:docVars>
  <w:rsids>
    <w:rsidRoot w:val="00E851BE"/>
    <w:rsid w:val="00000529"/>
    <w:rsid w:val="00003249"/>
    <w:rsid w:val="00004456"/>
    <w:rsid w:val="00004D31"/>
    <w:rsid w:val="000058BB"/>
    <w:rsid w:val="00012978"/>
    <w:rsid w:val="00015A16"/>
    <w:rsid w:val="000169DB"/>
    <w:rsid w:val="0001755D"/>
    <w:rsid w:val="00017677"/>
    <w:rsid w:val="00017FE6"/>
    <w:rsid w:val="000204EB"/>
    <w:rsid w:val="00021C24"/>
    <w:rsid w:val="00025577"/>
    <w:rsid w:val="00025B53"/>
    <w:rsid w:val="000262A5"/>
    <w:rsid w:val="00026335"/>
    <w:rsid w:val="00026F50"/>
    <w:rsid w:val="00027776"/>
    <w:rsid w:val="00030877"/>
    <w:rsid w:val="000315E0"/>
    <w:rsid w:val="000315F8"/>
    <w:rsid w:val="00032B82"/>
    <w:rsid w:val="000355E7"/>
    <w:rsid w:val="0003653C"/>
    <w:rsid w:val="00037125"/>
    <w:rsid w:val="000378BC"/>
    <w:rsid w:val="00041179"/>
    <w:rsid w:val="0004150E"/>
    <w:rsid w:val="000415BA"/>
    <w:rsid w:val="00042EDD"/>
    <w:rsid w:val="00043269"/>
    <w:rsid w:val="00046910"/>
    <w:rsid w:val="00047014"/>
    <w:rsid w:val="0004733A"/>
    <w:rsid w:val="000536C1"/>
    <w:rsid w:val="00054B7D"/>
    <w:rsid w:val="00054E86"/>
    <w:rsid w:val="00057220"/>
    <w:rsid w:val="00061556"/>
    <w:rsid w:val="00062817"/>
    <w:rsid w:val="00062CBD"/>
    <w:rsid w:val="000637E9"/>
    <w:rsid w:val="0007018D"/>
    <w:rsid w:val="00070B3A"/>
    <w:rsid w:val="00070F44"/>
    <w:rsid w:val="000757A3"/>
    <w:rsid w:val="00075A15"/>
    <w:rsid w:val="00076586"/>
    <w:rsid w:val="00081B56"/>
    <w:rsid w:val="00083BE8"/>
    <w:rsid w:val="00084FEB"/>
    <w:rsid w:val="000869E6"/>
    <w:rsid w:val="000872E7"/>
    <w:rsid w:val="00091DCA"/>
    <w:rsid w:val="00091F6D"/>
    <w:rsid w:val="00092311"/>
    <w:rsid w:val="00094DE6"/>
    <w:rsid w:val="00096ECA"/>
    <w:rsid w:val="00096F46"/>
    <w:rsid w:val="000A00ED"/>
    <w:rsid w:val="000A1407"/>
    <w:rsid w:val="000A1D01"/>
    <w:rsid w:val="000A26D0"/>
    <w:rsid w:val="000A2AC2"/>
    <w:rsid w:val="000A2DDF"/>
    <w:rsid w:val="000A580A"/>
    <w:rsid w:val="000A72DB"/>
    <w:rsid w:val="000A7C47"/>
    <w:rsid w:val="000B0201"/>
    <w:rsid w:val="000B1B64"/>
    <w:rsid w:val="000B3305"/>
    <w:rsid w:val="000B4192"/>
    <w:rsid w:val="000B4F8C"/>
    <w:rsid w:val="000B7368"/>
    <w:rsid w:val="000C382F"/>
    <w:rsid w:val="000C49DB"/>
    <w:rsid w:val="000C6C6F"/>
    <w:rsid w:val="000D1034"/>
    <w:rsid w:val="000D1CE3"/>
    <w:rsid w:val="000D4CE4"/>
    <w:rsid w:val="000D4D58"/>
    <w:rsid w:val="000D5333"/>
    <w:rsid w:val="000D602F"/>
    <w:rsid w:val="000D748F"/>
    <w:rsid w:val="000D7840"/>
    <w:rsid w:val="000E0532"/>
    <w:rsid w:val="000E0FC9"/>
    <w:rsid w:val="000E1CAF"/>
    <w:rsid w:val="000E2200"/>
    <w:rsid w:val="000E2721"/>
    <w:rsid w:val="000E57B2"/>
    <w:rsid w:val="000E6924"/>
    <w:rsid w:val="000F0D75"/>
    <w:rsid w:val="000F2940"/>
    <w:rsid w:val="000F3F01"/>
    <w:rsid w:val="000F5184"/>
    <w:rsid w:val="000F6EC7"/>
    <w:rsid w:val="000F71B4"/>
    <w:rsid w:val="000F7D07"/>
    <w:rsid w:val="0010161E"/>
    <w:rsid w:val="001020E3"/>
    <w:rsid w:val="001020F0"/>
    <w:rsid w:val="00103624"/>
    <w:rsid w:val="00103B9B"/>
    <w:rsid w:val="00105BDE"/>
    <w:rsid w:val="00105F62"/>
    <w:rsid w:val="00106296"/>
    <w:rsid w:val="00106ED0"/>
    <w:rsid w:val="00106F61"/>
    <w:rsid w:val="001128CD"/>
    <w:rsid w:val="001141CE"/>
    <w:rsid w:val="00114DD5"/>
    <w:rsid w:val="001161C9"/>
    <w:rsid w:val="00121047"/>
    <w:rsid w:val="001222F3"/>
    <w:rsid w:val="00122AF9"/>
    <w:rsid w:val="00125144"/>
    <w:rsid w:val="00125BCF"/>
    <w:rsid w:val="001268A3"/>
    <w:rsid w:val="001273A7"/>
    <w:rsid w:val="00127599"/>
    <w:rsid w:val="00132919"/>
    <w:rsid w:val="00134084"/>
    <w:rsid w:val="00136C0E"/>
    <w:rsid w:val="00137115"/>
    <w:rsid w:val="001374C2"/>
    <w:rsid w:val="0013793A"/>
    <w:rsid w:val="00141375"/>
    <w:rsid w:val="00141F10"/>
    <w:rsid w:val="00142E1A"/>
    <w:rsid w:val="001472CF"/>
    <w:rsid w:val="001474C7"/>
    <w:rsid w:val="00147C2E"/>
    <w:rsid w:val="00151D27"/>
    <w:rsid w:val="001557BF"/>
    <w:rsid w:val="00155D15"/>
    <w:rsid w:val="001564FA"/>
    <w:rsid w:val="00156926"/>
    <w:rsid w:val="00156FF1"/>
    <w:rsid w:val="00157046"/>
    <w:rsid w:val="00164455"/>
    <w:rsid w:val="00164472"/>
    <w:rsid w:val="00164578"/>
    <w:rsid w:val="00165456"/>
    <w:rsid w:val="00166A68"/>
    <w:rsid w:val="00166D2B"/>
    <w:rsid w:val="001675D4"/>
    <w:rsid w:val="001760DB"/>
    <w:rsid w:val="00176BB2"/>
    <w:rsid w:val="0018368C"/>
    <w:rsid w:val="001843E3"/>
    <w:rsid w:val="001868A3"/>
    <w:rsid w:val="00186B98"/>
    <w:rsid w:val="00190227"/>
    <w:rsid w:val="001903C9"/>
    <w:rsid w:val="001916BF"/>
    <w:rsid w:val="00192290"/>
    <w:rsid w:val="001962A1"/>
    <w:rsid w:val="001A5635"/>
    <w:rsid w:val="001A61AF"/>
    <w:rsid w:val="001B3179"/>
    <w:rsid w:val="001B43EC"/>
    <w:rsid w:val="001B5042"/>
    <w:rsid w:val="001B5FD1"/>
    <w:rsid w:val="001B7507"/>
    <w:rsid w:val="001C0477"/>
    <w:rsid w:val="001C0EB5"/>
    <w:rsid w:val="001C2338"/>
    <w:rsid w:val="001C34A1"/>
    <w:rsid w:val="001C34DE"/>
    <w:rsid w:val="001C4F6D"/>
    <w:rsid w:val="001C54AE"/>
    <w:rsid w:val="001E0AB9"/>
    <w:rsid w:val="001E52A7"/>
    <w:rsid w:val="001E6075"/>
    <w:rsid w:val="001E6F41"/>
    <w:rsid w:val="001F49DC"/>
    <w:rsid w:val="001F59EA"/>
    <w:rsid w:val="001F5F54"/>
    <w:rsid w:val="001F6A2D"/>
    <w:rsid w:val="001F7864"/>
    <w:rsid w:val="00200903"/>
    <w:rsid w:val="00200DC2"/>
    <w:rsid w:val="00201067"/>
    <w:rsid w:val="002020B0"/>
    <w:rsid w:val="00210B5B"/>
    <w:rsid w:val="002113FF"/>
    <w:rsid w:val="00212072"/>
    <w:rsid w:val="0021264E"/>
    <w:rsid w:val="00212E4E"/>
    <w:rsid w:val="002146B4"/>
    <w:rsid w:val="00215827"/>
    <w:rsid w:val="00220B4F"/>
    <w:rsid w:val="0022128E"/>
    <w:rsid w:val="0022179F"/>
    <w:rsid w:val="002222B7"/>
    <w:rsid w:val="002224F0"/>
    <w:rsid w:val="00223915"/>
    <w:rsid w:val="002242DA"/>
    <w:rsid w:val="002243E4"/>
    <w:rsid w:val="002244A4"/>
    <w:rsid w:val="00224FA7"/>
    <w:rsid w:val="00226672"/>
    <w:rsid w:val="002342C1"/>
    <w:rsid w:val="002346D1"/>
    <w:rsid w:val="00237986"/>
    <w:rsid w:val="0024084A"/>
    <w:rsid w:val="00240ACE"/>
    <w:rsid w:val="002466B5"/>
    <w:rsid w:val="00251ADB"/>
    <w:rsid w:val="00252A39"/>
    <w:rsid w:val="00255DF4"/>
    <w:rsid w:val="00260624"/>
    <w:rsid w:val="00260E10"/>
    <w:rsid w:val="00261867"/>
    <w:rsid w:val="00261AC0"/>
    <w:rsid w:val="00262D45"/>
    <w:rsid w:val="002671B0"/>
    <w:rsid w:val="00267DB8"/>
    <w:rsid w:val="002705B0"/>
    <w:rsid w:val="00277967"/>
    <w:rsid w:val="002812A0"/>
    <w:rsid w:val="002817A0"/>
    <w:rsid w:val="002842C0"/>
    <w:rsid w:val="00284A00"/>
    <w:rsid w:val="00285099"/>
    <w:rsid w:val="002864D4"/>
    <w:rsid w:val="00286C04"/>
    <w:rsid w:val="00286ED2"/>
    <w:rsid w:val="002904C8"/>
    <w:rsid w:val="0029126F"/>
    <w:rsid w:val="00292B91"/>
    <w:rsid w:val="00295FA4"/>
    <w:rsid w:val="002A0243"/>
    <w:rsid w:val="002A1215"/>
    <w:rsid w:val="002A4541"/>
    <w:rsid w:val="002A5689"/>
    <w:rsid w:val="002A5CD0"/>
    <w:rsid w:val="002B19D8"/>
    <w:rsid w:val="002B32C8"/>
    <w:rsid w:val="002B5948"/>
    <w:rsid w:val="002B7A73"/>
    <w:rsid w:val="002C06F6"/>
    <w:rsid w:val="002C79F3"/>
    <w:rsid w:val="002C7D2F"/>
    <w:rsid w:val="002D06F0"/>
    <w:rsid w:val="002D0CAB"/>
    <w:rsid w:val="002D1005"/>
    <w:rsid w:val="002D1344"/>
    <w:rsid w:val="002D16A5"/>
    <w:rsid w:val="002E0162"/>
    <w:rsid w:val="002E1AB1"/>
    <w:rsid w:val="002E4B45"/>
    <w:rsid w:val="002E4D3F"/>
    <w:rsid w:val="002E53B6"/>
    <w:rsid w:val="002E5CD5"/>
    <w:rsid w:val="002E5CE3"/>
    <w:rsid w:val="002E7554"/>
    <w:rsid w:val="002F077A"/>
    <w:rsid w:val="002F0ADA"/>
    <w:rsid w:val="002F0AFB"/>
    <w:rsid w:val="002F0F06"/>
    <w:rsid w:val="002F23E1"/>
    <w:rsid w:val="002F3561"/>
    <w:rsid w:val="002F38A9"/>
    <w:rsid w:val="002F3A45"/>
    <w:rsid w:val="002F5CC7"/>
    <w:rsid w:val="002F637A"/>
    <w:rsid w:val="002F6F1D"/>
    <w:rsid w:val="002F7211"/>
    <w:rsid w:val="002F794F"/>
    <w:rsid w:val="002F79E5"/>
    <w:rsid w:val="00301683"/>
    <w:rsid w:val="00302591"/>
    <w:rsid w:val="0030322D"/>
    <w:rsid w:val="0030425E"/>
    <w:rsid w:val="00306117"/>
    <w:rsid w:val="00306AC6"/>
    <w:rsid w:val="003076F9"/>
    <w:rsid w:val="00310501"/>
    <w:rsid w:val="00310F34"/>
    <w:rsid w:val="00310F41"/>
    <w:rsid w:val="00311950"/>
    <w:rsid w:val="00314455"/>
    <w:rsid w:val="00315EAD"/>
    <w:rsid w:val="00321FEC"/>
    <w:rsid w:val="00326171"/>
    <w:rsid w:val="00326933"/>
    <w:rsid w:val="00330C1A"/>
    <w:rsid w:val="00334DB9"/>
    <w:rsid w:val="00335EA2"/>
    <w:rsid w:val="0034353A"/>
    <w:rsid w:val="00344932"/>
    <w:rsid w:val="00345217"/>
    <w:rsid w:val="00345C1E"/>
    <w:rsid w:val="00345EF8"/>
    <w:rsid w:val="003462CE"/>
    <w:rsid w:val="00352C6F"/>
    <w:rsid w:val="003538AC"/>
    <w:rsid w:val="00353B6E"/>
    <w:rsid w:val="003563CA"/>
    <w:rsid w:val="00356859"/>
    <w:rsid w:val="003574A6"/>
    <w:rsid w:val="00357B33"/>
    <w:rsid w:val="00361938"/>
    <w:rsid w:val="00366DC6"/>
    <w:rsid w:val="00371DC9"/>
    <w:rsid w:val="00373F06"/>
    <w:rsid w:val="003757FD"/>
    <w:rsid w:val="00377A47"/>
    <w:rsid w:val="0038053B"/>
    <w:rsid w:val="00381BB3"/>
    <w:rsid w:val="00384186"/>
    <w:rsid w:val="00385F15"/>
    <w:rsid w:val="00387E0A"/>
    <w:rsid w:val="003925CC"/>
    <w:rsid w:val="00392C46"/>
    <w:rsid w:val="00393FBB"/>
    <w:rsid w:val="00394F9D"/>
    <w:rsid w:val="00396438"/>
    <w:rsid w:val="003977DF"/>
    <w:rsid w:val="003A0ABC"/>
    <w:rsid w:val="003A15A3"/>
    <w:rsid w:val="003A277A"/>
    <w:rsid w:val="003A442A"/>
    <w:rsid w:val="003A477B"/>
    <w:rsid w:val="003A4ABA"/>
    <w:rsid w:val="003A53DC"/>
    <w:rsid w:val="003A67A5"/>
    <w:rsid w:val="003B0130"/>
    <w:rsid w:val="003B0418"/>
    <w:rsid w:val="003B06A3"/>
    <w:rsid w:val="003B1840"/>
    <w:rsid w:val="003B1CB8"/>
    <w:rsid w:val="003B2375"/>
    <w:rsid w:val="003B3360"/>
    <w:rsid w:val="003B39B8"/>
    <w:rsid w:val="003B725E"/>
    <w:rsid w:val="003C0D51"/>
    <w:rsid w:val="003C2B70"/>
    <w:rsid w:val="003C3D84"/>
    <w:rsid w:val="003C61A1"/>
    <w:rsid w:val="003C699F"/>
    <w:rsid w:val="003C7647"/>
    <w:rsid w:val="003D1B19"/>
    <w:rsid w:val="003D4358"/>
    <w:rsid w:val="003D71C4"/>
    <w:rsid w:val="003E0361"/>
    <w:rsid w:val="003E16B8"/>
    <w:rsid w:val="003E21FF"/>
    <w:rsid w:val="003E277B"/>
    <w:rsid w:val="003E3802"/>
    <w:rsid w:val="003E3B8D"/>
    <w:rsid w:val="003E60AA"/>
    <w:rsid w:val="003E735D"/>
    <w:rsid w:val="003F0C13"/>
    <w:rsid w:val="003F159F"/>
    <w:rsid w:val="003F4179"/>
    <w:rsid w:val="00400056"/>
    <w:rsid w:val="0040199E"/>
    <w:rsid w:val="0040265C"/>
    <w:rsid w:val="00403BCD"/>
    <w:rsid w:val="004060DD"/>
    <w:rsid w:val="00410845"/>
    <w:rsid w:val="00421D41"/>
    <w:rsid w:val="00423297"/>
    <w:rsid w:val="00426D94"/>
    <w:rsid w:val="00430B26"/>
    <w:rsid w:val="00432C7D"/>
    <w:rsid w:val="00432EF2"/>
    <w:rsid w:val="004333F6"/>
    <w:rsid w:val="004337EF"/>
    <w:rsid w:val="004366BF"/>
    <w:rsid w:val="0043767E"/>
    <w:rsid w:val="0044175C"/>
    <w:rsid w:val="00442AEE"/>
    <w:rsid w:val="00442DF0"/>
    <w:rsid w:val="00445A2F"/>
    <w:rsid w:val="00447399"/>
    <w:rsid w:val="00450CCB"/>
    <w:rsid w:val="0045379C"/>
    <w:rsid w:val="0045475C"/>
    <w:rsid w:val="00454B38"/>
    <w:rsid w:val="00455754"/>
    <w:rsid w:val="0045750B"/>
    <w:rsid w:val="004578DE"/>
    <w:rsid w:val="0046052D"/>
    <w:rsid w:val="004613D3"/>
    <w:rsid w:val="0046248B"/>
    <w:rsid w:val="00462C05"/>
    <w:rsid w:val="00462D0C"/>
    <w:rsid w:val="004651FF"/>
    <w:rsid w:val="00470F61"/>
    <w:rsid w:val="00471858"/>
    <w:rsid w:val="00471CF8"/>
    <w:rsid w:val="00476B58"/>
    <w:rsid w:val="004834D3"/>
    <w:rsid w:val="00483A2C"/>
    <w:rsid w:val="0048511F"/>
    <w:rsid w:val="00485975"/>
    <w:rsid w:val="00487488"/>
    <w:rsid w:val="00490E63"/>
    <w:rsid w:val="00491133"/>
    <w:rsid w:val="004933D7"/>
    <w:rsid w:val="00493602"/>
    <w:rsid w:val="00497624"/>
    <w:rsid w:val="00497BCB"/>
    <w:rsid w:val="004A03F1"/>
    <w:rsid w:val="004A1AF8"/>
    <w:rsid w:val="004A69B9"/>
    <w:rsid w:val="004B05C4"/>
    <w:rsid w:val="004B169D"/>
    <w:rsid w:val="004B35C1"/>
    <w:rsid w:val="004B4110"/>
    <w:rsid w:val="004B6088"/>
    <w:rsid w:val="004C0C94"/>
    <w:rsid w:val="004C3318"/>
    <w:rsid w:val="004C6625"/>
    <w:rsid w:val="004C7B77"/>
    <w:rsid w:val="004D2E51"/>
    <w:rsid w:val="004D36C4"/>
    <w:rsid w:val="004D55D3"/>
    <w:rsid w:val="004D61DE"/>
    <w:rsid w:val="004D6B25"/>
    <w:rsid w:val="004D7064"/>
    <w:rsid w:val="004D7411"/>
    <w:rsid w:val="004E72C8"/>
    <w:rsid w:val="004F16DF"/>
    <w:rsid w:val="004F4839"/>
    <w:rsid w:val="004F4A2D"/>
    <w:rsid w:val="004F570C"/>
    <w:rsid w:val="004F5F61"/>
    <w:rsid w:val="004F655B"/>
    <w:rsid w:val="00500465"/>
    <w:rsid w:val="0050376E"/>
    <w:rsid w:val="00503DB5"/>
    <w:rsid w:val="00504C28"/>
    <w:rsid w:val="00505924"/>
    <w:rsid w:val="00513EEC"/>
    <w:rsid w:val="005215FC"/>
    <w:rsid w:val="00523AD1"/>
    <w:rsid w:val="00523CE2"/>
    <w:rsid w:val="005261B9"/>
    <w:rsid w:val="005265F7"/>
    <w:rsid w:val="00527FF5"/>
    <w:rsid w:val="00531CA8"/>
    <w:rsid w:val="005321EF"/>
    <w:rsid w:val="00535C31"/>
    <w:rsid w:val="0053707A"/>
    <w:rsid w:val="0054046F"/>
    <w:rsid w:val="00540C0F"/>
    <w:rsid w:val="005433E7"/>
    <w:rsid w:val="00543EC5"/>
    <w:rsid w:val="005452D6"/>
    <w:rsid w:val="00546211"/>
    <w:rsid w:val="00550DF6"/>
    <w:rsid w:val="00555919"/>
    <w:rsid w:val="005569D1"/>
    <w:rsid w:val="00561BBC"/>
    <w:rsid w:val="005638E7"/>
    <w:rsid w:val="00563AD3"/>
    <w:rsid w:val="00564420"/>
    <w:rsid w:val="005657A2"/>
    <w:rsid w:val="00567014"/>
    <w:rsid w:val="0056717A"/>
    <w:rsid w:val="0057092C"/>
    <w:rsid w:val="00570C99"/>
    <w:rsid w:val="00570CC0"/>
    <w:rsid w:val="00573488"/>
    <w:rsid w:val="005805D3"/>
    <w:rsid w:val="00582711"/>
    <w:rsid w:val="005850C9"/>
    <w:rsid w:val="00590CB0"/>
    <w:rsid w:val="005920DF"/>
    <w:rsid w:val="005939C3"/>
    <w:rsid w:val="00596A8A"/>
    <w:rsid w:val="005971B5"/>
    <w:rsid w:val="005978E6"/>
    <w:rsid w:val="005A018F"/>
    <w:rsid w:val="005A355F"/>
    <w:rsid w:val="005A36C0"/>
    <w:rsid w:val="005A67AB"/>
    <w:rsid w:val="005B1798"/>
    <w:rsid w:val="005B1AF5"/>
    <w:rsid w:val="005B211C"/>
    <w:rsid w:val="005B47B0"/>
    <w:rsid w:val="005C1856"/>
    <w:rsid w:val="005C1F98"/>
    <w:rsid w:val="005C20BB"/>
    <w:rsid w:val="005C2F06"/>
    <w:rsid w:val="005C40A4"/>
    <w:rsid w:val="005C420B"/>
    <w:rsid w:val="005C4F1C"/>
    <w:rsid w:val="005C541F"/>
    <w:rsid w:val="005C7148"/>
    <w:rsid w:val="005D0E13"/>
    <w:rsid w:val="005D17F4"/>
    <w:rsid w:val="005D2BF5"/>
    <w:rsid w:val="005D7A26"/>
    <w:rsid w:val="005E0479"/>
    <w:rsid w:val="005E0D1C"/>
    <w:rsid w:val="005E0DA9"/>
    <w:rsid w:val="005E3155"/>
    <w:rsid w:val="005E57F2"/>
    <w:rsid w:val="005E7D54"/>
    <w:rsid w:val="005F05FA"/>
    <w:rsid w:val="005F1EA9"/>
    <w:rsid w:val="005F3063"/>
    <w:rsid w:val="005F3C05"/>
    <w:rsid w:val="005F4FFD"/>
    <w:rsid w:val="005F7CED"/>
    <w:rsid w:val="00601053"/>
    <w:rsid w:val="00602025"/>
    <w:rsid w:val="00610DB5"/>
    <w:rsid w:val="00616A23"/>
    <w:rsid w:val="00620B1D"/>
    <w:rsid w:val="006224A5"/>
    <w:rsid w:val="00622D19"/>
    <w:rsid w:val="00624E33"/>
    <w:rsid w:val="006253DE"/>
    <w:rsid w:val="00625890"/>
    <w:rsid w:val="006260CB"/>
    <w:rsid w:val="00626959"/>
    <w:rsid w:val="00626BE4"/>
    <w:rsid w:val="0062747D"/>
    <w:rsid w:val="00627744"/>
    <w:rsid w:val="00627A86"/>
    <w:rsid w:val="0063150A"/>
    <w:rsid w:val="00632DCA"/>
    <w:rsid w:val="00633533"/>
    <w:rsid w:val="00634923"/>
    <w:rsid w:val="00635B52"/>
    <w:rsid w:val="00637EB5"/>
    <w:rsid w:val="00640CC5"/>
    <w:rsid w:val="00642605"/>
    <w:rsid w:val="00644C40"/>
    <w:rsid w:val="0064549C"/>
    <w:rsid w:val="00645E73"/>
    <w:rsid w:val="00645F9D"/>
    <w:rsid w:val="00647755"/>
    <w:rsid w:val="006479CA"/>
    <w:rsid w:val="0065493D"/>
    <w:rsid w:val="00657F58"/>
    <w:rsid w:val="0066026F"/>
    <w:rsid w:val="006649C5"/>
    <w:rsid w:val="006650F6"/>
    <w:rsid w:val="0066515D"/>
    <w:rsid w:val="006669E7"/>
    <w:rsid w:val="00667451"/>
    <w:rsid w:val="00670280"/>
    <w:rsid w:val="00670E3F"/>
    <w:rsid w:val="00672C50"/>
    <w:rsid w:val="006737DE"/>
    <w:rsid w:val="00676629"/>
    <w:rsid w:val="00681EE6"/>
    <w:rsid w:val="00684858"/>
    <w:rsid w:val="00685D48"/>
    <w:rsid w:val="006902EB"/>
    <w:rsid w:val="006916C7"/>
    <w:rsid w:val="006924EE"/>
    <w:rsid w:val="00694188"/>
    <w:rsid w:val="00694306"/>
    <w:rsid w:val="00694645"/>
    <w:rsid w:val="0069556F"/>
    <w:rsid w:val="006A29F7"/>
    <w:rsid w:val="006A4F28"/>
    <w:rsid w:val="006B36BE"/>
    <w:rsid w:val="006B4A65"/>
    <w:rsid w:val="006B5896"/>
    <w:rsid w:val="006B6950"/>
    <w:rsid w:val="006B7737"/>
    <w:rsid w:val="006C3C19"/>
    <w:rsid w:val="006C4DF5"/>
    <w:rsid w:val="006C5228"/>
    <w:rsid w:val="006D2653"/>
    <w:rsid w:val="006D34F4"/>
    <w:rsid w:val="006D3CF0"/>
    <w:rsid w:val="006D4D58"/>
    <w:rsid w:val="006D632A"/>
    <w:rsid w:val="006E213C"/>
    <w:rsid w:val="006E4BB6"/>
    <w:rsid w:val="006E5D5E"/>
    <w:rsid w:val="006E6A13"/>
    <w:rsid w:val="006F1106"/>
    <w:rsid w:val="006F2ADB"/>
    <w:rsid w:val="006F3ADA"/>
    <w:rsid w:val="006F4D5E"/>
    <w:rsid w:val="006F687F"/>
    <w:rsid w:val="006F6EA7"/>
    <w:rsid w:val="006F7A49"/>
    <w:rsid w:val="00700DBA"/>
    <w:rsid w:val="0070380B"/>
    <w:rsid w:val="00704448"/>
    <w:rsid w:val="00704938"/>
    <w:rsid w:val="007063A2"/>
    <w:rsid w:val="00706585"/>
    <w:rsid w:val="0070736E"/>
    <w:rsid w:val="007076A4"/>
    <w:rsid w:val="007144BA"/>
    <w:rsid w:val="00715EB9"/>
    <w:rsid w:val="00717277"/>
    <w:rsid w:val="00717A46"/>
    <w:rsid w:val="00717B66"/>
    <w:rsid w:val="00720BF5"/>
    <w:rsid w:val="00723911"/>
    <w:rsid w:val="00723FDC"/>
    <w:rsid w:val="00725431"/>
    <w:rsid w:val="007308CA"/>
    <w:rsid w:val="007315E0"/>
    <w:rsid w:val="00732AAC"/>
    <w:rsid w:val="007410CD"/>
    <w:rsid w:val="00743282"/>
    <w:rsid w:val="00746FBC"/>
    <w:rsid w:val="00751BA6"/>
    <w:rsid w:val="00754998"/>
    <w:rsid w:val="00755A8C"/>
    <w:rsid w:val="007573F0"/>
    <w:rsid w:val="00757728"/>
    <w:rsid w:val="00761147"/>
    <w:rsid w:val="00761E25"/>
    <w:rsid w:val="00762445"/>
    <w:rsid w:val="00762F5D"/>
    <w:rsid w:val="00764692"/>
    <w:rsid w:val="00764C85"/>
    <w:rsid w:val="00764CFA"/>
    <w:rsid w:val="00765418"/>
    <w:rsid w:val="00765E2B"/>
    <w:rsid w:val="00771566"/>
    <w:rsid w:val="00772F87"/>
    <w:rsid w:val="00776013"/>
    <w:rsid w:val="007764CA"/>
    <w:rsid w:val="00781198"/>
    <w:rsid w:val="00781346"/>
    <w:rsid w:val="00784723"/>
    <w:rsid w:val="00784C78"/>
    <w:rsid w:val="00785B11"/>
    <w:rsid w:val="007867C9"/>
    <w:rsid w:val="0078746D"/>
    <w:rsid w:val="007874F0"/>
    <w:rsid w:val="00790F73"/>
    <w:rsid w:val="007917CB"/>
    <w:rsid w:val="00791FEB"/>
    <w:rsid w:val="007923CC"/>
    <w:rsid w:val="007961C1"/>
    <w:rsid w:val="00796D7E"/>
    <w:rsid w:val="007A0D13"/>
    <w:rsid w:val="007A178D"/>
    <w:rsid w:val="007A44A2"/>
    <w:rsid w:val="007A5840"/>
    <w:rsid w:val="007A6AFF"/>
    <w:rsid w:val="007B0337"/>
    <w:rsid w:val="007B178B"/>
    <w:rsid w:val="007B2301"/>
    <w:rsid w:val="007B393B"/>
    <w:rsid w:val="007B72B8"/>
    <w:rsid w:val="007C117D"/>
    <w:rsid w:val="007C121A"/>
    <w:rsid w:val="007C638D"/>
    <w:rsid w:val="007C7132"/>
    <w:rsid w:val="007D3446"/>
    <w:rsid w:val="007D36A0"/>
    <w:rsid w:val="007D488F"/>
    <w:rsid w:val="007D5637"/>
    <w:rsid w:val="007E08F5"/>
    <w:rsid w:val="007E146A"/>
    <w:rsid w:val="007F3823"/>
    <w:rsid w:val="007F4DEB"/>
    <w:rsid w:val="008008F6"/>
    <w:rsid w:val="00801871"/>
    <w:rsid w:val="00801E22"/>
    <w:rsid w:val="008020F1"/>
    <w:rsid w:val="00807A24"/>
    <w:rsid w:val="0081205D"/>
    <w:rsid w:val="008126A8"/>
    <w:rsid w:val="00813989"/>
    <w:rsid w:val="00813CAB"/>
    <w:rsid w:val="00813CD2"/>
    <w:rsid w:val="00814642"/>
    <w:rsid w:val="00814CBB"/>
    <w:rsid w:val="008154C6"/>
    <w:rsid w:val="00816734"/>
    <w:rsid w:val="008172A7"/>
    <w:rsid w:val="00820555"/>
    <w:rsid w:val="00821113"/>
    <w:rsid w:val="00825924"/>
    <w:rsid w:val="00827700"/>
    <w:rsid w:val="008326CA"/>
    <w:rsid w:val="00834BAB"/>
    <w:rsid w:val="00835135"/>
    <w:rsid w:val="008369E0"/>
    <w:rsid w:val="00837235"/>
    <w:rsid w:val="00841894"/>
    <w:rsid w:val="008439F7"/>
    <w:rsid w:val="00847AE3"/>
    <w:rsid w:val="00847E89"/>
    <w:rsid w:val="008505D9"/>
    <w:rsid w:val="008528AB"/>
    <w:rsid w:val="00852F20"/>
    <w:rsid w:val="00853300"/>
    <w:rsid w:val="008539F0"/>
    <w:rsid w:val="0085412C"/>
    <w:rsid w:val="008576B9"/>
    <w:rsid w:val="0085782F"/>
    <w:rsid w:val="008628E3"/>
    <w:rsid w:val="00865829"/>
    <w:rsid w:val="00865C45"/>
    <w:rsid w:val="0086695F"/>
    <w:rsid w:val="008670C0"/>
    <w:rsid w:val="0086795A"/>
    <w:rsid w:val="008706CC"/>
    <w:rsid w:val="008733E1"/>
    <w:rsid w:val="00873843"/>
    <w:rsid w:val="00873A0F"/>
    <w:rsid w:val="008758E5"/>
    <w:rsid w:val="0088037D"/>
    <w:rsid w:val="00883787"/>
    <w:rsid w:val="00883FA2"/>
    <w:rsid w:val="00884A21"/>
    <w:rsid w:val="00884E08"/>
    <w:rsid w:val="00886721"/>
    <w:rsid w:val="00887EC9"/>
    <w:rsid w:val="00891646"/>
    <w:rsid w:val="008929B3"/>
    <w:rsid w:val="00894A14"/>
    <w:rsid w:val="00895831"/>
    <w:rsid w:val="00897079"/>
    <w:rsid w:val="00897165"/>
    <w:rsid w:val="008A1FA4"/>
    <w:rsid w:val="008A7315"/>
    <w:rsid w:val="008B2CB8"/>
    <w:rsid w:val="008B4307"/>
    <w:rsid w:val="008B6EAA"/>
    <w:rsid w:val="008C1379"/>
    <w:rsid w:val="008C308E"/>
    <w:rsid w:val="008C4473"/>
    <w:rsid w:val="008C5FDA"/>
    <w:rsid w:val="008D6278"/>
    <w:rsid w:val="008D7221"/>
    <w:rsid w:val="008E28DF"/>
    <w:rsid w:val="008E2DA8"/>
    <w:rsid w:val="008E4956"/>
    <w:rsid w:val="008E5119"/>
    <w:rsid w:val="008F356D"/>
    <w:rsid w:val="008F3E6D"/>
    <w:rsid w:val="008F43A1"/>
    <w:rsid w:val="008F75D2"/>
    <w:rsid w:val="0090341B"/>
    <w:rsid w:val="00903FBC"/>
    <w:rsid w:val="009041F0"/>
    <w:rsid w:val="0090440F"/>
    <w:rsid w:val="00905CBE"/>
    <w:rsid w:val="009061C7"/>
    <w:rsid w:val="0090620C"/>
    <w:rsid w:val="00906373"/>
    <w:rsid w:val="00906B36"/>
    <w:rsid w:val="009104EF"/>
    <w:rsid w:val="009130B8"/>
    <w:rsid w:val="00917F52"/>
    <w:rsid w:val="0092077D"/>
    <w:rsid w:val="00921974"/>
    <w:rsid w:val="00923D23"/>
    <w:rsid w:val="0092629D"/>
    <w:rsid w:val="0092787F"/>
    <w:rsid w:val="00930254"/>
    <w:rsid w:val="00931404"/>
    <w:rsid w:val="009333F4"/>
    <w:rsid w:val="009341D7"/>
    <w:rsid w:val="00934B49"/>
    <w:rsid w:val="0093541B"/>
    <w:rsid w:val="00936E93"/>
    <w:rsid w:val="009370E1"/>
    <w:rsid w:val="009376DC"/>
    <w:rsid w:val="009401AE"/>
    <w:rsid w:val="00940C66"/>
    <w:rsid w:val="00941AAC"/>
    <w:rsid w:val="0094598D"/>
    <w:rsid w:val="00946965"/>
    <w:rsid w:val="00950449"/>
    <w:rsid w:val="009506FA"/>
    <w:rsid w:val="00950E57"/>
    <w:rsid w:val="00950F64"/>
    <w:rsid w:val="00951BD0"/>
    <w:rsid w:val="009538F9"/>
    <w:rsid w:val="00953D2C"/>
    <w:rsid w:val="00957379"/>
    <w:rsid w:val="0096032B"/>
    <w:rsid w:val="009614D6"/>
    <w:rsid w:val="0096167E"/>
    <w:rsid w:val="00961C92"/>
    <w:rsid w:val="009629B3"/>
    <w:rsid w:val="00962E26"/>
    <w:rsid w:val="00963366"/>
    <w:rsid w:val="009660A7"/>
    <w:rsid w:val="00970BBD"/>
    <w:rsid w:val="00970D25"/>
    <w:rsid w:val="0097271E"/>
    <w:rsid w:val="009729B3"/>
    <w:rsid w:val="00976E24"/>
    <w:rsid w:val="009777F5"/>
    <w:rsid w:val="00980574"/>
    <w:rsid w:val="00982B86"/>
    <w:rsid w:val="00983ED4"/>
    <w:rsid w:val="00984B96"/>
    <w:rsid w:val="00987641"/>
    <w:rsid w:val="00990523"/>
    <w:rsid w:val="009914C8"/>
    <w:rsid w:val="00992971"/>
    <w:rsid w:val="00996526"/>
    <w:rsid w:val="00996FE6"/>
    <w:rsid w:val="009A18A9"/>
    <w:rsid w:val="009A26D3"/>
    <w:rsid w:val="009A4AF3"/>
    <w:rsid w:val="009A538A"/>
    <w:rsid w:val="009A6821"/>
    <w:rsid w:val="009B165E"/>
    <w:rsid w:val="009B306F"/>
    <w:rsid w:val="009B46F2"/>
    <w:rsid w:val="009B5311"/>
    <w:rsid w:val="009B5F98"/>
    <w:rsid w:val="009B643A"/>
    <w:rsid w:val="009B7274"/>
    <w:rsid w:val="009B7CE6"/>
    <w:rsid w:val="009C0B5D"/>
    <w:rsid w:val="009C11BD"/>
    <w:rsid w:val="009C1CFD"/>
    <w:rsid w:val="009C3D3B"/>
    <w:rsid w:val="009C5572"/>
    <w:rsid w:val="009C5EA5"/>
    <w:rsid w:val="009C6E29"/>
    <w:rsid w:val="009D14FC"/>
    <w:rsid w:val="009D1BB2"/>
    <w:rsid w:val="009D23C6"/>
    <w:rsid w:val="009D2AE5"/>
    <w:rsid w:val="009D7B7D"/>
    <w:rsid w:val="009D7BA9"/>
    <w:rsid w:val="009E1671"/>
    <w:rsid w:val="009E2A41"/>
    <w:rsid w:val="009E3569"/>
    <w:rsid w:val="009F3E5E"/>
    <w:rsid w:val="009F7F17"/>
    <w:rsid w:val="00A00AE8"/>
    <w:rsid w:val="00A01A95"/>
    <w:rsid w:val="00A01D1A"/>
    <w:rsid w:val="00A039C5"/>
    <w:rsid w:val="00A05000"/>
    <w:rsid w:val="00A05280"/>
    <w:rsid w:val="00A0643F"/>
    <w:rsid w:val="00A06FCF"/>
    <w:rsid w:val="00A13AD7"/>
    <w:rsid w:val="00A179EE"/>
    <w:rsid w:val="00A23E0B"/>
    <w:rsid w:val="00A2675D"/>
    <w:rsid w:val="00A2702F"/>
    <w:rsid w:val="00A306F3"/>
    <w:rsid w:val="00A31B31"/>
    <w:rsid w:val="00A32F99"/>
    <w:rsid w:val="00A36FAA"/>
    <w:rsid w:val="00A37EBE"/>
    <w:rsid w:val="00A40528"/>
    <w:rsid w:val="00A4247E"/>
    <w:rsid w:val="00A42611"/>
    <w:rsid w:val="00A455CA"/>
    <w:rsid w:val="00A46705"/>
    <w:rsid w:val="00A47ECC"/>
    <w:rsid w:val="00A5093E"/>
    <w:rsid w:val="00A51CEE"/>
    <w:rsid w:val="00A527F3"/>
    <w:rsid w:val="00A52A44"/>
    <w:rsid w:val="00A539D1"/>
    <w:rsid w:val="00A5602C"/>
    <w:rsid w:val="00A6035D"/>
    <w:rsid w:val="00A61537"/>
    <w:rsid w:val="00A65397"/>
    <w:rsid w:val="00A666BE"/>
    <w:rsid w:val="00A7001E"/>
    <w:rsid w:val="00A7019E"/>
    <w:rsid w:val="00A702EF"/>
    <w:rsid w:val="00A70838"/>
    <w:rsid w:val="00A7348A"/>
    <w:rsid w:val="00A74BBD"/>
    <w:rsid w:val="00A74C43"/>
    <w:rsid w:val="00A7512F"/>
    <w:rsid w:val="00A755BE"/>
    <w:rsid w:val="00A75BDD"/>
    <w:rsid w:val="00A760B8"/>
    <w:rsid w:val="00A76557"/>
    <w:rsid w:val="00A845B8"/>
    <w:rsid w:val="00A87616"/>
    <w:rsid w:val="00A90341"/>
    <w:rsid w:val="00A91232"/>
    <w:rsid w:val="00A96588"/>
    <w:rsid w:val="00A96AA7"/>
    <w:rsid w:val="00A96CE9"/>
    <w:rsid w:val="00A97223"/>
    <w:rsid w:val="00AA1B3A"/>
    <w:rsid w:val="00AA2BE1"/>
    <w:rsid w:val="00AA3A92"/>
    <w:rsid w:val="00AA59EB"/>
    <w:rsid w:val="00AA5A46"/>
    <w:rsid w:val="00AA6E88"/>
    <w:rsid w:val="00AA7823"/>
    <w:rsid w:val="00AB1550"/>
    <w:rsid w:val="00AB4161"/>
    <w:rsid w:val="00AB7AF4"/>
    <w:rsid w:val="00AC0FDA"/>
    <w:rsid w:val="00AC1962"/>
    <w:rsid w:val="00AC533B"/>
    <w:rsid w:val="00AD43FA"/>
    <w:rsid w:val="00AD73AB"/>
    <w:rsid w:val="00AE0887"/>
    <w:rsid w:val="00AE186C"/>
    <w:rsid w:val="00AE3740"/>
    <w:rsid w:val="00AE42B7"/>
    <w:rsid w:val="00AE60DF"/>
    <w:rsid w:val="00AE71B2"/>
    <w:rsid w:val="00AF1A98"/>
    <w:rsid w:val="00AF1DB5"/>
    <w:rsid w:val="00AF1E23"/>
    <w:rsid w:val="00AF31EF"/>
    <w:rsid w:val="00AF46EA"/>
    <w:rsid w:val="00AF502E"/>
    <w:rsid w:val="00AF696E"/>
    <w:rsid w:val="00AF7704"/>
    <w:rsid w:val="00AF7E5C"/>
    <w:rsid w:val="00B01C1D"/>
    <w:rsid w:val="00B031A5"/>
    <w:rsid w:val="00B03D9D"/>
    <w:rsid w:val="00B04C1F"/>
    <w:rsid w:val="00B06545"/>
    <w:rsid w:val="00B06F87"/>
    <w:rsid w:val="00B10E53"/>
    <w:rsid w:val="00B115A1"/>
    <w:rsid w:val="00B138A5"/>
    <w:rsid w:val="00B17F04"/>
    <w:rsid w:val="00B2110F"/>
    <w:rsid w:val="00B2181C"/>
    <w:rsid w:val="00B23F56"/>
    <w:rsid w:val="00B25F30"/>
    <w:rsid w:val="00B25F44"/>
    <w:rsid w:val="00B27267"/>
    <w:rsid w:val="00B2777B"/>
    <w:rsid w:val="00B27B62"/>
    <w:rsid w:val="00B30E4D"/>
    <w:rsid w:val="00B31E5B"/>
    <w:rsid w:val="00B321C6"/>
    <w:rsid w:val="00B33F78"/>
    <w:rsid w:val="00B34C97"/>
    <w:rsid w:val="00B37485"/>
    <w:rsid w:val="00B42B4C"/>
    <w:rsid w:val="00B47D0D"/>
    <w:rsid w:val="00B53048"/>
    <w:rsid w:val="00B54973"/>
    <w:rsid w:val="00B55C1A"/>
    <w:rsid w:val="00B56F17"/>
    <w:rsid w:val="00B57C13"/>
    <w:rsid w:val="00B57D00"/>
    <w:rsid w:val="00B6342B"/>
    <w:rsid w:val="00B64B82"/>
    <w:rsid w:val="00B64F31"/>
    <w:rsid w:val="00B707B5"/>
    <w:rsid w:val="00B7188D"/>
    <w:rsid w:val="00B72A42"/>
    <w:rsid w:val="00B73824"/>
    <w:rsid w:val="00B74937"/>
    <w:rsid w:val="00B77FB0"/>
    <w:rsid w:val="00B832C4"/>
    <w:rsid w:val="00B85DF6"/>
    <w:rsid w:val="00B90EA5"/>
    <w:rsid w:val="00B9539E"/>
    <w:rsid w:val="00B957F1"/>
    <w:rsid w:val="00B95DF0"/>
    <w:rsid w:val="00B96384"/>
    <w:rsid w:val="00B96802"/>
    <w:rsid w:val="00B96A68"/>
    <w:rsid w:val="00BA2358"/>
    <w:rsid w:val="00BA3ACC"/>
    <w:rsid w:val="00BA59C1"/>
    <w:rsid w:val="00BB1516"/>
    <w:rsid w:val="00BB197B"/>
    <w:rsid w:val="00BB5CCC"/>
    <w:rsid w:val="00BB666A"/>
    <w:rsid w:val="00BB7870"/>
    <w:rsid w:val="00BC1101"/>
    <w:rsid w:val="00BC1F43"/>
    <w:rsid w:val="00BC2853"/>
    <w:rsid w:val="00BC2F70"/>
    <w:rsid w:val="00BC4398"/>
    <w:rsid w:val="00BC4763"/>
    <w:rsid w:val="00BC584D"/>
    <w:rsid w:val="00BC7028"/>
    <w:rsid w:val="00BD03C1"/>
    <w:rsid w:val="00BD0EBF"/>
    <w:rsid w:val="00BD15E2"/>
    <w:rsid w:val="00BD1F4F"/>
    <w:rsid w:val="00BD4B14"/>
    <w:rsid w:val="00BD5312"/>
    <w:rsid w:val="00BD5EAD"/>
    <w:rsid w:val="00BD6193"/>
    <w:rsid w:val="00BD7775"/>
    <w:rsid w:val="00BE399D"/>
    <w:rsid w:val="00BE5775"/>
    <w:rsid w:val="00BF0C4F"/>
    <w:rsid w:val="00BF1A2F"/>
    <w:rsid w:val="00BF339D"/>
    <w:rsid w:val="00BF44F1"/>
    <w:rsid w:val="00BF4B85"/>
    <w:rsid w:val="00BF7E71"/>
    <w:rsid w:val="00C00476"/>
    <w:rsid w:val="00C00F3C"/>
    <w:rsid w:val="00C00FE6"/>
    <w:rsid w:val="00C04C69"/>
    <w:rsid w:val="00C07550"/>
    <w:rsid w:val="00C11946"/>
    <w:rsid w:val="00C12268"/>
    <w:rsid w:val="00C1706A"/>
    <w:rsid w:val="00C17342"/>
    <w:rsid w:val="00C17F7D"/>
    <w:rsid w:val="00C2047F"/>
    <w:rsid w:val="00C22A6B"/>
    <w:rsid w:val="00C25C05"/>
    <w:rsid w:val="00C2699A"/>
    <w:rsid w:val="00C2772A"/>
    <w:rsid w:val="00C30247"/>
    <w:rsid w:val="00C316BF"/>
    <w:rsid w:val="00C31A0F"/>
    <w:rsid w:val="00C3415D"/>
    <w:rsid w:val="00C344BF"/>
    <w:rsid w:val="00C344D3"/>
    <w:rsid w:val="00C35B56"/>
    <w:rsid w:val="00C36F1D"/>
    <w:rsid w:val="00C37648"/>
    <w:rsid w:val="00C41FD5"/>
    <w:rsid w:val="00C42089"/>
    <w:rsid w:val="00C42551"/>
    <w:rsid w:val="00C425A7"/>
    <w:rsid w:val="00C4383B"/>
    <w:rsid w:val="00C439C6"/>
    <w:rsid w:val="00C451AC"/>
    <w:rsid w:val="00C4580A"/>
    <w:rsid w:val="00C47D27"/>
    <w:rsid w:val="00C513C1"/>
    <w:rsid w:val="00C5198A"/>
    <w:rsid w:val="00C53B27"/>
    <w:rsid w:val="00C55E41"/>
    <w:rsid w:val="00C578D0"/>
    <w:rsid w:val="00C612AB"/>
    <w:rsid w:val="00C61674"/>
    <w:rsid w:val="00C62618"/>
    <w:rsid w:val="00C6584F"/>
    <w:rsid w:val="00C65AD1"/>
    <w:rsid w:val="00C66DB0"/>
    <w:rsid w:val="00C70F7F"/>
    <w:rsid w:val="00C72DF3"/>
    <w:rsid w:val="00C73BCC"/>
    <w:rsid w:val="00C74022"/>
    <w:rsid w:val="00C749A8"/>
    <w:rsid w:val="00C74FFD"/>
    <w:rsid w:val="00C750A6"/>
    <w:rsid w:val="00C75590"/>
    <w:rsid w:val="00C76FA6"/>
    <w:rsid w:val="00C8072F"/>
    <w:rsid w:val="00C80CC9"/>
    <w:rsid w:val="00C80F28"/>
    <w:rsid w:val="00C84A3D"/>
    <w:rsid w:val="00C85160"/>
    <w:rsid w:val="00C85223"/>
    <w:rsid w:val="00C87C70"/>
    <w:rsid w:val="00C904E0"/>
    <w:rsid w:val="00C90D91"/>
    <w:rsid w:val="00C911A9"/>
    <w:rsid w:val="00C9344F"/>
    <w:rsid w:val="00C94106"/>
    <w:rsid w:val="00C94DF0"/>
    <w:rsid w:val="00CA239E"/>
    <w:rsid w:val="00CA2838"/>
    <w:rsid w:val="00CA53E9"/>
    <w:rsid w:val="00CA5771"/>
    <w:rsid w:val="00CA6258"/>
    <w:rsid w:val="00CB26D8"/>
    <w:rsid w:val="00CB6985"/>
    <w:rsid w:val="00CC011F"/>
    <w:rsid w:val="00CC1941"/>
    <w:rsid w:val="00CC2800"/>
    <w:rsid w:val="00CC3602"/>
    <w:rsid w:val="00CC445E"/>
    <w:rsid w:val="00CC5E27"/>
    <w:rsid w:val="00CC7476"/>
    <w:rsid w:val="00CD0335"/>
    <w:rsid w:val="00CD0CD6"/>
    <w:rsid w:val="00CD14A6"/>
    <w:rsid w:val="00CD15FD"/>
    <w:rsid w:val="00CD334A"/>
    <w:rsid w:val="00CD3D0B"/>
    <w:rsid w:val="00CD4CAC"/>
    <w:rsid w:val="00CD5C81"/>
    <w:rsid w:val="00CD690B"/>
    <w:rsid w:val="00CE0F5D"/>
    <w:rsid w:val="00CE3ADD"/>
    <w:rsid w:val="00CE3D20"/>
    <w:rsid w:val="00CE4A9C"/>
    <w:rsid w:val="00CE4B1B"/>
    <w:rsid w:val="00CE4BA5"/>
    <w:rsid w:val="00CE4EB4"/>
    <w:rsid w:val="00CE522E"/>
    <w:rsid w:val="00CE6BF2"/>
    <w:rsid w:val="00CF0990"/>
    <w:rsid w:val="00CF1E89"/>
    <w:rsid w:val="00CF35C6"/>
    <w:rsid w:val="00CF3C0F"/>
    <w:rsid w:val="00CF43B1"/>
    <w:rsid w:val="00CF765E"/>
    <w:rsid w:val="00D00A21"/>
    <w:rsid w:val="00D00F86"/>
    <w:rsid w:val="00D0453A"/>
    <w:rsid w:val="00D050E2"/>
    <w:rsid w:val="00D05801"/>
    <w:rsid w:val="00D05952"/>
    <w:rsid w:val="00D07915"/>
    <w:rsid w:val="00D07F1C"/>
    <w:rsid w:val="00D13693"/>
    <w:rsid w:val="00D141A1"/>
    <w:rsid w:val="00D15AEB"/>
    <w:rsid w:val="00D161DA"/>
    <w:rsid w:val="00D17CCE"/>
    <w:rsid w:val="00D207B2"/>
    <w:rsid w:val="00D21FA9"/>
    <w:rsid w:val="00D2236E"/>
    <w:rsid w:val="00D2373E"/>
    <w:rsid w:val="00D23C9F"/>
    <w:rsid w:val="00D24CFD"/>
    <w:rsid w:val="00D3063E"/>
    <w:rsid w:val="00D30DEE"/>
    <w:rsid w:val="00D32CB7"/>
    <w:rsid w:val="00D32D1C"/>
    <w:rsid w:val="00D368EA"/>
    <w:rsid w:val="00D369DF"/>
    <w:rsid w:val="00D37D51"/>
    <w:rsid w:val="00D44813"/>
    <w:rsid w:val="00D46F7C"/>
    <w:rsid w:val="00D5084B"/>
    <w:rsid w:val="00D511C6"/>
    <w:rsid w:val="00D51828"/>
    <w:rsid w:val="00D52DD8"/>
    <w:rsid w:val="00D52F34"/>
    <w:rsid w:val="00D53758"/>
    <w:rsid w:val="00D54A81"/>
    <w:rsid w:val="00D56DF6"/>
    <w:rsid w:val="00D56F7F"/>
    <w:rsid w:val="00D6262C"/>
    <w:rsid w:val="00D649EE"/>
    <w:rsid w:val="00D66BFB"/>
    <w:rsid w:val="00D7066D"/>
    <w:rsid w:val="00D7099A"/>
    <w:rsid w:val="00D72929"/>
    <w:rsid w:val="00D76C02"/>
    <w:rsid w:val="00D80A1C"/>
    <w:rsid w:val="00D81829"/>
    <w:rsid w:val="00D81BE7"/>
    <w:rsid w:val="00D83446"/>
    <w:rsid w:val="00D84F6A"/>
    <w:rsid w:val="00D85D41"/>
    <w:rsid w:val="00D874DB"/>
    <w:rsid w:val="00D909E9"/>
    <w:rsid w:val="00D90C3D"/>
    <w:rsid w:val="00D93348"/>
    <w:rsid w:val="00D94392"/>
    <w:rsid w:val="00D94DC7"/>
    <w:rsid w:val="00D95581"/>
    <w:rsid w:val="00D966B9"/>
    <w:rsid w:val="00DA1FE2"/>
    <w:rsid w:val="00DA44AB"/>
    <w:rsid w:val="00DA630D"/>
    <w:rsid w:val="00DA6675"/>
    <w:rsid w:val="00DA7FF2"/>
    <w:rsid w:val="00DB0048"/>
    <w:rsid w:val="00DB18B6"/>
    <w:rsid w:val="00DB1964"/>
    <w:rsid w:val="00DB1B49"/>
    <w:rsid w:val="00DB26DA"/>
    <w:rsid w:val="00DB363E"/>
    <w:rsid w:val="00DB5173"/>
    <w:rsid w:val="00DB6FD2"/>
    <w:rsid w:val="00DB6FD5"/>
    <w:rsid w:val="00DC403B"/>
    <w:rsid w:val="00DC4D31"/>
    <w:rsid w:val="00DC501C"/>
    <w:rsid w:val="00DC61CF"/>
    <w:rsid w:val="00DD2347"/>
    <w:rsid w:val="00DD4553"/>
    <w:rsid w:val="00DD4C4D"/>
    <w:rsid w:val="00DD6CC2"/>
    <w:rsid w:val="00DD723D"/>
    <w:rsid w:val="00DE01F5"/>
    <w:rsid w:val="00DE2B14"/>
    <w:rsid w:val="00DE4334"/>
    <w:rsid w:val="00DF21F7"/>
    <w:rsid w:val="00DF4B41"/>
    <w:rsid w:val="00DF4FDA"/>
    <w:rsid w:val="00DF56AF"/>
    <w:rsid w:val="00E024D1"/>
    <w:rsid w:val="00E0336F"/>
    <w:rsid w:val="00E045C7"/>
    <w:rsid w:val="00E0520A"/>
    <w:rsid w:val="00E0681C"/>
    <w:rsid w:val="00E07DE8"/>
    <w:rsid w:val="00E10F74"/>
    <w:rsid w:val="00E214E5"/>
    <w:rsid w:val="00E2246B"/>
    <w:rsid w:val="00E23296"/>
    <w:rsid w:val="00E238E7"/>
    <w:rsid w:val="00E23DF3"/>
    <w:rsid w:val="00E240E5"/>
    <w:rsid w:val="00E24A96"/>
    <w:rsid w:val="00E2654F"/>
    <w:rsid w:val="00E266F0"/>
    <w:rsid w:val="00E27665"/>
    <w:rsid w:val="00E30F54"/>
    <w:rsid w:val="00E34412"/>
    <w:rsid w:val="00E35EB4"/>
    <w:rsid w:val="00E361D0"/>
    <w:rsid w:val="00E36236"/>
    <w:rsid w:val="00E376EA"/>
    <w:rsid w:val="00E37C06"/>
    <w:rsid w:val="00E400B1"/>
    <w:rsid w:val="00E41370"/>
    <w:rsid w:val="00E42BC3"/>
    <w:rsid w:val="00E45287"/>
    <w:rsid w:val="00E467AA"/>
    <w:rsid w:val="00E51B90"/>
    <w:rsid w:val="00E5311F"/>
    <w:rsid w:val="00E54BB9"/>
    <w:rsid w:val="00E54C64"/>
    <w:rsid w:val="00E55D9E"/>
    <w:rsid w:val="00E56137"/>
    <w:rsid w:val="00E57DA7"/>
    <w:rsid w:val="00E61A62"/>
    <w:rsid w:val="00E62FB8"/>
    <w:rsid w:val="00E643F1"/>
    <w:rsid w:val="00E646DA"/>
    <w:rsid w:val="00E649AC"/>
    <w:rsid w:val="00E64DC7"/>
    <w:rsid w:val="00E650E1"/>
    <w:rsid w:val="00E6588C"/>
    <w:rsid w:val="00E65F52"/>
    <w:rsid w:val="00E71ABF"/>
    <w:rsid w:val="00E7381C"/>
    <w:rsid w:val="00E73B5C"/>
    <w:rsid w:val="00E747C6"/>
    <w:rsid w:val="00E75AB5"/>
    <w:rsid w:val="00E761F4"/>
    <w:rsid w:val="00E766E6"/>
    <w:rsid w:val="00E80A9A"/>
    <w:rsid w:val="00E80C2B"/>
    <w:rsid w:val="00E81704"/>
    <w:rsid w:val="00E82AF1"/>
    <w:rsid w:val="00E83814"/>
    <w:rsid w:val="00E83ABE"/>
    <w:rsid w:val="00E851BE"/>
    <w:rsid w:val="00E949C3"/>
    <w:rsid w:val="00E96FB7"/>
    <w:rsid w:val="00EA0216"/>
    <w:rsid w:val="00EA1B28"/>
    <w:rsid w:val="00EA1B32"/>
    <w:rsid w:val="00EA1F53"/>
    <w:rsid w:val="00EA2D6B"/>
    <w:rsid w:val="00EA3244"/>
    <w:rsid w:val="00EA3B78"/>
    <w:rsid w:val="00EA4182"/>
    <w:rsid w:val="00EA4672"/>
    <w:rsid w:val="00EA644C"/>
    <w:rsid w:val="00EA68BF"/>
    <w:rsid w:val="00EA7362"/>
    <w:rsid w:val="00EB10C8"/>
    <w:rsid w:val="00EB112C"/>
    <w:rsid w:val="00EB296D"/>
    <w:rsid w:val="00EB55AE"/>
    <w:rsid w:val="00EC087E"/>
    <w:rsid w:val="00EC0B18"/>
    <w:rsid w:val="00EC1F65"/>
    <w:rsid w:val="00EC20BE"/>
    <w:rsid w:val="00EC35C2"/>
    <w:rsid w:val="00EC5034"/>
    <w:rsid w:val="00EC6911"/>
    <w:rsid w:val="00ED2C6A"/>
    <w:rsid w:val="00ED35B4"/>
    <w:rsid w:val="00ED4323"/>
    <w:rsid w:val="00ED638F"/>
    <w:rsid w:val="00ED67B2"/>
    <w:rsid w:val="00ED7ABF"/>
    <w:rsid w:val="00EE1261"/>
    <w:rsid w:val="00EE1A6F"/>
    <w:rsid w:val="00EE2497"/>
    <w:rsid w:val="00EE34A7"/>
    <w:rsid w:val="00EE3731"/>
    <w:rsid w:val="00EE45CE"/>
    <w:rsid w:val="00EE70F0"/>
    <w:rsid w:val="00EF00CA"/>
    <w:rsid w:val="00EF0115"/>
    <w:rsid w:val="00EF1082"/>
    <w:rsid w:val="00EF485C"/>
    <w:rsid w:val="00EF66DC"/>
    <w:rsid w:val="00EF7317"/>
    <w:rsid w:val="00F00925"/>
    <w:rsid w:val="00F01C91"/>
    <w:rsid w:val="00F02B8D"/>
    <w:rsid w:val="00F03293"/>
    <w:rsid w:val="00F03E59"/>
    <w:rsid w:val="00F062F8"/>
    <w:rsid w:val="00F065C9"/>
    <w:rsid w:val="00F12E43"/>
    <w:rsid w:val="00F1526F"/>
    <w:rsid w:val="00F16169"/>
    <w:rsid w:val="00F16FA6"/>
    <w:rsid w:val="00F1797C"/>
    <w:rsid w:val="00F17EFE"/>
    <w:rsid w:val="00F2100F"/>
    <w:rsid w:val="00F23618"/>
    <w:rsid w:val="00F23D31"/>
    <w:rsid w:val="00F23F39"/>
    <w:rsid w:val="00F25843"/>
    <w:rsid w:val="00F2680A"/>
    <w:rsid w:val="00F2690F"/>
    <w:rsid w:val="00F2698D"/>
    <w:rsid w:val="00F3026B"/>
    <w:rsid w:val="00F307EE"/>
    <w:rsid w:val="00F310B2"/>
    <w:rsid w:val="00F3192F"/>
    <w:rsid w:val="00F31CAF"/>
    <w:rsid w:val="00F32815"/>
    <w:rsid w:val="00F32CB5"/>
    <w:rsid w:val="00F34194"/>
    <w:rsid w:val="00F3476B"/>
    <w:rsid w:val="00F353B8"/>
    <w:rsid w:val="00F365B7"/>
    <w:rsid w:val="00F37160"/>
    <w:rsid w:val="00F40614"/>
    <w:rsid w:val="00F40732"/>
    <w:rsid w:val="00F438B2"/>
    <w:rsid w:val="00F44D63"/>
    <w:rsid w:val="00F44F86"/>
    <w:rsid w:val="00F472EE"/>
    <w:rsid w:val="00F47471"/>
    <w:rsid w:val="00F51C4B"/>
    <w:rsid w:val="00F528A1"/>
    <w:rsid w:val="00F5346F"/>
    <w:rsid w:val="00F547DD"/>
    <w:rsid w:val="00F558B0"/>
    <w:rsid w:val="00F55A06"/>
    <w:rsid w:val="00F56482"/>
    <w:rsid w:val="00F60870"/>
    <w:rsid w:val="00F625C1"/>
    <w:rsid w:val="00F701AD"/>
    <w:rsid w:val="00F718D4"/>
    <w:rsid w:val="00F7393A"/>
    <w:rsid w:val="00F73A4C"/>
    <w:rsid w:val="00F7708C"/>
    <w:rsid w:val="00F80326"/>
    <w:rsid w:val="00F81263"/>
    <w:rsid w:val="00F81414"/>
    <w:rsid w:val="00F843DE"/>
    <w:rsid w:val="00F870FF"/>
    <w:rsid w:val="00F87743"/>
    <w:rsid w:val="00F90D43"/>
    <w:rsid w:val="00F91625"/>
    <w:rsid w:val="00F93BA4"/>
    <w:rsid w:val="00F93D2F"/>
    <w:rsid w:val="00F94D2A"/>
    <w:rsid w:val="00F9548E"/>
    <w:rsid w:val="00F95C99"/>
    <w:rsid w:val="00FA152D"/>
    <w:rsid w:val="00FA1857"/>
    <w:rsid w:val="00FA2260"/>
    <w:rsid w:val="00FA4D64"/>
    <w:rsid w:val="00FB1C50"/>
    <w:rsid w:val="00FB306C"/>
    <w:rsid w:val="00FB3580"/>
    <w:rsid w:val="00FC0CA5"/>
    <w:rsid w:val="00FC4283"/>
    <w:rsid w:val="00FD2096"/>
    <w:rsid w:val="00FD34B0"/>
    <w:rsid w:val="00FD3C90"/>
    <w:rsid w:val="00FD5681"/>
    <w:rsid w:val="00FE06F6"/>
    <w:rsid w:val="00FE0F07"/>
    <w:rsid w:val="00FE2D19"/>
    <w:rsid w:val="00FE53A4"/>
    <w:rsid w:val="00FE6D0A"/>
    <w:rsid w:val="00FE6F98"/>
    <w:rsid w:val="00FE7AB6"/>
    <w:rsid w:val="00FF0C30"/>
    <w:rsid w:val="00FF1444"/>
    <w:rsid w:val="00FF20ED"/>
    <w:rsid w:val="00FF2253"/>
    <w:rsid w:val="00FF262B"/>
    <w:rsid w:val="00FF40D1"/>
    <w:rsid w:val="00FF4216"/>
    <w:rsid w:val="00FF519A"/>
    <w:rsid w:val="00FF6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0A9AC"/>
  <w14:defaultImageDpi w14:val="32767"/>
  <w15:chartTrackingRefBased/>
  <w15:docId w15:val="{A61A54DE-EB1E-4BD7-AA1E-D42683E0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EAD"/>
    <w:rPr>
      <w:rFonts w:asciiTheme="majorBidi" w:hAnsiTheme="majorBidi"/>
    </w:rPr>
  </w:style>
  <w:style w:type="paragraph" w:styleId="Heading1">
    <w:name w:val="heading 1"/>
    <w:basedOn w:val="Normal"/>
    <w:next w:val="Normal"/>
    <w:link w:val="Heading1Char"/>
    <w:uiPriority w:val="9"/>
    <w:qFormat/>
    <w:rsid w:val="001474C7"/>
    <w:pPr>
      <w:keepNext/>
      <w:keepLines/>
      <w:spacing w:before="360" w:after="80"/>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1474C7"/>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983ED4"/>
    <w:pPr>
      <w:keepNext/>
      <w:keepLines/>
      <w:spacing w:before="16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E851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4C7"/>
    <w:rPr>
      <w:rFonts w:asciiTheme="majorBidi" w:eastAsiaTheme="majorEastAsia" w:hAnsiTheme="majorBidi" w:cstheme="majorBidi"/>
      <w:b/>
      <w:sz w:val="32"/>
      <w:szCs w:val="40"/>
    </w:rPr>
  </w:style>
  <w:style w:type="character" w:customStyle="1" w:styleId="Heading2Char">
    <w:name w:val="Heading 2 Char"/>
    <w:basedOn w:val="DefaultParagraphFont"/>
    <w:link w:val="Heading2"/>
    <w:uiPriority w:val="9"/>
    <w:rsid w:val="001474C7"/>
    <w:rPr>
      <w:rFonts w:asciiTheme="majorBidi" w:eastAsiaTheme="majorEastAsia" w:hAnsiTheme="majorBidi" w:cstheme="majorBidi"/>
      <w:b/>
      <w:color w:val="000000" w:themeColor="text1"/>
      <w:sz w:val="28"/>
      <w:szCs w:val="32"/>
    </w:rPr>
  </w:style>
  <w:style w:type="character" w:customStyle="1" w:styleId="Heading3Char">
    <w:name w:val="Heading 3 Char"/>
    <w:basedOn w:val="DefaultParagraphFont"/>
    <w:link w:val="Heading3"/>
    <w:uiPriority w:val="9"/>
    <w:rsid w:val="00983ED4"/>
    <w:rPr>
      <w:rFonts w:asciiTheme="majorBidi" w:eastAsiaTheme="majorEastAsia" w:hAnsiTheme="majorBidi" w:cstheme="majorBidi"/>
      <w:b/>
      <w:color w:val="000000" w:themeColor="text1"/>
      <w:sz w:val="28"/>
      <w:szCs w:val="28"/>
    </w:rPr>
  </w:style>
  <w:style w:type="character" w:customStyle="1" w:styleId="Heading4Char">
    <w:name w:val="Heading 4 Char"/>
    <w:basedOn w:val="DefaultParagraphFont"/>
    <w:link w:val="Heading4"/>
    <w:uiPriority w:val="9"/>
    <w:semiHidden/>
    <w:rsid w:val="00E851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BE"/>
    <w:rPr>
      <w:rFonts w:eastAsiaTheme="majorEastAsia" w:cstheme="majorBidi"/>
      <w:color w:val="272727" w:themeColor="text1" w:themeTint="D8"/>
    </w:rPr>
  </w:style>
  <w:style w:type="paragraph" w:styleId="Title">
    <w:name w:val="Title"/>
    <w:basedOn w:val="Normal"/>
    <w:next w:val="Normal"/>
    <w:link w:val="TitleChar"/>
    <w:uiPriority w:val="10"/>
    <w:qFormat/>
    <w:rsid w:val="00E8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B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BE"/>
    <w:rPr>
      <w:i/>
      <w:iCs/>
      <w:color w:val="404040" w:themeColor="text1" w:themeTint="BF"/>
    </w:rPr>
  </w:style>
  <w:style w:type="paragraph" w:styleId="ListParagraph">
    <w:name w:val="List Paragraph"/>
    <w:basedOn w:val="Normal"/>
    <w:uiPriority w:val="34"/>
    <w:qFormat/>
    <w:rsid w:val="00E851BE"/>
    <w:pPr>
      <w:ind w:left="720"/>
      <w:contextualSpacing/>
    </w:pPr>
  </w:style>
  <w:style w:type="character" w:styleId="IntenseEmphasis">
    <w:name w:val="Intense Emphasis"/>
    <w:basedOn w:val="DefaultParagraphFont"/>
    <w:uiPriority w:val="21"/>
    <w:qFormat/>
    <w:rsid w:val="00E851BE"/>
    <w:rPr>
      <w:i/>
      <w:iCs/>
      <w:color w:val="0F4761" w:themeColor="accent1" w:themeShade="BF"/>
    </w:rPr>
  </w:style>
  <w:style w:type="paragraph" w:styleId="IntenseQuote">
    <w:name w:val="Intense Quote"/>
    <w:basedOn w:val="Normal"/>
    <w:next w:val="Normal"/>
    <w:link w:val="IntenseQuoteChar"/>
    <w:uiPriority w:val="30"/>
    <w:qFormat/>
    <w:rsid w:val="00E8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BE"/>
    <w:rPr>
      <w:i/>
      <w:iCs/>
      <w:color w:val="0F4761" w:themeColor="accent1" w:themeShade="BF"/>
    </w:rPr>
  </w:style>
  <w:style w:type="character" w:styleId="IntenseReference">
    <w:name w:val="Intense Reference"/>
    <w:basedOn w:val="DefaultParagraphFont"/>
    <w:uiPriority w:val="32"/>
    <w:qFormat/>
    <w:rsid w:val="00E851BE"/>
    <w:rPr>
      <w:b/>
      <w:bCs/>
      <w:smallCaps/>
      <w:color w:val="0F4761" w:themeColor="accent1" w:themeShade="BF"/>
      <w:spacing w:val="5"/>
    </w:rPr>
  </w:style>
  <w:style w:type="paragraph" w:styleId="Header">
    <w:name w:val="header"/>
    <w:basedOn w:val="Normal"/>
    <w:link w:val="HeaderChar"/>
    <w:uiPriority w:val="99"/>
    <w:unhideWhenUsed/>
    <w:rsid w:val="000C4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9DB"/>
  </w:style>
  <w:style w:type="paragraph" w:styleId="Footer">
    <w:name w:val="footer"/>
    <w:basedOn w:val="Normal"/>
    <w:link w:val="FooterChar"/>
    <w:uiPriority w:val="99"/>
    <w:unhideWhenUsed/>
    <w:rsid w:val="000C4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9DB"/>
  </w:style>
  <w:style w:type="table" w:styleId="TableGrid">
    <w:name w:val="Table Grid"/>
    <w:basedOn w:val="TableNormal"/>
    <w:uiPriority w:val="39"/>
    <w:rsid w:val="00CE5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71C4"/>
    <w:rPr>
      <w:color w:val="666666"/>
    </w:rPr>
  </w:style>
  <w:style w:type="character" w:customStyle="1" w:styleId="fontstyle01">
    <w:name w:val="fontstyle01"/>
    <w:basedOn w:val="DefaultParagraphFont"/>
    <w:rsid w:val="00E57DA7"/>
    <w:rPr>
      <w:rFonts w:ascii="Times New Roman" w:hAnsi="Times New Roman" w:cs="Times New Roman" w:hint="default"/>
      <w:b w:val="0"/>
      <w:bCs w:val="0"/>
      <w:i w:val="0"/>
      <w:iCs w:val="0"/>
      <w:color w:val="000000"/>
      <w:sz w:val="24"/>
      <w:szCs w:val="24"/>
    </w:rPr>
  </w:style>
  <w:style w:type="table" w:customStyle="1" w:styleId="TableGrid1">
    <w:name w:val="Table Grid1"/>
    <w:basedOn w:val="TableNormal"/>
    <w:next w:val="TableGrid"/>
    <w:uiPriority w:val="39"/>
    <w:rsid w:val="00F353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73824"/>
    <w:pPr>
      <w:spacing w:before="240" w:after="320" w:line="360" w:lineRule="auto"/>
    </w:pPr>
    <w:rPr>
      <w:iCs/>
      <w:color w:val="000000" w:themeColor="text1"/>
      <w:kern w:val="0"/>
      <w:szCs w:val="18"/>
      <w14:ligatures w14:val="none"/>
    </w:rPr>
  </w:style>
  <w:style w:type="table" w:customStyle="1" w:styleId="TableGrid9">
    <w:name w:val="Table Grid9"/>
    <w:basedOn w:val="TableNormal"/>
    <w:next w:val="TableGrid"/>
    <w:uiPriority w:val="39"/>
    <w:rsid w:val="006D4D5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A4F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E2D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D432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6545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165456"/>
    <w:pPr>
      <w:spacing w:after="0" w:line="240" w:lineRule="auto"/>
    </w:pPr>
    <w:rPr>
      <w:kern w:val="0"/>
      <w:sz w:val="22"/>
      <w:szCs w:val="22"/>
      <w14:ligatures w14:val="none"/>
    </w:rPr>
  </w:style>
  <w:style w:type="table" w:customStyle="1" w:styleId="TableGrid7">
    <w:name w:val="Table Grid7"/>
    <w:basedOn w:val="TableNormal"/>
    <w:next w:val="TableGrid"/>
    <w:uiPriority w:val="39"/>
    <w:rsid w:val="00FF40D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sertationHeader">
    <w:name w:val="Dissertation Header"/>
    <w:link w:val="DissertationHeaderChar"/>
    <w:qFormat/>
    <w:rsid w:val="007076A4"/>
    <w:pPr>
      <w:numPr>
        <w:numId w:val="3"/>
      </w:numPr>
      <w:spacing w:line="240" w:lineRule="auto"/>
    </w:pPr>
    <w:rPr>
      <w:rFonts w:ascii="Arial" w:eastAsiaTheme="majorEastAsia" w:hAnsi="Arial" w:cstheme="majorBidi"/>
      <w:b/>
      <w:bCs/>
      <w:sz w:val="32"/>
      <w:szCs w:val="32"/>
    </w:rPr>
  </w:style>
  <w:style w:type="character" w:customStyle="1" w:styleId="DissertationHeaderChar">
    <w:name w:val="Dissertation Header Char"/>
    <w:basedOn w:val="DefaultParagraphFont"/>
    <w:link w:val="DissertationHeader"/>
    <w:rsid w:val="007076A4"/>
    <w:rPr>
      <w:rFonts w:ascii="Arial" w:eastAsiaTheme="majorEastAsia" w:hAnsi="Arial" w:cstheme="majorBidi"/>
      <w:b/>
      <w:bCs/>
      <w:sz w:val="32"/>
      <w:szCs w:val="32"/>
    </w:rPr>
  </w:style>
  <w:style w:type="paragraph" w:styleId="TOC2">
    <w:name w:val="toc 2"/>
    <w:basedOn w:val="Normal"/>
    <w:next w:val="Normal"/>
    <w:autoRedefine/>
    <w:uiPriority w:val="39"/>
    <w:unhideWhenUsed/>
    <w:rsid w:val="00FD2096"/>
    <w:pPr>
      <w:tabs>
        <w:tab w:val="left" w:pos="1200"/>
        <w:tab w:val="right" w:leader="dot" w:pos="9350"/>
      </w:tabs>
      <w:spacing w:after="0" w:line="480" w:lineRule="auto"/>
      <w:ind w:left="216"/>
    </w:pPr>
    <w:rPr>
      <w:rFonts w:eastAsiaTheme="minorEastAsia" w:cs="Times New Roman"/>
      <w:kern w:val="0"/>
      <w:szCs w:val="22"/>
      <w14:ligatures w14:val="none"/>
    </w:rPr>
  </w:style>
  <w:style w:type="paragraph" w:styleId="TOC1">
    <w:name w:val="toc 1"/>
    <w:basedOn w:val="Normal"/>
    <w:next w:val="Normal"/>
    <w:autoRedefine/>
    <w:uiPriority w:val="39"/>
    <w:unhideWhenUsed/>
    <w:rsid w:val="00ED7ABF"/>
    <w:pPr>
      <w:tabs>
        <w:tab w:val="right" w:leader="dot" w:pos="9350"/>
      </w:tabs>
      <w:spacing w:after="0" w:line="480" w:lineRule="auto"/>
    </w:pPr>
    <w:rPr>
      <w:rFonts w:eastAsiaTheme="minorEastAsia" w:cs="Times New Roman"/>
      <w:b/>
      <w:kern w:val="0"/>
      <w:szCs w:val="22"/>
      <w14:ligatures w14:val="none"/>
    </w:rPr>
  </w:style>
  <w:style w:type="paragraph" w:styleId="TOC3">
    <w:name w:val="toc 3"/>
    <w:basedOn w:val="Normal"/>
    <w:next w:val="Normal"/>
    <w:autoRedefine/>
    <w:uiPriority w:val="39"/>
    <w:unhideWhenUsed/>
    <w:rsid w:val="0096167E"/>
    <w:pPr>
      <w:spacing w:after="0" w:line="480" w:lineRule="auto"/>
      <w:ind w:left="446"/>
    </w:pPr>
    <w:rPr>
      <w:rFonts w:ascii="Times New Roman" w:eastAsiaTheme="minorEastAsia" w:hAnsi="Times New Roman" w:cs="Times New Roman"/>
      <w:kern w:val="0"/>
      <w:szCs w:val="22"/>
      <w14:ligatures w14:val="none"/>
    </w:rPr>
  </w:style>
  <w:style w:type="character" w:styleId="Hyperlink">
    <w:name w:val="Hyperlink"/>
    <w:basedOn w:val="DefaultParagraphFont"/>
    <w:uiPriority w:val="99"/>
    <w:unhideWhenUsed/>
    <w:rsid w:val="007076A4"/>
    <w:rPr>
      <w:color w:val="467886" w:themeColor="hyperlink"/>
      <w:u w:val="single"/>
    </w:rPr>
  </w:style>
  <w:style w:type="paragraph" w:styleId="TableofFigures">
    <w:name w:val="table of figures"/>
    <w:basedOn w:val="Normal"/>
    <w:next w:val="Normal"/>
    <w:uiPriority w:val="99"/>
    <w:unhideWhenUsed/>
    <w:rsid w:val="0096167E"/>
    <w:pPr>
      <w:spacing w:after="0" w:line="480" w:lineRule="auto"/>
    </w:pPr>
    <w:rPr>
      <w:szCs w:val="22"/>
    </w:rPr>
  </w:style>
  <w:style w:type="character" w:styleId="BookTitle">
    <w:name w:val="Book Title"/>
    <w:basedOn w:val="DefaultParagraphFont"/>
    <w:uiPriority w:val="33"/>
    <w:qFormat/>
    <w:rsid w:val="007076A4"/>
    <w:rPr>
      <w:b/>
      <w:bCs/>
      <w:i/>
      <w:iCs/>
      <w:spacing w:val="5"/>
    </w:rPr>
  </w:style>
  <w:style w:type="paragraph" w:styleId="NormalWeb">
    <w:name w:val="Normal (Web)"/>
    <w:basedOn w:val="Normal"/>
    <w:uiPriority w:val="99"/>
    <w:unhideWhenUsed/>
    <w:rsid w:val="00531CA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054E86"/>
    <w:pPr>
      <w:spacing w:before="240" w:after="0" w:line="259" w:lineRule="auto"/>
      <w:outlineLvl w:val="9"/>
    </w:pPr>
    <w:rPr>
      <w:rFonts w:asciiTheme="majorHAnsi" w:hAnsiTheme="majorHAnsi"/>
      <w:b w:val="0"/>
      <w:color w:val="0F4761" w:themeColor="accent1" w:themeShade="BF"/>
      <w:kern w:val="0"/>
      <w:szCs w:val="32"/>
      <w14:ligatures w14:val="none"/>
    </w:rPr>
  </w:style>
  <w:style w:type="character" w:styleId="CommentReference">
    <w:name w:val="annotation reference"/>
    <w:semiHidden/>
    <w:rsid w:val="00032B82"/>
    <w:rPr>
      <w:sz w:val="16"/>
      <w:szCs w:val="16"/>
    </w:rPr>
  </w:style>
  <w:style w:type="paragraph" w:styleId="FootnoteText">
    <w:name w:val="footnote text"/>
    <w:basedOn w:val="Normal"/>
    <w:link w:val="FootnoteTextChar"/>
    <w:uiPriority w:val="99"/>
    <w:semiHidden/>
    <w:unhideWhenUsed/>
    <w:rsid w:val="006737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7DE"/>
    <w:rPr>
      <w:rFonts w:asciiTheme="majorBidi" w:hAnsiTheme="majorBidi"/>
      <w:sz w:val="20"/>
      <w:szCs w:val="20"/>
    </w:rPr>
  </w:style>
  <w:style w:type="character" w:styleId="FootnoteReference">
    <w:name w:val="footnote reference"/>
    <w:basedOn w:val="DefaultParagraphFont"/>
    <w:uiPriority w:val="99"/>
    <w:semiHidden/>
    <w:unhideWhenUsed/>
    <w:rsid w:val="006737DE"/>
    <w:rPr>
      <w:vertAlign w:val="superscript"/>
    </w:rPr>
  </w:style>
  <w:style w:type="paragraph" w:styleId="BodyText">
    <w:name w:val="Body Text"/>
    <w:basedOn w:val="Normal"/>
    <w:link w:val="BodyTextChar"/>
    <w:uiPriority w:val="1"/>
    <w:qFormat/>
    <w:rsid w:val="00201067"/>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201067"/>
    <w:rPr>
      <w:rFonts w:ascii="Times New Roman" w:eastAsia="Times New Roman" w:hAnsi="Times New Roman" w:cs="Times New Roman"/>
      <w:kern w:val="0"/>
      <w14:ligatures w14:val="none"/>
    </w:rPr>
  </w:style>
  <w:style w:type="character" w:styleId="EndnoteReference">
    <w:name w:val="endnote reference"/>
    <w:basedOn w:val="DefaultParagraphFont"/>
    <w:uiPriority w:val="99"/>
    <w:semiHidden/>
    <w:unhideWhenUsed/>
    <w:rsid w:val="00FF42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82545">
      <w:bodyDiv w:val="1"/>
      <w:marLeft w:val="0"/>
      <w:marRight w:val="0"/>
      <w:marTop w:val="0"/>
      <w:marBottom w:val="0"/>
      <w:divBdr>
        <w:top w:val="none" w:sz="0" w:space="0" w:color="auto"/>
        <w:left w:val="none" w:sz="0" w:space="0" w:color="auto"/>
        <w:bottom w:val="none" w:sz="0" w:space="0" w:color="auto"/>
        <w:right w:val="none" w:sz="0" w:space="0" w:color="auto"/>
      </w:divBdr>
      <w:divsChild>
        <w:div w:id="1232618748">
          <w:marLeft w:val="0"/>
          <w:marRight w:val="0"/>
          <w:marTop w:val="0"/>
          <w:marBottom w:val="0"/>
          <w:divBdr>
            <w:top w:val="none" w:sz="0" w:space="0" w:color="auto"/>
            <w:left w:val="none" w:sz="0" w:space="0" w:color="auto"/>
            <w:bottom w:val="none" w:sz="0" w:space="0" w:color="auto"/>
            <w:right w:val="none" w:sz="0" w:space="0" w:color="auto"/>
          </w:divBdr>
          <w:divsChild>
            <w:div w:id="511846114">
              <w:marLeft w:val="0"/>
              <w:marRight w:val="0"/>
              <w:marTop w:val="0"/>
              <w:marBottom w:val="0"/>
              <w:divBdr>
                <w:top w:val="none" w:sz="0" w:space="0" w:color="auto"/>
                <w:left w:val="none" w:sz="0" w:space="0" w:color="auto"/>
                <w:bottom w:val="none" w:sz="0" w:space="0" w:color="auto"/>
                <w:right w:val="none" w:sz="0" w:space="0" w:color="auto"/>
              </w:divBdr>
              <w:divsChild>
                <w:div w:id="1915385888">
                  <w:marLeft w:val="0"/>
                  <w:marRight w:val="0"/>
                  <w:marTop w:val="0"/>
                  <w:marBottom w:val="0"/>
                  <w:divBdr>
                    <w:top w:val="none" w:sz="0" w:space="0" w:color="auto"/>
                    <w:left w:val="none" w:sz="0" w:space="0" w:color="auto"/>
                    <w:bottom w:val="none" w:sz="0" w:space="0" w:color="auto"/>
                    <w:right w:val="none" w:sz="0" w:space="0" w:color="auto"/>
                  </w:divBdr>
                  <w:divsChild>
                    <w:div w:id="7821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147">
      <w:bodyDiv w:val="1"/>
      <w:marLeft w:val="0"/>
      <w:marRight w:val="0"/>
      <w:marTop w:val="0"/>
      <w:marBottom w:val="0"/>
      <w:divBdr>
        <w:top w:val="none" w:sz="0" w:space="0" w:color="auto"/>
        <w:left w:val="none" w:sz="0" w:space="0" w:color="auto"/>
        <w:bottom w:val="none" w:sz="0" w:space="0" w:color="auto"/>
        <w:right w:val="none" w:sz="0" w:space="0" w:color="auto"/>
      </w:divBdr>
      <w:divsChild>
        <w:div w:id="1819881580">
          <w:marLeft w:val="0"/>
          <w:marRight w:val="0"/>
          <w:marTop w:val="0"/>
          <w:marBottom w:val="0"/>
          <w:divBdr>
            <w:top w:val="none" w:sz="0" w:space="0" w:color="auto"/>
            <w:left w:val="none" w:sz="0" w:space="0" w:color="auto"/>
            <w:bottom w:val="none" w:sz="0" w:space="0" w:color="auto"/>
            <w:right w:val="none" w:sz="0" w:space="0" w:color="auto"/>
          </w:divBdr>
          <w:divsChild>
            <w:div w:id="1105925251">
              <w:marLeft w:val="0"/>
              <w:marRight w:val="0"/>
              <w:marTop w:val="0"/>
              <w:marBottom w:val="0"/>
              <w:divBdr>
                <w:top w:val="none" w:sz="0" w:space="0" w:color="auto"/>
                <w:left w:val="none" w:sz="0" w:space="0" w:color="auto"/>
                <w:bottom w:val="none" w:sz="0" w:space="0" w:color="auto"/>
                <w:right w:val="none" w:sz="0" w:space="0" w:color="auto"/>
              </w:divBdr>
              <w:divsChild>
                <w:div w:id="913585661">
                  <w:marLeft w:val="0"/>
                  <w:marRight w:val="0"/>
                  <w:marTop w:val="0"/>
                  <w:marBottom w:val="0"/>
                  <w:divBdr>
                    <w:top w:val="none" w:sz="0" w:space="0" w:color="auto"/>
                    <w:left w:val="none" w:sz="0" w:space="0" w:color="auto"/>
                    <w:bottom w:val="none" w:sz="0" w:space="0" w:color="auto"/>
                    <w:right w:val="none" w:sz="0" w:space="0" w:color="auto"/>
                  </w:divBdr>
                  <w:divsChild>
                    <w:div w:id="8682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09132">
      <w:bodyDiv w:val="1"/>
      <w:marLeft w:val="0"/>
      <w:marRight w:val="0"/>
      <w:marTop w:val="0"/>
      <w:marBottom w:val="0"/>
      <w:divBdr>
        <w:top w:val="none" w:sz="0" w:space="0" w:color="auto"/>
        <w:left w:val="none" w:sz="0" w:space="0" w:color="auto"/>
        <w:bottom w:val="none" w:sz="0" w:space="0" w:color="auto"/>
        <w:right w:val="none" w:sz="0" w:space="0" w:color="auto"/>
      </w:divBdr>
    </w:div>
    <w:div w:id="1459490653">
      <w:bodyDiv w:val="1"/>
      <w:marLeft w:val="0"/>
      <w:marRight w:val="0"/>
      <w:marTop w:val="0"/>
      <w:marBottom w:val="0"/>
      <w:divBdr>
        <w:top w:val="none" w:sz="0" w:space="0" w:color="auto"/>
        <w:left w:val="none" w:sz="0" w:space="0" w:color="auto"/>
        <w:bottom w:val="none" w:sz="0" w:space="0" w:color="auto"/>
        <w:right w:val="none" w:sz="0" w:space="0" w:color="auto"/>
      </w:divBdr>
    </w:div>
    <w:div w:id="1485782548">
      <w:bodyDiv w:val="1"/>
      <w:marLeft w:val="0"/>
      <w:marRight w:val="0"/>
      <w:marTop w:val="0"/>
      <w:marBottom w:val="0"/>
      <w:divBdr>
        <w:top w:val="none" w:sz="0" w:space="0" w:color="auto"/>
        <w:left w:val="none" w:sz="0" w:space="0" w:color="auto"/>
        <w:bottom w:val="none" w:sz="0" w:space="0" w:color="auto"/>
        <w:right w:val="none" w:sz="0" w:space="0" w:color="auto"/>
      </w:divBdr>
    </w:div>
    <w:div w:id="21207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emf"/><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8" Type="http://schemas.openxmlformats.org/officeDocument/2006/relationships/footer" Target="footer1.xml"/><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20" Type="http://schemas.openxmlformats.org/officeDocument/2006/relationships/image" Target="media/image12.jpeg"/><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AFE0B-1070-49C1-84C6-A8707B55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115604</Words>
  <Characters>658949</Characters>
  <Application>Microsoft Office Word</Application>
  <DocSecurity>0</DocSecurity>
  <Lines>5491</Lines>
  <Paragraphs>1546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Kaviani, Reza</dc:creator>
  <cp:keywords/>
  <dc:description/>
  <cp:lastModifiedBy>Kaviani, Reza</cp:lastModifiedBy>
  <cp:revision>37</cp:revision>
  <cp:lastPrinted>2024-07-29T19:25:00Z</cp:lastPrinted>
  <dcterms:created xsi:type="dcterms:W3CDTF">2024-07-24T15:05:00Z</dcterms:created>
  <dcterms:modified xsi:type="dcterms:W3CDTF">2024-07-29T19:25:00Z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53c05df0-3a3e-3f7a-9e58-e5ecb0f7a332</vt:lpwstr>
  </property>
  <property fmtid="{D5CDD505-2E9C-101B-9397-08002B2CF9AE}" pid="4" name="Mendeley Citation Style_1">
    <vt:lpwstr>http://www.zotero.org/styles/international-journal-of-heat-and-mass-transfer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http://www.zotero.org/styles/international-journal-of-heat-and-mass-transfer</vt:lpwstr>
  </property>
  <property fmtid="{D5CDD505-2E9C-101B-9397-08002B2CF9AE}" pid="14" name="Mendeley Recent Style Name 4_1">
    <vt:lpwstr>International Journal of Heat and Mass Transfer</vt:lpwstr>
  </property>
  <property fmtid="{D5CDD505-2E9C-101B-9397-08002B2CF9AE}" pid="15" name="Mendeley Recent Style Id 5_1">
    <vt:lpwstr>http://www.zotero.org/styles/international-journal-of-multiphase-flow</vt:lpwstr>
  </property>
  <property fmtid="{D5CDD505-2E9C-101B-9397-08002B2CF9AE}" pid="16" name="Mendeley Recent Style Name 5_1">
    <vt:lpwstr>International Journal of Multiphase Flow</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http://www.zotero.org/styles/physics-of-fluids</vt:lpwstr>
  </property>
  <property fmtid="{D5CDD505-2E9C-101B-9397-08002B2CF9AE}" pid="24" name="Mendeley Recent Style Name 9_1">
    <vt:lpwstr>Physics of Fluids</vt:lpwstr>
  </property>
</Properties>
</file>