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61D59" w14:textId="117B1FB6" w:rsidR="00C47D39" w:rsidRDefault="00C22FC5" w:rsidP="00C22FC5">
      <w:pPr>
        <w:jc w:val="center"/>
      </w:pPr>
      <w:r>
        <w:t>UNIVERSITY OF OKLAHOMA</w:t>
      </w:r>
    </w:p>
    <w:p w14:paraId="1621001B" w14:textId="4C41FA61" w:rsidR="00C22FC5" w:rsidRDefault="00C22FC5" w:rsidP="00C22FC5">
      <w:pPr>
        <w:jc w:val="center"/>
      </w:pPr>
      <w:r>
        <w:t>GRADUATE COLLEGE</w:t>
      </w:r>
    </w:p>
    <w:p w14:paraId="1A2F3E12" w14:textId="6A2177DD" w:rsidR="00C22FC5" w:rsidRDefault="00C22FC5" w:rsidP="00C22FC5">
      <w:pPr>
        <w:jc w:val="center"/>
      </w:pPr>
    </w:p>
    <w:p w14:paraId="210042DD" w14:textId="77777777" w:rsidR="000D7F77" w:rsidRDefault="000D7F77" w:rsidP="00C22FC5">
      <w:pPr>
        <w:jc w:val="center"/>
      </w:pPr>
    </w:p>
    <w:p w14:paraId="6E02A074" w14:textId="75D27D52" w:rsidR="00C22FC5" w:rsidRDefault="00C22FC5" w:rsidP="00C22FC5">
      <w:pPr>
        <w:jc w:val="center"/>
      </w:pPr>
    </w:p>
    <w:p w14:paraId="271EA44F" w14:textId="6C99C9B0" w:rsidR="00C22FC5" w:rsidRDefault="00C22FC5" w:rsidP="00C22FC5">
      <w:pPr>
        <w:jc w:val="center"/>
      </w:pPr>
      <w:r>
        <w:t xml:space="preserve">IMPACT OF SOIL PH ON THE LEACHING RATE OF </w:t>
      </w:r>
      <w:r w:rsidR="00682DA6">
        <w:t>D</w:t>
      </w:r>
      <w:r>
        <w:t>ISPOSED LI-ION BATTERIES</w:t>
      </w:r>
    </w:p>
    <w:p w14:paraId="0AC2F202" w14:textId="73CAE973" w:rsidR="00C22FC5" w:rsidRDefault="00C22FC5" w:rsidP="00C22FC5">
      <w:pPr>
        <w:jc w:val="center"/>
      </w:pPr>
    </w:p>
    <w:p w14:paraId="4A6ADFDB" w14:textId="2211C924" w:rsidR="00C22FC5" w:rsidRDefault="00C22FC5" w:rsidP="00C22FC5">
      <w:pPr>
        <w:jc w:val="center"/>
      </w:pPr>
    </w:p>
    <w:p w14:paraId="1F5E2E0A" w14:textId="77777777" w:rsidR="000D7F77" w:rsidRDefault="000D7F77" w:rsidP="00C22FC5">
      <w:pPr>
        <w:jc w:val="center"/>
      </w:pPr>
    </w:p>
    <w:p w14:paraId="034E56DF" w14:textId="77777777" w:rsidR="00C22FC5" w:rsidRDefault="00C22FC5" w:rsidP="00C22FC5">
      <w:pPr>
        <w:jc w:val="center"/>
      </w:pPr>
    </w:p>
    <w:p w14:paraId="77FD4C96" w14:textId="4B700576" w:rsidR="00C22FC5" w:rsidRDefault="00C22FC5" w:rsidP="00C22FC5">
      <w:pPr>
        <w:jc w:val="center"/>
      </w:pPr>
    </w:p>
    <w:p w14:paraId="238E65B2" w14:textId="5710D003" w:rsidR="00C22FC5" w:rsidRDefault="00C22FC5" w:rsidP="00C22FC5">
      <w:pPr>
        <w:jc w:val="center"/>
      </w:pPr>
      <w:r>
        <w:t>A THESIS</w:t>
      </w:r>
    </w:p>
    <w:p w14:paraId="3B08D643" w14:textId="36AF8B20" w:rsidR="00C22FC5" w:rsidRDefault="00C22FC5" w:rsidP="00C22FC5">
      <w:pPr>
        <w:jc w:val="center"/>
      </w:pPr>
      <w:r>
        <w:t>SUBMITTED TO THE GRADUATE FACULTY</w:t>
      </w:r>
    </w:p>
    <w:p w14:paraId="17863555" w14:textId="327C6755" w:rsidR="00C22FC5" w:rsidRDefault="00C22FC5" w:rsidP="00C22FC5">
      <w:pPr>
        <w:jc w:val="center"/>
      </w:pPr>
      <w:r>
        <w:t>in partial fulfillment of the requirements for the</w:t>
      </w:r>
    </w:p>
    <w:p w14:paraId="6994F14E" w14:textId="1148C1E8" w:rsidR="00C22FC5" w:rsidRDefault="00C22FC5" w:rsidP="00C22FC5">
      <w:pPr>
        <w:jc w:val="center"/>
      </w:pPr>
      <w:r>
        <w:t>Degree of</w:t>
      </w:r>
    </w:p>
    <w:p w14:paraId="607504BD" w14:textId="5AB45AF0" w:rsidR="00C22FC5" w:rsidRDefault="00C22FC5" w:rsidP="00C22FC5">
      <w:pPr>
        <w:jc w:val="center"/>
      </w:pPr>
      <w:r>
        <w:t>MASTER OF SCIENCE IN ENVIRONMENTAL ENGINEERING</w:t>
      </w:r>
    </w:p>
    <w:p w14:paraId="541180DA" w14:textId="3E8918F7" w:rsidR="00C22FC5" w:rsidRDefault="00C22FC5" w:rsidP="00C22FC5">
      <w:pPr>
        <w:jc w:val="center"/>
      </w:pPr>
    </w:p>
    <w:p w14:paraId="2C8F998B" w14:textId="1C022CDC" w:rsidR="00C22FC5" w:rsidRDefault="00C22FC5" w:rsidP="00C22FC5">
      <w:pPr>
        <w:jc w:val="center"/>
      </w:pPr>
    </w:p>
    <w:p w14:paraId="6D22C443" w14:textId="77777777" w:rsidR="00C22FC5" w:rsidRDefault="00C22FC5" w:rsidP="00C22FC5">
      <w:pPr>
        <w:jc w:val="center"/>
      </w:pPr>
    </w:p>
    <w:p w14:paraId="527156B2" w14:textId="77777777" w:rsidR="005D1946" w:rsidRDefault="005D1946" w:rsidP="00C22FC5">
      <w:pPr>
        <w:jc w:val="center"/>
      </w:pPr>
    </w:p>
    <w:p w14:paraId="37850BB1" w14:textId="3A50622A" w:rsidR="00C22FC5" w:rsidRDefault="00C22FC5" w:rsidP="00C22FC5">
      <w:pPr>
        <w:jc w:val="center"/>
      </w:pPr>
      <w:r>
        <w:t>By</w:t>
      </w:r>
    </w:p>
    <w:p w14:paraId="38D2A70C" w14:textId="183FAF1D" w:rsidR="00C22FC5" w:rsidRDefault="00C22FC5" w:rsidP="00C22FC5">
      <w:pPr>
        <w:spacing w:line="240" w:lineRule="auto"/>
        <w:jc w:val="center"/>
      </w:pPr>
      <w:r>
        <w:t>MICHAEL THOMAS SULLIVAN, JR.</w:t>
      </w:r>
    </w:p>
    <w:p w14:paraId="3E432FCC" w14:textId="6D733940" w:rsidR="00C22FC5" w:rsidRDefault="00C22FC5" w:rsidP="00C22FC5">
      <w:pPr>
        <w:spacing w:line="240" w:lineRule="auto"/>
        <w:jc w:val="center"/>
      </w:pPr>
      <w:r>
        <w:t>Norman, Oklahoma</w:t>
      </w:r>
    </w:p>
    <w:p w14:paraId="786840D6" w14:textId="7B1905CE" w:rsidR="00C22FC5" w:rsidRDefault="00C22FC5" w:rsidP="00C22FC5">
      <w:pPr>
        <w:spacing w:line="240" w:lineRule="auto"/>
        <w:jc w:val="center"/>
      </w:pPr>
      <w:r>
        <w:t>2021</w:t>
      </w:r>
    </w:p>
    <w:p w14:paraId="0A009751" w14:textId="77777777" w:rsidR="000D7F77" w:rsidRDefault="000D7F77" w:rsidP="00C22FC5">
      <w:pPr>
        <w:spacing w:line="240" w:lineRule="auto"/>
        <w:jc w:val="center"/>
      </w:pPr>
    </w:p>
    <w:p w14:paraId="150A86AE" w14:textId="6117BE48" w:rsidR="000D7F77" w:rsidRDefault="000D7F77" w:rsidP="00C22FC5">
      <w:pPr>
        <w:jc w:val="center"/>
      </w:pPr>
    </w:p>
    <w:p w14:paraId="66EBC544" w14:textId="77777777" w:rsidR="005D1946" w:rsidRDefault="005D1946" w:rsidP="00C22FC5">
      <w:pPr>
        <w:jc w:val="center"/>
      </w:pPr>
    </w:p>
    <w:p w14:paraId="7FEEBD4B" w14:textId="77777777" w:rsidR="000D7F77" w:rsidRDefault="000D7F77" w:rsidP="00C22FC5">
      <w:pPr>
        <w:jc w:val="center"/>
      </w:pPr>
    </w:p>
    <w:p w14:paraId="72A72674" w14:textId="148A9600" w:rsidR="00C22FC5" w:rsidRDefault="00C22FC5" w:rsidP="00C22FC5">
      <w:pPr>
        <w:jc w:val="center"/>
      </w:pPr>
      <w:r>
        <w:t xml:space="preserve">IMPACT OF SOIL PH ON THE LEACHING RATE OF </w:t>
      </w:r>
      <w:r w:rsidR="00682DA6">
        <w:t>D</w:t>
      </w:r>
      <w:r>
        <w:t>ISPOSED LI-ION BATTERIES</w:t>
      </w:r>
    </w:p>
    <w:p w14:paraId="3D3AC637" w14:textId="312BBAD4" w:rsidR="00C22FC5" w:rsidRDefault="00C22FC5" w:rsidP="00C22FC5">
      <w:pPr>
        <w:jc w:val="center"/>
      </w:pPr>
    </w:p>
    <w:p w14:paraId="50FFEBC8" w14:textId="4337051D" w:rsidR="00C22FC5" w:rsidRDefault="00C22FC5" w:rsidP="00C22FC5">
      <w:pPr>
        <w:jc w:val="center"/>
      </w:pPr>
      <w:r>
        <w:t>A THESIS APPROVED FOR THE</w:t>
      </w:r>
    </w:p>
    <w:p w14:paraId="30CC0CBE" w14:textId="6DDA3231" w:rsidR="00C22FC5" w:rsidRDefault="000D7F77" w:rsidP="00C22FC5">
      <w:pPr>
        <w:jc w:val="center"/>
      </w:pPr>
      <w:r>
        <w:t>SCHOOL OF CIVIL ENGINEERING AND ENVIRONMENTAL SCIENCE</w:t>
      </w:r>
    </w:p>
    <w:p w14:paraId="75D7C8E3" w14:textId="72429F7A" w:rsidR="00C22FC5" w:rsidRDefault="00C22FC5" w:rsidP="00C22FC5">
      <w:pPr>
        <w:jc w:val="center"/>
      </w:pPr>
    </w:p>
    <w:p w14:paraId="00ED04A2" w14:textId="1FD77154" w:rsidR="00C22FC5" w:rsidRDefault="00C22FC5" w:rsidP="00C22FC5">
      <w:pPr>
        <w:jc w:val="center"/>
      </w:pPr>
    </w:p>
    <w:p w14:paraId="2875C780" w14:textId="49735241" w:rsidR="00C22FC5" w:rsidRDefault="00C22FC5" w:rsidP="00C22FC5">
      <w:pPr>
        <w:jc w:val="center"/>
      </w:pPr>
    </w:p>
    <w:p w14:paraId="68275427" w14:textId="47D437BB" w:rsidR="00C22FC5" w:rsidRDefault="00C22FC5" w:rsidP="00C22FC5">
      <w:pPr>
        <w:jc w:val="center"/>
      </w:pPr>
    </w:p>
    <w:p w14:paraId="336AD96D" w14:textId="2CB13EDA" w:rsidR="00C22FC5" w:rsidRDefault="00C22FC5" w:rsidP="00C22FC5">
      <w:pPr>
        <w:jc w:val="center"/>
      </w:pPr>
      <w:r>
        <w:t xml:space="preserve">BY THE COMMITTEE CONSISTING OF </w:t>
      </w:r>
    </w:p>
    <w:p w14:paraId="4A9225FA" w14:textId="1AB1BD75" w:rsidR="00C22FC5" w:rsidRDefault="00C22FC5" w:rsidP="00C22FC5">
      <w:pPr>
        <w:jc w:val="center"/>
      </w:pPr>
    </w:p>
    <w:p w14:paraId="0082CBE6" w14:textId="70B2CD4A" w:rsidR="00C22FC5" w:rsidRDefault="00C22FC5" w:rsidP="00C22FC5">
      <w:pPr>
        <w:jc w:val="center"/>
      </w:pPr>
    </w:p>
    <w:p w14:paraId="68033C7D" w14:textId="4F0B8F14" w:rsidR="00C22FC5" w:rsidRDefault="00C22FC5" w:rsidP="005A5C75">
      <w:pPr>
        <w:jc w:val="center"/>
      </w:pPr>
    </w:p>
    <w:p w14:paraId="097CC584" w14:textId="77777777" w:rsidR="005D1946" w:rsidRDefault="005D1946" w:rsidP="005A5C75">
      <w:pPr>
        <w:jc w:val="center"/>
      </w:pPr>
    </w:p>
    <w:p w14:paraId="7CBDB9C1" w14:textId="668860E0" w:rsidR="00C22FC5" w:rsidRDefault="00C22FC5" w:rsidP="00C22FC5">
      <w:pPr>
        <w:jc w:val="right"/>
      </w:pPr>
      <w:r>
        <w:t>Dr. Keith Strevett</w:t>
      </w:r>
    </w:p>
    <w:p w14:paraId="1B015A98" w14:textId="77A0BC81" w:rsidR="000D7F77" w:rsidRDefault="000D7F77" w:rsidP="00C22FC5">
      <w:pPr>
        <w:jc w:val="right"/>
      </w:pPr>
    </w:p>
    <w:p w14:paraId="6DBFF21F" w14:textId="18F9573E" w:rsidR="00C22FC5" w:rsidRDefault="00C22FC5" w:rsidP="00C22FC5">
      <w:pPr>
        <w:jc w:val="right"/>
      </w:pPr>
      <w:r>
        <w:t>Dr. Mark Nanny</w:t>
      </w:r>
    </w:p>
    <w:p w14:paraId="16940439" w14:textId="10A61882" w:rsidR="000D7F77" w:rsidRDefault="000D7F77" w:rsidP="005A5C75">
      <w:pPr>
        <w:jc w:val="right"/>
      </w:pPr>
    </w:p>
    <w:p w14:paraId="305190A9" w14:textId="3094A9DC" w:rsidR="00C22FC5" w:rsidRDefault="00C22FC5" w:rsidP="00C22FC5">
      <w:pPr>
        <w:jc w:val="right"/>
      </w:pPr>
      <w:r>
        <w:t>Dr. Tohren Kibbey</w:t>
      </w:r>
    </w:p>
    <w:p w14:paraId="3C0C17B2" w14:textId="77777777" w:rsidR="00C22FC5" w:rsidRDefault="00C22FC5">
      <w:r>
        <w:br w:type="page"/>
      </w:r>
    </w:p>
    <w:p w14:paraId="7641E9CB" w14:textId="63582738" w:rsidR="00C22FC5" w:rsidRDefault="00C22FC5" w:rsidP="00C22FC5">
      <w:pPr>
        <w:spacing w:line="360" w:lineRule="auto"/>
        <w:jc w:val="center"/>
      </w:pPr>
    </w:p>
    <w:p w14:paraId="47E57AB7" w14:textId="49A1A37C" w:rsidR="00C22FC5" w:rsidRPr="00C22FC5" w:rsidRDefault="00C22FC5" w:rsidP="00C22FC5"/>
    <w:p w14:paraId="5909A031" w14:textId="615350F7" w:rsidR="00C22FC5" w:rsidRPr="00C22FC5" w:rsidRDefault="00C22FC5" w:rsidP="00C22FC5"/>
    <w:p w14:paraId="5455F36A" w14:textId="006801A1" w:rsidR="00C22FC5" w:rsidRPr="00C22FC5" w:rsidRDefault="00C22FC5" w:rsidP="00C22FC5"/>
    <w:p w14:paraId="311321FB" w14:textId="460B5F45" w:rsidR="00C22FC5" w:rsidRPr="00C22FC5" w:rsidRDefault="00C22FC5" w:rsidP="00C22FC5"/>
    <w:p w14:paraId="3D52AE10" w14:textId="27EC670B" w:rsidR="00C22FC5" w:rsidRPr="00C22FC5" w:rsidRDefault="00C22FC5" w:rsidP="00C22FC5"/>
    <w:p w14:paraId="3339D28F" w14:textId="4C4F8F51" w:rsidR="00C22FC5" w:rsidRPr="00C22FC5" w:rsidRDefault="00C22FC5" w:rsidP="00C22FC5"/>
    <w:p w14:paraId="2339E853" w14:textId="7F928014" w:rsidR="00C22FC5" w:rsidRPr="00C22FC5" w:rsidRDefault="00C22FC5" w:rsidP="00C22FC5"/>
    <w:p w14:paraId="32488DDB" w14:textId="2476D783" w:rsidR="00C22FC5" w:rsidRPr="00C22FC5" w:rsidRDefault="00C22FC5" w:rsidP="00C22FC5"/>
    <w:p w14:paraId="7E3684F8" w14:textId="0C9809C5" w:rsidR="00C22FC5" w:rsidRPr="00C22FC5" w:rsidRDefault="00C22FC5" w:rsidP="00C22FC5"/>
    <w:p w14:paraId="3FBB7ECB" w14:textId="16FBFC61" w:rsidR="00C22FC5" w:rsidRPr="00C22FC5" w:rsidRDefault="00C22FC5" w:rsidP="00C22FC5"/>
    <w:p w14:paraId="5C0DC56A" w14:textId="175B6BD8" w:rsidR="00C22FC5" w:rsidRPr="00C22FC5" w:rsidRDefault="00C22FC5" w:rsidP="00C22FC5"/>
    <w:p w14:paraId="29450C5F" w14:textId="58F85640" w:rsidR="00C22FC5" w:rsidRPr="00C22FC5" w:rsidRDefault="00C22FC5" w:rsidP="00C22FC5"/>
    <w:p w14:paraId="4A11C8DD" w14:textId="2753AA8B" w:rsidR="00C22FC5" w:rsidRPr="00C22FC5" w:rsidRDefault="00C22FC5" w:rsidP="00C22FC5"/>
    <w:p w14:paraId="4FC24B52" w14:textId="6BD064CC" w:rsidR="00C22FC5" w:rsidRPr="00C22FC5" w:rsidRDefault="00C22FC5" w:rsidP="00C22FC5"/>
    <w:p w14:paraId="34B7E869" w14:textId="0E5BD931" w:rsidR="00C22FC5" w:rsidRPr="00C22FC5" w:rsidRDefault="00C22FC5" w:rsidP="00C22FC5"/>
    <w:p w14:paraId="74A7E67E" w14:textId="68426ABB" w:rsidR="00C22FC5" w:rsidRPr="00C22FC5" w:rsidRDefault="00C22FC5" w:rsidP="00C22FC5"/>
    <w:p w14:paraId="5705649E" w14:textId="04F1F5B1" w:rsidR="00C22FC5" w:rsidRPr="00C22FC5" w:rsidRDefault="00C22FC5" w:rsidP="00C22FC5"/>
    <w:p w14:paraId="516B372E" w14:textId="1930BC2D" w:rsidR="00C22FC5" w:rsidRPr="00C22FC5" w:rsidRDefault="00C22FC5" w:rsidP="00C22FC5"/>
    <w:p w14:paraId="7DAFC35D" w14:textId="5AE6CFC1" w:rsidR="00C22FC5" w:rsidRPr="00C22FC5" w:rsidRDefault="00C22FC5" w:rsidP="00C22FC5"/>
    <w:p w14:paraId="3DBDD94A" w14:textId="77777777" w:rsidR="005D1946" w:rsidRDefault="005D1946" w:rsidP="00C22FC5"/>
    <w:p w14:paraId="488C6E44" w14:textId="4E6EFC6C" w:rsidR="00C22FC5" w:rsidRDefault="00C22FC5" w:rsidP="00C22FC5"/>
    <w:p w14:paraId="12D68D49" w14:textId="78AF80A1" w:rsidR="00C22FC5" w:rsidRDefault="00C22FC5" w:rsidP="00C22FC5">
      <w:pPr>
        <w:jc w:val="center"/>
      </w:pPr>
      <w:r>
        <w:t>© Copyright by MICHAEL THOMAS SULLIVAN, JR. 2021</w:t>
      </w:r>
    </w:p>
    <w:p w14:paraId="2D1CBEE6" w14:textId="4772C9EF" w:rsidR="00C22FC5" w:rsidRDefault="00C22FC5" w:rsidP="00C22FC5">
      <w:pPr>
        <w:jc w:val="center"/>
      </w:pPr>
      <w:r>
        <w:t>All Rights Reserved</w:t>
      </w:r>
    </w:p>
    <w:p w14:paraId="607C3962" w14:textId="77777777" w:rsidR="00264091" w:rsidRDefault="00264091" w:rsidP="000D7F77">
      <w:pPr>
        <w:jc w:val="center"/>
        <w:sectPr w:rsidR="00264091" w:rsidSect="00B20E78">
          <w:footnotePr>
            <w:pos w:val="beneathText"/>
            <w:numFmt w:val="lowerLetter"/>
          </w:footnotePr>
          <w:pgSz w:w="12240" w:h="15840"/>
          <w:pgMar w:top="1440" w:right="1440" w:bottom="1440" w:left="1440" w:header="720" w:footer="720" w:gutter="0"/>
          <w:cols w:space="720"/>
          <w:docGrid w:linePitch="360"/>
        </w:sectPr>
      </w:pPr>
    </w:p>
    <w:p w14:paraId="19B9BDC1" w14:textId="3949D4F9" w:rsidR="000D7F77" w:rsidRDefault="000D7F77" w:rsidP="000D7F77">
      <w:pPr>
        <w:jc w:val="center"/>
      </w:pPr>
    </w:p>
    <w:p w14:paraId="36D021DE" w14:textId="1ACB1129" w:rsidR="000D7F77" w:rsidRPr="00FC17A6" w:rsidRDefault="000D7F77" w:rsidP="00F84424">
      <w:pPr>
        <w:pStyle w:val="Heading1"/>
      </w:pPr>
      <w:bookmarkStart w:id="0" w:name="_Toc71223980"/>
      <w:r w:rsidRPr="00FC17A6">
        <w:t>Acknowledgements</w:t>
      </w:r>
      <w:bookmarkEnd w:id="0"/>
    </w:p>
    <w:p w14:paraId="7B5E030B" w14:textId="525541A7" w:rsidR="000D7F77" w:rsidRDefault="00833640" w:rsidP="00833640">
      <w:r>
        <w:tab/>
      </w:r>
      <w:r w:rsidR="001D03C0">
        <w:t xml:space="preserve">I would like to thank my committee members, Dr. Tohren Kibbey and Dr. Mark Nanny, for their support and expertise to guide this thesis in the proper direction.  </w:t>
      </w:r>
      <w:r>
        <w:t>I would like to thank Dr. Keith Streve</w:t>
      </w:r>
      <w:r w:rsidR="00534829">
        <w:t xml:space="preserve">tt, </w:t>
      </w:r>
      <w:r>
        <w:t>for not only being my advisor through this project, but also being a mentor and great friend.</w:t>
      </w:r>
    </w:p>
    <w:p w14:paraId="1EF814EE" w14:textId="28B60E6D" w:rsidR="000D7F77" w:rsidRDefault="000D7F77">
      <w:r>
        <w:br w:type="page"/>
      </w:r>
    </w:p>
    <w:p w14:paraId="5899B08F" w14:textId="429C12B7" w:rsidR="00FC17A6" w:rsidRDefault="005D361B" w:rsidP="005D361B">
      <w:pPr>
        <w:jc w:val="center"/>
        <w:rPr>
          <w:rFonts w:eastAsiaTheme="majorEastAsia" w:cs="Times New Roman"/>
          <w:b/>
          <w:sz w:val="28"/>
          <w:szCs w:val="28"/>
        </w:rPr>
      </w:pPr>
      <w:r>
        <w:rPr>
          <w:rFonts w:eastAsiaTheme="majorEastAsia" w:cs="Times New Roman"/>
          <w:b/>
          <w:sz w:val="28"/>
          <w:szCs w:val="28"/>
        </w:rPr>
        <w:lastRenderedPageBreak/>
        <w:t>Table of Contents</w:t>
      </w:r>
    </w:p>
    <w:p w14:paraId="0328B5EB" w14:textId="6286B7C9" w:rsidR="00E21A65" w:rsidRDefault="0023211B">
      <w:pPr>
        <w:pStyle w:val="TOC1"/>
        <w:tabs>
          <w:tab w:val="right" w:leader="dot" w:pos="9350"/>
        </w:tabs>
        <w:rPr>
          <w:rFonts w:asciiTheme="minorHAnsi" w:hAnsiTheme="minorHAnsi" w:cstheme="minorBidi"/>
          <w:noProof/>
          <w:sz w:val="22"/>
        </w:rPr>
      </w:pPr>
      <w:r>
        <w:fldChar w:fldCharType="begin"/>
      </w:r>
      <w:r>
        <w:instrText xml:space="preserve"> TOC \o "1-3" \h \z \u </w:instrText>
      </w:r>
      <w:r>
        <w:fldChar w:fldCharType="separate"/>
      </w:r>
      <w:hyperlink w:anchor="_Toc71223980" w:history="1">
        <w:r w:rsidR="00E21A65" w:rsidRPr="00493D88">
          <w:rPr>
            <w:rStyle w:val="Hyperlink"/>
            <w:noProof/>
          </w:rPr>
          <w:t>Acknowledgements</w:t>
        </w:r>
        <w:r w:rsidR="00E21A65">
          <w:rPr>
            <w:noProof/>
            <w:webHidden/>
          </w:rPr>
          <w:tab/>
        </w:r>
        <w:r w:rsidR="00E21A65">
          <w:rPr>
            <w:noProof/>
            <w:webHidden/>
          </w:rPr>
          <w:fldChar w:fldCharType="begin"/>
        </w:r>
        <w:r w:rsidR="00E21A65">
          <w:rPr>
            <w:noProof/>
            <w:webHidden/>
          </w:rPr>
          <w:instrText xml:space="preserve"> PAGEREF _Toc71223980 \h </w:instrText>
        </w:r>
        <w:r w:rsidR="00E21A65">
          <w:rPr>
            <w:noProof/>
            <w:webHidden/>
          </w:rPr>
        </w:r>
        <w:r w:rsidR="00E21A65">
          <w:rPr>
            <w:noProof/>
            <w:webHidden/>
          </w:rPr>
          <w:fldChar w:fldCharType="separate"/>
        </w:r>
        <w:r w:rsidR="007712B4">
          <w:rPr>
            <w:noProof/>
            <w:webHidden/>
          </w:rPr>
          <w:t>iv</w:t>
        </w:r>
        <w:r w:rsidR="00E21A65">
          <w:rPr>
            <w:noProof/>
            <w:webHidden/>
          </w:rPr>
          <w:fldChar w:fldCharType="end"/>
        </w:r>
      </w:hyperlink>
    </w:p>
    <w:p w14:paraId="4BD7B3CA" w14:textId="518E3B78" w:rsidR="00E21A65" w:rsidRDefault="00775C9C">
      <w:pPr>
        <w:pStyle w:val="TOC1"/>
        <w:tabs>
          <w:tab w:val="right" w:leader="dot" w:pos="9350"/>
        </w:tabs>
        <w:rPr>
          <w:rFonts w:asciiTheme="minorHAnsi" w:hAnsiTheme="minorHAnsi" w:cstheme="minorBidi"/>
          <w:noProof/>
          <w:sz w:val="22"/>
        </w:rPr>
      </w:pPr>
      <w:hyperlink w:anchor="_Toc71223981" w:history="1">
        <w:r w:rsidR="00E21A65" w:rsidRPr="00493D88">
          <w:rPr>
            <w:rStyle w:val="Hyperlink"/>
            <w:noProof/>
          </w:rPr>
          <w:t>List of Tables</w:t>
        </w:r>
        <w:r w:rsidR="00E21A65">
          <w:rPr>
            <w:noProof/>
            <w:webHidden/>
          </w:rPr>
          <w:tab/>
        </w:r>
        <w:r w:rsidR="00E21A65">
          <w:rPr>
            <w:noProof/>
            <w:webHidden/>
          </w:rPr>
          <w:fldChar w:fldCharType="begin"/>
        </w:r>
        <w:r w:rsidR="00E21A65">
          <w:rPr>
            <w:noProof/>
            <w:webHidden/>
          </w:rPr>
          <w:instrText xml:space="preserve"> PAGEREF _Toc71223981 \h </w:instrText>
        </w:r>
        <w:r w:rsidR="00E21A65">
          <w:rPr>
            <w:noProof/>
            <w:webHidden/>
          </w:rPr>
        </w:r>
        <w:r w:rsidR="00E21A65">
          <w:rPr>
            <w:noProof/>
            <w:webHidden/>
          </w:rPr>
          <w:fldChar w:fldCharType="separate"/>
        </w:r>
        <w:r w:rsidR="007712B4">
          <w:rPr>
            <w:noProof/>
            <w:webHidden/>
          </w:rPr>
          <w:t>viii</w:t>
        </w:r>
        <w:r w:rsidR="00E21A65">
          <w:rPr>
            <w:noProof/>
            <w:webHidden/>
          </w:rPr>
          <w:fldChar w:fldCharType="end"/>
        </w:r>
      </w:hyperlink>
    </w:p>
    <w:p w14:paraId="2D1927CD" w14:textId="169D79D9" w:rsidR="00E21A65" w:rsidRDefault="00775C9C">
      <w:pPr>
        <w:pStyle w:val="TOC1"/>
        <w:tabs>
          <w:tab w:val="right" w:leader="dot" w:pos="9350"/>
        </w:tabs>
        <w:rPr>
          <w:rFonts w:asciiTheme="minorHAnsi" w:hAnsiTheme="minorHAnsi" w:cstheme="minorBidi"/>
          <w:noProof/>
          <w:sz w:val="22"/>
        </w:rPr>
      </w:pPr>
      <w:hyperlink w:anchor="_Toc71223982" w:history="1">
        <w:r w:rsidR="00E21A65" w:rsidRPr="00493D88">
          <w:rPr>
            <w:rStyle w:val="Hyperlink"/>
            <w:noProof/>
          </w:rPr>
          <w:t>List of Figures</w:t>
        </w:r>
        <w:r w:rsidR="00E21A65">
          <w:rPr>
            <w:noProof/>
            <w:webHidden/>
          </w:rPr>
          <w:tab/>
        </w:r>
        <w:r w:rsidR="00E21A65">
          <w:rPr>
            <w:noProof/>
            <w:webHidden/>
          </w:rPr>
          <w:fldChar w:fldCharType="begin"/>
        </w:r>
        <w:r w:rsidR="00E21A65">
          <w:rPr>
            <w:noProof/>
            <w:webHidden/>
          </w:rPr>
          <w:instrText xml:space="preserve"> PAGEREF _Toc71223982 \h </w:instrText>
        </w:r>
        <w:r w:rsidR="00E21A65">
          <w:rPr>
            <w:noProof/>
            <w:webHidden/>
          </w:rPr>
        </w:r>
        <w:r w:rsidR="00E21A65">
          <w:rPr>
            <w:noProof/>
            <w:webHidden/>
          </w:rPr>
          <w:fldChar w:fldCharType="separate"/>
        </w:r>
        <w:r w:rsidR="007712B4">
          <w:rPr>
            <w:noProof/>
            <w:webHidden/>
          </w:rPr>
          <w:t>x</w:t>
        </w:r>
        <w:r w:rsidR="00E21A65">
          <w:rPr>
            <w:noProof/>
            <w:webHidden/>
          </w:rPr>
          <w:fldChar w:fldCharType="end"/>
        </w:r>
      </w:hyperlink>
    </w:p>
    <w:p w14:paraId="39189EAB" w14:textId="7ABB0DC8" w:rsidR="00E21A65" w:rsidRDefault="00775C9C">
      <w:pPr>
        <w:pStyle w:val="TOC1"/>
        <w:tabs>
          <w:tab w:val="right" w:leader="dot" w:pos="9350"/>
        </w:tabs>
        <w:rPr>
          <w:rFonts w:asciiTheme="minorHAnsi" w:hAnsiTheme="minorHAnsi" w:cstheme="minorBidi"/>
          <w:noProof/>
          <w:sz w:val="22"/>
        </w:rPr>
      </w:pPr>
      <w:hyperlink w:anchor="_Toc71223983" w:history="1">
        <w:r w:rsidR="00E21A65" w:rsidRPr="00493D88">
          <w:rPr>
            <w:rStyle w:val="Hyperlink"/>
            <w:noProof/>
          </w:rPr>
          <w:t>Abstract</w:t>
        </w:r>
        <w:r w:rsidR="00E21A65">
          <w:rPr>
            <w:noProof/>
            <w:webHidden/>
          </w:rPr>
          <w:tab/>
        </w:r>
        <w:r w:rsidR="00E21A65">
          <w:rPr>
            <w:noProof/>
            <w:webHidden/>
          </w:rPr>
          <w:fldChar w:fldCharType="begin"/>
        </w:r>
        <w:r w:rsidR="00E21A65">
          <w:rPr>
            <w:noProof/>
            <w:webHidden/>
          </w:rPr>
          <w:instrText xml:space="preserve"> PAGEREF _Toc71223983 \h </w:instrText>
        </w:r>
        <w:r w:rsidR="00E21A65">
          <w:rPr>
            <w:noProof/>
            <w:webHidden/>
          </w:rPr>
        </w:r>
        <w:r w:rsidR="00E21A65">
          <w:rPr>
            <w:noProof/>
            <w:webHidden/>
          </w:rPr>
          <w:fldChar w:fldCharType="separate"/>
        </w:r>
        <w:r w:rsidR="007712B4">
          <w:rPr>
            <w:noProof/>
            <w:webHidden/>
          </w:rPr>
          <w:t>xiii</w:t>
        </w:r>
        <w:r w:rsidR="00E21A65">
          <w:rPr>
            <w:noProof/>
            <w:webHidden/>
          </w:rPr>
          <w:fldChar w:fldCharType="end"/>
        </w:r>
      </w:hyperlink>
    </w:p>
    <w:p w14:paraId="008BCCA2" w14:textId="04CAC2C2" w:rsidR="00E21A65" w:rsidRDefault="00775C9C">
      <w:pPr>
        <w:pStyle w:val="TOC1"/>
        <w:tabs>
          <w:tab w:val="right" w:leader="dot" w:pos="9350"/>
        </w:tabs>
        <w:rPr>
          <w:rFonts w:asciiTheme="minorHAnsi" w:hAnsiTheme="minorHAnsi" w:cstheme="minorBidi"/>
          <w:noProof/>
          <w:sz w:val="22"/>
        </w:rPr>
      </w:pPr>
      <w:hyperlink w:anchor="_Toc71223984" w:history="1">
        <w:r w:rsidR="00E21A65" w:rsidRPr="00493D88">
          <w:rPr>
            <w:rStyle w:val="Hyperlink"/>
            <w:noProof/>
          </w:rPr>
          <w:t>Chapter I: Project Introduction</w:t>
        </w:r>
        <w:r w:rsidR="00E21A65">
          <w:rPr>
            <w:noProof/>
            <w:webHidden/>
          </w:rPr>
          <w:tab/>
        </w:r>
        <w:r w:rsidR="00E21A65">
          <w:rPr>
            <w:noProof/>
            <w:webHidden/>
          </w:rPr>
          <w:fldChar w:fldCharType="begin"/>
        </w:r>
        <w:r w:rsidR="00E21A65">
          <w:rPr>
            <w:noProof/>
            <w:webHidden/>
          </w:rPr>
          <w:instrText xml:space="preserve"> PAGEREF _Toc71223984 \h </w:instrText>
        </w:r>
        <w:r w:rsidR="00E21A65">
          <w:rPr>
            <w:noProof/>
            <w:webHidden/>
          </w:rPr>
        </w:r>
        <w:r w:rsidR="00E21A65">
          <w:rPr>
            <w:noProof/>
            <w:webHidden/>
          </w:rPr>
          <w:fldChar w:fldCharType="separate"/>
        </w:r>
        <w:r w:rsidR="007712B4">
          <w:rPr>
            <w:noProof/>
            <w:webHidden/>
          </w:rPr>
          <w:t>1</w:t>
        </w:r>
        <w:r w:rsidR="00E21A65">
          <w:rPr>
            <w:noProof/>
            <w:webHidden/>
          </w:rPr>
          <w:fldChar w:fldCharType="end"/>
        </w:r>
      </w:hyperlink>
    </w:p>
    <w:p w14:paraId="0E361369" w14:textId="5CE61DE2" w:rsidR="00E21A65" w:rsidRDefault="00775C9C">
      <w:pPr>
        <w:pStyle w:val="TOC2"/>
        <w:tabs>
          <w:tab w:val="right" w:leader="dot" w:pos="9350"/>
        </w:tabs>
        <w:rPr>
          <w:rFonts w:asciiTheme="minorHAnsi" w:hAnsiTheme="minorHAnsi" w:cstheme="minorBidi"/>
          <w:noProof/>
          <w:sz w:val="22"/>
        </w:rPr>
      </w:pPr>
      <w:hyperlink w:anchor="_Toc71223985" w:history="1">
        <w:r w:rsidR="00E21A65" w:rsidRPr="00493D88">
          <w:rPr>
            <w:rStyle w:val="Hyperlink"/>
            <w:noProof/>
          </w:rPr>
          <w:t>1.1 Introduction</w:t>
        </w:r>
        <w:r w:rsidR="00E21A65">
          <w:rPr>
            <w:noProof/>
            <w:webHidden/>
          </w:rPr>
          <w:tab/>
        </w:r>
        <w:r w:rsidR="00E21A65">
          <w:rPr>
            <w:noProof/>
            <w:webHidden/>
          </w:rPr>
          <w:fldChar w:fldCharType="begin"/>
        </w:r>
        <w:r w:rsidR="00E21A65">
          <w:rPr>
            <w:noProof/>
            <w:webHidden/>
          </w:rPr>
          <w:instrText xml:space="preserve"> PAGEREF _Toc71223985 \h </w:instrText>
        </w:r>
        <w:r w:rsidR="00E21A65">
          <w:rPr>
            <w:noProof/>
            <w:webHidden/>
          </w:rPr>
        </w:r>
        <w:r w:rsidR="00E21A65">
          <w:rPr>
            <w:noProof/>
            <w:webHidden/>
          </w:rPr>
          <w:fldChar w:fldCharType="separate"/>
        </w:r>
        <w:r w:rsidR="007712B4">
          <w:rPr>
            <w:noProof/>
            <w:webHidden/>
          </w:rPr>
          <w:t>1</w:t>
        </w:r>
        <w:r w:rsidR="00E21A65">
          <w:rPr>
            <w:noProof/>
            <w:webHidden/>
          </w:rPr>
          <w:fldChar w:fldCharType="end"/>
        </w:r>
      </w:hyperlink>
    </w:p>
    <w:p w14:paraId="4B934B3B" w14:textId="63B394D7" w:rsidR="00E21A65" w:rsidRDefault="00775C9C">
      <w:pPr>
        <w:pStyle w:val="TOC2"/>
        <w:tabs>
          <w:tab w:val="right" w:leader="dot" w:pos="9350"/>
        </w:tabs>
        <w:rPr>
          <w:rFonts w:asciiTheme="minorHAnsi" w:hAnsiTheme="minorHAnsi" w:cstheme="minorBidi"/>
          <w:noProof/>
          <w:sz w:val="22"/>
        </w:rPr>
      </w:pPr>
      <w:hyperlink w:anchor="_Toc71223986" w:history="1">
        <w:r w:rsidR="00E21A65" w:rsidRPr="00493D88">
          <w:rPr>
            <w:rStyle w:val="Hyperlink"/>
            <w:noProof/>
          </w:rPr>
          <w:t>1.2 Research Question</w:t>
        </w:r>
        <w:r w:rsidR="00E21A65">
          <w:rPr>
            <w:noProof/>
            <w:webHidden/>
          </w:rPr>
          <w:tab/>
        </w:r>
        <w:r w:rsidR="00E21A65">
          <w:rPr>
            <w:noProof/>
            <w:webHidden/>
          </w:rPr>
          <w:fldChar w:fldCharType="begin"/>
        </w:r>
        <w:r w:rsidR="00E21A65">
          <w:rPr>
            <w:noProof/>
            <w:webHidden/>
          </w:rPr>
          <w:instrText xml:space="preserve"> PAGEREF _Toc71223986 \h </w:instrText>
        </w:r>
        <w:r w:rsidR="00E21A65">
          <w:rPr>
            <w:noProof/>
            <w:webHidden/>
          </w:rPr>
        </w:r>
        <w:r w:rsidR="00E21A65">
          <w:rPr>
            <w:noProof/>
            <w:webHidden/>
          </w:rPr>
          <w:fldChar w:fldCharType="separate"/>
        </w:r>
        <w:r w:rsidR="007712B4">
          <w:rPr>
            <w:noProof/>
            <w:webHidden/>
          </w:rPr>
          <w:t>2</w:t>
        </w:r>
        <w:r w:rsidR="00E21A65">
          <w:rPr>
            <w:noProof/>
            <w:webHidden/>
          </w:rPr>
          <w:fldChar w:fldCharType="end"/>
        </w:r>
      </w:hyperlink>
    </w:p>
    <w:p w14:paraId="6CBA0297" w14:textId="73C6C8AC" w:rsidR="00E21A65" w:rsidRDefault="00775C9C">
      <w:pPr>
        <w:pStyle w:val="TOC2"/>
        <w:tabs>
          <w:tab w:val="right" w:leader="dot" w:pos="9350"/>
        </w:tabs>
        <w:rPr>
          <w:rFonts w:asciiTheme="minorHAnsi" w:hAnsiTheme="minorHAnsi" w:cstheme="minorBidi"/>
          <w:noProof/>
          <w:sz w:val="22"/>
        </w:rPr>
      </w:pPr>
      <w:hyperlink w:anchor="_Toc71223987" w:history="1">
        <w:r w:rsidR="00E21A65" w:rsidRPr="00493D88">
          <w:rPr>
            <w:rStyle w:val="Hyperlink"/>
            <w:noProof/>
          </w:rPr>
          <w:t>1.3 Hypotheses</w:t>
        </w:r>
        <w:r w:rsidR="00E21A65">
          <w:rPr>
            <w:noProof/>
            <w:webHidden/>
          </w:rPr>
          <w:tab/>
        </w:r>
        <w:r w:rsidR="00E21A65">
          <w:rPr>
            <w:noProof/>
            <w:webHidden/>
          </w:rPr>
          <w:fldChar w:fldCharType="begin"/>
        </w:r>
        <w:r w:rsidR="00E21A65">
          <w:rPr>
            <w:noProof/>
            <w:webHidden/>
          </w:rPr>
          <w:instrText xml:space="preserve"> PAGEREF _Toc71223987 \h </w:instrText>
        </w:r>
        <w:r w:rsidR="00E21A65">
          <w:rPr>
            <w:noProof/>
            <w:webHidden/>
          </w:rPr>
        </w:r>
        <w:r w:rsidR="00E21A65">
          <w:rPr>
            <w:noProof/>
            <w:webHidden/>
          </w:rPr>
          <w:fldChar w:fldCharType="separate"/>
        </w:r>
        <w:r w:rsidR="007712B4">
          <w:rPr>
            <w:noProof/>
            <w:webHidden/>
          </w:rPr>
          <w:t>2</w:t>
        </w:r>
        <w:r w:rsidR="00E21A65">
          <w:rPr>
            <w:noProof/>
            <w:webHidden/>
          </w:rPr>
          <w:fldChar w:fldCharType="end"/>
        </w:r>
      </w:hyperlink>
    </w:p>
    <w:p w14:paraId="37024F72" w14:textId="18793D6A" w:rsidR="00E21A65" w:rsidRDefault="00775C9C">
      <w:pPr>
        <w:pStyle w:val="TOC2"/>
        <w:tabs>
          <w:tab w:val="right" w:leader="dot" w:pos="9350"/>
        </w:tabs>
        <w:rPr>
          <w:rFonts w:asciiTheme="minorHAnsi" w:hAnsiTheme="minorHAnsi" w:cstheme="minorBidi"/>
          <w:noProof/>
          <w:sz w:val="22"/>
        </w:rPr>
      </w:pPr>
      <w:hyperlink w:anchor="_Toc71223988" w:history="1">
        <w:r w:rsidR="00E21A65" w:rsidRPr="00493D88">
          <w:rPr>
            <w:rStyle w:val="Hyperlink"/>
            <w:noProof/>
          </w:rPr>
          <w:t>1.4 Objectives</w:t>
        </w:r>
        <w:r w:rsidR="00E21A65">
          <w:rPr>
            <w:noProof/>
            <w:webHidden/>
          </w:rPr>
          <w:tab/>
        </w:r>
        <w:r w:rsidR="00E21A65">
          <w:rPr>
            <w:noProof/>
            <w:webHidden/>
          </w:rPr>
          <w:fldChar w:fldCharType="begin"/>
        </w:r>
        <w:r w:rsidR="00E21A65">
          <w:rPr>
            <w:noProof/>
            <w:webHidden/>
          </w:rPr>
          <w:instrText xml:space="preserve"> PAGEREF _Toc71223988 \h </w:instrText>
        </w:r>
        <w:r w:rsidR="00E21A65">
          <w:rPr>
            <w:noProof/>
            <w:webHidden/>
          </w:rPr>
        </w:r>
        <w:r w:rsidR="00E21A65">
          <w:rPr>
            <w:noProof/>
            <w:webHidden/>
          </w:rPr>
          <w:fldChar w:fldCharType="separate"/>
        </w:r>
        <w:r w:rsidR="007712B4">
          <w:rPr>
            <w:noProof/>
            <w:webHidden/>
          </w:rPr>
          <w:t>2</w:t>
        </w:r>
        <w:r w:rsidR="00E21A65">
          <w:rPr>
            <w:noProof/>
            <w:webHidden/>
          </w:rPr>
          <w:fldChar w:fldCharType="end"/>
        </w:r>
      </w:hyperlink>
    </w:p>
    <w:p w14:paraId="6EAE942A" w14:textId="702BACDC" w:rsidR="00E21A65" w:rsidRDefault="00775C9C">
      <w:pPr>
        <w:pStyle w:val="TOC1"/>
        <w:tabs>
          <w:tab w:val="right" w:leader="dot" w:pos="9350"/>
        </w:tabs>
        <w:rPr>
          <w:rFonts w:asciiTheme="minorHAnsi" w:hAnsiTheme="minorHAnsi" w:cstheme="minorBidi"/>
          <w:noProof/>
          <w:sz w:val="22"/>
        </w:rPr>
      </w:pPr>
      <w:hyperlink w:anchor="_Toc71223989" w:history="1">
        <w:r w:rsidR="00E21A65" w:rsidRPr="00493D88">
          <w:rPr>
            <w:rStyle w:val="Hyperlink"/>
            <w:noProof/>
          </w:rPr>
          <w:t>Chapter II: Literature Review</w:t>
        </w:r>
        <w:r w:rsidR="00E21A65">
          <w:rPr>
            <w:noProof/>
            <w:webHidden/>
          </w:rPr>
          <w:tab/>
        </w:r>
        <w:r w:rsidR="00E21A65">
          <w:rPr>
            <w:noProof/>
            <w:webHidden/>
          </w:rPr>
          <w:fldChar w:fldCharType="begin"/>
        </w:r>
        <w:r w:rsidR="00E21A65">
          <w:rPr>
            <w:noProof/>
            <w:webHidden/>
          </w:rPr>
          <w:instrText xml:space="preserve"> PAGEREF _Toc71223989 \h </w:instrText>
        </w:r>
        <w:r w:rsidR="00E21A65">
          <w:rPr>
            <w:noProof/>
            <w:webHidden/>
          </w:rPr>
        </w:r>
        <w:r w:rsidR="00E21A65">
          <w:rPr>
            <w:noProof/>
            <w:webHidden/>
          </w:rPr>
          <w:fldChar w:fldCharType="separate"/>
        </w:r>
        <w:r w:rsidR="007712B4">
          <w:rPr>
            <w:noProof/>
            <w:webHidden/>
          </w:rPr>
          <w:t>4</w:t>
        </w:r>
        <w:r w:rsidR="00E21A65">
          <w:rPr>
            <w:noProof/>
            <w:webHidden/>
          </w:rPr>
          <w:fldChar w:fldCharType="end"/>
        </w:r>
      </w:hyperlink>
    </w:p>
    <w:p w14:paraId="3A770199" w14:textId="723C7CF9" w:rsidR="00E21A65" w:rsidRDefault="00775C9C">
      <w:pPr>
        <w:pStyle w:val="TOC2"/>
        <w:tabs>
          <w:tab w:val="right" w:leader="dot" w:pos="9350"/>
        </w:tabs>
        <w:rPr>
          <w:rFonts w:asciiTheme="minorHAnsi" w:hAnsiTheme="minorHAnsi" w:cstheme="minorBidi"/>
          <w:noProof/>
          <w:sz w:val="22"/>
        </w:rPr>
      </w:pPr>
      <w:hyperlink w:anchor="_Toc71223990" w:history="1">
        <w:r w:rsidR="00E21A65" w:rsidRPr="00493D88">
          <w:rPr>
            <w:rStyle w:val="Hyperlink"/>
            <w:noProof/>
          </w:rPr>
          <w:t>2.1 Li-ion Battery Technology</w:t>
        </w:r>
        <w:r w:rsidR="00E21A65">
          <w:rPr>
            <w:noProof/>
            <w:webHidden/>
          </w:rPr>
          <w:tab/>
        </w:r>
        <w:r w:rsidR="00E21A65">
          <w:rPr>
            <w:noProof/>
            <w:webHidden/>
          </w:rPr>
          <w:fldChar w:fldCharType="begin"/>
        </w:r>
        <w:r w:rsidR="00E21A65">
          <w:rPr>
            <w:noProof/>
            <w:webHidden/>
          </w:rPr>
          <w:instrText xml:space="preserve"> PAGEREF _Toc71223990 \h </w:instrText>
        </w:r>
        <w:r w:rsidR="00E21A65">
          <w:rPr>
            <w:noProof/>
            <w:webHidden/>
          </w:rPr>
        </w:r>
        <w:r w:rsidR="00E21A65">
          <w:rPr>
            <w:noProof/>
            <w:webHidden/>
          </w:rPr>
          <w:fldChar w:fldCharType="separate"/>
        </w:r>
        <w:r w:rsidR="007712B4">
          <w:rPr>
            <w:noProof/>
            <w:webHidden/>
          </w:rPr>
          <w:t>4</w:t>
        </w:r>
        <w:r w:rsidR="00E21A65">
          <w:rPr>
            <w:noProof/>
            <w:webHidden/>
          </w:rPr>
          <w:fldChar w:fldCharType="end"/>
        </w:r>
      </w:hyperlink>
    </w:p>
    <w:p w14:paraId="02852B9E" w14:textId="4E909102" w:rsidR="00E21A65" w:rsidRDefault="00775C9C">
      <w:pPr>
        <w:pStyle w:val="TOC2"/>
        <w:tabs>
          <w:tab w:val="right" w:leader="dot" w:pos="9350"/>
        </w:tabs>
        <w:rPr>
          <w:rFonts w:asciiTheme="minorHAnsi" w:hAnsiTheme="minorHAnsi" w:cstheme="minorBidi"/>
          <w:noProof/>
          <w:sz w:val="22"/>
        </w:rPr>
      </w:pPr>
      <w:hyperlink w:anchor="_Toc71223991" w:history="1">
        <w:r w:rsidR="00E21A65" w:rsidRPr="00493D88">
          <w:rPr>
            <w:rStyle w:val="Hyperlink"/>
            <w:noProof/>
          </w:rPr>
          <w:t>2.2 Li-ion Battery Disposal</w:t>
        </w:r>
        <w:r w:rsidR="00E21A65">
          <w:rPr>
            <w:noProof/>
            <w:webHidden/>
          </w:rPr>
          <w:tab/>
        </w:r>
        <w:r w:rsidR="00E21A65">
          <w:rPr>
            <w:noProof/>
            <w:webHidden/>
          </w:rPr>
          <w:fldChar w:fldCharType="begin"/>
        </w:r>
        <w:r w:rsidR="00E21A65">
          <w:rPr>
            <w:noProof/>
            <w:webHidden/>
          </w:rPr>
          <w:instrText xml:space="preserve"> PAGEREF _Toc71223991 \h </w:instrText>
        </w:r>
        <w:r w:rsidR="00E21A65">
          <w:rPr>
            <w:noProof/>
            <w:webHidden/>
          </w:rPr>
        </w:r>
        <w:r w:rsidR="00E21A65">
          <w:rPr>
            <w:noProof/>
            <w:webHidden/>
          </w:rPr>
          <w:fldChar w:fldCharType="separate"/>
        </w:r>
        <w:r w:rsidR="007712B4">
          <w:rPr>
            <w:noProof/>
            <w:webHidden/>
          </w:rPr>
          <w:t>6</w:t>
        </w:r>
        <w:r w:rsidR="00E21A65">
          <w:rPr>
            <w:noProof/>
            <w:webHidden/>
          </w:rPr>
          <w:fldChar w:fldCharType="end"/>
        </w:r>
      </w:hyperlink>
    </w:p>
    <w:p w14:paraId="49E7087E" w14:textId="7F1BB0D0" w:rsidR="00E21A65" w:rsidRDefault="00775C9C">
      <w:pPr>
        <w:pStyle w:val="TOC2"/>
        <w:tabs>
          <w:tab w:val="right" w:leader="dot" w:pos="9350"/>
        </w:tabs>
        <w:rPr>
          <w:rFonts w:asciiTheme="minorHAnsi" w:hAnsiTheme="minorHAnsi" w:cstheme="minorBidi"/>
          <w:noProof/>
          <w:sz w:val="22"/>
        </w:rPr>
      </w:pPr>
      <w:hyperlink w:anchor="_Toc71223992" w:history="1">
        <w:r w:rsidR="00E21A65" w:rsidRPr="00493D88">
          <w:rPr>
            <w:rStyle w:val="Hyperlink"/>
            <w:noProof/>
          </w:rPr>
          <w:t>2.3 Environmental Effects</w:t>
        </w:r>
        <w:r w:rsidR="00E21A65">
          <w:rPr>
            <w:noProof/>
            <w:webHidden/>
          </w:rPr>
          <w:tab/>
        </w:r>
        <w:r w:rsidR="00E21A65">
          <w:rPr>
            <w:noProof/>
            <w:webHidden/>
          </w:rPr>
          <w:fldChar w:fldCharType="begin"/>
        </w:r>
        <w:r w:rsidR="00E21A65">
          <w:rPr>
            <w:noProof/>
            <w:webHidden/>
          </w:rPr>
          <w:instrText xml:space="preserve"> PAGEREF _Toc71223992 \h </w:instrText>
        </w:r>
        <w:r w:rsidR="00E21A65">
          <w:rPr>
            <w:noProof/>
            <w:webHidden/>
          </w:rPr>
        </w:r>
        <w:r w:rsidR="00E21A65">
          <w:rPr>
            <w:noProof/>
            <w:webHidden/>
          </w:rPr>
          <w:fldChar w:fldCharType="separate"/>
        </w:r>
        <w:r w:rsidR="007712B4">
          <w:rPr>
            <w:noProof/>
            <w:webHidden/>
          </w:rPr>
          <w:t>7</w:t>
        </w:r>
        <w:r w:rsidR="00E21A65">
          <w:rPr>
            <w:noProof/>
            <w:webHidden/>
          </w:rPr>
          <w:fldChar w:fldCharType="end"/>
        </w:r>
      </w:hyperlink>
    </w:p>
    <w:p w14:paraId="3F3D972D" w14:textId="18084B93" w:rsidR="00E21A65" w:rsidRDefault="00775C9C">
      <w:pPr>
        <w:pStyle w:val="TOC2"/>
        <w:tabs>
          <w:tab w:val="right" w:leader="dot" w:pos="9350"/>
        </w:tabs>
        <w:rPr>
          <w:rFonts w:asciiTheme="minorHAnsi" w:hAnsiTheme="minorHAnsi" w:cstheme="minorBidi"/>
          <w:noProof/>
          <w:sz w:val="22"/>
        </w:rPr>
      </w:pPr>
      <w:hyperlink w:anchor="_Toc71223993" w:history="1">
        <w:r w:rsidR="00E21A65" w:rsidRPr="00493D88">
          <w:rPr>
            <w:rStyle w:val="Hyperlink"/>
            <w:noProof/>
          </w:rPr>
          <w:t>2.4 Human Health Effects</w:t>
        </w:r>
        <w:r w:rsidR="00E21A65">
          <w:rPr>
            <w:noProof/>
            <w:webHidden/>
          </w:rPr>
          <w:tab/>
        </w:r>
        <w:r w:rsidR="00E21A65">
          <w:rPr>
            <w:noProof/>
            <w:webHidden/>
          </w:rPr>
          <w:fldChar w:fldCharType="begin"/>
        </w:r>
        <w:r w:rsidR="00E21A65">
          <w:rPr>
            <w:noProof/>
            <w:webHidden/>
          </w:rPr>
          <w:instrText xml:space="preserve"> PAGEREF _Toc71223993 \h </w:instrText>
        </w:r>
        <w:r w:rsidR="00E21A65">
          <w:rPr>
            <w:noProof/>
            <w:webHidden/>
          </w:rPr>
        </w:r>
        <w:r w:rsidR="00E21A65">
          <w:rPr>
            <w:noProof/>
            <w:webHidden/>
          </w:rPr>
          <w:fldChar w:fldCharType="separate"/>
        </w:r>
        <w:r w:rsidR="007712B4">
          <w:rPr>
            <w:noProof/>
            <w:webHidden/>
          </w:rPr>
          <w:t>12</w:t>
        </w:r>
        <w:r w:rsidR="00E21A65">
          <w:rPr>
            <w:noProof/>
            <w:webHidden/>
          </w:rPr>
          <w:fldChar w:fldCharType="end"/>
        </w:r>
      </w:hyperlink>
    </w:p>
    <w:p w14:paraId="38DD7C2E" w14:textId="11FF1644" w:rsidR="00E21A65" w:rsidRDefault="00775C9C">
      <w:pPr>
        <w:pStyle w:val="TOC1"/>
        <w:tabs>
          <w:tab w:val="right" w:leader="dot" w:pos="9350"/>
        </w:tabs>
        <w:rPr>
          <w:rFonts w:asciiTheme="minorHAnsi" w:hAnsiTheme="minorHAnsi" w:cstheme="minorBidi"/>
          <w:noProof/>
          <w:sz w:val="22"/>
        </w:rPr>
      </w:pPr>
      <w:hyperlink w:anchor="_Toc71223994" w:history="1">
        <w:r w:rsidR="00E21A65" w:rsidRPr="00493D88">
          <w:rPr>
            <w:rStyle w:val="Hyperlink"/>
            <w:noProof/>
          </w:rPr>
          <w:t>Chapter III: Experimental Setup and Methods</w:t>
        </w:r>
        <w:r w:rsidR="00E21A65">
          <w:rPr>
            <w:noProof/>
            <w:webHidden/>
          </w:rPr>
          <w:tab/>
        </w:r>
        <w:r w:rsidR="00E21A65">
          <w:rPr>
            <w:noProof/>
            <w:webHidden/>
          </w:rPr>
          <w:fldChar w:fldCharType="begin"/>
        </w:r>
        <w:r w:rsidR="00E21A65">
          <w:rPr>
            <w:noProof/>
            <w:webHidden/>
          </w:rPr>
          <w:instrText xml:space="preserve"> PAGEREF _Toc71223994 \h </w:instrText>
        </w:r>
        <w:r w:rsidR="00E21A65">
          <w:rPr>
            <w:noProof/>
            <w:webHidden/>
          </w:rPr>
        </w:r>
        <w:r w:rsidR="00E21A65">
          <w:rPr>
            <w:noProof/>
            <w:webHidden/>
          </w:rPr>
          <w:fldChar w:fldCharType="separate"/>
        </w:r>
        <w:r w:rsidR="007712B4">
          <w:rPr>
            <w:noProof/>
            <w:webHidden/>
          </w:rPr>
          <w:t>17</w:t>
        </w:r>
        <w:r w:rsidR="00E21A65">
          <w:rPr>
            <w:noProof/>
            <w:webHidden/>
          </w:rPr>
          <w:fldChar w:fldCharType="end"/>
        </w:r>
      </w:hyperlink>
    </w:p>
    <w:p w14:paraId="23F1BA98" w14:textId="3807A1C5" w:rsidR="00E21A65" w:rsidRDefault="00775C9C">
      <w:pPr>
        <w:pStyle w:val="TOC2"/>
        <w:tabs>
          <w:tab w:val="right" w:leader="dot" w:pos="9350"/>
        </w:tabs>
        <w:rPr>
          <w:rFonts w:asciiTheme="minorHAnsi" w:hAnsiTheme="minorHAnsi" w:cstheme="minorBidi"/>
          <w:noProof/>
          <w:sz w:val="22"/>
        </w:rPr>
      </w:pPr>
      <w:hyperlink w:anchor="_Toc71223995" w:history="1">
        <w:r w:rsidR="00E21A65" w:rsidRPr="00493D88">
          <w:rPr>
            <w:rStyle w:val="Hyperlink"/>
            <w:noProof/>
          </w:rPr>
          <w:t>3.1 Introduction</w:t>
        </w:r>
        <w:r w:rsidR="00E21A65">
          <w:rPr>
            <w:noProof/>
            <w:webHidden/>
          </w:rPr>
          <w:tab/>
        </w:r>
        <w:r w:rsidR="00E21A65">
          <w:rPr>
            <w:noProof/>
            <w:webHidden/>
          </w:rPr>
          <w:fldChar w:fldCharType="begin"/>
        </w:r>
        <w:r w:rsidR="00E21A65">
          <w:rPr>
            <w:noProof/>
            <w:webHidden/>
          </w:rPr>
          <w:instrText xml:space="preserve"> PAGEREF _Toc71223995 \h </w:instrText>
        </w:r>
        <w:r w:rsidR="00E21A65">
          <w:rPr>
            <w:noProof/>
            <w:webHidden/>
          </w:rPr>
        </w:r>
        <w:r w:rsidR="00E21A65">
          <w:rPr>
            <w:noProof/>
            <w:webHidden/>
          </w:rPr>
          <w:fldChar w:fldCharType="separate"/>
        </w:r>
        <w:r w:rsidR="007712B4">
          <w:rPr>
            <w:noProof/>
            <w:webHidden/>
          </w:rPr>
          <w:t>17</w:t>
        </w:r>
        <w:r w:rsidR="00E21A65">
          <w:rPr>
            <w:noProof/>
            <w:webHidden/>
          </w:rPr>
          <w:fldChar w:fldCharType="end"/>
        </w:r>
      </w:hyperlink>
    </w:p>
    <w:p w14:paraId="0B901072" w14:textId="0198146B" w:rsidR="00E21A65" w:rsidRDefault="00775C9C">
      <w:pPr>
        <w:pStyle w:val="TOC3"/>
        <w:tabs>
          <w:tab w:val="right" w:leader="dot" w:pos="9350"/>
        </w:tabs>
        <w:rPr>
          <w:rFonts w:asciiTheme="minorHAnsi" w:hAnsiTheme="minorHAnsi" w:cstheme="minorBidi"/>
          <w:noProof/>
          <w:sz w:val="22"/>
        </w:rPr>
      </w:pPr>
      <w:hyperlink w:anchor="_Toc71223996" w:history="1">
        <w:r w:rsidR="00E21A65" w:rsidRPr="00493D88">
          <w:rPr>
            <w:rStyle w:val="Hyperlink"/>
            <w:noProof/>
          </w:rPr>
          <w:t>3.1.1 XRF Technology for Soil Analysis</w:t>
        </w:r>
        <w:r w:rsidR="00E21A65">
          <w:rPr>
            <w:noProof/>
            <w:webHidden/>
          </w:rPr>
          <w:tab/>
        </w:r>
        <w:r w:rsidR="00E21A65">
          <w:rPr>
            <w:noProof/>
            <w:webHidden/>
          </w:rPr>
          <w:fldChar w:fldCharType="begin"/>
        </w:r>
        <w:r w:rsidR="00E21A65">
          <w:rPr>
            <w:noProof/>
            <w:webHidden/>
          </w:rPr>
          <w:instrText xml:space="preserve"> PAGEREF _Toc71223996 \h </w:instrText>
        </w:r>
        <w:r w:rsidR="00E21A65">
          <w:rPr>
            <w:noProof/>
            <w:webHidden/>
          </w:rPr>
        </w:r>
        <w:r w:rsidR="00E21A65">
          <w:rPr>
            <w:noProof/>
            <w:webHidden/>
          </w:rPr>
          <w:fldChar w:fldCharType="separate"/>
        </w:r>
        <w:r w:rsidR="007712B4">
          <w:rPr>
            <w:noProof/>
            <w:webHidden/>
          </w:rPr>
          <w:t>18</w:t>
        </w:r>
        <w:r w:rsidR="00E21A65">
          <w:rPr>
            <w:noProof/>
            <w:webHidden/>
          </w:rPr>
          <w:fldChar w:fldCharType="end"/>
        </w:r>
      </w:hyperlink>
    </w:p>
    <w:p w14:paraId="30D393DF" w14:textId="2BC0A674" w:rsidR="00E21A65" w:rsidRDefault="00775C9C">
      <w:pPr>
        <w:pStyle w:val="TOC3"/>
        <w:tabs>
          <w:tab w:val="right" w:leader="dot" w:pos="9350"/>
        </w:tabs>
        <w:rPr>
          <w:rFonts w:asciiTheme="minorHAnsi" w:hAnsiTheme="minorHAnsi" w:cstheme="minorBidi"/>
          <w:noProof/>
          <w:sz w:val="22"/>
        </w:rPr>
      </w:pPr>
      <w:hyperlink w:anchor="_Toc71223997" w:history="1">
        <w:r w:rsidR="00E21A65" w:rsidRPr="00493D88">
          <w:rPr>
            <w:rStyle w:val="Hyperlink"/>
            <w:noProof/>
          </w:rPr>
          <w:t>3.1.2 XRF Technology for Water Analysis</w:t>
        </w:r>
        <w:r w:rsidR="00E21A65">
          <w:rPr>
            <w:noProof/>
            <w:webHidden/>
          </w:rPr>
          <w:tab/>
        </w:r>
        <w:r w:rsidR="00E21A65">
          <w:rPr>
            <w:noProof/>
            <w:webHidden/>
          </w:rPr>
          <w:fldChar w:fldCharType="begin"/>
        </w:r>
        <w:r w:rsidR="00E21A65">
          <w:rPr>
            <w:noProof/>
            <w:webHidden/>
          </w:rPr>
          <w:instrText xml:space="preserve"> PAGEREF _Toc71223997 \h </w:instrText>
        </w:r>
        <w:r w:rsidR="00E21A65">
          <w:rPr>
            <w:noProof/>
            <w:webHidden/>
          </w:rPr>
        </w:r>
        <w:r w:rsidR="00E21A65">
          <w:rPr>
            <w:noProof/>
            <w:webHidden/>
          </w:rPr>
          <w:fldChar w:fldCharType="separate"/>
        </w:r>
        <w:r w:rsidR="007712B4">
          <w:rPr>
            <w:noProof/>
            <w:webHidden/>
          </w:rPr>
          <w:t>18</w:t>
        </w:r>
        <w:r w:rsidR="00E21A65">
          <w:rPr>
            <w:noProof/>
            <w:webHidden/>
          </w:rPr>
          <w:fldChar w:fldCharType="end"/>
        </w:r>
      </w:hyperlink>
    </w:p>
    <w:p w14:paraId="3FDC9D2A" w14:textId="60BD53FC" w:rsidR="00E21A65" w:rsidRDefault="00775C9C">
      <w:pPr>
        <w:pStyle w:val="TOC3"/>
        <w:tabs>
          <w:tab w:val="right" w:leader="dot" w:pos="9350"/>
        </w:tabs>
        <w:rPr>
          <w:rFonts w:asciiTheme="minorHAnsi" w:hAnsiTheme="minorHAnsi" w:cstheme="minorBidi"/>
          <w:noProof/>
          <w:sz w:val="22"/>
        </w:rPr>
      </w:pPr>
      <w:hyperlink w:anchor="_Toc71223998" w:history="1">
        <w:r w:rsidR="00E21A65" w:rsidRPr="00493D88">
          <w:rPr>
            <w:rStyle w:val="Hyperlink"/>
            <w:noProof/>
          </w:rPr>
          <w:t>3.1.3 MINEQL+ Modeling</w:t>
        </w:r>
        <w:r w:rsidR="00E21A65">
          <w:rPr>
            <w:noProof/>
            <w:webHidden/>
          </w:rPr>
          <w:tab/>
        </w:r>
        <w:r w:rsidR="00E21A65">
          <w:rPr>
            <w:noProof/>
            <w:webHidden/>
          </w:rPr>
          <w:fldChar w:fldCharType="begin"/>
        </w:r>
        <w:r w:rsidR="00E21A65">
          <w:rPr>
            <w:noProof/>
            <w:webHidden/>
          </w:rPr>
          <w:instrText xml:space="preserve"> PAGEREF _Toc71223998 \h </w:instrText>
        </w:r>
        <w:r w:rsidR="00E21A65">
          <w:rPr>
            <w:noProof/>
            <w:webHidden/>
          </w:rPr>
        </w:r>
        <w:r w:rsidR="00E21A65">
          <w:rPr>
            <w:noProof/>
            <w:webHidden/>
          </w:rPr>
          <w:fldChar w:fldCharType="separate"/>
        </w:r>
        <w:r w:rsidR="007712B4">
          <w:rPr>
            <w:noProof/>
            <w:webHidden/>
          </w:rPr>
          <w:t>19</w:t>
        </w:r>
        <w:r w:rsidR="00E21A65">
          <w:rPr>
            <w:noProof/>
            <w:webHidden/>
          </w:rPr>
          <w:fldChar w:fldCharType="end"/>
        </w:r>
      </w:hyperlink>
    </w:p>
    <w:p w14:paraId="0D863538" w14:textId="2846B54D" w:rsidR="00E21A65" w:rsidRDefault="00775C9C">
      <w:pPr>
        <w:pStyle w:val="TOC2"/>
        <w:tabs>
          <w:tab w:val="right" w:leader="dot" w:pos="9350"/>
        </w:tabs>
        <w:rPr>
          <w:rFonts w:asciiTheme="minorHAnsi" w:hAnsiTheme="minorHAnsi" w:cstheme="minorBidi"/>
          <w:noProof/>
          <w:sz w:val="22"/>
        </w:rPr>
      </w:pPr>
      <w:hyperlink w:anchor="_Toc71223999" w:history="1">
        <w:r w:rsidR="00E21A65" w:rsidRPr="00493D88">
          <w:rPr>
            <w:rStyle w:val="Hyperlink"/>
            <w:noProof/>
          </w:rPr>
          <w:t>3.2 Methods for Soil Analysis</w:t>
        </w:r>
        <w:r w:rsidR="00E21A65">
          <w:rPr>
            <w:noProof/>
            <w:webHidden/>
          </w:rPr>
          <w:tab/>
        </w:r>
        <w:r w:rsidR="00E21A65">
          <w:rPr>
            <w:noProof/>
            <w:webHidden/>
          </w:rPr>
          <w:fldChar w:fldCharType="begin"/>
        </w:r>
        <w:r w:rsidR="00E21A65">
          <w:rPr>
            <w:noProof/>
            <w:webHidden/>
          </w:rPr>
          <w:instrText xml:space="preserve"> PAGEREF _Toc71223999 \h </w:instrText>
        </w:r>
        <w:r w:rsidR="00E21A65">
          <w:rPr>
            <w:noProof/>
            <w:webHidden/>
          </w:rPr>
        </w:r>
        <w:r w:rsidR="00E21A65">
          <w:rPr>
            <w:noProof/>
            <w:webHidden/>
          </w:rPr>
          <w:fldChar w:fldCharType="separate"/>
        </w:r>
        <w:r w:rsidR="007712B4">
          <w:rPr>
            <w:noProof/>
            <w:webHidden/>
          </w:rPr>
          <w:t>20</w:t>
        </w:r>
        <w:r w:rsidR="00E21A65">
          <w:rPr>
            <w:noProof/>
            <w:webHidden/>
          </w:rPr>
          <w:fldChar w:fldCharType="end"/>
        </w:r>
      </w:hyperlink>
    </w:p>
    <w:p w14:paraId="70B45A77" w14:textId="6E49C377" w:rsidR="00E21A65" w:rsidRDefault="00775C9C">
      <w:pPr>
        <w:pStyle w:val="TOC3"/>
        <w:tabs>
          <w:tab w:val="right" w:leader="dot" w:pos="9350"/>
        </w:tabs>
        <w:rPr>
          <w:rFonts w:asciiTheme="minorHAnsi" w:hAnsiTheme="minorHAnsi" w:cstheme="minorBidi"/>
          <w:noProof/>
          <w:sz w:val="22"/>
        </w:rPr>
      </w:pPr>
      <w:hyperlink w:anchor="_Toc71224000" w:history="1">
        <w:r w:rsidR="00E21A65" w:rsidRPr="00493D88">
          <w:rPr>
            <w:rStyle w:val="Hyperlink"/>
            <w:noProof/>
          </w:rPr>
          <w:t>3.2.1 Soil Collection and pH Adjustment</w:t>
        </w:r>
        <w:r w:rsidR="00E21A65">
          <w:rPr>
            <w:noProof/>
            <w:webHidden/>
          </w:rPr>
          <w:tab/>
        </w:r>
        <w:r w:rsidR="00E21A65">
          <w:rPr>
            <w:noProof/>
            <w:webHidden/>
          </w:rPr>
          <w:fldChar w:fldCharType="begin"/>
        </w:r>
        <w:r w:rsidR="00E21A65">
          <w:rPr>
            <w:noProof/>
            <w:webHidden/>
          </w:rPr>
          <w:instrText xml:space="preserve"> PAGEREF _Toc71224000 \h </w:instrText>
        </w:r>
        <w:r w:rsidR="00E21A65">
          <w:rPr>
            <w:noProof/>
            <w:webHidden/>
          </w:rPr>
        </w:r>
        <w:r w:rsidR="00E21A65">
          <w:rPr>
            <w:noProof/>
            <w:webHidden/>
          </w:rPr>
          <w:fldChar w:fldCharType="separate"/>
        </w:r>
        <w:r w:rsidR="007712B4">
          <w:rPr>
            <w:noProof/>
            <w:webHidden/>
          </w:rPr>
          <w:t>20</w:t>
        </w:r>
        <w:r w:rsidR="00E21A65">
          <w:rPr>
            <w:noProof/>
            <w:webHidden/>
          </w:rPr>
          <w:fldChar w:fldCharType="end"/>
        </w:r>
      </w:hyperlink>
    </w:p>
    <w:p w14:paraId="51FF7F1D" w14:textId="13964713" w:rsidR="00E21A65" w:rsidRDefault="00775C9C">
      <w:pPr>
        <w:pStyle w:val="TOC3"/>
        <w:tabs>
          <w:tab w:val="right" w:leader="dot" w:pos="9350"/>
        </w:tabs>
        <w:rPr>
          <w:rFonts w:asciiTheme="minorHAnsi" w:hAnsiTheme="minorHAnsi" w:cstheme="minorBidi"/>
          <w:noProof/>
          <w:sz w:val="22"/>
        </w:rPr>
      </w:pPr>
      <w:hyperlink w:anchor="_Toc71224001" w:history="1">
        <w:r w:rsidR="00E21A65" w:rsidRPr="00493D88">
          <w:rPr>
            <w:rStyle w:val="Hyperlink"/>
            <w:noProof/>
          </w:rPr>
          <w:t>3.2.2 Dismantling Li-ion Batteries</w:t>
        </w:r>
        <w:r w:rsidR="00E21A65">
          <w:rPr>
            <w:noProof/>
            <w:webHidden/>
          </w:rPr>
          <w:tab/>
        </w:r>
        <w:r w:rsidR="00E21A65">
          <w:rPr>
            <w:noProof/>
            <w:webHidden/>
          </w:rPr>
          <w:fldChar w:fldCharType="begin"/>
        </w:r>
        <w:r w:rsidR="00E21A65">
          <w:rPr>
            <w:noProof/>
            <w:webHidden/>
          </w:rPr>
          <w:instrText xml:space="preserve"> PAGEREF _Toc71224001 \h </w:instrText>
        </w:r>
        <w:r w:rsidR="00E21A65">
          <w:rPr>
            <w:noProof/>
            <w:webHidden/>
          </w:rPr>
        </w:r>
        <w:r w:rsidR="00E21A65">
          <w:rPr>
            <w:noProof/>
            <w:webHidden/>
          </w:rPr>
          <w:fldChar w:fldCharType="separate"/>
        </w:r>
        <w:r w:rsidR="007712B4">
          <w:rPr>
            <w:noProof/>
            <w:webHidden/>
          </w:rPr>
          <w:t>21</w:t>
        </w:r>
        <w:r w:rsidR="00E21A65">
          <w:rPr>
            <w:noProof/>
            <w:webHidden/>
          </w:rPr>
          <w:fldChar w:fldCharType="end"/>
        </w:r>
      </w:hyperlink>
    </w:p>
    <w:p w14:paraId="51BC6D5A" w14:textId="0E41EFC3" w:rsidR="00E21A65" w:rsidRDefault="00775C9C">
      <w:pPr>
        <w:pStyle w:val="TOC3"/>
        <w:tabs>
          <w:tab w:val="right" w:leader="dot" w:pos="9350"/>
        </w:tabs>
        <w:rPr>
          <w:rFonts w:asciiTheme="minorHAnsi" w:hAnsiTheme="minorHAnsi" w:cstheme="minorBidi"/>
          <w:noProof/>
          <w:sz w:val="22"/>
        </w:rPr>
      </w:pPr>
      <w:hyperlink w:anchor="_Toc71224002" w:history="1">
        <w:r w:rsidR="00E21A65" w:rsidRPr="00493D88">
          <w:rPr>
            <w:rStyle w:val="Hyperlink"/>
            <w:noProof/>
          </w:rPr>
          <w:t>3.2.3 Soil Sample Timeline</w:t>
        </w:r>
        <w:r w:rsidR="00E21A65">
          <w:rPr>
            <w:noProof/>
            <w:webHidden/>
          </w:rPr>
          <w:tab/>
        </w:r>
        <w:r w:rsidR="00E21A65">
          <w:rPr>
            <w:noProof/>
            <w:webHidden/>
          </w:rPr>
          <w:fldChar w:fldCharType="begin"/>
        </w:r>
        <w:r w:rsidR="00E21A65">
          <w:rPr>
            <w:noProof/>
            <w:webHidden/>
          </w:rPr>
          <w:instrText xml:space="preserve"> PAGEREF _Toc71224002 \h </w:instrText>
        </w:r>
        <w:r w:rsidR="00E21A65">
          <w:rPr>
            <w:noProof/>
            <w:webHidden/>
          </w:rPr>
        </w:r>
        <w:r w:rsidR="00E21A65">
          <w:rPr>
            <w:noProof/>
            <w:webHidden/>
          </w:rPr>
          <w:fldChar w:fldCharType="separate"/>
        </w:r>
        <w:r w:rsidR="007712B4">
          <w:rPr>
            <w:noProof/>
            <w:webHidden/>
          </w:rPr>
          <w:t>22</w:t>
        </w:r>
        <w:r w:rsidR="00E21A65">
          <w:rPr>
            <w:noProof/>
            <w:webHidden/>
          </w:rPr>
          <w:fldChar w:fldCharType="end"/>
        </w:r>
      </w:hyperlink>
    </w:p>
    <w:p w14:paraId="44BBEC2A" w14:textId="644B244F" w:rsidR="00E21A65" w:rsidRDefault="00775C9C">
      <w:pPr>
        <w:pStyle w:val="TOC3"/>
        <w:tabs>
          <w:tab w:val="right" w:leader="dot" w:pos="9350"/>
        </w:tabs>
        <w:rPr>
          <w:rFonts w:asciiTheme="minorHAnsi" w:hAnsiTheme="minorHAnsi" w:cstheme="minorBidi"/>
          <w:noProof/>
          <w:sz w:val="22"/>
        </w:rPr>
      </w:pPr>
      <w:hyperlink w:anchor="_Toc71224003" w:history="1">
        <w:r w:rsidR="00E21A65" w:rsidRPr="00493D88">
          <w:rPr>
            <w:rStyle w:val="Hyperlink"/>
            <w:noProof/>
          </w:rPr>
          <w:t>3.2.4 Laboratory Sample Analysis</w:t>
        </w:r>
        <w:r w:rsidR="00E21A65">
          <w:rPr>
            <w:noProof/>
            <w:webHidden/>
          </w:rPr>
          <w:tab/>
        </w:r>
        <w:r w:rsidR="00E21A65">
          <w:rPr>
            <w:noProof/>
            <w:webHidden/>
          </w:rPr>
          <w:fldChar w:fldCharType="begin"/>
        </w:r>
        <w:r w:rsidR="00E21A65">
          <w:rPr>
            <w:noProof/>
            <w:webHidden/>
          </w:rPr>
          <w:instrText xml:space="preserve"> PAGEREF _Toc71224003 \h </w:instrText>
        </w:r>
        <w:r w:rsidR="00E21A65">
          <w:rPr>
            <w:noProof/>
            <w:webHidden/>
          </w:rPr>
        </w:r>
        <w:r w:rsidR="00E21A65">
          <w:rPr>
            <w:noProof/>
            <w:webHidden/>
          </w:rPr>
          <w:fldChar w:fldCharType="separate"/>
        </w:r>
        <w:r w:rsidR="007712B4">
          <w:rPr>
            <w:noProof/>
            <w:webHidden/>
          </w:rPr>
          <w:t>22</w:t>
        </w:r>
        <w:r w:rsidR="00E21A65">
          <w:rPr>
            <w:noProof/>
            <w:webHidden/>
          </w:rPr>
          <w:fldChar w:fldCharType="end"/>
        </w:r>
      </w:hyperlink>
    </w:p>
    <w:p w14:paraId="785FD242" w14:textId="34FA2F35" w:rsidR="00E21A65" w:rsidRDefault="00775C9C">
      <w:pPr>
        <w:pStyle w:val="TOC2"/>
        <w:tabs>
          <w:tab w:val="right" w:leader="dot" w:pos="9350"/>
        </w:tabs>
        <w:rPr>
          <w:rFonts w:asciiTheme="minorHAnsi" w:hAnsiTheme="minorHAnsi" w:cstheme="minorBidi"/>
          <w:noProof/>
          <w:sz w:val="22"/>
        </w:rPr>
      </w:pPr>
      <w:hyperlink w:anchor="_Toc71224004" w:history="1">
        <w:r w:rsidR="00E21A65" w:rsidRPr="00493D88">
          <w:rPr>
            <w:rStyle w:val="Hyperlink"/>
            <w:noProof/>
          </w:rPr>
          <w:t>3.3 Methods for Water Analysis</w:t>
        </w:r>
        <w:r w:rsidR="00E21A65">
          <w:rPr>
            <w:noProof/>
            <w:webHidden/>
          </w:rPr>
          <w:tab/>
        </w:r>
        <w:r w:rsidR="00E21A65">
          <w:rPr>
            <w:noProof/>
            <w:webHidden/>
          </w:rPr>
          <w:fldChar w:fldCharType="begin"/>
        </w:r>
        <w:r w:rsidR="00E21A65">
          <w:rPr>
            <w:noProof/>
            <w:webHidden/>
          </w:rPr>
          <w:instrText xml:space="preserve"> PAGEREF _Toc71224004 \h </w:instrText>
        </w:r>
        <w:r w:rsidR="00E21A65">
          <w:rPr>
            <w:noProof/>
            <w:webHidden/>
          </w:rPr>
        </w:r>
        <w:r w:rsidR="00E21A65">
          <w:rPr>
            <w:noProof/>
            <w:webHidden/>
          </w:rPr>
          <w:fldChar w:fldCharType="separate"/>
        </w:r>
        <w:r w:rsidR="007712B4">
          <w:rPr>
            <w:noProof/>
            <w:webHidden/>
          </w:rPr>
          <w:t>23</w:t>
        </w:r>
        <w:r w:rsidR="00E21A65">
          <w:rPr>
            <w:noProof/>
            <w:webHidden/>
          </w:rPr>
          <w:fldChar w:fldCharType="end"/>
        </w:r>
      </w:hyperlink>
    </w:p>
    <w:p w14:paraId="0F12275D" w14:textId="63838BAD" w:rsidR="00E21A65" w:rsidRDefault="00775C9C">
      <w:pPr>
        <w:pStyle w:val="TOC3"/>
        <w:tabs>
          <w:tab w:val="right" w:leader="dot" w:pos="9350"/>
        </w:tabs>
        <w:rPr>
          <w:rFonts w:asciiTheme="minorHAnsi" w:hAnsiTheme="minorHAnsi" w:cstheme="minorBidi"/>
          <w:noProof/>
          <w:sz w:val="22"/>
        </w:rPr>
      </w:pPr>
      <w:hyperlink w:anchor="_Toc71224005" w:history="1">
        <w:r w:rsidR="00E21A65" w:rsidRPr="00493D88">
          <w:rPr>
            <w:rStyle w:val="Hyperlink"/>
            <w:noProof/>
          </w:rPr>
          <w:t>3.3.1 Water Sample Preparation and Timeline</w:t>
        </w:r>
        <w:r w:rsidR="00E21A65">
          <w:rPr>
            <w:noProof/>
            <w:webHidden/>
          </w:rPr>
          <w:tab/>
        </w:r>
        <w:r w:rsidR="00E21A65">
          <w:rPr>
            <w:noProof/>
            <w:webHidden/>
          </w:rPr>
          <w:fldChar w:fldCharType="begin"/>
        </w:r>
        <w:r w:rsidR="00E21A65">
          <w:rPr>
            <w:noProof/>
            <w:webHidden/>
          </w:rPr>
          <w:instrText xml:space="preserve"> PAGEREF _Toc71224005 \h </w:instrText>
        </w:r>
        <w:r w:rsidR="00E21A65">
          <w:rPr>
            <w:noProof/>
            <w:webHidden/>
          </w:rPr>
        </w:r>
        <w:r w:rsidR="00E21A65">
          <w:rPr>
            <w:noProof/>
            <w:webHidden/>
          </w:rPr>
          <w:fldChar w:fldCharType="separate"/>
        </w:r>
        <w:r w:rsidR="007712B4">
          <w:rPr>
            <w:noProof/>
            <w:webHidden/>
          </w:rPr>
          <w:t>23</w:t>
        </w:r>
        <w:r w:rsidR="00E21A65">
          <w:rPr>
            <w:noProof/>
            <w:webHidden/>
          </w:rPr>
          <w:fldChar w:fldCharType="end"/>
        </w:r>
      </w:hyperlink>
    </w:p>
    <w:p w14:paraId="467CD827" w14:textId="324E1728" w:rsidR="00E21A65" w:rsidRDefault="00775C9C">
      <w:pPr>
        <w:pStyle w:val="TOC3"/>
        <w:tabs>
          <w:tab w:val="right" w:leader="dot" w:pos="9350"/>
        </w:tabs>
        <w:rPr>
          <w:rFonts w:asciiTheme="minorHAnsi" w:hAnsiTheme="minorHAnsi" w:cstheme="minorBidi"/>
          <w:noProof/>
          <w:sz w:val="22"/>
        </w:rPr>
      </w:pPr>
      <w:hyperlink w:anchor="_Toc71224006" w:history="1">
        <w:r w:rsidR="00E21A65" w:rsidRPr="00493D88">
          <w:rPr>
            <w:rStyle w:val="Hyperlink"/>
            <w:noProof/>
          </w:rPr>
          <w:t>3.3.2 Laboratory Sample Analysis</w:t>
        </w:r>
        <w:r w:rsidR="00E21A65">
          <w:rPr>
            <w:noProof/>
            <w:webHidden/>
          </w:rPr>
          <w:tab/>
        </w:r>
        <w:r w:rsidR="00E21A65">
          <w:rPr>
            <w:noProof/>
            <w:webHidden/>
          </w:rPr>
          <w:fldChar w:fldCharType="begin"/>
        </w:r>
        <w:r w:rsidR="00E21A65">
          <w:rPr>
            <w:noProof/>
            <w:webHidden/>
          </w:rPr>
          <w:instrText xml:space="preserve"> PAGEREF _Toc71224006 \h </w:instrText>
        </w:r>
        <w:r w:rsidR="00E21A65">
          <w:rPr>
            <w:noProof/>
            <w:webHidden/>
          </w:rPr>
        </w:r>
        <w:r w:rsidR="00E21A65">
          <w:rPr>
            <w:noProof/>
            <w:webHidden/>
          </w:rPr>
          <w:fldChar w:fldCharType="separate"/>
        </w:r>
        <w:r w:rsidR="007712B4">
          <w:rPr>
            <w:noProof/>
            <w:webHidden/>
          </w:rPr>
          <w:t>23</w:t>
        </w:r>
        <w:r w:rsidR="00E21A65">
          <w:rPr>
            <w:noProof/>
            <w:webHidden/>
          </w:rPr>
          <w:fldChar w:fldCharType="end"/>
        </w:r>
      </w:hyperlink>
    </w:p>
    <w:p w14:paraId="3E7D20F1" w14:textId="0BB35C2C" w:rsidR="00E21A65" w:rsidRDefault="00775C9C">
      <w:pPr>
        <w:pStyle w:val="TOC2"/>
        <w:tabs>
          <w:tab w:val="right" w:leader="dot" w:pos="9350"/>
        </w:tabs>
        <w:rPr>
          <w:rFonts w:asciiTheme="minorHAnsi" w:hAnsiTheme="minorHAnsi" w:cstheme="minorBidi"/>
          <w:noProof/>
          <w:sz w:val="22"/>
        </w:rPr>
      </w:pPr>
      <w:hyperlink w:anchor="_Toc71224007" w:history="1">
        <w:r w:rsidR="00E21A65" w:rsidRPr="00493D88">
          <w:rPr>
            <w:rStyle w:val="Hyperlink"/>
            <w:noProof/>
          </w:rPr>
          <w:t>3.4 Methods for MINEQL+ Modeling</w:t>
        </w:r>
        <w:r w:rsidR="00E21A65">
          <w:rPr>
            <w:noProof/>
            <w:webHidden/>
          </w:rPr>
          <w:tab/>
        </w:r>
        <w:r w:rsidR="00E21A65">
          <w:rPr>
            <w:noProof/>
            <w:webHidden/>
          </w:rPr>
          <w:fldChar w:fldCharType="begin"/>
        </w:r>
        <w:r w:rsidR="00E21A65">
          <w:rPr>
            <w:noProof/>
            <w:webHidden/>
          </w:rPr>
          <w:instrText xml:space="preserve"> PAGEREF _Toc71224007 \h </w:instrText>
        </w:r>
        <w:r w:rsidR="00E21A65">
          <w:rPr>
            <w:noProof/>
            <w:webHidden/>
          </w:rPr>
        </w:r>
        <w:r w:rsidR="00E21A65">
          <w:rPr>
            <w:noProof/>
            <w:webHidden/>
          </w:rPr>
          <w:fldChar w:fldCharType="separate"/>
        </w:r>
        <w:r w:rsidR="007712B4">
          <w:rPr>
            <w:noProof/>
            <w:webHidden/>
          </w:rPr>
          <w:t>25</w:t>
        </w:r>
        <w:r w:rsidR="00E21A65">
          <w:rPr>
            <w:noProof/>
            <w:webHidden/>
          </w:rPr>
          <w:fldChar w:fldCharType="end"/>
        </w:r>
      </w:hyperlink>
    </w:p>
    <w:p w14:paraId="6165900C" w14:textId="0BCB8982" w:rsidR="00E21A65" w:rsidRDefault="00775C9C">
      <w:pPr>
        <w:pStyle w:val="TOC3"/>
        <w:tabs>
          <w:tab w:val="right" w:leader="dot" w:pos="9350"/>
        </w:tabs>
        <w:rPr>
          <w:rFonts w:asciiTheme="minorHAnsi" w:hAnsiTheme="minorHAnsi" w:cstheme="minorBidi"/>
          <w:noProof/>
          <w:sz w:val="22"/>
        </w:rPr>
      </w:pPr>
      <w:hyperlink w:anchor="_Toc71224008" w:history="1">
        <w:r w:rsidR="00E21A65" w:rsidRPr="00493D88">
          <w:rPr>
            <w:rStyle w:val="Hyperlink"/>
            <w:noProof/>
          </w:rPr>
          <w:t>3.4.1 Soil Modeling</w:t>
        </w:r>
        <w:r w:rsidR="00E21A65">
          <w:rPr>
            <w:noProof/>
            <w:webHidden/>
          </w:rPr>
          <w:tab/>
        </w:r>
        <w:r w:rsidR="00E21A65">
          <w:rPr>
            <w:noProof/>
            <w:webHidden/>
          </w:rPr>
          <w:fldChar w:fldCharType="begin"/>
        </w:r>
        <w:r w:rsidR="00E21A65">
          <w:rPr>
            <w:noProof/>
            <w:webHidden/>
          </w:rPr>
          <w:instrText xml:space="preserve"> PAGEREF _Toc71224008 \h </w:instrText>
        </w:r>
        <w:r w:rsidR="00E21A65">
          <w:rPr>
            <w:noProof/>
            <w:webHidden/>
          </w:rPr>
        </w:r>
        <w:r w:rsidR="00E21A65">
          <w:rPr>
            <w:noProof/>
            <w:webHidden/>
          </w:rPr>
          <w:fldChar w:fldCharType="separate"/>
        </w:r>
        <w:r w:rsidR="007712B4">
          <w:rPr>
            <w:noProof/>
            <w:webHidden/>
          </w:rPr>
          <w:t>25</w:t>
        </w:r>
        <w:r w:rsidR="00E21A65">
          <w:rPr>
            <w:noProof/>
            <w:webHidden/>
          </w:rPr>
          <w:fldChar w:fldCharType="end"/>
        </w:r>
      </w:hyperlink>
    </w:p>
    <w:p w14:paraId="1053F5AD" w14:textId="7E09EABE" w:rsidR="00E21A65" w:rsidRDefault="00775C9C">
      <w:pPr>
        <w:pStyle w:val="TOC3"/>
        <w:tabs>
          <w:tab w:val="right" w:leader="dot" w:pos="9350"/>
        </w:tabs>
        <w:rPr>
          <w:rFonts w:asciiTheme="minorHAnsi" w:hAnsiTheme="minorHAnsi" w:cstheme="minorBidi"/>
          <w:noProof/>
          <w:sz w:val="22"/>
        </w:rPr>
      </w:pPr>
      <w:hyperlink w:anchor="_Toc71224009" w:history="1">
        <w:r w:rsidR="00E21A65" w:rsidRPr="00493D88">
          <w:rPr>
            <w:rStyle w:val="Hyperlink"/>
            <w:noProof/>
          </w:rPr>
          <w:t>3.4.2 Water Modeling</w:t>
        </w:r>
        <w:r w:rsidR="00E21A65">
          <w:rPr>
            <w:noProof/>
            <w:webHidden/>
          </w:rPr>
          <w:tab/>
        </w:r>
        <w:r w:rsidR="00E21A65">
          <w:rPr>
            <w:noProof/>
            <w:webHidden/>
          </w:rPr>
          <w:fldChar w:fldCharType="begin"/>
        </w:r>
        <w:r w:rsidR="00E21A65">
          <w:rPr>
            <w:noProof/>
            <w:webHidden/>
          </w:rPr>
          <w:instrText xml:space="preserve"> PAGEREF _Toc71224009 \h </w:instrText>
        </w:r>
        <w:r w:rsidR="00E21A65">
          <w:rPr>
            <w:noProof/>
            <w:webHidden/>
          </w:rPr>
        </w:r>
        <w:r w:rsidR="00E21A65">
          <w:rPr>
            <w:noProof/>
            <w:webHidden/>
          </w:rPr>
          <w:fldChar w:fldCharType="separate"/>
        </w:r>
        <w:r w:rsidR="007712B4">
          <w:rPr>
            <w:noProof/>
            <w:webHidden/>
          </w:rPr>
          <w:t>26</w:t>
        </w:r>
        <w:r w:rsidR="00E21A65">
          <w:rPr>
            <w:noProof/>
            <w:webHidden/>
          </w:rPr>
          <w:fldChar w:fldCharType="end"/>
        </w:r>
      </w:hyperlink>
    </w:p>
    <w:p w14:paraId="0004B51C" w14:textId="008FDBD6" w:rsidR="00E21A65" w:rsidRDefault="00775C9C">
      <w:pPr>
        <w:pStyle w:val="TOC1"/>
        <w:tabs>
          <w:tab w:val="right" w:leader="dot" w:pos="9350"/>
        </w:tabs>
        <w:rPr>
          <w:rFonts w:asciiTheme="minorHAnsi" w:hAnsiTheme="minorHAnsi" w:cstheme="minorBidi"/>
          <w:noProof/>
          <w:sz w:val="22"/>
        </w:rPr>
      </w:pPr>
      <w:hyperlink w:anchor="_Toc71224010" w:history="1">
        <w:r w:rsidR="00E21A65" w:rsidRPr="00493D88">
          <w:rPr>
            <w:rStyle w:val="Hyperlink"/>
            <w:noProof/>
          </w:rPr>
          <w:t>Chapter IV: Results</w:t>
        </w:r>
        <w:r w:rsidR="00E21A65">
          <w:rPr>
            <w:noProof/>
            <w:webHidden/>
          </w:rPr>
          <w:tab/>
        </w:r>
        <w:r w:rsidR="00E21A65">
          <w:rPr>
            <w:noProof/>
            <w:webHidden/>
          </w:rPr>
          <w:fldChar w:fldCharType="begin"/>
        </w:r>
        <w:r w:rsidR="00E21A65">
          <w:rPr>
            <w:noProof/>
            <w:webHidden/>
          </w:rPr>
          <w:instrText xml:space="preserve"> PAGEREF _Toc71224010 \h </w:instrText>
        </w:r>
        <w:r w:rsidR="00E21A65">
          <w:rPr>
            <w:noProof/>
            <w:webHidden/>
          </w:rPr>
        </w:r>
        <w:r w:rsidR="00E21A65">
          <w:rPr>
            <w:noProof/>
            <w:webHidden/>
          </w:rPr>
          <w:fldChar w:fldCharType="separate"/>
        </w:r>
        <w:r w:rsidR="007712B4">
          <w:rPr>
            <w:noProof/>
            <w:webHidden/>
          </w:rPr>
          <w:t>28</w:t>
        </w:r>
        <w:r w:rsidR="00E21A65">
          <w:rPr>
            <w:noProof/>
            <w:webHidden/>
          </w:rPr>
          <w:fldChar w:fldCharType="end"/>
        </w:r>
      </w:hyperlink>
    </w:p>
    <w:p w14:paraId="4FA49CAE" w14:textId="29B1A019" w:rsidR="00E21A65" w:rsidRDefault="00775C9C">
      <w:pPr>
        <w:pStyle w:val="TOC2"/>
        <w:tabs>
          <w:tab w:val="right" w:leader="dot" w:pos="9350"/>
        </w:tabs>
        <w:rPr>
          <w:rFonts w:asciiTheme="minorHAnsi" w:hAnsiTheme="minorHAnsi" w:cstheme="minorBidi"/>
          <w:noProof/>
          <w:sz w:val="22"/>
        </w:rPr>
      </w:pPr>
      <w:hyperlink w:anchor="_Toc71224011" w:history="1">
        <w:r w:rsidR="00E21A65" w:rsidRPr="00493D88">
          <w:rPr>
            <w:rStyle w:val="Hyperlink"/>
            <w:noProof/>
          </w:rPr>
          <w:t>4.1 Soil Analysis Results</w:t>
        </w:r>
        <w:r w:rsidR="00E21A65">
          <w:rPr>
            <w:noProof/>
            <w:webHidden/>
          </w:rPr>
          <w:tab/>
        </w:r>
        <w:r w:rsidR="00E21A65">
          <w:rPr>
            <w:noProof/>
            <w:webHidden/>
          </w:rPr>
          <w:fldChar w:fldCharType="begin"/>
        </w:r>
        <w:r w:rsidR="00E21A65">
          <w:rPr>
            <w:noProof/>
            <w:webHidden/>
          </w:rPr>
          <w:instrText xml:space="preserve"> PAGEREF _Toc71224011 \h </w:instrText>
        </w:r>
        <w:r w:rsidR="00E21A65">
          <w:rPr>
            <w:noProof/>
            <w:webHidden/>
          </w:rPr>
        </w:r>
        <w:r w:rsidR="00E21A65">
          <w:rPr>
            <w:noProof/>
            <w:webHidden/>
          </w:rPr>
          <w:fldChar w:fldCharType="separate"/>
        </w:r>
        <w:r w:rsidR="007712B4">
          <w:rPr>
            <w:noProof/>
            <w:webHidden/>
          </w:rPr>
          <w:t>28</w:t>
        </w:r>
        <w:r w:rsidR="00E21A65">
          <w:rPr>
            <w:noProof/>
            <w:webHidden/>
          </w:rPr>
          <w:fldChar w:fldCharType="end"/>
        </w:r>
      </w:hyperlink>
    </w:p>
    <w:p w14:paraId="791BB12D" w14:textId="228E2351" w:rsidR="00E21A65" w:rsidRDefault="00775C9C">
      <w:pPr>
        <w:pStyle w:val="TOC2"/>
        <w:tabs>
          <w:tab w:val="right" w:leader="dot" w:pos="9350"/>
        </w:tabs>
        <w:rPr>
          <w:rFonts w:asciiTheme="minorHAnsi" w:hAnsiTheme="minorHAnsi" w:cstheme="minorBidi"/>
          <w:noProof/>
          <w:sz w:val="22"/>
        </w:rPr>
      </w:pPr>
      <w:hyperlink w:anchor="_Toc71224012" w:history="1">
        <w:r w:rsidR="00E21A65" w:rsidRPr="00493D88">
          <w:rPr>
            <w:rStyle w:val="Hyperlink"/>
            <w:noProof/>
          </w:rPr>
          <w:t>4.2 Water Analysis Results</w:t>
        </w:r>
        <w:r w:rsidR="00E21A65">
          <w:rPr>
            <w:noProof/>
            <w:webHidden/>
          </w:rPr>
          <w:tab/>
        </w:r>
        <w:r w:rsidR="00E21A65">
          <w:rPr>
            <w:noProof/>
            <w:webHidden/>
          </w:rPr>
          <w:fldChar w:fldCharType="begin"/>
        </w:r>
        <w:r w:rsidR="00E21A65">
          <w:rPr>
            <w:noProof/>
            <w:webHidden/>
          </w:rPr>
          <w:instrText xml:space="preserve"> PAGEREF _Toc71224012 \h </w:instrText>
        </w:r>
        <w:r w:rsidR="00E21A65">
          <w:rPr>
            <w:noProof/>
            <w:webHidden/>
          </w:rPr>
        </w:r>
        <w:r w:rsidR="00E21A65">
          <w:rPr>
            <w:noProof/>
            <w:webHidden/>
          </w:rPr>
          <w:fldChar w:fldCharType="separate"/>
        </w:r>
        <w:r w:rsidR="007712B4">
          <w:rPr>
            <w:noProof/>
            <w:webHidden/>
          </w:rPr>
          <w:t>35</w:t>
        </w:r>
        <w:r w:rsidR="00E21A65">
          <w:rPr>
            <w:noProof/>
            <w:webHidden/>
          </w:rPr>
          <w:fldChar w:fldCharType="end"/>
        </w:r>
      </w:hyperlink>
    </w:p>
    <w:p w14:paraId="3668FD9D" w14:textId="512BDB5F" w:rsidR="00E21A65" w:rsidRDefault="00775C9C">
      <w:pPr>
        <w:pStyle w:val="TOC2"/>
        <w:tabs>
          <w:tab w:val="right" w:leader="dot" w:pos="9350"/>
        </w:tabs>
        <w:rPr>
          <w:rFonts w:asciiTheme="minorHAnsi" w:hAnsiTheme="minorHAnsi" w:cstheme="minorBidi"/>
          <w:noProof/>
          <w:sz w:val="22"/>
        </w:rPr>
      </w:pPr>
      <w:hyperlink w:anchor="_Toc71224013" w:history="1">
        <w:r w:rsidR="00E21A65" w:rsidRPr="00493D88">
          <w:rPr>
            <w:rStyle w:val="Hyperlink"/>
            <w:noProof/>
          </w:rPr>
          <w:t>4.3 MINEQL+ Modeling Results</w:t>
        </w:r>
        <w:r w:rsidR="00E21A65">
          <w:rPr>
            <w:noProof/>
            <w:webHidden/>
          </w:rPr>
          <w:tab/>
        </w:r>
        <w:r w:rsidR="00E21A65">
          <w:rPr>
            <w:noProof/>
            <w:webHidden/>
          </w:rPr>
          <w:fldChar w:fldCharType="begin"/>
        </w:r>
        <w:r w:rsidR="00E21A65">
          <w:rPr>
            <w:noProof/>
            <w:webHidden/>
          </w:rPr>
          <w:instrText xml:space="preserve"> PAGEREF _Toc71224013 \h </w:instrText>
        </w:r>
        <w:r w:rsidR="00E21A65">
          <w:rPr>
            <w:noProof/>
            <w:webHidden/>
          </w:rPr>
        </w:r>
        <w:r w:rsidR="00E21A65">
          <w:rPr>
            <w:noProof/>
            <w:webHidden/>
          </w:rPr>
          <w:fldChar w:fldCharType="separate"/>
        </w:r>
        <w:r w:rsidR="007712B4">
          <w:rPr>
            <w:noProof/>
            <w:webHidden/>
          </w:rPr>
          <w:t>42</w:t>
        </w:r>
        <w:r w:rsidR="00E21A65">
          <w:rPr>
            <w:noProof/>
            <w:webHidden/>
          </w:rPr>
          <w:fldChar w:fldCharType="end"/>
        </w:r>
      </w:hyperlink>
    </w:p>
    <w:p w14:paraId="74D64A05" w14:textId="792B2CAF" w:rsidR="00E21A65" w:rsidRDefault="00775C9C">
      <w:pPr>
        <w:pStyle w:val="TOC3"/>
        <w:tabs>
          <w:tab w:val="right" w:leader="dot" w:pos="9350"/>
        </w:tabs>
        <w:rPr>
          <w:rFonts w:asciiTheme="minorHAnsi" w:hAnsiTheme="minorHAnsi" w:cstheme="minorBidi"/>
          <w:noProof/>
          <w:sz w:val="22"/>
        </w:rPr>
      </w:pPr>
      <w:hyperlink w:anchor="_Toc71224014" w:history="1">
        <w:r w:rsidR="00E21A65" w:rsidRPr="00493D88">
          <w:rPr>
            <w:rStyle w:val="Hyperlink"/>
            <w:noProof/>
          </w:rPr>
          <w:t>4.3.1 Soil Modeling</w:t>
        </w:r>
        <w:r w:rsidR="00E21A65">
          <w:rPr>
            <w:noProof/>
            <w:webHidden/>
          </w:rPr>
          <w:tab/>
        </w:r>
        <w:r w:rsidR="00E21A65">
          <w:rPr>
            <w:noProof/>
            <w:webHidden/>
          </w:rPr>
          <w:fldChar w:fldCharType="begin"/>
        </w:r>
        <w:r w:rsidR="00E21A65">
          <w:rPr>
            <w:noProof/>
            <w:webHidden/>
          </w:rPr>
          <w:instrText xml:space="preserve"> PAGEREF _Toc71224014 \h </w:instrText>
        </w:r>
        <w:r w:rsidR="00E21A65">
          <w:rPr>
            <w:noProof/>
            <w:webHidden/>
          </w:rPr>
        </w:r>
        <w:r w:rsidR="00E21A65">
          <w:rPr>
            <w:noProof/>
            <w:webHidden/>
          </w:rPr>
          <w:fldChar w:fldCharType="separate"/>
        </w:r>
        <w:r w:rsidR="007712B4">
          <w:rPr>
            <w:noProof/>
            <w:webHidden/>
          </w:rPr>
          <w:t>42</w:t>
        </w:r>
        <w:r w:rsidR="00E21A65">
          <w:rPr>
            <w:noProof/>
            <w:webHidden/>
          </w:rPr>
          <w:fldChar w:fldCharType="end"/>
        </w:r>
      </w:hyperlink>
    </w:p>
    <w:p w14:paraId="5BE2A7C9" w14:textId="218F81A0" w:rsidR="00E21A65" w:rsidRDefault="00775C9C">
      <w:pPr>
        <w:pStyle w:val="TOC3"/>
        <w:tabs>
          <w:tab w:val="right" w:leader="dot" w:pos="9350"/>
        </w:tabs>
        <w:rPr>
          <w:rFonts w:asciiTheme="minorHAnsi" w:hAnsiTheme="minorHAnsi" w:cstheme="minorBidi"/>
          <w:noProof/>
          <w:sz w:val="22"/>
        </w:rPr>
      </w:pPr>
      <w:hyperlink w:anchor="_Toc71224015" w:history="1">
        <w:r w:rsidR="00E21A65" w:rsidRPr="00493D88">
          <w:rPr>
            <w:rStyle w:val="Hyperlink"/>
            <w:noProof/>
          </w:rPr>
          <w:t>4.3.2 Water Modeling</w:t>
        </w:r>
        <w:r w:rsidR="00E21A65">
          <w:rPr>
            <w:noProof/>
            <w:webHidden/>
          </w:rPr>
          <w:tab/>
        </w:r>
        <w:r w:rsidR="00E21A65">
          <w:rPr>
            <w:noProof/>
            <w:webHidden/>
          </w:rPr>
          <w:fldChar w:fldCharType="begin"/>
        </w:r>
        <w:r w:rsidR="00E21A65">
          <w:rPr>
            <w:noProof/>
            <w:webHidden/>
          </w:rPr>
          <w:instrText xml:space="preserve"> PAGEREF _Toc71224015 \h </w:instrText>
        </w:r>
        <w:r w:rsidR="00E21A65">
          <w:rPr>
            <w:noProof/>
            <w:webHidden/>
          </w:rPr>
        </w:r>
        <w:r w:rsidR="00E21A65">
          <w:rPr>
            <w:noProof/>
            <w:webHidden/>
          </w:rPr>
          <w:fldChar w:fldCharType="separate"/>
        </w:r>
        <w:r w:rsidR="007712B4">
          <w:rPr>
            <w:noProof/>
            <w:webHidden/>
          </w:rPr>
          <w:t>43</w:t>
        </w:r>
        <w:r w:rsidR="00E21A65">
          <w:rPr>
            <w:noProof/>
            <w:webHidden/>
          </w:rPr>
          <w:fldChar w:fldCharType="end"/>
        </w:r>
      </w:hyperlink>
    </w:p>
    <w:p w14:paraId="214BC188" w14:textId="76A609BD" w:rsidR="00E21A65" w:rsidRDefault="00775C9C">
      <w:pPr>
        <w:pStyle w:val="TOC1"/>
        <w:tabs>
          <w:tab w:val="right" w:leader="dot" w:pos="9350"/>
        </w:tabs>
        <w:rPr>
          <w:rFonts w:asciiTheme="minorHAnsi" w:hAnsiTheme="minorHAnsi" w:cstheme="minorBidi"/>
          <w:noProof/>
          <w:sz w:val="22"/>
        </w:rPr>
      </w:pPr>
      <w:hyperlink w:anchor="_Toc71224016" w:history="1">
        <w:r w:rsidR="00E21A65" w:rsidRPr="00493D88">
          <w:rPr>
            <w:rStyle w:val="Hyperlink"/>
            <w:noProof/>
          </w:rPr>
          <w:t>Chapter V: Discussion</w:t>
        </w:r>
        <w:r w:rsidR="00E21A65">
          <w:rPr>
            <w:noProof/>
            <w:webHidden/>
          </w:rPr>
          <w:tab/>
        </w:r>
        <w:r w:rsidR="00E21A65">
          <w:rPr>
            <w:noProof/>
            <w:webHidden/>
          </w:rPr>
          <w:fldChar w:fldCharType="begin"/>
        </w:r>
        <w:r w:rsidR="00E21A65">
          <w:rPr>
            <w:noProof/>
            <w:webHidden/>
          </w:rPr>
          <w:instrText xml:space="preserve"> PAGEREF _Toc71224016 \h </w:instrText>
        </w:r>
        <w:r w:rsidR="00E21A65">
          <w:rPr>
            <w:noProof/>
            <w:webHidden/>
          </w:rPr>
        </w:r>
        <w:r w:rsidR="00E21A65">
          <w:rPr>
            <w:noProof/>
            <w:webHidden/>
          </w:rPr>
          <w:fldChar w:fldCharType="separate"/>
        </w:r>
        <w:r w:rsidR="007712B4">
          <w:rPr>
            <w:noProof/>
            <w:webHidden/>
          </w:rPr>
          <w:t>47</w:t>
        </w:r>
        <w:r w:rsidR="00E21A65">
          <w:rPr>
            <w:noProof/>
            <w:webHidden/>
          </w:rPr>
          <w:fldChar w:fldCharType="end"/>
        </w:r>
      </w:hyperlink>
    </w:p>
    <w:p w14:paraId="724C4D61" w14:textId="105E9F73" w:rsidR="00E21A65" w:rsidRDefault="00775C9C">
      <w:pPr>
        <w:pStyle w:val="TOC2"/>
        <w:tabs>
          <w:tab w:val="right" w:leader="dot" w:pos="9350"/>
        </w:tabs>
        <w:rPr>
          <w:rFonts w:asciiTheme="minorHAnsi" w:hAnsiTheme="minorHAnsi" w:cstheme="minorBidi"/>
          <w:noProof/>
          <w:sz w:val="22"/>
        </w:rPr>
      </w:pPr>
      <w:hyperlink w:anchor="_Toc71224017" w:history="1">
        <w:r w:rsidR="00E21A65" w:rsidRPr="00493D88">
          <w:rPr>
            <w:rStyle w:val="Hyperlink"/>
            <w:noProof/>
          </w:rPr>
          <w:t>5.1 Soil Analysis Discussion</w:t>
        </w:r>
        <w:r w:rsidR="00E21A65">
          <w:rPr>
            <w:noProof/>
            <w:webHidden/>
          </w:rPr>
          <w:tab/>
        </w:r>
        <w:r w:rsidR="00E21A65">
          <w:rPr>
            <w:noProof/>
            <w:webHidden/>
          </w:rPr>
          <w:fldChar w:fldCharType="begin"/>
        </w:r>
        <w:r w:rsidR="00E21A65">
          <w:rPr>
            <w:noProof/>
            <w:webHidden/>
          </w:rPr>
          <w:instrText xml:space="preserve"> PAGEREF _Toc71224017 \h </w:instrText>
        </w:r>
        <w:r w:rsidR="00E21A65">
          <w:rPr>
            <w:noProof/>
            <w:webHidden/>
          </w:rPr>
        </w:r>
        <w:r w:rsidR="00E21A65">
          <w:rPr>
            <w:noProof/>
            <w:webHidden/>
          </w:rPr>
          <w:fldChar w:fldCharType="separate"/>
        </w:r>
        <w:r w:rsidR="007712B4">
          <w:rPr>
            <w:noProof/>
            <w:webHidden/>
          </w:rPr>
          <w:t>47</w:t>
        </w:r>
        <w:r w:rsidR="00E21A65">
          <w:rPr>
            <w:noProof/>
            <w:webHidden/>
          </w:rPr>
          <w:fldChar w:fldCharType="end"/>
        </w:r>
      </w:hyperlink>
    </w:p>
    <w:p w14:paraId="74416D4F" w14:textId="3F93BCF7" w:rsidR="00E21A65" w:rsidRDefault="00775C9C">
      <w:pPr>
        <w:pStyle w:val="TOC2"/>
        <w:tabs>
          <w:tab w:val="right" w:leader="dot" w:pos="9350"/>
        </w:tabs>
        <w:rPr>
          <w:rFonts w:asciiTheme="minorHAnsi" w:hAnsiTheme="minorHAnsi" w:cstheme="minorBidi"/>
          <w:noProof/>
          <w:sz w:val="22"/>
        </w:rPr>
      </w:pPr>
      <w:hyperlink w:anchor="_Toc71224018" w:history="1">
        <w:r w:rsidR="00E21A65" w:rsidRPr="00493D88">
          <w:rPr>
            <w:rStyle w:val="Hyperlink"/>
            <w:noProof/>
          </w:rPr>
          <w:t>5.2 Water Analysis Discussion</w:t>
        </w:r>
        <w:r w:rsidR="00E21A65">
          <w:rPr>
            <w:noProof/>
            <w:webHidden/>
          </w:rPr>
          <w:tab/>
        </w:r>
        <w:r w:rsidR="00E21A65">
          <w:rPr>
            <w:noProof/>
            <w:webHidden/>
          </w:rPr>
          <w:fldChar w:fldCharType="begin"/>
        </w:r>
        <w:r w:rsidR="00E21A65">
          <w:rPr>
            <w:noProof/>
            <w:webHidden/>
          </w:rPr>
          <w:instrText xml:space="preserve"> PAGEREF _Toc71224018 \h </w:instrText>
        </w:r>
        <w:r w:rsidR="00E21A65">
          <w:rPr>
            <w:noProof/>
            <w:webHidden/>
          </w:rPr>
        </w:r>
        <w:r w:rsidR="00E21A65">
          <w:rPr>
            <w:noProof/>
            <w:webHidden/>
          </w:rPr>
          <w:fldChar w:fldCharType="separate"/>
        </w:r>
        <w:r w:rsidR="007712B4">
          <w:rPr>
            <w:noProof/>
            <w:webHidden/>
          </w:rPr>
          <w:t>55</w:t>
        </w:r>
        <w:r w:rsidR="00E21A65">
          <w:rPr>
            <w:noProof/>
            <w:webHidden/>
          </w:rPr>
          <w:fldChar w:fldCharType="end"/>
        </w:r>
      </w:hyperlink>
    </w:p>
    <w:p w14:paraId="0D0B5F45" w14:textId="20C21B47" w:rsidR="00E21A65" w:rsidRDefault="00775C9C">
      <w:pPr>
        <w:pStyle w:val="TOC2"/>
        <w:tabs>
          <w:tab w:val="right" w:leader="dot" w:pos="9350"/>
        </w:tabs>
        <w:rPr>
          <w:rFonts w:asciiTheme="minorHAnsi" w:hAnsiTheme="minorHAnsi" w:cstheme="minorBidi"/>
          <w:noProof/>
          <w:sz w:val="22"/>
        </w:rPr>
      </w:pPr>
      <w:hyperlink w:anchor="_Toc71224019" w:history="1">
        <w:r w:rsidR="00E21A65" w:rsidRPr="00493D88">
          <w:rPr>
            <w:rStyle w:val="Hyperlink"/>
            <w:noProof/>
          </w:rPr>
          <w:t>5.3 MINEQL+ Modeling Discussion</w:t>
        </w:r>
        <w:r w:rsidR="00E21A65">
          <w:rPr>
            <w:noProof/>
            <w:webHidden/>
          </w:rPr>
          <w:tab/>
        </w:r>
        <w:r w:rsidR="00E21A65">
          <w:rPr>
            <w:noProof/>
            <w:webHidden/>
          </w:rPr>
          <w:fldChar w:fldCharType="begin"/>
        </w:r>
        <w:r w:rsidR="00E21A65">
          <w:rPr>
            <w:noProof/>
            <w:webHidden/>
          </w:rPr>
          <w:instrText xml:space="preserve"> PAGEREF _Toc71224019 \h </w:instrText>
        </w:r>
        <w:r w:rsidR="00E21A65">
          <w:rPr>
            <w:noProof/>
            <w:webHidden/>
          </w:rPr>
        </w:r>
        <w:r w:rsidR="00E21A65">
          <w:rPr>
            <w:noProof/>
            <w:webHidden/>
          </w:rPr>
          <w:fldChar w:fldCharType="separate"/>
        </w:r>
        <w:r w:rsidR="007712B4">
          <w:rPr>
            <w:noProof/>
            <w:webHidden/>
          </w:rPr>
          <w:t>61</w:t>
        </w:r>
        <w:r w:rsidR="00E21A65">
          <w:rPr>
            <w:noProof/>
            <w:webHidden/>
          </w:rPr>
          <w:fldChar w:fldCharType="end"/>
        </w:r>
      </w:hyperlink>
    </w:p>
    <w:p w14:paraId="08529F61" w14:textId="17DCF3B2" w:rsidR="00E21A65" w:rsidRDefault="00775C9C">
      <w:pPr>
        <w:pStyle w:val="TOC3"/>
        <w:tabs>
          <w:tab w:val="right" w:leader="dot" w:pos="9350"/>
        </w:tabs>
        <w:rPr>
          <w:rFonts w:asciiTheme="minorHAnsi" w:hAnsiTheme="minorHAnsi" w:cstheme="minorBidi"/>
          <w:noProof/>
          <w:sz w:val="22"/>
        </w:rPr>
      </w:pPr>
      <w:hyperlink w:anchor="_Toc71224020" w:history="1">
        <w:r w:rsidR="00E21A65" w:rsidRPr="00493D88">
          <w:rPr>
            <w:rStyle w:val="Hyperlink"/>
            <w:noProof/>
          </w:rPr>
          <w:t>5.3.1 Soil Modeling</w:t>
        </w:r>
        <w:r w:rsidR="00E21A65">
          <w:rPr>
            <w:noProof/>
            <w:webHidden/>
          </w:rPr>
          <w:tab/>
        </w:r>
        <w:r w:rsidR="00E21A65">
          <w:rPr>
            <w:noProof/>
            <w:webHidden/>
          </w:rPr>
          <w:fldChar w:fldCharType="begin"/>
        </w:r>
        <w:r w:rsidR="00E21A65">
          <w:rPr>
            <w:noProof/>
            <w:webHidden/>
          </w:rPr>
          <w:instrText xml:space="preserve"> PAGEREF _Toc71224020 \h </w:instrText>
        </w:r>
        <w:r w:rsidR="00E21A65">
          <w:rPr>
            <w:noProof/>
            <w:webHidden/>
          </w:rPr>
        </w:r>
        <w:r w:rsidR="00E21A65">
          <w:rPr>
            <w:noProof/>
            <w:webHidden/>
          </w:rPr>
          <w:fldChar w:fldCharType="separate"/>
        </w:r>
        <w:r w:rsidR="007712B4">
          <w:rPr>
            <w:noProof/>
            <w:webHidden/>
          </w:rPr>
          <w:t>61</w:t>
        </w:r>
        <w:r w:rsidR="00E21A65">
          <w:rPr>
            <w:noProof/>
            <w:webHidden/>
          </w:rPr>
          <w:fldChar w:fldCharType="end"/>
        </w:r>
      </w:hyperlink>
    </w:p>
    <w:p w14:paraId="64B90063" w14:textId="78CCC9E5" w:rsidR="00E21A65" w:rsidRDefault="00775C9C">
      <w:pPr>
        <w:pStyle w:val="TOC3"/>
        <w:tabs>
          <w:tab w:val="right" w:leader="dot" w:pos="9350"/>
        </w:tabs>
        <w:rPr>
          <w:rFonts w:asciiTheme="minorHAnsi" w:hAnsiTheme="minorHAnsi" w:cstheme="minorBidi"/>
          <w:noProof/>
          <w:sz w:val="22"/>
        </w:rPr>
      </w:pPr>
      <w:hyperlink w:anchor="_Toc71224021" w:history="1">
        <w:r w:rsidR="00E21A65" w:rsidRPr="00493D88">
          <w:rPr>
            <w:rStyle w:val="Hyperlink"/>
            <w:noProof/>
          </w:rPr>
          <w:t>5.3.2 Water Modeling</w:t>
        </w:r>
        <w:r w:rsidR="00E21A65">
          <w:rPr>
            <w:noProof/>
            <w:webHidden/>
          </w:rPr>
          <w:tab/>
        </w:r>
        <w:r w:rsidR="00E21A65">
          <w:rPr>
            <w:noProof/>
            <w:webHidden/>
          </w:rPr>
          <w:fldChar w:fldCharType="begin"/>
        </w:r>
        <w:r w:rsidR="00E21A65">
          <w:rPr>
            <w:noProof/>
            <w:webHidden/>
          </w:rPr>
          <w:instrText xml:space="preserve"> PAGEREF _Toc71224021 \h </w:instrText>
        </w:r>
        <w:r w:rsidR="00E21A65">
          <w:rPr>
            <w:noProof/>
            <w:webHidden/>
          </w:rPr>
        </w:r>
        <w:r w:rsidR="00E21A65">
          <w:rPr>
            <w:noProof/>
            <w:webHidden/>
          </w:rPr>
          <w:fldChar w:fldCharType="separate"/>
        </w:r>
        <w:r w:rsidR="007712B4">
          <w:rPr>
            <w:noProof/>
            <w:webHidden/>
          </w:rPr>
          <w:t>64</w:t>
        </w:r>
        <w:r w:rsidR="00E21A65">
          <w:rPr>
            <w:noProof/>
            <w:webHidden/>
          </w:rPr>
          <w:fldChar w:fldCharType="end"/>
        </w:r>
      </w:hyperlink>
    </w:p>
    <w:p w14:paraId="2850BFFD" w14:textId="0019E2AF" w:rsidR="00E21A65" w:rsidRDefault="00775C9C">
      <w:pPr>
        <w:pStyle w:val="TOC1"/>
        <w:tabs>
          <w:tab w:val="right" w:leader="dot" w:pos="9350"/>
        </w:tabs>
        <w:rPr>
          <w:rFonts w:asciiTheme="minorHAnsi" w:hAnsiTheme="minorHAnsi" w:cstheme="minorBidi"/>
          <w:noProof/>
          <w:sz w:val="22"/>
        </w:rPr>
      </w:pPr>
      <w:hyperlink w:anchor="_Toc71224022" w:history="1">
        <w:r w:rsidR="00E21A65" w:rsidRPr="00493D88">
          <w:rPr>
            <w:rStyle w:val="Hyperlink"/>
            <w:noProof/>
          </w:rPr>
          <w:t>Chapter VI: Conclusions and Future Work</w:t>
        </w:r>
        <w:r w:rsidR="00E21A65">
          <w:rPr>
            <w:noProof/>
            <w:webHidden/>
          </w:rPr>
          <w:tab/>
        </w:r>
        <w:r w:rsidR="00E21A65">
          <w:rPr>
            <w:noProof/>
            <w:webHidden/>
          </w:rPr>
          <w:fldChar w:fldCharType="begin"/>
        </w:r>
        <w:r w:rsidR="00E21A65">
          <w:rPr>
            <w:noProof/>
            <w:webHidden/>
          </w:rPr>
          <w:instrText xml:space="preserve"> PAGEREF _Toc71224022 \h </w:instrText>
        </w:r>
        <w:r w:rsidR="00E21A65">
          <w:rPr>
            <w:noProof/>
            <w:webHidden/>
          </w:rPr>
        </w:r>
        <w:r w:rsidR="00E21A65">
          <w:rPr>
            <w:noProof/>
            <w:webHidden/>
          </w:rPr>
          <w:fldChar w:fldCharType="separate"/>
        </w:r>
        <w:r w:rsidR="007712B4">
          <w:rPr>
            <w:noProof/>
            <w:webHidden/>
          </w:rPr>
          <w:t>69</w:t>
        </w:r>
        <w:r w:rsidR="00E21A65">
          <w:rPr>
            <w:noProof/>
            <w:webHidden/>
          </w:rPr>
          <w:fldChar w:fldCharType="end"/>
        </w:r>
      </w:hyperlink>
    </w:p>
    <w:p w14:paraId="3CE22793" w14:textId="0C487E03" w:rsidR="00E21A65" w:rsidRDefault="00775C9C">
      <w:pPr>
        <w:pStyle w:val="TOC2"/>
        <w:tabs>
          <w:tab w:val="right" w:leader="dot" w:pos="9350"/>
        </w:tabs>
        <w:rPr>
          <w:rFonts w:asciiTheme="minorHAnsi" w:hAnsiTheme="minorHAnsi" w:cstheme="minorBidi"/>
          <w:noProof/>
          <w:sz w:val="22"/>
        </w:rPr>
      </w:pPr>
      <w:hyperlink w:anchor="_Toc71224023" w:history="1">
        <w:r w:rsidR="00E21A65" w:rsidRPr="00493D88">
          <w:rPr>
            <w:rStyle w:val="Hyperlink"/>
            <w:noProof/>
          </w:rPr>
          <w:t>6.1 Conclusions</w:t>
        </w:r>
        <w:r w:rsidR="00E21A65">
          <w:rPr>
            <w:noProof/>
            <w:webHidden/>
          </w:rPr>
          <w:tab/>
        </w:r>
        <w:r w:rsidR="00E21A65">
          <w:rPr>
            <w:noProof/>
            <w:webHidden/>
          </w:rPr>
          <w:fldChar w:fldCharType="begin"/>
        </w:r>
        <w:r w:rsidR="00E21A65">
          <w:rPr>
            <w:noProof/>
            <w:webHidden/>
          </w:rPr>
          <w:instrText xml:space="preserve"> PAGEREF _Toc71224023 \h </w:instrText>
        </w:r>
        <w:r w:rsidR="00E21A65">
          <w:rPr>
            <w:noProof/>
            <w:webHidden/>
          </w:rPr>
        </w:r>
        <w:r w:rsidR="00E21A65">
          <w:rPr>
            <w:noProof/>
            <w:webHidden/>
          </w:rPr>
          <w:fldChar w:fldCharType="separate"/>
        </w:r>
        <w:r w:rsidR="007712B4">
          <w:rPr>
            <w:noProof/>
            <w:webHidden/>
          </w:rPr>
          <w:t>69</w:t>
        </w:r>
        <w:r w:rsidR="00E21A65">
          <w:rPr>
            <w:noProof/>
            <w:webHidden/>
          </w:rPr>
          <w:fldChar w:fldCharType="end"/>
        </w:r>
      </w:hyperlink>
    </w:p>
    <w:p w14:paraId="4B150400" w14:textId="11472847" w:rsidR="00E21A65" w:rsidRDefault="00775C9C">
      <w:pPr>
        <w:pStyle w:val="TOC3"/>
        <w:tabs>
          <w:tab w:val="right" w:leader="dot" w:pos="9350"/>
        </w:tabs>
        <w:rPr>
          <w:rFonts w:asciiTheme="minorHAnsi" w:hAnsiTheme="minorHAnsi" w:cstheme="minorBidi"/>
          <w:noProof/>
          <w:sz w:val="22"/>
        </w:rPr>
      </w:pPr>
      <w:hyperlink w:anchor="_Toc71224024" w:history="1">
        <w:r w:rsidR="00E21A65" w:rsidRPr="00493D88">
          <w:rPr>
            <w:rStyle w:val="Hyperlink"/>
            <w:noProof/>
          </w:rPr>
          <w:t>6.1.1 Adsorption Rate of Li-ion Batteries into Soil</w:t>
        </w:r>
        <w:r w:rsidR="00E21A65">
          <w:rPr>
            <w:noProof/>
            <w:webHidden/>
          </w:rPr>
          <w:tab/>
        </w:r>
        <w:r w:rsidR="00E21A65">
          <w:rPr>
            <w:noProof/>
            <w:webHidden/>
          </w:rPr>
          <w:fldChar w:fldCharType="begin"/>
        </w:r>
        <w:r w:rsidR="00E21A65">
          <w:rPr>
            <w:noProof/>
            <w:webHidden/>
          </w:rPr>
          <w:instrText xml:space="preserve"> PAGEREF _Toc71224024 \h </w:instrText>
        </w:r>
        <w:r w:rsidR="00E21A65">
          <w:rPr>
            <w:noProof/>
            <w:webHidden/>
          </w:rPr>
        </w:r>
        <w:r w:rsidR="00E21A65">
          <w:rPr>
            <w:noProof/>
            <w:webHidden/>
          </w:rPr>
          <w:fldChar w:fldCharType="separate"/>
        </w:r>
        <w:r w:rsidR="007712B4">
          <w:rPr>
            <w:noProof/>
            <w:webHidden/>
          </w:rPr>
          <w:t>70</w:t>
        </w:r>
        <w:r w:rsidR="00E21A65">
          <w:rPr>
            <w:noProof/>
            <w:webHidden/>
          </w:rPr>
          <w:fldChar w:fldCharType="end"/>
        </w:r>
      </w:hyperlink>
    </w:p>
    <w:p w14:paraId="0047466D" w14:textId="5CE1D4B8" w:rsidR="00E21A65" w:rsidRDefault="00775C9C">
      <w:pPr>
        <w:pStyle w:val="TOC3"/>
        <w:tabs>
          <w:tab w:val="right" w:leader="dot" w:pos="9350"/>
        </w:tabs>
        <w:rPr>
          <w:rFonts w:asciiTheme="minorHAnsi" w:hAnsiTheme="minorHAnsi" w:cstheme="minorBidi"/>
          <w:noProof/>
          <w:sz w:val="22"/>
        </w:rPr>
      </w:pPr>
      <w:hyperlink w:anchor="_Toc71224025" w:history="1">
        <w:r w:rsidR="00E21A65" w:rsidRPr="00493D88">
          <w:rPr>
            <w:rStyle w:val="Hyperlink"/>
            <w:noProof/>
          </w:rPr>
          <w:t>6.1.2 Leaching Rate of Li-ion Batteries into Water</w:t>
        </w:r>
        <w:r w:rsidR="00E21A65">
          <w:rPr>
            <w:noProof/>
            <w:webHidden/>
          </w:rPr>
          <w:tab/>
        </w:r>
        <w:r w:rsidR="00E21A65">
          <w:rPr>
            <w:noProof/>
            <w:webHidden/>
          </w:rPr>
          <w:fldChar w:fldCharType="begin"/>
        </w:r>
        <w:r w:rsidR="00E21A65">
          <w:rPr>
            <w:noProof/>
            <w:webHidden/>
          </w:rPr>
          <w:instrText xml:space="preserve"> PAGEREF _Toc71224025 \h </w:instrText>
        </w:r>
        <w:r w:rsidR="00E21A65">
          <w:rPr>
            <w:noProof/>
            <w:webHidden/>
          </w:rPr>
        </w:r>
        <w:r w:rsidR="00E21A65">
          <w:rPr>
            <w:noProof/>
            <w:webHidden/>
          </w:rPr>
          <w:fldChar w:fldCharType="separate"/>
        </w:r>
        <w:r w:rsidR="007712B4">
          <w:rPr>
            <w:noProof/>
            <w:webHidden/>
          </w:rPr>
          <w:t>70</w:t>
        </w:r>
        <w:r w:rsidR="00E21A65">
          <w:rPr>
            <w:noProof/>
            <w:webHidden/>
          </w:rPr>
          <w:fldChar w:fldCharType="end"/>
        </w:r>
      </w:hyperlink>
    </w:p>
    <w:p w14:paraId="49656F95" w14:textId="4AEE440A" w:rsidR="00E21A65" w:rsidRDefault="00775C9C">
      <w:pPr>
        <w:pStyle w:val="TOC3"/>
        <w:tabs>
          <w:tab w:val="right" w:leader="dot" w:pos="9350"/>
        </w:tabs>
        <w:rPr>
          <w:rFonts w:asciiTheme="minorHAnsi" w:hAnsiTheme="minorHAnsi" w:cstheme="minorBidi"/>
          <w:noProof/>
          <w:sz w:val="22"/>
        </w:rPr>
      </w:pPr>
      <w:hyperlink w:anchor="_Toc71224026" w:history="1">
        <w:r w:rsidR="00E21A65" w:rsidRPr="00493D88">
          <w:rPr>
            <w:rStyle w:val="Hyperlink"/>
            <w:noProof/>
          </w:rPr>
          <w:t>6.1.3 Comparison of MINEQL+ Model to Sample Data</w:t>
        </w:r>
        <w:r w:rsidR="00E21A65">
          <w:rPr>
            <w:noProof/>
            <w:webHidden/>
          </w:rPr>
          <w:tab/>
        </w:r>
        <w:r w:rsidR="00E21A65">
          <w:rPr>
            <w:noProof/>
            <w:webHidden/>
          </w:rPr>
          <w:fldChar w:fldCharType="begin"/>
        </w:r>
        <w:r w:rsidR="00E21A65">
          <w:rPr>
            <w:noProof/>
            <w:webHidden/>
          </w:rPr>
          <w:instrText xml:space="preserve"> PAGEREF _Toc71224026 \h </w:instrText>
        </w:r>
        <w:r w:rsidR="00E21A65">
          <w:rPr>
            <w:noProof/>
            <w:webHidden/>
          </w:rPr>
        </w:r>
        <w:r w:rsidR="00E21A65">
          <w:rPr>
            <w:noProof/>
            <w:webHidden/>
          </w:rPr>
          <w:fldChar w:fldCharType="separate"/>
        </w:r>
        <w:r w:rsidR="007712B4">
          <w:rPr>
            <w:noProof/>
            <w:webHidden/>
          </w:rPr>
          <w:t>71</w:t>
        </w:r>
        <w:r w:rsidR="00E21A65">
          <w:rPr>
            <w:noProof/>
            <w:webHidden/>
          </w:rPr>
          <w:fldChar w:fldCharType="end"/>
        </w:r>
      </w:hyperlink>
    </w:p>
    <w:p w14:paraId="53767282" w14:textId="0B81D93C" w:rsidR="00E21A65" w:rsidRDefault="00775C9C">
      <w:pPr>
        <w:pStyle w:val="TOC3"/>
        <w:tabs>
          <w:tab w:val="right" w:leader="dot" w:pos="9350"/>
        </w:tabs>
        <w:rPr>
          <w:rFonts w:asciiTheme="minorHAnsi" w:hAnsiTheme="minorHAnsi" w:cstheme="minorBidi"/>
          <w:noProof/>
          <w:sz w:val="22"/>
        </w:rPr>
      </w:pPr>
      <w:hyperlink w:anchor="_Toc71224027" w:history="1">
        <w:r w:rsidR="00E21A65" w:rsidRPr="00493D88">
          <w:rPr>
            <w:rStyle w:val="Hyperlink"/>
            <w:noProof/>
          </w:rPr>
          <w:t>6.1.4 Final Comments</w:t>
        </w:r>
        <w:r w:rsidR="00E21A65">
          <w:rPr>
            <w:noProof/>
            <w:webHidden/>
          </w:rPr>
          <w:tab/>
        </w:r>
        <w:r w:rsidR="00E21A65">
          <w:rPr>
            <w:noProof/>
            <w:webHidden/>
          </w:rPr>
          <w:fldChar w:fldCharType="begin"/>
        </w:r>
        <w:r w:rsidR="00E21A65">
          <w:rPr>
            <w:noProof/>
            <w:webHidden/>
          </w:rPr>
          <w:instrText xml:space="preserve"> PAGEREF _Toc71224027 \h </w:instrText>
        </w:r>
        <w:r w:rsidR="00E21A65">
          <w:rPr>
            <w:noProof/>
            <w:webHidden/>
          </w:rPr>
        </w:r>
        <w:r w:rsidR="00E21A65">
          <w:rPr>
            <w:noProof/>
            <w:webHidden/>
          </w:rPr>
          <w:fldChar w:fldCharType="separate"/>
        </w:r>
        <w:r w:rsidR="007712B4">
          <w:rPr>
            <w:noProof/>
            <w:webHidden/>
          </w:rPr>
          <w:t>71</w:t>
        </w:r>
        <w:r w:rsidR="00E21A65">
          <w:rPr>
            <w:noProof/>
            <w:webHidden/>
          </w:rPr>
          <w:fldChar w:fldCharType="end"/>
        </w:r>
      </w:hyperlink>
    </w:p>
    <w:p w14:paraId="0213C31E" w14:textId="76AF0560" w:rsidR="00E21A65" w:rsidRDefault="00775C9C">
      <w:pPr>
        <w:pStyle w:val="TOC1"/>
        <w:tabs>
          <w:tab w:val="right" w:leader="dot" w:pos="9350"/>
        </w:tabs>
        <w:rPr>
          <w:rFonts w:asciiTheme="minorHAnsi" w:hAnsiTheme="minorHAnsi" w:cstheme="minorBidi"/>
          <w:noProof/>
          <w:sz w:val="22"/>
        </w:rPr>
      </w:pPr>
      <w:hyperlink w:anchor="_Toc71224028" w:history="1">
        <w:r w:rsidR="00E21A65" w:rsidRPr="00493D88">
          <w:rPr>
            <w:rStyle w:val="Hyperlink"/>
            <w:noProof/>
          </w:rPr>
          <w:t>References</w:t>
        </w:r>
        <w:r w:rsidR="00E21A65">
          <w:rPr>
            <w:noProof/>
            <w:webHidden/>
          </w:rPr>
          <w:tab/>
        </w:r>
        <w:r w:rsidR="00E21A65">
          <w:rPr>
            <w:noProof/>
            <w:webHidden/>
          </w:rPr>
          <w:fldChar w:fldCharType="begin"/>
        </w:r>
        <w:r w:rsidR="00E21A65">
          <w:rPr>
            <w:noProof/>
            <w:webHidden/>
          </w:rPr>
          <w:instrText xml:space="preserve"> PAGEREF _Toc71224028 \h </w:instrText>
        </w:r>
        <w:r w:rsidR="00E21A65">
          <w:rPr>
            <w:noProof/>
            <w:webHidden/>
          </w:rPr>
        </w:r>
        <w:r w:rsidR="00E21A65">
          <w:rPr>
            <w:noProof/>
            <w:webHidden/>
          </w:rPr>
          <w:fldChar w:fldCharType="separate"/>
        </w:r>
        <w:r w:rsidR="007712B4">
          <w:rPr>
            <w:noProof/>
            <w:webHidden/>
          </w:rPr>
          <w:t>72</w:t>
        </w:r>
        <w:r w:rsidR="00E21A65">
          <w:rPr>
            <w:noProof/>
            <w:webHidden/>
          </w:rPr>
          <w:fldChar w:fldCharType="end"/>
        </w:r>
      </w:hyperlink>
    </w:p>
    <w:p w14:paraId="4B30F9DD" w14:textId="25077E11" w:rsidR="00E21A65" w:rsidRDefault="00775C9C">
      <w:pPr>
        <w:pStyle w:val="TOC1"/>
        <w:tabs>
          <w:tab w:val="right" w:leader="dot" w:pos="9350"/>
        </w:tabs>
        <w:rPr>
          <w:rFonts w:asciiTheme="minorHAnsi" w:hAnsiTheme="minorHAnsi" w:cstheme="minorBidi"/>
          <w:noProof/>
          <w:sz w:val="22"/>
        </w:rPr>
      </w:pPr>
      <w:hyperlink w:anchor="_Toc71224029" w:history="1">
        <w:r w:rsidR="00E21A65" w:rsidRPr="00493D88">
          <w:rPr>
            <w:rStyle w:val="Hyperlink"/>
            <w:noProof/>
          </w:rPr>
          <w:t>Appendix</w:t>
        </w:r>
        <w:r w:rsidR="00E21A65">
          <w:rPr>
            <w:noProof/>
            <w:webHidden/>
          </w:rPr>
          <w:tab/>
        </w:r>
        <w:r w:rsidR="00E21A65">
          <w:rPr>
            <w:noProof/>
            <w:webHidden/>
          </w:rPr>
          <w:fldChar w:fldCharType="begin"/>
        </w:r>
        <w:r w:rsidR="00E21A65">
          <w:rPr>
            <w:noProof/>
            <w:webHidden/>
          </w:rPr>
          <w:instrText xml:space="preserve"> PAGEREF _Toc71224029 \h </w:instrText>
        </w:r>
        <w:r w:rsidR="00E21A65">
          <w:rPr>
            <w:noProof/>
            <w:webHidden/>
          </w:rPr>
        </w:r>
        <w:r w:rsidR="00E21A65">
          <w:rPr>
            <w:noProof/>
            <w:webHidden/>
          </w:rPr>
          <w:fldChar w:fldCharType="separate"/>
        </w:r>
        <w:r w:rsidR="007712B4">
          <w:rPr>
            <w:noProof/>
            <w:webHidden/>
          </w:rPr>
          <w:t>90</w:t>
        </w:r>
        <w:r w:rsidR="00E21A65">
          <w:rPr>
            <w:noProof/>
            <w:webHidden/>
          </w:rPr>
          <w:fldChar w:fldCharType="end"/>
        </w:r>
      </w:hyperlink>
    </w:p>
    <w:p w14:paraId="7B69BBC5" w14:textId="30EE7452" w:rsidR="00FC17A6" w:rsidRDefault="0023211B">
      <w:pPr>
        <w:rPr>
          <w:b/>
          <w:bCs/>
        </w:rPr>
      </w:pPr>
      <w:r>
        <w:fldChar w:fldCharType="end"/>
      </w:r>
      <w:r w:rsidR="00FC17A6">
        <w:rPr>
          <w:b/>
          <w:bCs/>
        </w:rPr>
        <w:br w:type="page"/>
      </w:r>
    </w:p>
    <w:p w14:paraId="0A83365F" w14:textId="716CFC0B" w:rsidR="000F0607" w:rsidRPr="000F0607" w:rsidRDefault="00264091" w:rsidP="000F0607">
      <w:pPr>
        <w:pStyle w:val="Heading1"/>
      </w:pPr>
      <w:bookmarkStart w:id="1" w:name="_Toc71223981"/>
      <w:r w:rsidRPr="002A4ADE">
        <w:lastRenderedPageBreak/>
        <w:t>List of Tables</w:t>
      </w:r>
      <w:bookmarkEnd w:id="1"/>
    </w:p>
    <w:p w14:paraId="0EABC4CB" w14:textId="46D81695" w:rsidR="00E21A65" w:rsidRDefault="001650CC">
      <w:pPr>
        <w:pStyle w:val="TableofFigures"/>
        <w:tabs>
          <w:tab w:val="right" w:leader="dot" w:pos="9350"/>
        </w:tabs>
        <w:rPr>
          <w:rFonts w:asciiTheme="minorHAnsi" w:eastAsiaTheme="minorEastAsia" w:hAnsiTheme="minorHAnsi"/>
          <w:noProof/>
          <w:sz w:val="22"/>
        </w:rPr>
      </w:pPr>
      <w:r>
        <w:rPr>
          <w:b/>
          <w:bCs/>
        </w:rPr>
        <w:fldChar w:fldCharType="begin"/>
      </w:r>
      <w:r>
        <w:rPr>
          <w:b/>
          <w:bCs/>
        </w:rPr>
        <w:instrText xml:space="preserve"> TOC \h \z \c "  " </w:instrText>
      </w:r>
      <w:r>
        <w:rPr>
          <w:b/>
          <w:bCs/>
        </w:rPr>
        <w:fldChar w:fldCharType="separate"/>
      </w:r>
      <w:hyperlink w:anchor="_Toc71224030" w:history="1">
        <w:r w:rsidR="00E21A65" w:rsidRPr="003855CC">
          <w:rPr>
            <w:rStyle w:val="Hyperlink"/>
            <w:b/>
            <w:bCs/>
            <w:noProof/>
          </w:rPr>
          <w:t>Table 3.1:</w:t>
        </w:r>
        <w:r w:rsidR="00E21A65" w:rsidRPr="003855CC">
          <w:rPr>
            <w:rStyle w:val="Hyperlink"/>
            <w:noProof/>
          </w:rPr>
          <w:t xml:space="preserve"> Aqueous Species with the respective LogK and stoichiometric coefficients inserted into MINEQL+.</w:t>
        </w:r>
        <w:r w:rsidR="00E21A65">
          <w:rPr>
            <w:noProof/>
            <w:webHidden/>
          </w:rPr>
          <w:tab/>
        </w:r>
        <w:r w:rsidR="00E21A65">
          <w:rPr>
            <w:noProof/>
            <w:webHidden/>
          </w:rPr>
          <w:fldChar w:fldCharType="begin"/>
        </w:r>
        <w:r w:rsidR="00E21A65">
          <w:rPr>
            <w:noProof/>
            <w:webHidden/>
          </w:rPr>
          <w:instrText xml:space="preserve"> PAGEREF _Toc71224030 \h </w:instrText>
        </w:r>
        <w:r w:rsidR="00E21A65">
          <w:rPr>
            <w:noProof/>
            <w:webHidden/>
          </w:rPr>
        </w:r>
        <w:r w:rsidR="00E21A65">
          <w:rPr>
            <w:noProof/>
            <w:webHidden/>
          </w:rPr>
          <w:fldChar w:fldCharType="separate"/>
        </w:r>
        <w:r w:rsidR="007712B4">
          <w:rPr>
            <w:noProof/>
            <w:webHidden/>
          </w:rPr>
          <w:t>26</w:t>
        </w:r>
        <w:r w:rsidR="00E21A65">
          <w:rPr>
            <w:noProof/>
            <w:webHidden/>
          </w:rPr>
          <w:fldChar w:fldCharType="end"/>
        </w:r>
      </w:hyperlink>
    </w:p>
    <w:p w14:paraId="6EA94DC0" w14:textId="43F89EF6" w:rsidR="00E21A65" w:rsidRDefault="00775C9C">
      <w:pPr>
        <w:pStyle w:val="TableofFigures"/>
        <w:tabs>
          <w:tab w:val="right" w:leader="dot" w:pos="9350"/>
        </w:tabs>
        <w:rPr>
          <w:rFonts w:asciiTheme="minorHAnsi" w:eastAsiaTheme="minorEastAsia" w:hAnsiTheme="minorHAnsi"/>
          <w:noProof/>
          <w:sz w:val="22"/>
        </w:rPr>
      </w:pPr>
      <w:hyperlink w:anchor="_Toc71224031" w:history="1">
        <w:r w:rsidR="00E21A65" w:rsidRPr="003855CC">
          <w:rPr>
            <w:rStyle w:val="Hyperlink"/>
            <w:b/>
            <w:bCs/>
            <w:noProof/>
          </w:rPr>
          <w:t>Table 4.1:</w:t>
        </w:r>
        <w:r w:rsidR="00E21A65" w:rsidRPr="003855CC">
          <w:rPr>
            <w:rStyle w:val="Hyperlink"/>
            <w:noProof/>
          </w:rPr>
          <w:t xml:space="preserve"> First-order rate constant, k, and adsorption capacity, C</w:t>
        </w:r>
        <w:r w:rsidR="00E21A65" w:rsidRPr="003855CC">
          <w:rPr>
            <w:rStyle w:val="Hyperlink"/>
            <w:noProof/>
            <w:vertAlign w:val="superscript"/>
          </w:rPr>
          <w:t>*</w:t>
        </w:r>
        <w:r w:rsidR="00E21A65" w:rsidRPr="003855CC">
          <w:rPr>
            <w:rStyle w:val="Hyperlink"/>
            <w:noProof/>
          </w:rPr>
          <w:t>, of LIB metals into acidic and basic soil.</w:t>
        </w:r>
        <w:r w:rsidR="00E21A65">
          <w:rPr>
            <w:noProof/>
            <w:webHidden/>
          </w:rPr>
          <w:tab/>
        </w:r>
        <w:r w:rsidR="00E21A65">
          <w:rPr>
            <w:noProof/>
            <w:webHidden/>
          </w:rPr>
          <w:fldChar w:fldCharType="begin"/>
        </w:r>
        <w:r w:rsidR="00E21A65">
          <w:rPr>
            <w:noProof/>
            <w:webHidden/>
          </w:rPr>
          <w:instrText xml:space="preserve"> PAGEREF _Toc71224031 \h </w:instrText>
        </w:r>
        <w:r w:rsidR="00E21A65">
          <w:rPr>
            <w:noProof/>
            <w:webHidden/>
          </w:rPr>
        </w:r>
        <w:r w:rsidR="00E21A65">
          <w:rPr>
            <w:noProof/>
            <w:webHidden/>
          </w:rPr>
          <w:fldChar w:fldCharType="separate"/>
        </w:r>
        <w:r w:rsidR="007712B4">
          <w:rPr>
            <w:noProof/>
            <w:webHidden/>
          </w:rPr>
          <w:t>31</w:t>
        </w:r>
        <w:r w:rsidR="00E21A65">
          <w:rPr>
            <w:noProof/>
            <w:webHidden/>
          </w:rPr>
          <w:fldChar w:fldCharType="end"/>
        </w:r>
      </w:hyperlink>
    </w:p>
    <w:p w14:paraId="7018ACD1" w14:textId="298D12E9" w:rsidR="00E21A65" w:rsidRDefault="00775C9C">
      <w:pPr>
        <w:pStyle w:val="TableofFigures"/>
        <w:tabs>
          <w:tab w:val="right" w:leader="dot" w:pos="9350"/>
        </w:tabs>
        <w:rPr>
          <w:rFonts w:asciiTheme="minorHAnsi" w:eastAsiaTheme="minorEastAsia" w:hAnsiTheme="minorHAnsi"/>
          <w:noProof/>
          <w:sz w:val="22"/>
        </w:rPr>
      </w:pPr>
      <w:hyperlink w:anchor="_Toc71224032" w:history="1">
        <w:r w:rsidR="00E21A65" w:rsidRPr="003855CC">
          <w:rPr>
            <w:rStyle w:val="Hyperlink"/>
            <w:b/>
            <w:bCs/>
            <w:noProof/>
          </w:rPr>
          <w:t>Table 4.2:</w:t>
        </w:r>
        <w:r w:rsidR="00E21A65" w:rsidRPr="003855CC">
          <w:rPr>
            <w:rStyle w:val="Hyperlink"/>
            <w:noProof/>
          </w:rPr>
          <w:t xml:space="preserve"> Shapiro-Wilk Test for each metal in acidic soil over 24 weeks, p &gt; 0.05 for all sample groups</w:t>
        </w:r>
        <w:r w:rsidR="00E21A65">
          <w:rPr>
            <w:noProof/>
            <w:webHidden/>
          </w:rPr>
          <w:tab/>
        </w:r>
        <w:r w:rsidR="00E21A65">
          <w:rPr>
            <w:noProof/>
            <w:webHidden/>
          </w:rPr>
          <w:fldChar w:fldCharType="begin"/>
        </w:r>
        <w:r w:rsidR="00E21A65">
          <w:rPr>
            <w:noProof/>
            <w:webHidden/>
          </w:rPr>
          <w:instrText xml:space="preserve"> PAGEREF _Toc71224032 \h </w:instrText>
        </w:r>
        <w:r w:rsidR="00E21A65">
          <w:rPr>
            <w:noProof/>
            <w:webHidden/>
          </w:rPr>
        </w:r>
        <w:r w:rsidR="00E21A65">
          <w:rPr>
            <w:noProof/>
            <w:webHidden/>
          </w:rPr>
          <w:fldChar w:fldCharType="separate"/>
        </w:r>
        <w:r w:rsidR="007712B4">
          <w:rPr>
            <w:noProof/>
            <w:webHidden/>
          </w:rPr>
          <w:t>31</w:t>
        </w:r>
        <w:r w:rsidR="00E21A65">
          <w:rPr>
            <w:noProof/>
            <w:webHidden/>
          </w:rPr>
          <w:fldChar w:fldCharType="end"/>
        </w:r>
      </w:hyperlink>
    </w:p>
    <w:p w14:paraId="7DAAC7AE" w14:textId="45684AB0" w:rsidR="00E21A65" w:rsidRDefault="00775C9C">
      <w:pPr>
        <w:pStyle w:val="TableofFigures"/>
        <w:tabs>
          <w:tab w:val="right" w:leader="dot" w:pos="9350"/>
        </w:tabs>
        <w:rPr>
          <w:rFonts w:asciiTheme="minorHAnsi" w:eastAsiaTheme="minorEastAsia" w:hAnsiTheme="minorHAnsi"/>
          <w:noProof/>
          <w:sz w:val="22"/>
        </w:rPr>
      </w:pPr>
      <w:hyperlink w:anchor="_Toc71224033" w:history="1">
        <w:r w:rsidR="00E21A65" w:rsidRPr="003855CC">
          <w:rPr>
            <w:rStyle w:val="Hyperlink"/>
            <w:b/>
            <w:bCs/>
            <w:noProof/>
          </w:rPr>
          <w:t>Table 4.3:</w:t>
        </w:r>
        <w:r w:rsidR="00E21A65" w:rsidRPr="003855CC">
          <w:rPr>
            <w:rStyle w:val="Hyperlink"/>
            <w:noProof/>
          </w:rPr>
          <w:t xml:space="preserve"> Shapiro-Wilk Test for each metal in basic soil over 24 weeks, p &gt; 0.05 for all sample groups.</w:t>
        </w:r>
        <w:r w:rsidR="00E21A65">
          <w:rPr>
            <w:noProof/>
            <w:webHidden/>
          </w:rPr>
          <w:tab/>
        </w:r>
        <w:r w:rsidR="00E21A65">
          <w:rPr>
            <w:noProof/>
            <w:webHidden/>
          </w:rPr>
          <w:fldChar w:fldCharType="begin"/>
        </w:r>
        <w:r w:rsidR="00E21A65">
          <w:rPr>
            <w:noProof/>
            <w:webHidden/>
          </w:rPr>
          <w:instrText xml:space="preserve"> PAGEREF _Toc71224033 \h </w:instrText>
        </w:r>
        <w:r w:rsidR="00E21A65">
          <w:rPr>
            <w:noProof/>
            <w:webHidden/>
          </w:rPr>
        </w:r>
        <w:r w:rsidR="00E21A65">
          <w:rPr>
            <w:noProof/>
            <w:webHidden/>
          </w:rPr>
          <w:fldChar w:fldCharType="separate"/>
        </w:r>
        <w:r w:rsidR="007712B4">
          <w:rPr>
            <w:noProof/>
            <w:webHidden/>
          </w:rPr>
          <w:t>32</w:t>
        </w:r>
        <w:r w:rsidR="00E21A65">
          <w:rPr>
            <w:noProof/>
            <w:webHidden/>
          </w:rPr>
          <w:fldChar w:fldCharType="end"/>
        </w:r>
      </w:hyperlink>
    </w:p>
    <w:p w14:paraId="1BBB64DC" w14:textId="7C08CE1F" w:rsidR="00E21A65" w:rsidRDefault="00775C9C">
      <w:pPr>
        <w:pStyle w:val="TableofFigures"/>
        <w:tabs>
          <w:tab w:val="right" w:leader="dot" w:pos="9350"/>
        </w:tabs>
        <w:rPr>
          <w:rFonts w:asciiTheme="minorHAnsi" w:eastAsiaTheme="minorEastAsia" w:hAnsiTheme="minorHAnsi"/>
          <w:noProof/>
          <w:sz w:val="22"/>
        </w:rPr>
      </w:pPr>
      <w:hyperlink w:anchor="_Toc71224034" w:history="1">
        <w:r w:rsidR="00E21A65" w:rsidRPr="003855CC">
          <w:rPr>
            <w:rStyle w:val="Hyperlink"/>
            <w:b/>
            <w:bCs/>
            <w:noProof/>
          </w:rPr>
          <w:t>Table 4.4:</w:t>
        </w:r>
        <w:r w:rsidR="00E21A65" w:rsidRPr="003855CC">
          <w:rPr>
            <w:rStyle w:val="Hyperlink"/>
            <w:noProof/>
          </w:rPr>
          <w:t xml:space="preserve"> Student’s t-Test for each metal between acidic and basic soil groups, bolded p-value is a rejection of the null hypothesis.</w:t>
        </w:r>
        <w:r w:rsidR="00E21A65">
          <w:rPr>
            <w:noProof/>
            <w:webHidden/>
          </w:rPr>
          <w:tab/>
        </w:r>
        <w:r w:rsidR="00E21A65">
          <w:rPr>
            <w:noProof/>
            <w:webHidden/>
          </w:rPr>
          <w:fldChar w:fldCharType="begin"/>
        </w:r>
        <w:r w:rsidR="00E21A65">
          <w:rPr>
            <w:noProof/>
            <w:webHidden/>
          </w:rPr>
          <w:instrText xml:space="preserve"> PAGEREF _Toc71224034 \h </w:instrText>
        </w:r>
        <w:r w:rsidR="00E21A65">
          <w:rPr>
            <w:noProof/>
            <w:webHidden/>
          </w:rPr>
        </w:r>
        <w:r w:rsidR="00E21A65">
          <w:rPr>
            <w:noProof/>
            <w:webHidden/>
          </w:rPr>
          <w:fldChar w:fldCharType="separate"/>
        </w:r>
        <w:r w:rsidR="007712B4">
          <w:rPr>
            <w:noProof/>
            <w:webHidden/>
          </w:rPr>
          <w:t>33</w:t>
        </w:r>
        <w:r w:rsidR="00E21A65">
          <w:rPr>
            <w:noProof/>
            <w:webHidden/>
          </w:rPr>
          <w:fldChar w:fldCharType="end"/>
        </w:r>
      </w:hyperlink>
    </w:p>
    <w:p w14:paraId="7F190F21" w14:textId="216A73FC" w:rsidR="00E21A65" w:rsidRDefault="00775C9C">
      <w:pPr>
        <w:pStyle w:val="TableofFigures"/>
        <w:tabs>
          <w:tab w:val="right" w:leader="dot" w:pos="9350"/>
        </w:tabs>
        <w:rPr>
          <w:rFonts w:asciiTheme="minorHAnsi" w:eastAsiaTheme="minorEastAsia" w:hAnsiTheme="minorHAnsi"/>
          <w:noProof/>
          <w:sz w:val="22"/>
        </w:rPr>
      </w:pPr>
      <w:hyperlink w:anchor="_Toc71224035" w:history="1">
        <w:r w:rsidR="00E21A65" w:rsidRPr="003855CC">
          <w:rPr>
            <w:rStyle w:val="Hyperlink"/>
            <w:b/>
            <w:bCs/>
            <w:noProof/>
          </w:rPr>
          <w:t>Table 4.5:</w:t>
        </w:r>
        <w:r w:rsidR="00E21A65" w:rsidRPr="003855CC">
          <w:rPr>
            <w:rStyle w:val="Hyperlink"/>
            <w:noProof/>
          </w:rPr>
          <w:t xml:space="preserve"> Logistic growth rate constant, k, and solubility limit, S, and midway point, b, of LIB metals into acidic and basic water.</w:t>
        </w:r>
        <w:r w:rsidR="00E21A65">
          <w:rPr>
            <w:noProof/>
            <w:webHidden/>
          </w:rPr>
          <w:tab/>
        </w:r>
        <w:r w:rsidR="00E21A65">
          <w:rPr>
            <w:noProof/>
            <w:webHidden/>
          </w:rPr>
          <w:fldChar w:fldCharType="begin"/>
        </w:r>
        <w:r w:rsidR="00E21A65">
          <w:rPr>
            <w:noProof/>
            <w:webHidden/>
          </w:rPr>
          <w:instrText xml:space="preserve"> PAGEREF _Toc71224035 \h </w:instrText>
        </w:r>
        <w:r w:rsidR="00E21A65">
          <w:rPr>
            <w:noProof/>
            <w:webHidden/>
          </w:rPr>
        </w:r>
        <w:r w:rsidR="00E21A65">
          <w:rPr>
            <w:noProof/>
            <w:webHidden/>
          </w:rPr>
          <w:fldChar w:fldCharType="separate"/>
        </w:r>
        <w:r w:rsidR="007712B4">
          <w:rPr>
            <w:noProof/>
            <w:webHidden/>
          </w:rPr>
          <w:t>38</w:t>
        </w:r>
        <w:r w:rsidR="00E21A65">
          <w:rPr>
            <w:noProof/>
            <w:webHidden/>
          </w:rPr>
          <w:fldChar w:fldCharType="end"/>
        </w:r>
      </w:hyperlink>
    </w:p>
    <w:p w14:paraId="7F666291" w14:textId="1B1237A5" w:rsidR="00E21A65" w:rsidRDefault="00775C9C">
      <w:pPr>
        <w:pStyle w:val="TableofFigures"/>
        <w:tabs>
          <w:tab w:val="right" w:leader="dot" w:pos="9350"/>
        </w:tabs>
        <w:rPr>
          <w:rFonts w:asciiTheme="minorHAnsi" w:eastAsiaTheme="minorEastAsia" w:hAnsiTheme="minorHAnsi"/>
          <w:noProof/>
          <w:sz w:val="22"/>
        </w:rPr>
      </w:pPr>
      <w:hyperlink w:anchor="_Toc71224036" w:history="1">
        <w:r w:rsidR="00E21A65" w:rsidRPr="003855CC">
          <w:rPr>
            <w:rStyle w:val="Hyperlink"/>
            <w:b/>
            <w:bCs/>
            <w:noProof/>
          </w:rPr>
          <w:t>Table 4.6:</w:t>
        </w:r>
        <w:r w:rsidR="00E21A65" w:rsidRPr="003855CC">
          <w:rPr>
            <w:rStyle w:val="Hyperlink"/>
            <w:noProof/>
          </w:rPr>
          <w:t xml:space="preserve"> Shapiro-Wilk Test for each metal in acidic water over 24 weeks, bolded value is a rejection of the null hypothesis.</w:t>
        </w:r>
        <w:r w:rsidR="00E21A65">
          <w:rPr>
            <w:noProof/>
            <w:webHidden/>
          </w:rPr>
          <w:tab/>
        </w:r>
        <w:r w:rsidR="00E21A65">
          <w:rPr>
            <w:noProof/>
            <w:webHidden/>
          </w:rPr>
          <w:fldChar w:fldCharType="begin"/>
        </w:r>
        <w:r w:rsidR="00E21A65">
          <w:rPr>
            <w:noProof/>
            <w:webHidden/>
          </w:rPr>
          <w:instrText xml:space="preserve"> PAGEREF _Toc71224036 \h </w:instrText>
        </w:r>
        <w:r w:rsidR="00E21A65">
          <w:rPr>
            <w:noProof/>
            <w:webHidden/>
          </w:rPr>
        </w:r>
        <w:r w:rsidR="00E21A65">
          <w:rPr>
            <w:noProof/>
            <w:webHidden/>
          </w:rPr>
          <w:fldChar w:fldCharType="separate"/>
        </w:r>
        <w:r w:rsidR="007712B4">
          <w:rPr>
            <w:noProof/>
            <w:webHidden/>
          </w:rPr>
          <w:t>39</w:t>
        </w:r>
        <w:r w:rsidR="00E21A65">
          <w:rPr>
            <w:noProof/>
            <w:webHidden/>
          </w:rPr>
          <w:fldChar w:fldCharType="end"/>
        </w:r>
      </w:hyperlink>
    </w:p>
    <w:p w14:paraId="15E03F00" w14:textId="47942B73" w:rsidR="00E21A65" w:rsidRDefault="00775C9C">
      <w:pPr>
        <w:pStyle w:val="TableofFigures"/>
        <w:tabs>
          <w:tab w:val="right" w:leader="dot" w:pos="9350"/>
        </w:tabs>
        <w:rPr>
          <w:rFonts w:asciiTheme="minorHAnsi" w:eastAsiaTheme="minorEastAsia" w:hAnsiTheme="minorHAnsi"/>
          <w:noProof/>
          <w:sz w:val="22"/>
        </w:rPr>
      </w:pPr>
      <w:hyperlink w:anchor="_Toc71224037" w:history="1">
        <w:r w:rsidR="00E21A65" w:rsidRPr="003855CC">
          <w:rPr>
            <w:rStyle w:val="Hyperlink"/>
            <w:b/>
            <w:bCs/>
            <w:noProof/>
          </w:rPr>
          <w:t>Table 4.7:</w:t>
        </w:r>
        <w:r w:rsidR="00E21A65" w:rsidRPr="003855CC">
          <w:rPr>
            <w:rStyle w:val="Hyperlink"/>
            <w:noProof/>
          </w:rPr>
          <w:t xml:space="preserve"> Shapiro-Wilk Test for each metal in basic water over 24 weeks, p &gt; 0.05 for all sample groups.</w:t>
        </w:r>
        <w:r w:rsidR="00E21A65">
          <w:rPr>
            <w:noProof/>
            <w:webHidden/>
          </w:rPr>
          <w:tab/>
        </w:r>
        <w:r w:rsidR="00E21A65">
          <w:rPr>
            <w:noProof/>
            <w:webHidden/>
          </w:rPr>
          <w:fldChar w:fldCharType="begin"/>
        </w:r>
        <w:r w:rsidR="00E21A65">
          <w:rPr>
            <w:noProof/>
            <w:webHidden/>
          </w:rPr>
          <w:instrText xml:space="preserve"> PAGEREF _Toc71224037 \h </w:instrText>
        </w:r>
        <w:r w:rsidR="00E21A65">
          <w:rPr>
            <w:noProof/>
            <w:webHidden/>
          </w:rPr>
        </w:r>
        <w:r w:rsidR="00E21A65">
          <w:rPr>
            <w:noProof/>
            <w:webHidden/>
          </w:rPr>
          <w:fldChar w:fldCharType="separate"/>
        </w:r>
        <w:r w:rsidR="007712B4">
          <w:rPr>
            <w:noProof/>
            <w:webHidden/>
          </w:rPr>
          <w:t>39</w:t>
        </w:r>
        <w:r w:rsidR="00E21A65">
          <w:rPr>
            <w:noProof/>
            <w:webHidden/>
          </w:rPr>
          <w:fldChar w:fldCharType="end"/>
        </w:r>
      </w:hyperlink>
    </w:p>
    <w:p w14:paraId="56DDB33F" w14:textId="19925412" w:rsidR="00E21A65" w:rsidRDefault="00775C9C">
      <w:pPr>
        <w:pStyle w:val="TableofFigures"/>
        <w:tabs>
          <w:tab w:val="right" w:leader="dot" w:pos="9350"/>
        </w:tabs>
        <w:rPr>
          <w:rFonts w:asciiTheme="minorHAnsi" w:eastAsiaTheme="minorEastAsia" w:hAnsiTheme="minorHAnsi"/>
          <w:noProof/>
          <w:sz w:val="22"/>
        </w:rPr>
      </w:pPr>
      <w:hyperlink w:anchor="_Toc71224038" w:history="1">
        <w:r w:rsidR="00E21A65" w:rsidRPr="003855CC">
          <w:rPr>
            <w:rStyle w:val="Hyperlink"/>
            <w:b/>
            <w:bCs/>
            <w:noProof/>
          </w:rPr>
          <w:t>Table 4.8:</w:t>
        </w:r>
        <w:r w:rsidR="00E21A65" w:rsidRPr="003855CC">
          <w:rPr>
            <w:rStyle w:val="Hyperlink"/>
            <w:noProof/>
          </w:rPr>
          <w:t xml:space="preserve"> Student’s t-Test for each metal between acidic and basic water groups.</w:t>
        </w:r>
        <w:r w:rsidR="00E21A65">
          <w:rPr>
            <w:noProof/>
            <w:webHidden/>
          </w:rPr>
          <w:tab/>
        </w:r>
        <w:r w:rsidR="00E21A65">
          <w:rPr>
            <w:noProof/>
            <w:webHidden/>
          </w:rPr>
          <w:fldChar w:fldCharType="begin"/>
        </w:r>
        <w:r w:rsidR="00E21A65">
          <w:rPr>
            <w:noProof/>
            <w:webHidden/>
          </w:rPr>
          <w:instrText xml:space="preserve"> PAGEREF _Toc71224038 \h </w:instrText>
        </w:r>
        <w:r w:rsidR="00E21A65">
          <w:rPr>
            <w:noProof/>
            <w:webHidden/>
          </w:rPr>
        </w:r>
        <w:r w:rsidR="00E21A65">
          <w:rPr>
            <w:noProof/>
            <w:webHidden/>
          </w:rPr>
          <w:fldChar w:fldCharType="separate"/>
        </w:r>
        <w:r w:rsidR="007712B4">
          <w:rPr>
            <w:noProof/>
            <w:webHidden/>
          </w:rPr>
          <w:t>39</w:t>
        </w:r>
        <w:r w:rsidR="00E21A65">
          <w:rPr>
            <w:noProof/>
            <w:webHidden/>
          </w:rPr>
          <w:fldChar w:fldCharType="end"/>
        </w:r>
      </w:hyperlink>
    </w:p>
    <w:p w14:paraId="12326656" w14:textId="03B98A36" w:rsidR="00E21A65" w:rsidRDefault="00775C9C">
      <w:pPr>
        <w:pStyle w:val="TableofFigures"/>
        <w:tabs>
          <w:tab w:val="right" w:leader="dot" w:pos="9350"/>
        </w:tabs>
        <w:rPr>
          <w:rFonts w:asciiTheme="minorHAnsi" w:eastAsiaTheme="minorEastAsia" w:hAnsiTheme="minorHAnsi"/>
          <w:noProof/>
          <w:sz w:val="22"/>
        </w:rPr>
      </w:pPr>
      <w:hyperlink w:anchor="_Toc71224039" w:history="1">
        <w:r w:rsidR="00E21A65" w:rsidRPr="003855CC">
          <w:rPr>
            <w:rStyle w:val="Hyperlink"/>
            <w:b/>
            <w:bCs/>
            <w:noProof/>
          </w:rPr>
          <w:t>Table A.1:</w:t>
        </w:r>
        <w:r w:rsidR="00E21A65" w:rsidRPr="003855CC">
          <w:rPr>
            <w:rStyle w:val="Hyperlink"/>
            <w:noProof/>
          </w:rPr>
          <w:t xml:space="preserve"> LIB NMC Powder verify cobalt is detectable by the XRF.</w:t>
        </w:r>
        <w:r w:rsidR="00E21A65">
          <w:rPr>
            <w:noProof/>
            <w:webHidden/>
          </w:rPr>
          <w:tab/>
        </w:r>
        <w:r w:rsidR="00E21A65">
          <w:rPr>
            <w:noProof/>
            <w:webHidden/>
          </w:rPr>
          <w:fldChar w:fldCharType="begin"/>
        </w:r>
        <w:r w:rsidR="00E21A65">
          <w:rPr>
            <w:noProof/>
            <w:webHidden/>
          </w:rPr>
          <w:instrText xml:space="preserve"> PAGEREF _Toc71224039 \h </w:instrText>
        </w:r>
        <w:r w:rsidR="00E21A65">
          <w:rPr>
            <w:noProof/>
            <w:webHidden/>
          </w:rPr>
        </w:r>
        <w:r w:rsidR="00E21A65">
          <w:rPr>
            <w:noProof/>
            <w:webHidden/>
          </w:rPr>
          <w:fldChar w:fldCharType="separate"/>
        </w:r>
        <w:r w:rsidR="007712B4">
          <w:rPr>
            <w:noProof/>
            <w:webHidden/>
          </w:rPr>
          <w:t>90</w:t>
        </w:r>
        <w:r w:rsidR="00E21A65">
          <w:rPr>
            <w:noProof/>
            <w:webHidden/>
          </w:rPr>
          <w:fldChar w:fldCharType="end"/>
        </w:r>
      </w:hyperlink>
    </w:p>
    <w:p w14:paraId="328C9AAE" w14:textId="6538846C" w:rsidR="00E21A65" w:rsidRDefault="00775C9C">
      <w:pPr>
        <w:pStyle w:val="TableofFigures"/>
        <w:tabs>
          <w:tab w:val="right" w:leader="dot" w:pos="9350"/>
        </w:tabs>
        <w:rPr>
          <w:rFonts w:asciiTheme="minorHAnsi" w:eastAsiaTheme="minorEastAsia" w:hAnsiTheme="minorHAnsi"/>
          <w:noProof/>
          <w:sz w:val="22"/>
        </w:rPr>
      </w:pPr>
      <w:hyperlink w:anchor="_Toc71224040" w:history="1">
        <w:r w:rsidR="00E21A65" w:rsidRPr="003855CC">
          <w:rPr>
            <w:rStyle w:val="Hyperlink"/>
            <w:b/>
            <w:bCs/>
            <w:noProof/>
          </w:rPr>
          <w:t>Table A.2:</w:t>
        </w:r>
        <w:r w:rsidR="00E21A65" w:rsidRPr="003855CC">
          <w:rPr>
            <w:rStyle w:val="Hyperlink"/>
            <w:noProof/>
          </w:rPr>
          <w:t xml:space="preserve"> Control soil metal concentrations</w:t>
        </w:r>
        <w:r w:rsidR="00E21A65">
          <w:rPr>
            <w:noProof/>
            <w:webHidden/>
          </w:rPr>
          <w:tab/>
        </w:r>
        <w:r w:rsidR="00E21A65">
          <w:rPr>
            <w:noProof/>
            <w:webHidden/>
          </w:rPr>
          <w:fldChar w:fldCharType="begin"/>
        </w:r>
        <w:r w:rsidR="00E21A65">
          <w:rPr>
            <w:noProof/>
            <w:webHidden/>
          </w:rPr>
          <w:instrText xml:space="preserve"> PAGEREF _Toc71224040 \h </w:instrText>
        </w:r>
        <w:r w:rsidR="00E21A65">
          <w:rPr>
            <w:noProof/>
            <w:webHidden/>
          </w:rPr>
        </w:r>
        <w:r w:rsidR="00E21A65">
          <w:rPr>
            <w:noProof/>
            <w:webHidden/>
          </w:rPr>
          <w:fldChar w:fldCharType="separate"/>
        </w:r>
        <w:r w:rsidR="007712B4">
          <w:rPr>
            <w:noProof/>
            <w:webHidden/>
          </w:rPr>
          <w:t>90</w:t>
        </w:r>
        <w:r w:rsidR="00E21A65">
          <w:rPr>
            <w:noProof/>
            <w:webHidden/>
          </w:rPr>
          <w:fldChar w:fldCharType="end"/>
        </w:r>
      </w:hyperlink>
    </w:p>
    <w:p w14:paraId="5716C9D8" w14:textId="77AADB2F" w:rsidR="00E21A65" w:rsidRDefault="00775C9C">
      <w:pPr>
        <w:pStyle w:val="TableofFigures"/>
        <w:tabs>
          <w:tab w:val="right" w:leader="dot" w:pos="9350"/>
        </w:tabs>
        <w:rPr>
          <w:rFonts w:asciiTheme="minorHAnsi" w:eastAsiaTheme="minorEastAsia" w:hAnsiTheme="minorHAnsi"/>
          <w:noProof/>
          <w:sz w:val="22"/>
        </w:rPr>
      </w:pPr>
      <w:hyperlink w:anchor="_Toc71224041" w:history="1">
        <w:r w:rsidR="00E21A65" w:rsidRPr="003855CC">
          <w:rPr>
            <w:rStyle w:val="Hyperlink"/>
            <w:b/>
            <w:bCs/>
            <w:noProof/>
          </w:rPr>
          <w:t>Table A.3:</w:t>
        </w:r>
        <w:r w:rsidR="00E21A65" w:rsidRPr="003855CC">
          <w:rPr>
            <w:rStyle w:val="Hyperlink"/>
            <w:noProof/>
          </w:rPr>
          <w:t xml:space="preserve"> Certified standards calibration trendline and R-Squared for each LIB metal</w:t>
        </w:r>
        <w:r w:rsidR="00E21A65">
          <w:rPr>
            <w:noProof/>
            <w:webHidden/>
          </w:rPr>
          <w:tab/>
        </w:r>
        <w:r w:rsidR="00E21A65">
          <w:rPr>
            <w:noProof/>
            <w:webHidden/>
          </w:rPr>
          <w:fldChar w:fldCharType="begin"/>
        </w:r>
        <w:r w:rsidR="00E21A65">
          <w:rPr>
            <w:noProof/>
            <w:webHidden/>
          </w:rPr>
          <w:instrText xml:space="preserve"> PAGEREF _Toc71224041 \h </w:instrText>
        </w:r>
        <w:r w:rsidR="00E21A65">
          <w:rPr>
            <w:noProof/>
            <w:webHidden/>
          </w:rPr>
        </w:r>
        <w:r w:rsidR="00E21A65">
          <w:rPr>
            <w:noProof/>
            <w:webHidden/>
          </w:rPr>
          <w:fldChar w:fldCharType="separate"/>
        </w:r>
        <w:r w:rsidR="007712B4">
          <w:rPr>
            <w:noProof/>
            <w:webHidden/>
          </w:rPr>
          <w:t>90</w:t>
        </w:r>
        <w:r w:rsidR="00E21A65">
          <w:rPr>
            <w:noProof/>
            <w:webHidden/>
          </w:rPr>
          <w:fldChar w:fldCharType="end"/>
        </w:r>
      </w:hyperlink>
    </w:p>
    <w:p w14:paraId="204A4BFF" w14:textId="69B69D73" w:rsidR="00E21A65" w:rsidRDefault="00775C9C">
      <w:pPr>
        <w:pStyle w:val="TableofFigures"/>
        <w:tabs>
          <w:tab w:val="right" w:leader="dot" w:pos="9350"/>
        </w:tabs>
        <w:rPr>
          <w:rFonts w:asciiTheme="minorHAnsi" w:eastAsiaTheme="minorEastAsia" w:hAnsiTheme="minorHAnsi"/>
          <w:noProof/>
          <w:sz w:val="22"/>
        </w:rPr>
      </w:pPr>
      <w:hyperlink w:anchor="_Toc71224042" w:history="1">
        <w:r w:rsidR="00E21A65" w:rsidRPr="003855CC">
          <w:rPr>
            <w:rStyle w:val="Hyperlink"/>
            <w:b/>
            <w:bCs/>
            <w:noProof/>
          </w:rPr>
          <w:t>Table A.4:</w:t>
        </w:r>
        <w:r w:rsidR="00E21A65" w:rsidRPr="003855CC">
          <w:rPr>
            <w:rStyle w:val="Hyperlink"/>
            <w:noProof/>
          </w:rPr>
          <w:t xml:space="preserve"> Control water metal concentrations</w:t>
        </w:r>
        <w:r w:rsidR="00E21A65">
          <w:rPr>
            <w:noProof/>
            <w:webHidden/>
          </w:rPr>
          <w:tab/>
        </w:r>
        <w:r w:rsidR="00E21A65">
          <w:rPr>
            <w:noProof/>
            <w:webHidden/>
          </w:rPr>
          <w:fldChar w:fldCharType="begin"/>
        </w:r>
        <w:r w:rsidR="00E21A65">
          <w:rPr>
            <w:noProof/>
            <w:webHidden/>
          </w:rPr>
          <w:instrText xml:space="preserve"> PAGEREF _Toc71224042 \h </w:instrText>
        </w:r>
        <w:r w:rsidR="00E21A65">
          <w:rPr>
            <w:noProof/>
            <w:webHidden/>
          </w:rPr>
        </w:r>
        <w:r w:rsidR="00E21A65">
          <w:rPr>
            <w:noProof/>
            <w:webHidden/>
          </w:rPr>
          <w:fldChar w:fldCharType="separate"/>
        </w:r>
        <w:r w:rsidR="007712B4">
          <w:rPr>
            <w:noProof/>
            <w:webHidden/>
          </w:rPr>
          <w:t>91</w:t>
        </w:r>
        <w:r w:rsidR="00E21A65">
          <w:rPr>
            <w:noProof/>
            <w:webHidden/>
          </w:rPr>
          <w:fldChar w:fldCharType="end"/>
        </w:r>
      </w:hyperlink>
    </w:p>
    <w:p w14:paraId="5D523806" w14:textId="66097090" w:rsidR="00E21A65" w:rsidRDefault="00775C9C">
      <w:pPr>
        <w:pStyle w:val="TableofFigures"/>
        <w:tabs>
          <w:tab w:val="right" w:leader="dot" w:pos="9350"/>
        </w:tabs>
        <w:rPr>
          <w:rFonts w:asciiTheme="minorHAnsi" w:eastAsiaTheme="minorEastAsia" w:hAnsiTheme="minorHAnsi"/>
          <w:noProof/>
          <w:sz w:val="22"/>
        </w:rPr>
      </w:pPr>
      <w:hyperlink w:anchor="_Toc71224043" w:history="1">
        <w:r w:rsidR="00E21A65" w:rsidRPr="003855CC">
          <w:rPr>
            <w:rStyle w:val="Hyperlink"/>
            <w:b/>
            <w:bCs/>
            <w:noProof/>
          </w:rPr>
          <w:t>Table A.5:</w:t>
        </w:r>
        <w:r w:rsidR="00E21A65" w:rsidRPr="003855CC">
          <w:rPr>
            <w:rStyle w:val="Hyperlink"/>
            <w:noProof/>
          </w:rPr>
          <w:t xml:space="preserve"> LIB metal concentrations for the new LIB, post 24 weeks in soil LIB, and post 24 weeks in water LIB.</w:t>
        </w:r>
        <w:r w:rsidR="00E21A65">
          <w:rPr>
            <w:noProof/>
            <w:webHidden/>
          </w:rPr>
          <w:tab/>
        </w:r>
        <w:r w:rsidR="00E21A65">
          <w:rPr>
            <w:noProof/>
            <w:webHidden/>
          </w:rPr>
          <w:fldChar w:fldCharType="begin"/>
        </w:r>
        <w:r w:rsidR="00E21A65">
          <w:rPr>
            <w:noProof/>
            <w:webHidden/>
          </w:rPr>
          <w:instrText xml:space="preserve"> PAGEREF _Toc71224043 \h </w:instrText>
        </w:r>
        <w:r w:rsidR="00E21A65">
          <w:rPr>
            <w:noProof/>
            <w:webHidden/>
          </w:rPr>
        </w:r>
        <w:r w:rsidR="00E21A65">
          <w:rPr>
            <w:noProof/>
            <w:webHidden/>
          </w:rPr>
          <w:fldChar w:fldCharType="separate"/>
        </w:r>
        <w:r w:rsidR="007712B4">
          <w:rPr>
            <w:noProof/>
            <w:webHidden/>
          </w:rPr>
          <w:t>91</w:t>
        </w:r>
        <w:r w:rsidR="00E21A65">
          <w:rPr>
            <w:noProof/>
            <w:webHidden/>
          </w:rPr>
          <w:fldChar w:fldCharType="end"/>
        </w:r>
      </w:hyperlink>
    </w:p>
    <w:p w14:paraId="2EE53E91" w14:textId="363C1579" w:rsidR="00264091" w:rsidRDefault="001650CC" w:rsidP="001650CC">
      <w:pPr>
        <w:tabs>
          <w:tab w:val="left" w:pos="720"/>
        </w:tabs>
        <w:ind w:left="720" w:hanging="720"/>
        <w:rPr>
          <w:b/>
          <w:bCs/>
        </w:rPr>
      </w:pPr>
      <w:r>
        <w:rPr>
          <w:b/>
          <w:bCs/>
        </w:rPr>
        <w:fldChar w:fldCharType="end"/>
      </w:r>
      <w:r w:rsidR="00264091">
        <w:rPr>
          <w:b/>
          <w:bCs/>
        </w:rPr>
        <w:br w:type="page"/>
      </w:r>
    </w:p>
    <w:p w14:paraId="5A441B35" w14:textId="31AB843A" w:rsidR="00264091" w:rsidRPr="002A4ADE" w:rsidRDefault="00264091" w:rsidP="009A56D3">
      <w:pPr>
        <w:pStyle w:val="Heading1"/>
        <w:ind w:hanging="720"/>
      </w:pPr>
      <w:bookmarkStart w:id="2" w:name="_Toc71223982"/>
      <w:r w:rsidRPr="002A4ADE">
        <w:lastRenderedPageBreak/>
        <w:t>List of Figures</w:t>
      </w:r>
      <w:bookmarkEnd w:id="2"/>
    </w:p>
    <w:p w14:paraId="67E72DFC" w14:textId="3A297703" w:rsidR="00E21A65" w:rsidRDefault="00570135">
      <w:pPr>
        <w:pStyle w:val="TableofFigures"/>
        <w:tabs>
          <w:tab w:val="right" w:leader="dot" w:pos="9350"/>
        </w:tabs>
        <w:rPr>
          <w:rFonts w:asciiTheme="minorHAnsi" w:eastAsiaTheme="minorEastAsia" w:hAnsiTheme="minorHAnsi"/>
          <w:noProof/>
          <w:sz w:val="22"/>
        </w:rPr>
      </w:pPr>
      <w:r>
        <w:fldChar w:fldCharType="begin"/>
      </w:r>
      <w:r>
        <w:instrText xml:space="preserve"> TOC \h \z \c " " </w:instrText>
      </w:r>
      <w:r>
        <w:fldChar w:fldCharType="separate"/>
      </w:r>
      <w:hyperlink w:anchor="_Toc71224044" w:history="1">
        <w:r w:rsidR="00E21A65" w:rsidRPr="00126440">
          <w:rPr>
            <w:rStyle w:val="Hyperlink"/>
            <w:b/>
            <w:bCs/>
            <w:noProof/>
          </w:rPr>
          <w:t>Figure 2.1:</w:t>
        </w:r>
        <w:r w:rsidR="00E21A65" w:rsidRPr="00126440">
          <w:rPr>
            <w:rStyle w:val="Hyperlink"/>
            <w:noProof/>
          </w:rPr>
          <w:t xml:space="preserve"> Diagram of a lithium-ion battery cell.</w:t>
        </w:r>
        <w:r w:rsidR="00E21A65">
          <w:rPr>
            <w:noProof/>
            <w:webHidden/>
          </w:rPr>
          <w:tab/>
        </w:r>
        <w:r w:rsidR="00E21A65">
          <w:rPr>
            <w:noProof/>
            <w:webHidden/>
          </w:rPr>
          <w:fldChar w:fldCharType="begin"/>
        </w:r>
        <w:r w:rsidR="00E21A65">
          <w:rPr>
            <w:noProof/>
            <w:webHidden/>
          </w:rPr>
          <w:instrText xml:space="preserve"> PAGEREF _Toc71224044 \h </w:instrText>
        </w:r>
        <w:r w:rsidR="00E21A65">
          <w:rPr>
            <w:noProof/>
            <w:webHidden/>
          </w:rPr>
        </w:r>
        <w:r w:rsidR="00E21A65">
          <w:rPr>
            <w:noProof/>
            <w:webHidden/>
          </w:rPr>
          <w:fldChar w:fldCharType="separate"/>
        </w:r>
        <w:r w:rsidR="007712B4">
          <w:rPr>
            <w:noProof/>
            <w:webHidden/>
          </w:rPr>
          <w:t>5</w:t>
        </w:r>
        <w:r w:rsidR="00E21A65">
          <w:rPr>
            <w:noProof/>
            <w:webHidden/>
          </w:rPr>
          <w:fldChar w:fldCharType="end"/>
        </w:r>
      </w:hyperlink>
    </w:p>
    <w:p w14:paraId="2ADC1628" w14:textId="750D714A" w:rsidR="00E21A65" w:rsidRDefault="00775C9C">
      <w:pPr>
        <w:pStyle w:val="TableofFigures"/>
        <w:tabs>
          <w:tab w:val="right" w:leader="dot" w:pos="9350"/>
        </w:tabs>
        <w:rPr>
          <w:rFonts w:asciiTheme="minorHAnsi" w:eastAsiaTheme="minorEastAsia" w:hAnsiTheme="minorHAnsi"/>
          <w:noProof/>
          <w:sz w:val="22"/>
        </w:rPr>
      </w:pPr>
      <w:hyperlink w:anchor="_Toc71224045" w:history="1">
        <w:r w:rsidR="00E21A65" w:rsidRPr="00126440">
          <w:rPr>
            <w:rStyle w:val="Hyperlink"/>
            <w:b/>
            <w:bCs/>
            <w:noProof/>
          </w:rPr>
          <w:t>Figure 4.1:</w:t>
        </w:r>
        <w:r w:rsidR="00E21A65" w:rsidRPr="00126440">
          <w:rPr>
            <w:rStyle w:val="Hyperlink"/>
            <w:noProof/>
          </w:rPr>
          <w:t xml:space="preserve"> Comparison of copper concentration in soil normalized to controls.</w:t>
        </w:r>
        <w:r w:rsidR="00E21A65">
          <w:rPr>
            <w:noProof/>
            <w:webHidden/>
          </w:rPr>
          <w:tab/>
        </w:r>
        <w:r w:rsidR="00E21A65">
          <w:rPr>
            <w:noProof/>
            <w:webHidden/>
          </w:rPr>
          <w:fldChar w:fldCharType="begin"/>
        </w:r>
        <w:r w:rsidR="00E21A65">
          <w:rPr>
            <w:noProof/>
            <w:webHidden/>
          </w:rPr>
          <w:instrText xml:space="preserve"> PAGEREF _Toc71224045 \h </w:instrText>
        </w:r>
        <w:r w:rsidR="00E21A65">
          <w:rPr>
            <w:noProof/>
            <w:webHidden/>
          </w:rPr>
        </w:r>
        <w:r w:rsidR="00E21A65">
          <w:rPr>
            <w:noProof/>
            <w:webHidden/>
          </w:rPr>
          <w:fldChar w:fldCharType="separate"/>
        </w:r>
        <w:r w:rsidR="007712B4">
          <w:rPr>
            <w:noProof/>
            <w:webHidden/>
          </w:rPr>
          <w:t>29</w:t>
        </w:r>
        <w:r w:rsidR="00E21A65">
          <w:rPr>
            <w:noProof/>
            <w:webHidden/>
          </w:rPr>
          <w:fldChar w:fldCharType="end"/>
        </w:r>
      </w:hyperlink>
    </w:p>
    <w:p w14:paraId="584ACECD" w14:textId="2940B139" w:rsidR="00E21A65" w:rsidRDefault="00775C9C">
      <w:pPr>
        <w:pStyle w:val="TableofFigures"/>
        <w:tabs>
          <w:tab w:val="right" w:leader="dot" w:pos="9350"/>
        </w:tabs>
        <w:rPr>
          <w:rFonts w:asciiTheme="minorHAnsi" w:eastAsiaTheme="minorEastAsia" w:hAnsiTheme="minorHAnsi"/>
          <w:noProof/>
          <w:sz w:val="22"/>
        </w:rPr>
      </w:pPr>
      <w:hyperlink w:anchor="_Toc71224046" w:history="1">
        <w:r w:rsidR="00E21A65" w:rsidRPr="00126440">
          <w:rPr>
            <w:rStyle w:val="Hyperlink"/>
            <w:b/>
            <w:bCs/>
            <w:noProof/>
          </w:rPr>
          <w:t>Figure 4.2:</w:t>
        </w:r>
        <w:r w:rsidR="00E21A65" w:rsidRPr="00126440">
          <w:rPr>
            <w:rStyle w:val="Hyperlink"/>
            <w:noProof/>
          </w:rPr>
          <w:t xml:space="preserve"> Comparison of manganese concentration in soil normalized to controls.</w:t>
        </w:r>
        <w:r w:rsidR="00E21A65">
          <w:rPr>
            <w:noProof/>
            <w:webHidden/>
          </w:rPr>
          <w:tab/>
        </w:r>
        <w:r w:rsidR="00E21A65">
          <w:rPr>
            <w:noProof/>
            <w:webHidden/>
          </w:rPr>
          <w:fldChar w:fldCharType="begin"/>
        </w:r>
        <w:r w:rsidR="00E21A65">
          <w:rPr>
            <w:noProof/>
            <w:webHidden/>
          </w:rPr>
          <w:instrText xml:space="preserve"> PAGEREF _Toc71224046 \h </w:instrText>
        </w:r>
        <w:r w:rsidR="00E21A65">
          <w:rPr>
            <w:noProof/>
            <w:webHidden/>
          </w:rPr>
        </w:r>
        <w:r w:rsidR="00E21A65">
          <w:rPr>
            <w:noProof/>
            <w:webHidden/>
          </w:rPr>
          <w:fldChar w:fldCharType="separate"/>
        </w:r>
        <w:r w:rsidR="007712B4">
          <w:rPr>
            <w:noProof/>
            <w:webHidden/>
          </w:rPr>
          <w:t>29</w:t>
        </w:r>
        <w:r w:rsidR="00E21A65">
          <w:rPr>
            <w:noProof/>
            <w:webHidden/>
          </w:rPr>
          <w:fldChar w:fldCharType="end"/>
        </w:r>
      </w:hyperlink>
    </w:p>
    <w:p w14:paraId="48EC793F" w14:textId="52B8CABB" w:rsidR="00E21A65" w:rsidRDefault="00775C9C">
      <w:pPr>
        <w:pStyle w:val="TableofFigures"/>
        <w:tabs>
          <w:tab w:val="right" w:leader="dot" w:pos="9350"/>
        </w:tabs>
        <w:rPr>
          <w:rFonts w:asciiTheme="minorHAnsi" w:eastAsiaTheme="minorEastAsia" w:hAnsiTheme="minorHAnsi"/>
          <w:noProof/>
          <w:sz w:val="22"/>
        </w:rPr>
      </w:pPr>
      <w:hyperlink w:anchor="_Toc71224047" w:history="1">
        <w:r w:rsidR="00E21A65" w:rsidRPr="00126440">
          <w:rPr>
            <w:rStyle w:val="Hyperlink"/>
            <w:b/>
            <w:bCs/>
            <w:noProof/>
          </w:rPr>
          <w:t>Figure 4.3:</w:t>
        </w:r>
        <w:r w:rsidR="00E21A65" w:rsidRPr="00126440">
          <w:rPr>
            <w:rStyle w:val="Hyperlink"/>
            <w:noProof/>
          </w:rPr>
          <w:t xml:space="preserve"> Comparison of nickel concentration in soil normalized to controls.</w:t>
        </w:r>
        <w:r w:rsidR="00E21A65">
          <w:rPr>
            <w:noProof/>
            <w:webHidden/>
          </w:rPr>
          <w:tab/>
        </w:r>
        <w:r w:rsidR="00E21A65">
          <w:rPr>
            <w:noProof/>
            <w:webHidden/>
          </w:rPr>
          <w:fldChar w:fldCharType="begin"/>
        </w:r>
        <w:r w:rsidR="00E21A65">
          <w:rPr>
            <w:noProof/>
            <w:webHidden/>
          </w:rPr>
          <w:instrText xml:space="preserve"> PAGEREF _Toc71224047 \h </w:instrText>
        </w:r>
        <w:r w:rsidR="00E21A65">
          <w:rPr>
            <w:noProof/>
            <w:webHidden/>
          </w:rPr>
        </w:r>
        <w:r w:rsidR="00E21A65">
          <w:rPr>
            <w:noProof/>
            <w:webHidden/>
          </w:rPr>
          <w:fldChar w:fldCharType="separate"/>
        </w:r>
        <w:r w:rsidR="007712B4">
          <w:rPr>
            <w:noProof/>
            <w:webHidden/>
          </w:rPr>
          <w:t>30</w:t>
        </w:r>
        <w:r w:rsidR="00E21A65">
          <w:rPr>
            <w:noProof/>
            <w:webHidden/>
          </w:rPr>
          <w:fldChar w:fldCharType="end"/>
        </w:r>
      </w:hyperlink>
    </w:p>
    <w:p w14:paraId="32F43982" w14:textId="21EB685E" w:rsidR="00E21A65" w:rsidRDefault="00775C9C">
      <w:pPr>
        <w:pStyle w:val="TableofFigures"/>
        <w:tabs>
          <w:tab w:val="right" w:leader="dot" w:pos="9350"/>
        </w:tabs>
        <w:rPr>
          <w:rFonts w:asciiTheme="minorHAnsi" w:eastAsiaTheme="minorEastAsia" w:hAnsiTheme="minorHAnsi"/>
          <w:noProof/>
          <w:sz w:val="22"/>
        </w:rPr>
      </w:pPr>
      <w:hyperlink w:anchor="_Toc71224048" w:history="1">
        <w:r w:rsidR="00E21A65" w:rsidRPr="00126440">
          <w:rPr>
            <w:rStyle w:val="Hyperlink"/>
            <w:b/>
            <w:bCs/>
            <w:noProof/>
          </w:rPr>
          <w:t>Figure 4.4:</w:t>
        </w:r>
        <w:r w:rsidR="00E21A65" w:rsidRPr="00126440">
          <w:rPr>
            <w:rStyle w:val="Hyperlink"/>
            <w:noProof/>
          </w:rPr>
          <w:t xml:space="preserve"> Comparison of aluminum concentration in soil normalized to controls.</w:t>
        </w:r>
        <w:r w:rsidR="00E21A65">
          <w:rPr>
            <w:noProof/>
            <w:webHidden/>
          </w:rPr>
          <w:tab/>
        </w:r>
        <w:r w:rsidR="00E21A65">
          <w:rPr>
            <w:noProof/>
            <w:webHidden/>
          </w:rPr>
          <w:fldChar w:fldCharType="begin"/>
        </w:r>
        <w:r w:rsidR="00E21A65">
          <w:rPr>
            <w:noProof/>
            <w:webHidden/>
          </w:rPr>
          <w:instrText xml:space="preserve"> PAGEREF _Toc71224048 \h </w:instrText>
        </w:r>
        <w:r w:rsidR="00E21A65">
          <w:rPr>
            <w:noProof/>
            <w:webHidden/>
          </w:rPr>
        </w:r>
        <w:r w:rsidR="00E21A65">
          <w:rPr>
            <w:noProof/>
            <w:webHidden/>
          </w:rPr>
          <w:fldChar w:fldCharType="separate"/>
        </w:r>
        <w:r w:rsidR="007712B4">
          <w:rPr>
            <w:noProof/>
            <w:webHidden/>
          </w:rPr>
          <w:t>30</w:t>
        </w:r>
        <w:r w:rsidR="00E21A65">
          <w:rPr>
            <w:noProof/>
            <w:webHidden/>
          </w:rPr>
          <w:fldChar w:fldCharType="end"/>
        </w:r>
      </w:hyperlink>
    </w:p>
    <w:p w14:paraId="5E4EFEFA" w14:textId="7829610E" w:rsidR="00E21A65" w:rsidRDefault="00775C9C">
      <w:pPr>
        <w:pStyle w:val="TableofFigures"/>
        <w:tabs>
          <w:tab w:val="right" w:leader="dot" w:pos="9350"/>
        </w:tabs>
        <w:rPr>
          <w:rFonts w:asciiTheme="minorHAnsi" w:eastAsiaTheme="minorEastAsia" w:hAnsiTheme="minorHAnsi"/>
          <w:noProof/>
          <w:sz w:val="22"/>
        </w:rPr>
      </w:pPr>
      <w:hyperlink w:anchor="_Toc71224049" w:history="1">
        <w:r w:rsidR="00E21A65" w:rsidRPr="00126440">
          <w:rPr>
            <w:rStyle w:val="Hyperlink"/>
            <w:b/>
            <w:bCs/>
            <w:noProof/>
          </w:rPr>
          <w:t>Figure 4.5:</w:t>
        </w:r>
        <w:r w:rsidR="00E21A65" w:rsidRPr="00126440">
          <w:rPr>
            <w:rStyle w:val="Hyperlink"/>
            <w:noProof/>
          </w:rPr>
          <w:t xml:space="preserve"> Copper concentration comparison between acidic and basic soil, including standard deviation and Student’s t-Test outliers.</w:t>
        </w:r>
        <w:r w:rsidR="00E21A65">
          <w:rPr>
            <w:noProof/>
            <w:webHidden/>
          </w:rPr>
          <w:tab/>
        </w:r>
        <w:r w:rsidR="00E21A65">
          <w:rPr>
            <w:noProof/>
            <w:webHidden/>
          </w:rPr>
          <w:fldChar w:fldCharType="begin"/>
        </w:r>
        <w:r w:rsidR="00E21A65">
          <w:rPr>
            <w:noProof/>
            <w:webHidden/>
          </w:rPr>
          <w:instrText xml:space="preserve"> PAGEREF _Toc71224049 \h </w:instrText>
        </w:r>
        <w:r w:rsidR="00E21A65">
          <w:rPr>
            <w:noProof/>
            <w:webHidden/>
          </w:rPr>
        </w:r>
        <w:r w:rsidR="00E21A65">
          <w:rPr>
            <w:noProof/>
            <w:webHidden/>
          </w:rPr>
          <w:fldChar w:fldCharType="separate"/>
        </w:r>
        <w:r w:rsidR="007712B4">
          <w:rPr>
            <w:noProof/>
            <w:webHidden/>
          </w:rPr>
          <w:t>33</w:t>
        </w:r>
        <w:r w:rsidR="00E21A65">
          <w:rPr>
            <w:noProof/>
            <w:webHidden/>
          </w:rPr>
          <w:fldChar w:fldCharType="end"/>
        </w:r>
      </w:hyperlink>
    </w:p>
    <w:p w14:paraId="179892FE" w14:textId="6F9B1B1D" w:rsidR="00E21A65" w:rsidRDefault="00775C9C">
      <w:pPr>
        <w:pStyle w:val="TableofFigures"/>
        <w:tabs>
          <w:tab w:val="right" w:leader="dot" w:pos="9350"/>
        </w:tabs>
        <w:rPr>
          <w:rFonts w:asciiTheme="minorHAnsi" w:eastAsiaTheme="minorEastAsia" w:hAnsiTheme="minorHAnsi"/>
          <w:noProof/>
          <w:sz w:val="22"/>
        </w:rPr>
      </w:pPr>
      <w:hyperlink w:anchor="_Toc71224050" w:history="1">
        <w:r w:rsidR="00E21A65" w:rsidRPr="00126440">
          <w:rPr>
            <w:rStyle w:val="Hyperlink"/>
            <w:b/>
            <w:bCs/>
            <w:noProof/>
          </w:rPr>
          <w:t>Figure 4.6:</w:t>
        </w:r>
        <w:r w:rsidR="00E21A65" w:rsidRPr="00126440">
          <w:rPr>
            <w:rStyle w:val="Hyperlink"/>
            <w:noProof/>
          </w:rPr>
          <w:t xml:space="preserve"> Manganese concentration comparison between acidic and basic soil, including standard deviation and Student’s t-Test outliers.</w:t>
        </w:r>
        <w:r w:rsidR="00E21A65">
          <w:rPr>
            <w:noProof/>
            <w:webHidden/>
          </w:rPr>
          <w:tab/>
        </w:r>
        <w:r w:rsidR="00E21A65">
          <w:rPr>
            <w:noProof/>
            <w:webHidden/>
          </w:rPr>
          <w:fldChar w:fldCharType="begin"/>
        </w:r>
        <w:r w:rsidR="00E21A65">
          <w:rPr>
            <w:noProof/>
            <w:webHidden/>
          </w:rPr>
          <w:instrText xml:space="preserve"> PAGEREF _Toc71224050 \h </w:instrText>
        </w:r>
        <w:r w:rsidR="00E21A65">
          <w:rPr>
            <w:noProof/>
            <w:webHidden/>
          </w:rPr>
        </w:r>
        <w:r w:rsidR="00E21A65">
          <w:rPr>
            <w:noProof/>
            <w:webHidden/>
          </w:rPr>
          <w:fldChar w:fldCharType="separate"/>
        </w:r>
        <w:r w:rsidR="007712B4">
          <w:rPr>
            <w:noProof/>
            <w:webHidden/>
          </w:rPr>
          <w:t>34</w:t>
        </w:r>
        <w:r w:rsidR="00E21A65">
          <w:rPr>
            <w:noProof/>
            <w:webHidden/>
          </w:rPr>
          <w:fldChar w:fldCharType="end"/>
        </w:r>
      </w:hyperlink>
    </w:p>
    <w:p w14:paraId="534BC967" w14:textId="4CA1EAF4" w:rsidR="00E21A65" w:rsidRDefault="00775C9C">
      <w:pPr>
        <w:pStyle w:val="TableofFigures"/>
        <w:tabs>
          <w:tab w:val="right" w:leader="dot" w:pos="9350"/>
        </w:tabs>
        <w:rPr>
          <w:rFonts w:asciiTheme="minorHAnsi" w:eastAsiaTheme="minorEastAsia" w:hAnsiTheme="minorHAnsi"/>
          <w:noProof/>
          <w:sz w:val="22"/>
        </w:rPr>
      </w:pPr>
      <w:hyperlink w:anchor="_Toc71224051" w:history="1">
        <w:r w:rsidR="00E21A65" w:rsidRPr="00126440">
          <w:rPr>
            <w:rStyle w:val="Hyperlink"/>
            <w:b/>
            <w:bCs/>
            <w:noProof/>
          </w:rPr>
          <w:t>Figure 4.7:</w:t>
        </w:r>
        <w:r w:rsidR="00E21A65" w:rsidRPr="00126440">
          <w:rPr>
            <w:rStyle w:val="Hyperlink"/>
            <w:noProof/>
          </w:rPr>
          <w:t xml:space="preserve"> Nickel concentration comparison between acidic and basic soil, including standard deviation and Student’s t-Test outliers.</w:t>
        </w:r>
        <w:r w:rsidR="00E21A65">
          <w:rPr>
            <w:noProof/>
            <w:webHidden/>
          </w:rPr>
          <w:tab/>
        </w:r>
        <w:r w:rsidR="00E21A65">
          <w:rPr>
            <w:noProof/>
            <w:webHidden/>
          </w:rPr>
          <w:fldChar w:fldCharType="begin"/>
        </w:r>
        <w:r w:rsidR="00E21A65">
          <w:rPr>
            <w:noProof/>
            <w:webHidden/>
          </w:rPr>
          <w:instrText xml:space="preserve"> PAGEREF _Toc71224051 \h </w:instrText>
        </w:r>
        <w:r w:rsidR="00E21A65">
          <w:rPr>
            <w:noProof/>
            <w:webHidden/>
          </w:rPr>
        </w:r>
        <w:r w:rsidR="00E21A65">
          <w:rPr>
            <w:noProof/>
            <w:webHidden/>
          </w:rPr>
          <w:fldChar w:fldCharType="separate"/>
        </w:r>
        <w:r w:rsidR="007712B4">
          <w:rPr>
            <w:noProof/>
            <w:webHidden/>
          </w:rPr>
          <w:t>34</w:t>
        </w:r>
        <w:r w:rsidR="00E21A65">
          <w:rPr>
            <w:noProof/>
            <w:webHidden/>
          </w:rPr>
          <w:fldChar w:fldCharType="end"/>
        </w:r>
      </w:hyperlink>
    </w:p>
    <w:p w14:paraId="1D7A57ED" w14:textId="2018752C" w:rsidR="00E21A65" w:rsidRDefault="00775C9C">
      <w:pPr>
        <w:pStyle w:val="TableofFigures"/>
        <w:tabs>
          <w:tab w:val="right" w:leader="dot" w:pos="9350"/>
        </w:tabs>
        <w:rPr>
          <w:rFonts w:asciiTheme="minorHAnsi" w:eastAsiaTheme="minorEastAsia" w:hAnsiTheme="minorHAnsi"/>
          <w:noProof/>
          <w:sz w:val="22"/>
        </w:rPr>
      </w:pPr>
      <w:hyperlink w:anchor="_Toc71224052" w:history="1">
        <w:r w:rsidR="00E21A65" w:rsidRPr="00126440">
          <w:rPr>
            <w:rStyle w:val="Hyperlink"/>
            <w:b/>
            <w:bCs/>
            <w:noProof/>
          </w:rPr>
          <w:t>Figure 4.8:</w:t>
        </w:r>
        <w:r w:rsidR="00E21A65" w:rsidRPr="00126440">
          <w:rPr>
            <w:rStyle w:val="Hyperlink"/>
            <w:noProof/>
          </w:rPr>
          <w:t xml:space="preserve"> Aluminum concentration comparison between acidic and basic soil, including standard deviation and Student’s t-Test outliers.</w:t>
        </w:r>
        <w:r w:rsidR="00E21A65">
          <w:rPr>
            <w:noProof/>
            <w:webHidden/>
          </w:rPr>
          <w:tab/>
        </w:r>
        <w:r w:rsidR="00E21A65">
          <w:rPr>
            <w:noProof/>
            <w:webHidden/>
          </w:rPr>
          <w:fldChar w:fldCharType="begin"/>
        </w:r>
        <w:r w:rsidR="00E21A65">
          <w:rPr>
            <w:noProof/>
            <w:webHidden/>
          </w:rPr>
          <w:instrText xml:space="preserve"> PAGEREF _Toc71224052 \h </w:instrText>
        </w:r>
        <w:r w:rsidR="00E21A65">
          <w:rPr>
            <w:noProof/>
            <w:webHidden/>
          </w:rPr>
        </w:r>
        <w:r w:rsidR="00E21A65">
          <w:rPr>
            <w:noProof/>
            <w:webHidden/>
          </w:rPr>
          <w:fldChar w:fldCharType="separate"/>
        </w:r>
        <w:r w:rsidR="007712B4">
          <w:rPr>
            <w:noProof/>
            <w:webHidden/>
          </w:rPr>
          <w:t>35</w:t>
        </w:r>
        <w:r w:rsidR="00E21A65">
          <w:rPr>
            <w:noProof/>
            <w:webHidden/>
          </w:rPr>
          <w:fldChar w:fldCharType="end"/>
        </w:r>
      </w:hyperlink>
    </w:p>
    <w:p w14:paraId="798BDAF6" w14:textId="5D613F4F" w:rsidR="00E21A65" w:rsidRDefault="00775C9C">
      <w:pPr>
        <w:pStyle w:val="TableofFigures"/>
        <w:tabs>
          <w:tab w:val="right" w:leader="dot" w:pos="9350"/>
        </w:tabs>
        <w:rPr>
          <w:rFonts w:asciiTheme="minorHAnsi" w:eastAsiaTheme="minorEastAsia" w:hAnsiTheme="minorHAnsi"/>
          <w:noProof/>
          <w:sz w:val="22"/>
        </w:rPr>
      </w:pPr>
      <w:hyperlink w:anchor="_Toc71224053" w:history="1">
        <w:r w:rsidR="00E21A65" w:rsidRPr="00126440">
          <w:rPr>
            <w:rStyle w:val="Hyperlink"/>
            <w:b/>
            <w:bCs/>
            <w:noProof/>
          </w:rPr>
          <w:t>Figure 4.9:</w:t>
        </w:r>
        <w:r w:rsidR="00E21A65" w:rsidRPr="00126440">
          <w:rPr>
            <w:rStyle w:val="Hyperlink"/>
            <w:noProof/>
          </w:rPr>
          <w:t xml:space="preserve"> Comparison of copper concentration in water normalized to controls.</w:t>
        </w:r>
        <w:r w:rsidR="00E21A65">
          <w:rPr>
            <w:noProof/>
            <w:webHidden/>
          </w:rPr>
          <w:tab/>
        </w:r>
        <w:r w:rsidR="00E21A65">
          <w:rPr>
            <w:noProof/>
            <w:webHidden/>
          </w:rPr>
          <w:fldChar w:fldCharType="begin"/>
        </w:r>
        <w:r w:rsidR="00E21A65">
          <w:rPr>
            <w:noProof/>
            <w:webHidden/>
          </w:rPr>
          <w:instrText xml:space="preserve"> PAGEREF _Toc71224053 \h </w:instrText>
        </w:r>
        <w:r w:rsidR="00E21A65">
          <w:rPr>
            <w:noProof/>
            <w:webHidden/>
          </w:rPr>
        </w:r>
        <w:r w:rsidR="00E21A65">
          <w:rPr>
            <w:noProof/>
            <w:webHidden/>
          </w:rPr>
          <w:fldChar w:fldCharType="separate"/>
        </w:r>
        <w:r w:rsidR="007712B4">
          <w:rPr>
            <w:noProof/>
            <w:webHidden/>
          </w:rPr>
          <w:t>36</w:t>
        </w:r>
        <w:r w:rsidR="00E21A65">
          <w:rPr>
            <w:noProof/>
            <w:webHidden/>
          </w:rPr>
          <w:fldChar w:fldCharType="end"/>
        </w:r>
      </w:hyperlink>
    </w:p>
    <w:p w14:paraId="055C1498" w14:textId="3F2D37BB" w:rsidR="00E21A65" w:rsidRDefault="00775C9C">
      <w:pPr>
        <w:pStyle w:val="TableofFigures"/>
        <w:tabs>
          <w:tab w:val="right" w:leader="dot" w:pos="9350"/>
        </w:tabs>
        <w:rPr>
          <w:rFonts w:asciiTheme="minorHAnsi" w:eastAsiaTheme="minorEastAsia" w:hAnsiTheme="minorHAnsi"/>
          <w:noProof/>
          <w:sz w:val="22"/>
        </w:rPr>
      </w:pPr>
      <w:hyperlink w:anchor="_Toc71224054" w:history="1">
        <w:r w:rsidR="00E21A65" w:rsidRPr="00126440">
          <w:rPr>
            <w:rStyle w:val="Hyperlink"/>
            <w:b/>
            <w:bCs/>
            <w:noProof/>
          </w:rPr>
          <w:t>Figure 4.10:</w:t>
        </w:r>
        <w:r w:rsidR="00E21A65" w:rsidRPr="00126440">
          <w:rPr>
            <w:rStyle w:val="Hyperlink"/>
            <w:noProof/>
          </w:rPr>
          <w:t xml:space="preserve"> Comparison of manganese concentration in water normalized to controls.</w:t>
        </w:r>
        <w:r w:rsidR="00E21A65">
          <w:rPr>
            <w:noProof/>
            <w:webHidden/>
          </w:rPr>
          <w:tab/>
        </w:r>
        <w:r w:rsidR="00E21A65">
          <w:rPr>
            <w:noProof/>
            <w:webHidden/>
          </w:rPr>
          <w:fldChar w:fldCharType="begin"/>
        </w:r>
        <w:r w:rsidR="00E21A65">
          <w:rPr>
            <w:noProof/>
            <w:webHidden/>
          </w:rPr>
          <w:instrText xml:space="preserve"> PAGEREF _Toc71224054 \h </w:instrText>
        </w:r>
        <w:r w:rsidR="00E21A65">
          <w:rPr>
            <w:noProof/>
            <w:webHidden/>
          </w:rPr>
        </w:r>
        <w:r w:rsidR="00E21A65">
          <w:rPr>
            <w:noProof/>
            <w:webHidden/>
          </w:rPr>
          <w:fldChar w:fldCharType="separate"/>
        </w:r>
        <w:r w:rsidR="007712B4">
          <w:rPr>
            <w:noProof/>
            <w:webHidden/>
          </w:rPr>
          <w:t>37</w:t>
        </w:r>
        <w:r w:rsidR="00E21A65">
          <w:rPr>
            <w:noProof/>
            <w:webHidden/>
          </w:rPr>
          <w:fldChar w:fldCharType="end"/>
        </w:r>
      </w:hyperlink>
    </w:p>
    <w:p w14:paraId="388EBD32" w14:textId="0E97B6D9" w:rsidR="00E21A65" w:rsidRDefault="00775C9C">
      <w:pPr>
        <w:pStyle w:val="TableofFigures"/>
        <w:tabs>
          <w:tab w:val="right" w:leader="dot" w:pos="9350"/>
        </w:tabs>
        <w:rPr>
          <w:rFonts w:asciiTheme="minorHAnsi" w:eastAsiaTheme="minorEastAsia" w:hAnsiTheme="minorHAnsi"/>
          <w:noProof/>
          <w:sz w:val="22"/>
        </w:rPr>
      </w:pPr>
      <w:hyperlink w:anchor="_Toc71224055" w:history="1">
        <w:r w:rsidR="00E21A65" w:rsidRPr="00126440">
          <w:rPr>
            <w:rStyle w:val="Hyperlink"/>
            <w:b/>
            <w:bCs/>
            <w:noProof/>
          </w:rPr>
          <w:t>Figure 4.11:</w:t>
        </w:r>
        <w:r w:rsidR="00E21A65" w:rsidRPr="00126440">
          <w:rPr>
            <w:rStyle w:val="Hyperlink"/>
            <w:noProof/>
          </w:rPr>
          <w:t xml:space="preserve"> Comparison of nickel concentration in water normalized to controls.</w:t>
        </w:r>
        <w:r w:rsidR="00E21A65">
          <w:rPr>
            <w:noProof/>
            <w:webHidden/>
          </w:rPr>
          <w:tab/>
        </w:r>
        <w:r w:rsidR="00E21A65">
          <w:rPr>
            <w:noProof/>
            <w:webHidden/>
          </w:rPr>
          <w:fldChar w:fldCharType="begin"/>
        </w:r>
        <w:r w:rsidR="00E21A65">
          <w:rPr>
            <w:noProof/>
            <w:webHidden/>
          </w:rPr>
          <w:instrText xml:space="preserve"> PAGEREF _Toc71224055 \h </w:instrText>
        </w:r>
        <w:r w:rsidR="00E21A65">
          <w:rPr>
            <w:noProof/>
            <w:webHidden/>
          </w:rPr>
        </w:r>
        <w:r w:rsidR="00E21A65">
          <w:rPr>
            <w:noProof/>
            <w:webHidden/>
          </w:rPr>
          <w:fldChar w:fldCharType="separate"/>
        </w:r>
        <w:r w:rsidR="007712B4">
          <w:rPr>
            <w:noProof/>
            <w:webHidden/>
          </w:rPr>
          <w:t>37</w:t>
        </w:r>
        <w:r w:rsidR="00E21A65">
          <w:rPr>
            <w:noProof/>
            <w:webHidden/>
          </w:rPr>
          <w:fldChar w:fldCharType="end"/>
        </w:r>
      </w:hyperlink>
    </w:p>
    <w:p w14:paraId="56FD06EC" w14:textId="7157A61C" w:rsidR="00E21A65" w:rsidRDefault="00775C9C">
      <w:pPr>
        <w:pStyle w:val="TableofFigures"/>
        <w:tabs>
          <w:tab w:val="right" w:leader="dot" w:pos="9350"/>
        </w:tabs>
        <w:rPr>
          <w:rFonts w:asciiTheme="minorHAnsi" w:eastAsiaTheme="minorEastAsia" w:hAnsiTheme="minorHAnsi"/>
          <w:noProof/>
          <w:sz w:val="22"/>
        </w:rPr>
      </w:pPr>
      <w:hyperlink w:anchor="_Toc71224056" w:history="1">
        <w:r w:rsidR="00E21A65" w:rsidRPr="00126440">
          <w:rPr>
            <w:rStyle w:val="Hyperlink"/>
            <w:b/>
            <w:bCs/>
            <w:noProof/>
          </w:rPr>
          <w:t>Figure 4.12:</w:t>
        </w:r>
        <w:r w:rsidR="00E21A65" w:rsidRPr="00126440">
          <w:rPr>
            <w:rStyle w:val="Hyperlink"/>
            <w:noProof/>
          </w:rPr>
          <w:t xml:space="preserve"> Comparison of aluminum concentration in water normalized to controls.</w:t>
        </w:r>
        <w:r w:rsidR="00E21A65">
          <w:rPr>
            <w:noProof/>
            <w:webHidden/>
          </w:rPr>
          <w:tab/>
        </w:r>
        <w:r w:rsidR="00E21A65">
          <w:rPr>
            <w:noProof/>
            <w:webHidden/>
          </w:rPr>
          <w:fldChar w:fldCharType="begin"/>
        </w:r>
        <w:r w:rsidR="00E21A65">
          <w:rPr>
            <w:noProof/>
            <w:webHidden/>
          </w:rPr>
          <w:instrText xml:space="preserve"> PAGEREF _Toc71224056 \h </w:instrText>
        </w:r>
        <w:r w:rsidR="00E21A65">
          <w:rPr>
            <w:noProof/>
            <w:webHidden/>
          </w:rPr>
        </w:r>
        <w:r w:rsidR="00E21A65">
          <w:rPr>
            <w:noProof/>
            <w:webHidden/>
          </w:rPr>
          <w:fldChar w:fldCharType="separate"/>
        </w:r>
        <w:r w:rsidR="007712B4">
          <w:rPr>
            <w:noProof/>
            <w:webHidden/>
          </w:rPr>
          <w:t>38</w:t>
        </w:r>
        <w:r w:rsidR="00E21A65">
          <w:rPr>
            <w:noProof/>
            <w:webHidden/>
          </w:rPr>
          <w:fldChar w:fldCharType="end"/>
        </w:r>
      </w:hyperlink>
    </w:p>
    <w:p w14:paraId="43FF6AD2" w14:textId="09D843A1" w:rsidR="00E21A65" w:rsidRDefault="00775C9C">
      <w:pPr>
        <w:pStyle w:val="TableofFigures"/>
        <w:tabs>
          <w:tab w:val="right" w:leader="dot" w:pos="9350"/>
        </w:tabs>
        <w:rPr>
          <w:rFonts w:asciiTheme="minorHAnsi" w:eastAsiaTheme="minorEastAsia" w:hAnsiTheme="minorHAnsi"/>
          <w:noProof/>
          <w:sz w:val="22"/>
        </w:rPr>
      </w:pPr>
      <w:hyperlink w:anchor="_Toc71224057" w:history="1">
        <w:r w:rsidR="00E21A65" w:rsidRPr="00126440">
          <w:rPr>
            <w:rStyle w:val="Hyperlink"/>
            <w:b/>
            <w:bCs/>
            <w:noProof/>
          </w:rPr>
          <w:t>Figure 4.13:</w:t>
        </w:r>
        <w:r w:rsidR="00E21A65" w:rsidRPr="00126440">
          <w:rPr>
            <w:rStyle w:val="Hyperlink"/>
            <w:noProof/>
          </w:rPr>
          <w:t xml:space="preserve"> Copper concentration comparison between acidic and basic water, normalized to the control, including standard deviation and Student’s t-Test.</w:t>
        </w:r>
        <w:r w:rsidR="00E21A65">
          <w:rPr>
            <w:noProof/>
            <w:webHidden/>
          </w:rPr>
          <w:tab/>
        </w:r>
        <w:r w:rsidR="00E21A65">
          <w:rPr>
            <w:noProof/>
            <w:webHidden/>
          </w:rPr>
          <w:fldChar w:fldCharType="begin"/>
        </w:r>
        <w:r w:rsidR="00E21A65">
          <w:rPr>
            <w:noProof/>
            <w:webHidden/>
          </w:rPr>
          <w:instrText xml:space="preserve"> PAGEREF _Toc71224057 \h </w:instrText>
        </w:r>
        <w:r w:rsidR="00E21A65">
          <w:rPr>
            <w:noProof/>
            <w:webHidden/>
          </w:rPr>
        </w:r>
        <w:r w:rsidR="00E21A65">
          <w:rPr>
            <w:noProof/>
            <w:webHidden/>
          </w:rPr>
          <w:fldChar w:fldCharType="separate"/>
        </w:r>
        <w:r w:rsidR="007712B4">
          <w:rPr>
            <w:noProof/>
            <w:webHidden/>
          </w:rPr>
          <w:t>40</w:t>
        </w:r>
        <w:r w:rsidR="00E21A65">
          <w:rPr>
            <w:noProof/>
            <w:webHidden/>
          </w:rPr>
          <w:fldChar w:fldCharType="end"/>
        </w:r>
      </w:hyperlink>
    </w:p>
    <w:p w14:paraId="38B1C106" w14:textId="4E08CFD8" w:rsidR="00E21A65" w:rsidRDefault="00775C9C">
      <w:pPr>
        <w:pStyle w:val="TableofFigures"/>
        <w:tabs>
          <w:tab w:val="right" w:leader="dot" w:pos="9350"/>
        </w:tabs>
        <w:rPr>
          <w:rFonts w:asciiTheme="minorHAnsi" w:eastAsiaTheme="minorEastAsia" w:hAnsiTheme="minorHAnsi"/>
          <w:noProof/>
          <w:sz w:val="22"/>
        </w:rPr>
      </w:pPr>
      <w:hyperlink w:anchor="_Toc71224058" w:history="1">
        <w:r w:rsidR="00E21A65" w:rsidRPr="00126440">
          <w:rPr>
            <w:rStyle w:val="Hyperlink"/>
            <w:b/>
            <w:bCs/>
            <w:noProof/>
          </w:rPr>
          <w:t>Figure 4.14:</w:t>
        </w:r>
        <w:r w:rsidR="00E21A65" w:rsidRPr="00126440">
          <w:rPr>
            <w:rStyle w:val="Hyperlink"/>
            <w:noProof/>
          </w:rPr>
          <w:t xml:space="preserve"> Manganese concentration comparison between acidic and basic water, normalized to the control, including standard deviation and Student’s t-Test.</w:t>
        </w:r>
        <w:r w:rsidR="00E21A65">
          <w:rPr>
            <w:noProof/>
            <w:webHidden/>
          </w:rPr>
          <w:tab/>
        </w:r>
        <w:r w:rsidR="00E21A65">
          <w:rPr>
            <w:noProof/>
            <w:webHidden/>
          </w:rPr>
          <w:fldChar w:fldCharType="begin"/>
        </w:r>
        <w:r w:rsidR="00E21A65">
          <w:rPr>
            <w:noProof/>
            <w:webHidden/>
          </w:rPr>
          <w:instrText xml:space="preserve"> PAGEREF _Toc71224058 \h </w:instrText>
        </w:r>
        <w:r w:rsidR="00E21A65">
          <w:rPr>
            <w:noProof/>
            <w:webHidden/>
          </w:rPr>
        </w:r>
        <w:r w:rsidR="00E21A65">
          <w:rPr>
            <w:noProof/>
            <w:webHidden/>
          </w:rPr>
          <w:fldChar w:fldCharType="separate"/>
        </w:r>
        <w:r w:rsidR="007712B4">
          <w:rPr>
            <w:noProof/>
            <w:webHidden/>
          </w:rPr>
          <w:t>41</w:t>
        </w:r>
        <w:r w:rsidR="00E21A65">
          <w:rPr>
            <w:noProof/>
            <w:webHidden/>
          </w:rPr>
          <w:fldChar w:fldCharType="end"/>
        </w:r>
      </w:hyperlink>
    </w:p>
    <w:p w14:paraId="1646C8A4" w14:textId="693FD419" w:rsidR="00E21A65" w:rsidRDefault="00775C9C">
      <w:pPr>
        <w:pStyle w:val="TableofFigures"/>
        <w:tabs>
          <w:tab w:val="right" w:leader="dot" w:pos="9350"/>
        </w:tabs>
        <w:rPr>
          <w:rFonts w:asciiTheme="minorHAnsi" w:eastAsiaTheme="minorEastAsia" w:hAnsiTheme="minorHAnsi"/>
          <w:noProof/>
          <w:sz w:val="22"/>
        </w:rPr>
      </w:pPr>
      <w:hyperlink w:anchor="_Toc71224059" w:history="1">
        <w:r w:rsidR="00E21A65" w:rsidRPr="00126440">
          <w:rPr>
            <w:rStyle w:val="Hyperlink"/>
            <w:b/>
            <w:bCs/>
            <w:noProof/>
          </w:rPr>
          <w:t>Figure 4.15:</w:t>
        </w:r>
        <w:r w:rsidR="00E21A65" w:rsidRPr="00126440">
          <w:rPr>
            <w:rStyle w:val="Hyperlink"/>
            <w:noProof/>
          </w:rPr>
          <w:t xml:space="preserve"> Nickel concentration comparison between acidic and basic water, normalized to the control, including standard deviation and Student’s t-Test.</w:t>
        </w:r>
        <w:r w:rsidR="00E21A65">
          <w:rPr>
            <w:noProof/>
            <w:webHidden/>
          </w:rPr>
          <w:tab/>
        </w:r>
        <w:r w:rsidR="00E21A65">
          <w:rPr>
            <w:noProof/>
            <w:webHidden/>
          </w:rPr>
          <w:fldChar w:fldCharType="begin"/>
        </w:r>
        <w:r w:rsidR="00E21A65">
          <w:rPr>
            <w:noProof/>
            <w:webHidden/>
          </w:rPr>
          <w:instrText xml:space="preserve"> PAGEREF _Toc71224059 \h </w:instrText>
        </w:r>
        <w:r w:rsidR="00E21A65">
          <w:rPr>
            <w:noProof/>
            <w:webHidden/>
          </w:rPr>
        </w:r>
        <w:r w:rsidR="00E21A65">
          <w:rPr>
            <w:noProof/>
            <w:webHidden/>
          </w:rPr>
          <w:fldChar w:fldCharType="separate"/>
        </w:r>
        <w:r w:rsidR="007712B4">
          <w:rPr>
            <w:noProof/>
            <w:webHidden/>
          </w:rPr>
          <w:t>41</w:t>
        </w:r>
        <w:r w:rsidR="00E21A65">
          <w:rPr>
            <w:noProof/>
            <w:webHidden/>
          </w:rPr>
          <w:fldChar w:fldCharType="end"/>
        </w:r>
      </w:hyperlink>
    </w:p>
    <w:p w14:paraId="348BFDAA" w14:textId="5B0EBA5B" w:rsidR="00E21A65" w:rsidRDefault="00775C9C">
      <w:pPr>
        <w:pStyle w:val="TableofFigures"/>
        <w:tabs>
          <w:tab w:val="right" w:leader="dot" w:pos="9350"/>
        </w:tabs>
        <w:rPr>
          <w:rFonts w:asciiTheme="minorHAnsi" w:eastAsiaTheme="minorEastAsia" w:hAnsiTheme="minorHAnsi"/>
          <w:noProof/>
          <w:sz w:val="22"/>
        </w:rPr>
      </w:pPr>
      <w:hyperlink w:anchor="_Toc71224060" w:history="1">
        <w:r w:rsidR="00E21A65" w:rsidRPr="00126440">
          <w:rPr>
            <w:rStyle w:val="Hyperlink"/>
            <w:b/>
            <w:bCs/>
            <w:noProof/>
          </w:rPr>
          <w:t>Figure 4.16:</w:t>
        </w:r>
        <w:r w:rsidR="00E21A65" w:rsidRPr="00126440">
          <w:rPr>
            <w:rStyle w:val="Hyperlink"/>
            <w:noProof/>
          </w:rPr>
          <w:t xml:space="preserve"> Aluminum concentration comparison between acidic and basic water, normalized to the control, including standard deviation and Student’s t-Test.</w:t>
        </w:r>
        <w:r w:rsidR="00E21A65">
          <w:rPr>
            <w:noProof/>
            <w:webHidden/>
          </w:rPr>
          <w:tab/>
        </w:r>
        <w:r w:rsidR="00E21A65">
          <w:rPr>
            <w:noProof/>
            <w:webHidden/>
          </w:rPr>
          <w:fldChar w:fldCharType="begin"/>
        </w:r>
        <w:r w:rsidR="00E21A65">
          <w:rPr>
            <w:noProof/>
            <w:webHidden/>
          </w:rPr>
          <w:instrText xml:space="preserve"> PAGEREF _Toc71224060 \h </w:instrText>
        </w:r>
        <w:r w:rsidR="00E21A65">
          <w:rPr>
            <w:noProof/>
            <w:webHidden/>
          </w:rPr>
        </w:r>
        <w:r w:rsidR="00E21A65">
          <w:rPr>
            <w:noProof/>
            <w:webHidden/>
          </w:rPr>
          <w:fldChar w:fldCharType="separate"/>
        </w:r>
        <w:r w:rsidR="007712B4">
          <w:rPr>
            <w:noProof/>
            <w:webHidden/>
          </w:rPr>
          <w:t>42</w:t>
        </w:r>
        <w:r w:rsidR="00E21A65">
          <w:rPr>
            <w:noProof/>
            <w:webHidden/>
          </w:rPr>
          <w:fldChar w:fldCharType="end"/>
        </w:r>
      </w:hyperlink>
    </w:p>
    <w:p w14:paraId="798F4489" w14:textId="05D64234" w:rsidR="00E21A65" w:rsidRDefault="00775C9C">
      <w:pPr>
        <w:pStyle w:val="TableofFigures"/>
        <w:tabs>
          <w:tab w:val="right" w:leader="dot" w:pos="9350"/>
        </w:tabs>
        <w:rPr>
          <w:rFonts w:asciiTheme="minorHAnsi" w:eastAsiaTheme="minorEastAsia" w:hAnsiTheme="minorHAnsi"/>
          <w:noProof/>
          <w:sz w:val="22"/>
        </w:rPr>
      </w:pPr>
      <w:hyperlink w:anchor="_Toc71224061" w:history="1">
        <w:r w:rsidR="00E21A65" w:rsidRPr="00126440">
          <w:rPr>
            <w:rStyle w:val="Hyperlink"/>
            <w:b/>
            <w:bCs/>
            <w:noProof/>
          </w:rPr>
          <w:t>Figure 4.17:</w:t>
        </w:r>
        <w:r w:rsidR="00E21A65" w:rsidRPr="00126440">
          <w:rPr>
            <w:rStyle w:val="Hyperlink"/>
            <w:noProof/>
          </w:rPr>
          <w:t xml:space="preserve"> Total LIB metal ions adsorption between pH 4 and pH 10.</w:t>
        </w:r>
        <w:r w:rsidR="00E21A65">
          <w:rPr>
            <w:noProof/>
            <w:webHidden/>
          </w:rPr>
          <w:tab/>
        </w:r>
        <w:r w:rsidR="00E21A65">
          <w:rPr>
            <w:noProof/>
            <w:webHidden/>
          </w:rPr>
          <w:fldChar w:fldCharType="begin"/>
        </w:r>
        <w:r w:rsidR="00E21A65">
          <w:rPr>
            <w:noProof/>
            <w:webHidden/>
          </w:rPr>
          <w:instrText xml:space="preserve"> PAGEREF _Toc71224061 \h </w:instrText>
        </w:r>
        <w:r w:rsidR="00E21A65">
          <w:rPr>
            <w:noProof/>
            <w:webHidden/>
          </w:rPr>
        </w:r>
        <w:r w:rsidR="00E21A65">
          <w:rPr>
            <w:noProof/>
            <w:webHidden/>
          </w:rPr>
          <w:fldChar w:fldCharType="separate"/>
        </w:r>
        <w:r w:rsidR="007712B4">
          <w:rPr>
            <w:noProof/>
            <w:webHidden/>
          </w:rPr>
          <w:t>43</w:t>
        </w:r>
        <w:r w:rsidR="00E21A65">
          <w:rPr>
            <w:noProof/>
            <w:webHidden/>
          </w:rPr>
          <w:fldChar w:fldCharType="end"/>
        </w:r>
      </w:hyperlink>
    </w:p>
    <w:p w14:paraId="08453D8D" w14:textId="00D8016F" w:rsidR="00E21A65" w:rsidRDefault="00775C9C">
      <w:pPr>
        <w:pStyle w:val="TableofFigures"/>
        <w:tabs>
          <w:tab w:val="right" w:leader="dot" w:pos="9350"/>
        </w:tabs>
        <w:rPr>
          <w:rFonts w:asciiTheme="minorHAnsi" w:eastAsiaTheme="minorEastAsia" w:hAnsiTheme="minorHAnsi"/>
          <w:noProof/>
          <w:sz w:val="22"/>
        </w:rPr>
      </w:pPr>
      <w:hyperlink w:anchor="_Toc71224062" w:history="1">
        <w:r w:rsidR="00E21A65" w:rsidRPr="00126440">
          <w:rPr>
            <w:rStyle w:val="Hyperlink"/>
            <w:b/>
            <w:bCs/>
            <w:noProof/>
          </w:rPr>
          <w:t>Figure 4.18:</w:t>
        </w:r>
        <w:r w:rsidR="00E21A65" w:rsidRPr="00126440">
          <w:rPr>
            <w:rStyle w:val="Hyperlink"/>
            <w:noProof/>
          </w:rPr>
          <w:t xml:space="preserve"> Total LIB metal ions pC – pH diagram</w:t>
        </w:r>
        <w:r w:rsidR="00E21A65">
          <w:rPr>
            <w:noProof/>
            <w:webHidden/>
          </w:rPr>
          <w:tab/>
        </w:r>
        <w:r w:rsidR="00E21A65">
          <w:rPr>
            <w:noProof/>
            <w:webHidden/>
          </w:rPr>
          <w:fldChar w:fldCharType="begin"/>
        </w:r>
        <w:r w:rsidR="00E21A65">
          <w:rPr>
            <w:noProof/>
            <w:webHidden/>
          </w:rPr>
          <w:instrText xml:space="preserve"> PAGEREF _Toc71224062 \h </w:instrText>
        </w:r>
        <w:r w:rsidR="00E21A65">
          <w:rPr>
            <w:noProof/>
            <w:webHidden/>
          </w:rPr>
        </w:r>
        <w:r w:rsidR="00E21A65">
          <w:rPr>
            <w:noProof/>
            <w:webHidden/>
          </w:rPr>
          <w:fldChar w:fldCharType="separate"/>
        </w:r>
        <w:r w:rsidR="007712B4">
          <w:rPr>
            <w:noProof/>
            <w:webHidden/>
          </w:rPr>
          <w:t>44</w:t>
        </w:r>
        <w:r w:rsidR="00E21A65">
          <w:rPr>
            <w:noProof/>
            <w:webHidden/>
          </w:rPr>
          <w:fldChar w:fldCharType="end"/>
        </w:r>
      </w:hyperlink>
    </w:p>
    <w:p w14:paraId="6356EE69" w14:textId="2F4EA517" w:rsidR="00E21A65" w:rsidRDefault="00775C9C">
      <w:pPr>
        <w:pStyle w:val="TableofFigures"/>
        <w:tabs>
          <w:tab w:val="right" w:leader="dot" w:pos="9350"/>
        </w:tabs>
        <w:rPr>
          <w:rFonts w:asciiTheme="minorHAnsi" w:eastAsiaTheme="minorEastAsia" w:hAnsiTheme="minorHAnsi"/>
          <w:noProof/>
          <w:sz w:val="22"/>
        </w:rPr>
      </w:pPr>
      <w:hyperlink w:anchor="_Toc71224063" w:history="1">
        <w:r w:rsidR="00E21A65" w:rsidRPr="00126440">
          <w:rPr>
            <w:rStyle w:val="Hyperlink"/>
            <w:b/>
            <w:bCs/>
            <w:noProof/>
          </w:rPr>
          <w:t>Figure 4.19:</w:t>
        </w:r>
        <w:r w:rsidR="00E21A65" w:rsidRPr="00126440">
          <w:rPr>
            <w:rStyle w:val="Hyperlink"/>
            <w:noProof/>
          </w:rPr>
          <w:t xml:space="preserve"> Copper pC – pH diagram</w:t>
        </w:r>
        <w:r w:rsidR="00E21A65">
          <w:rPr>
            <w:noProof/>
            <w:webHidden/>
          </w:rPr>
          <w:tab/>
        </w:r>
        <w:r w:rsidR="00E21A65">
          <w:rPr>
            <w:noProof/>
            <w:webHidden/>
          </w:rPr>
          <w:fldChar w:fldCharType="begin"/>
        </w:r>
        <w:r w:rsidR="00E21A65">
          <w:rPr>
            <w:noProof/>
            <w:webHidden/>
          </w:rPr>
          <w:instrText xml:space="preserve"> PAGEREF _Toc71224063 \h </w:instrText>
        </w:r>
        <w:r w:rsidR="00E21A65">
          <w:rPr>
            <w:noProof/>
            <w:webHidden/>
          </w:rPr>
        </w:r>
        <w:r w:rsidR="00E21A65">
          <w:rPr>
            <w:noProof/>
            <w:webHidden/>
          </w:rPr>
          <w:fldChar w:fldCharType="separate"/>
        </w:r>
        <w:r w:rsidR="007712B4">
          <w:rPr>
            <w:noProof/>
            <w:webHidden/>
          </w:rPr>
          <w:t>44</w:t>
        </w:r>
        <w:r w:rsidR="00E21A65">
          <w:rPr>
            <w:noProof/>
            <w:webHidden/>
          </w:rPr>
          <w:fldChar w:fldCharType="end"/>
        </w:r>
      </w:hyperlink>
    </w:p>
    <w:p w14:paraId="19052816" w14:textId="272F62FF" w:rsidR="00E21A65" w:rsidRDefault="00775C9C">
      <w:pPr>
        <w:pStyle w:val="TableofFigures"/>
        <w:tabs>
          <w:tab w:val="right" w:leader="dot" w:pos="9350"/>
        </w:tabs>
        <w:rPr>
          <w:rFonts w:asciiTheme="minorHAnsi" w:eastAsiaTheme="minorEastAsia" w:hAnsiTheme="minorHAnsi"/>
          <w:noProof/>
          <w:sz w:val="22"/>
        </w:rPr>
      </w:pPr>
      <w:hyperlink w:anchor="_Toc71224064" w:history="1">
        <w:r w:rsidR="00E21A65" w:rsidRPr="00126440">
          <w:rPr>
            <w:rStyle w:val="Hyperlink"/>
            <w:b/>
            <w:bCs/>
            <w:noProof/>
          </w:rPr>
          <w:t>Figure 4.20:</w:t>
        </w:r>
        <w:r w:rsidR="00E21A65" w:rsidRPr="00126440">
          <w:rPr>
            <w:rStyle w:val="Hyperlink"/>
            <w:noProof/>
          </w:rPr>
          <w:t xml:space="preserve"> Manganese pC – pH diagram</w:t>
        </w:r>
        <w:r w:rsidR="00E21A65">
          <w:rPr>
            <w:noProof/>
            <w:webHidden/>
          </w:rPr>
          <w:tab/>
        </w:r>
        <w:r w:rsidR="00E21A65">
          <w:rPr>
            <w:noProof/>
            <w:webHidden/>
          </w:rPr>
          <w:fldChar w:fldCharType="begin"/>
        </w:r>
        <w:r w:rsidR="00E21A65">
          <w:rPr>
            <w:noProof/>
            <w:webHidden/>
          </w:rPr>
          <w:instrText xml:space="preserve"> PAGEREF _Toc71224064 \h </w:instrText>
        </w:r>
        <w:r w:rsidR="00E21A65">
          <w:rPr>
            <w:noProof/>
            <w:webHidden/>
          </w:rPr>
        </w:r>
        <w:r w:rsidR="00E21A65">
          <w:rPr>
            <w:noProof/>
            <w:webHidden/>
          </w:rPr>
          <w:fldChar w:fldCharType="separate"/>
        </w:r>
        <w:r w:rsidR="007712B4">
          <w:rPr>
            <w:noProof/>
            <w:webHidden/>
          </w:rPr>
          <w:t>45</w:t>
        </w:r>
        <w:r w:rsidR="00E21A65">
          <w:rPr>
            <w:noProof/>
            <w:webHidden/>
          </w:rPr>
          <w:fldChar w:fldCharType="end"/>
        </w:r>
      </w:hyperlink>
    </w:p>
    <w:p w14:paraId="75DF83B8" w14:textId="6EA55B79" w:rsidR="00E21A65" w:rsidRDefault="00775C9C">
      <w:pPr>
        <w:pStyle w:val="TableofFigures"/>
        <w:tabs>
          <w:tab w:val="right" w:leader="dot" w:pos="9350"/>
        </w:tabs>
        <w:rPr>
          <w:rFonts w:asciiTheme="minorHAnsi" w:eastAsiaTheme="minorEastAsia" w:hAnsiTheme="minorHAnsi"/>
          <w:noProof/>
          <w:sz w:val="22"/>
        </w:rPr>
      </w:pPr>
      <w:hyperlink w:anchor="_Toc71224065" w:history="1">
        <w:r w:rsidR="00E21A65" w:rsidRPr="00126440">
          <w:rPr>
            <w:rStyle w:val="Hyperlink"/>
            <w:b/>
            <w:bCs/>
            <w:noProof/>
          </w:rPr>
          <w:t>Figure 4.21</w:t>
        </w:r>
        <w:r w:rsidR="00E21A65" w:rsidRPr="00126440">
          <w:rPr>
            <w:rStyle w:val="Hyperlink"/>
            <w:noProof/>
          </w:rPr>
          <w:t>: Nickel pC – pH diagram</w:t>
        </w:r>
        <w:r w:rsidR="00E21A65">
          <w:rPr>
            <w:noProof/>
            <w:webHidden/>
          </w:rPr>
          <w:tab/>
        </w:r>
        <w:r w:rsidR="00E21A65">
          <w:rPr>
            <w:noProof/>
            <w:webHidden/>
          </w:rPr>
          <w:fldChar w:fldCharType="begin"/>
        </w:r>
        <w:r w:rsidR="00E21A65">
          <w:rPr>
            <w:noProof/>
            <w:webHidden/>
          </w:rPr>
          <w:instrText xml:space="preserve"> PAGEREF _Toc71224065 \h </w:instrText>
        </w:r>
        <w:r w:rsidR="00E21A65">
          <w:rPr>
            <w:noProof/>
            <w:webHidden/>
          </w:rPr>
        </w:r>
        <w:r w:rsidR="00E21A65">
          <w:rPr>
            <w:noProof/>
            <w:webHidden/>
          </w:rPr>
          <w:fldChar w:fldCharType="separate"/>
        </w:r>
        <w:r w:rsidR="007712B4">
          <w:rPr>
            <w:noProof/>
            <w:webHidden/>
          </w:rPr>
          <w:t>45</w:t>
        </w:r>
        <w:r w:rsidR="00E21A65">
          <w:rPr>
            <w:noProof/>
            <w:webHidden/>
          </w:rPr>
          <w:fldChar w:fldCharType="end"/>
        </w:r>
      </w:hyperlink>
    </w:p>
    <w:p w14:paraId="1ACD1EBC" w14:textId="6AE820DE" w:rsidR="00E21A65" w:rsidRDefault="00775C9C">
      <w:pPr>
        <w:pStyle w:val="TableofFigures"/>
        <w:tabs>
          <w:tab w:val="right" w:leader="dot" w:pos="9350"/>
        </w:tabs>
        <w:rPr>
          <w:rFonts w:asciiTheme="minorHAnsi" w:eastAsiaTheme="minorEastAsia" w:hAnsiTheme="minorHAnsi"/>
          <w:noProof/>
          <w:sz w:val="22"/>
        </w:rPr>
      </w:pPr>
      <w:hyperlink w:anchor="_Toc71224066" w:history="1">
        <w:r w:rsidR="00E21A65" w:rsidRPr="00126440">
          <w:rPr>
            <w:rStyle w:val="Hyperlink"/>
            <w:b/>
            <w:bCs/>
            <w:noProof/>
          </w:rPr>
          <w:t>Figure 4.22:</w:t>
        </w:r>
        <w:r w:rsidR="00E21A65" w:rsidRPr="00126440">
          <w:rPr>
            <w:rStyle w:val="Hyperlink"/>
            <w:noProof/>
          </w:rPr>
          <w:t xml:space="preserve"> Aluminum pC – pH diagram</w:t>
        </w:r>
        <w:r w:rsidR="00E21A65">
          <w:rPr>
            <w:noProof/>
            <w:webHidden/>
          </w:rPr>
          <w:tab/>
        </w:r>
        <w:r w:rsidR="00E21A65">
          <w:rPr>
            <w:noProof/>
            <w:webHidden/>
          </w:rPr>
          <w:fldChar w:fldCharType="begin"/>
        </w:r>
        <w:r w:rsidR="00E21A65">
          <w:rPr>
            <w:noProof/>
            <w:webHidden/>
          </w:rPr>
          <w:instrText xml:space="preserve"> PAGEREF _Toc71224066 \h </w:instrText>
        </w:r>
        <w:r w:rsidR="00E21A65">
          <w:rPr>
            <w:noProof/>
            <w:webHidden/>
          </w:rPr>
        </w:r>
        <w:r w:rsidR="00E21A65">
          <w:rPr>
            <w:noProof/>
            <w:webHidden/>
          </w:rPr>
          <w:fldChar w:fldCharType="separate"/>
        </w:r>
        <w:r w:rsidR="007712B4">
          <w:rPr>
            <w:noProof/>
            <w:webHidden/>
          </w:rPr>
          <w:t>46</w:t>
        </w:r>
        <w:r w:rsidR="00E21A65">
          <w:rPr>
            <w:noProof/>
            <w:webHidden/>
          </w:rPr>
          <w:fldChar w:fldCharType="end"/>
        </w:r>
      </w:hyperlink>
    </w:p>
    <w:p w14:paraId="4A20D38F" w14:textId="05C7D578" w:rsidR="00E21A65" w:rsidRDefault="00775C9C">
      <w:pPr>
        <w:pStyle w:val="TableofFigures"/>
        <w:tabs>
          <w:tab w:val="right" w:leader="dot" w:pos="9350"/>
        </w:tabs>
        <w:rPr>
          <w:rFonts w:asciiTheme="minorHAnsi" w:eastAsiaTheme="minorEastAsia" w:hAnsiTheme="minorHAnsi"/>
          <w:noProof/>
          <w:sz w:val="22"/>
        </w:rPr>
      </w:pPr>
      <w:hyperlink w:anchor="_Toc71224067" w:history="1">
        <w:r w:rsidR="00E21A65" w:rsidRPr="00126440">
          <w:rPr>
            <w:rStyle w:val="Hyperlink"/>
            <w:b/>
            <w:bCs/>
            <w:noProof/>
          </w:rPr>
          <w:t>Figure 4.23:</w:t>
        </w:r>
        <w:r w:rsidR="00E21A65" w:rsidRPr="00126440">
          <w:rPr>
            <w:rStyle w:val="Hyperlink"/>
            <w:noProof/>
          </w:rPr>
          <w:t xml:space="preserve"> Cobalt pC – pH diagram</w:t>
        </w:r>
        <w:r w:rsidR="00E21A65">
          <w:rPr>
            <w:noProof/>
            <w:webHidden/>
          </w:rPr>
          <w:tab/>
        </w:r>
        <w:r w:rsidR="00E21A65">
          <w:rPr>
            <w:noProof/>
            <w:webHidden/>
          </w:rPr>
          <w:fldChar w:fldCharType="begin"/>
        </w:r>
        <w:r w:rsidR="00E21A65">
          <w:rPr>
            <w:noProof/>
            <w:webHidden/>
          </w:rPr>
          <w:instrText xml:space="preserve"> PAGEREF _Toc71224067 \h </w:instrText>
        </w:r>
        <w:r w:rsidR="00E21A65">
          <w:rPr>
            <w:noProof/>
            <w:webHidden/>
          </w:rPr>
        </w:r>
        <w:r w:rsidR="00E21A65">
          <w:rPr>
            <w:noProof/>
            <w:webHidden/>
          </w:rPr>
          <w:fldChar w:fldCharType="separate"/>
        </w:r>
        <w:r w:rsidR="007712B4">
          <w:rPr>
            <w:noProof/>
            <w:webHidden/>
          </w:rPr>
          <w:t>46</w:t>
        </w:r>
        <w:r w:rsidR="00E21A65">
          <w:rPr>
            <w:noProof/>
            <w:webHidden/>
          </w:rPr>
          <w:fldChar w:fldCharType="end"/>
        </w:r>
      </w:hyperlink>
    </w:p>
    <w:p w14:paraId="6860F6CE" w14:textId="02925A7B" w:rsidR="00E21A65" w:rsidRDefault="00775C9C">
      <w:pPr>
        <w:pStyle w:val="TableofFigures"/>
        <w:tabs>
          <w:tab w:val="right" w:leader="dot" w:pos="9350"/>
        </w:tabs>
        <w:rPr>
          <w:rFonts w:asciiTheme="minorHAnsi" w:eastAsiaTheme="minorEastAsia" w:hAnsiTheme="minorHAnsi"/>
          <w:noProof/>
          <w:sz w:val="22"/>
        </w:rPr>
      </w:pPr>
      <w:hyperlink w:anchor="_Toc71224068" w:history="1">
        <w:r w:rsidR="00E21A65" w:rsidRPr="00126440">
          <w:rPr>
            <w:rStyle w:val="Hyperlink"/>
            <w:b/>
            <w:bCs/>
            <w:noProof/>
          </w:rPr>
          <w:t>Figure A.1:</w:t>
        </w:r>
        <w:r w:rsidR="00E21A65" w:rsidRPr="00126440">
          <w:rPr>
            <w:rStyle w:val="Hyperlink"/>
            <w:noProof/>
          </w:rPr>
          <w:t xml:space="preserve"> Comparison of copper concentration in acidic and basic soil, non-normalized.</w:t>
        </w:r>
        <w:r w:rsidR="00E21A65">
          <w:rPr>
            <w:noProof/>
            <w:webHidden/>
          </w:rPr>
          <w:tab/>
        </w:r>
        <w:r w:rsidR="00E21A65">
          <w:rPr>
            <w:noProof/>
            <w:webHidden/>
          </w:rPr>
          <w:fldChar w:fldCharType="begin"/>
        </w:r>
        <w:r w:rsidR="00E21A65">
          <w:rPr>
            <w:noProof/>
            <w:webHidden/>
          </w:rPr>
          <w:instrText xml:space="preserve"> PAGEREF _Toc71224068 \h </w:instrText>
        </w:r>
        <w:r w:rsidR="00E21A65">
          <w:rPr>
            <w:noProof/>
            <w:webHidden/>
          </w:rPr>
        </w:r>
        <w:r w:rsidR="00E21A65">
          <w:rPr>
            <w:noProof/>
            <w:webHidden/>
          </w:rPr>
          <w:fldChar w:fldCharType="separate"/>
        </w:r>
        <w:r w:rsidR="007712B4">
          <w:rPr>
            <w:noProof/>
            <w:webHidden/>
          </w:rPr>
          <w:t>92</w:t>
        </w:r>
        <w:r w:rsidR="00E21A65">
          <w:rPr>
            <w:noProof/>
            <w:webHidden/>
          </w:rPr>
          <w:fldChar w:fldCharType="end"/>
        </w:r>
      </w:hyperlink>
    </w:p>
    <w:p w14:paraId="6AE91F37" w14:textId="498CF44E" w:rsidR="00E21A65" w:rsidRDefault="00775C9C">
      <w:pPr>
        <w:pStyle w:val="TableofFigures"/>
        <w:tabs>
          <w:tab w:val="right" w:leader="dot" w:pos="9350"/>
        </w:tabs>
        <w:rPr>
          <w:rFonts w:asciiTheme="minorHAnsi" w:eastAsiaTheme="minorEastAsia" w:hAnsiTheme="minorHAnsi"/>
          <w:noProof/>
          <w:sz w:val="22"/>
        </w:rPr>
      </w:pPr>
      <w:hyperlink w:anchor="_Toc71224069" w:history="1">
        <w:r w:rsidR="00E21A65" w:rsidRPr="00126440">
          <w:rPr>
            <w:rStyle w:val="Hyperlink"/>
            <w:b/>
            <w:bCs/>
            <w:noProof/>
          </w:rPr>
          <w:t>Figure A.2:</w:t>
        </w:r>
        <w:r w:rsidR="00E21A65" w:rsidRPr="00126440">
          <w:rPr>
            <w:rStyle w:val="Hyperlink"/>
            <w:noProof/>
          </w:rPr>
          <w:t xml:space="preserve"> Comparison of manganese concentration in acidic and basic soil, non-normalized.</w:t>
        </w:r>
        <w:r w:rsidR="00E21A65">
          <w:rPr>
            <w:noProof/>
            <w:webHidden/>
          </w:rPr>
          <w:tab/>
        </w:r>
        <w:r w:rsidR="00E21A65">
          <w:rPr>
            <w:noProof/>
            <w:webHidden/>
          </w:rPr>
          <w:fldChar w:fldCharType="begin"/>
        </w:r>
        <w:r w:rsidR="00E21A65">
          <w:rPr>
            <w:noProof/>
            <w:webHidden/>
          </w:rPr>
          <w:instrText xml:space="preserve"> PAGEREF _Toc71224069 \h </w:instrText>
        </w:r>
        <w:r w:rsidR="00E21A65">
          <w:rPr>
            <w:noProof/>
            <w:webHidden/>
          </w:rPr>
        </w:r>
        <w:r w:rsidR="00E21A65">
          <w:rPr>
            <w:noProof/>
            <w:webHidden/>
          </w:rPr>
          <w:fldChar w:fldCharType="separate"/>
        </w:r>
        <w:r w:rsidR="007712B4">
          <w:rPr>
            <w:noProof/>
            <w:webHidden/>
          </w:rPr>
          <w:t>92</w:t>
        </w:r>
        <w:r w:rsidR="00E21A65">
          <w:rPr>
            <w:noProof/>
            <w:webHidden/>
          </w:rPr>
          <w:fldChar w:fldCharType="end"/>
        </w:r>
      </w:hyperlink>
    </w:p>
    <w:p w14:paraId="0C5F6DC8" w14:textId="73158858" w:rsidR="00E21A65" w:rsidRDefault="00775C9C">
      <w:pPr>
        <w:pStyle w:val="TableofFigures"/>
        <w:tabs>
          <w:tab w:val="right" w:leader="dot" w:pos="9350"/>
        </w:tabs>
        <w:rPr>
          <w:rFonts w:asciiTheme="minorHAnsi" w:eastAsiaTheme="minorEastAsia" w:hAnsiTheme="minorHAnsi"/>
          <w:noProof/>
          <w:sz w:val="22"/>
        </w:rPr>
      </w:pPr>
      <w:hyperlink w:anchor="_Toc71224070" w:history="1">
        <w:r w:rsidR="00E21A65" w:rsidRPr="00126440">
          <w:rPr>
            <w:rStyle w:val="Hyperlink"/>
            <w:b/>
            <w:bCs/>
            <w:noProof/>
          </w:rPr>
          <w:t>Figure A.3:</w:t>
        </w:r>
        <w:r w:rsidR="00E21A65" w:rsidRPr="00126440">
          <w:rPr>
            <w:rStyle w:val="Hyperlink"/>
            <w:noProof/>
          </w:rPr>
          <w:t xml:space="preserve"> Comparison of nickel concentration in acidic and basic soil, non-normalized.</w:t>
        </w:r>
        <w:r w:rsidR="00E21A65">
          <w:rPr>
            <w:noProof/>
            <w:webHidden/>
          </w:rPr>
          <w:tab/>
        </w:r>
        <w:r w:rsidR="00E21A65">
          <w:rPr>
            <w:noProof/>
            <w:webHidden/>
          </w:rPr>
          <w:fldChar w:fldCharType="begin"/>
        </w:r>
        <w:r w:rsidR="00E21A65">
          <w:rPr>
            <w:noProof/>
            <w:webHidden/>
          </w:rPr>
          <w:instrText xml:space="preserve"> PAGEREF _Toc71224070 \h </w:instrText>
        </w:r>
        <w:r w:rsidR="00E21A65">
          <w:rPr>
            <w:noProof/>
            <w:webHidden/>
          </w:rPr>
        </w:r>
        <w:r w:rsidR="00E21A65">
          <w:rPr>
            <w:noProof/>
            <w:webHidden/>
          </w:rPr>
          <w:fldChar w:fldCharType="separate"/>
        </w:r>
        <w:r w:rsidR="007712B4">
          <w:rPr>
            <w:noProof/>
            <w:webHidden/>
          </w:rPr>
          <w:t>93</w:t>
        </w:r>
        <w:r w:rsidR="00E21A65">
          <w:rPr>
            <w:noProof/>
            <w:webHidden/>
          </w:rPr>
          <w:fldChar w:fldCharType="end"/>
        </w:r>
      </w:hyperlink>
    </w:p>
    <w:p w14:paraId="44033B3E" w14:textId="0F93A6E8" w:rsidR="00E21A65" w:rsidRDefault="00775C9C">
      <w:pPr>
        <w:pStyle w:val="TableofFigures"/>
        <w:tabs>
          <w:tab w:val="right" w:leader="dot" w:pos="9350"/>
        </w:tabs>
        <w:rPr>
          <w:rFonts w:asciiTheme="minorHAnsi" w:eastAsiaTheme="minorEastAsia" w:hAnsiTheme="minorHAnsi"/>
          <w:noProof/>
          <w:sz w:val="22"/>
        </w:rPr>
      </w:pPr>
      <w:hyperlink w:anchor="_Toc71224071" w:history="1">
        <w:r w:rsidR="00E21A65" w:rsidRPr="00126440">
          <w:rPr>
            <w:rStyle w:val="Hyperlink"/>
            <w:b/>
            <w:bCs/>
            <w:noProof/>
          </w:rPr>
          <w:t>Figure A.4:</w:t>
        </w:r>
        <w:r w:rsidR="00E21A65" w:rsidRPr="00126440">
          <w:rPr>
            <w:rStyle w:val="Hyperlink"/>
            <w:noProof/>
          </w:rPr>
          <w:t xml:space="preserve"> Comparison of aluminum concentration in acidic and basic soil, non-normalized.</w:t>
        </w:r>
        <w:r w:rsidR="00E21A65">
          <w:rPr>
            <w:noProof/>
            <w:webHidden/>
          </w:rPr>
          <w:tab/>
        </w:r>
        <w:r w:rsidR="00E21A65">
          <w:rPr>
            <w:noProof/>
            <w:webHidden/>
          </w:rPr>
          <w:fldChar w:fldCharType="begin"/>
        </w:r>
        <w:r w:rsidR="00E21A65">
          <w:rPr>
            <w:noProof/>
            <w:webHidden/>
          </w:rPr>
          <w:instrText xml:space="preserve"> PAGEREF _Toc71224071 \h </w:instrText>
        </w:r>
        <w:r w:rsidR="00E21A65">
          <w:rPr>
            <w:noProof/>
            <w:webHidden/>
          </w:rPr>
        </w:r>
        <w:r w:rsidR="00E21A65">
          <w:rPr>
            <w:noProof/>
            <w:webHidden/>
          </w:rPr>
          <w:fldChar w:fldCharType="separate"/>
        </w:r>
        <w:r w:rsidR="007712B4">
          <w:rPr>
            <w:noProof/>
            <w:webHidden/>
          </w:rPr>
          <w:t>93</w:t>
        </w:r>
        <w:r w:rsidR="00E21A65">
          <w:rPr>
            <w:noProof/>
            <w:webHidden/>
          </w:rPr>
          <w:fldChar w:fldCharType="end"/>
        </w:r>
      </w:hyperlink>
    </w:p>
    <w:p w14:paraId="4B048C18" w14:textId="203C763E" w:rsidR="00E21A65" w:rsidRDefault="00775C9C">
      <w:pPr>
        <w:pStyle w:val="TableofFigures"/>
        <w:tabs>
          <w:tab w:val="right" w:leader="dot" w:pos="9350"/>
        </w:tabs>
        <w:rPr>
          <w:rFonts w:asciiTheme="minorHAnsi" w:eastAsiaTheme="minorEastAsia" w:hAnsiTheme="minorHAnsi"/>
          <w:noProof/>
          <w:sz w:val="22"/>
        </w:rPr>
      </w:pPr>
      <w:hyperlink w:anchor="_Toc71224072" w:history="1">
        <w:r w:rsidR="00E21A65" w:rsidRPr="00126440">
          <w:rPr>
            <w:rStyle w:val="Hyperlink"/>
            <w:b/>
            <w:bCs/>
            <w:noProof/>
          </w:rPr>
          <w:t>Figure A.5:</w:t>
        </w:r>
        <w:r w:rsidR="00E21A65" w:rsidRPr="00126440">
          <w:rPr>
            <w:rStyle w:val="Hyperlink"/>
            <w:noProof/>
          </w:rPr>
          <w:t xml:space="preserve"> Linear standard calibration results for correcting sample XRF ppm results to actual concentrations.</w:t>
        </w:r>
        <w:r w:rsidR="00E21A65">
          <w:rPr>
            <w:noProof/>
            <w:webHidden/>
          </w:rPr>
          <w:tab/>
        </w:r>
        <w:r w:rsidR="00E21A65">
          <w:rPr>
            <w:noProof/>
            <w:webHidden/>
          </w:rPr>
          <w:fldChar w:fldCharType="begin"/>
        </w:r>
        <w:r w:rsidR="00E21A65">
          <w:rPr>
            <w:noProof/>
            <w:webHidden/>
          </w:rPr>
          <w:instrText xml:space="preserve"> PAGEREF _Toc71224072 \h </w:instrText>
        </w:r>
        <w:r w:rsidR="00E21A65">
          <w:rPr>
            <w:noProof/>
            <w:webHidden/>
          </w:rPr>
        </w:r>
        <w:r w:rsidR="00E21A65">
          <w:rPr>
            <w:noProof/>
            <w:webHidden/>
          </w:rPr>
          <w:fldChar w:fldCharType="separate"/>
        </w:r>
        <w:r w:rsidR="007712B4">
          <w:rPr>
            <w:noProof/>
            <w:webHidden/>
          </w:rPr>
          <w:t>94</w:t>
        </w:r>
        <w:r w:rsidR="00E21A65">
          <w:rPr>
            <w:noProof/>
            <w:webHidden/>
          </w:rPr>
          <w:fldChar w:fldCharType="end"/>
        </w:r>
      </w:hyperlink>
    </w:p>
    <w:p w14:paraId="087F5501" w14:textId="342388DA" w:rsidR="00E21A65" w:rsidRDefault="00775C9C">
      <w:pPr>
        <w:pStyle w:val="TableofFigures"/>
        <w:tabs>
          <w:tab w:val="right" w:leader="dot" w:pos="9350"/>
        </w:tabs>
        <w:rPr>
          <w:rFonts w:asciiTheme="minorHAnsi" w:eastAsiaTheme="minorEastAsia" w:hAnsiTheme="minorHAnsi"/>
          <w:noProof/>
          <w:sz w:val="22"/>
        </w:rPr>
      </w:pPr>
      <w:hyperlink w:anchor="_Toc71224073" w:history="1">
        <w:r w:rsidR="00E21A65" w:rsidRPr="00126440">
          <w:rPr>
            <w:rStyle w:val="Hyperlink"/>
            <w:b/>
            <w:bCs/>
            <w:noProof/>
          </w:rPr>
          <w:t>Figure A.6:</w:t>
        </w:r>
        <w:r w:rsidR="00E21A65" w:rsidRPr="00126440">
          <w:rPr>
            <w:rStyle w:val="Hyperlink"/>
            <w:noProof/>
          </w:rPr>
          <w:t xml:space="preserve"> Comparison of copper concentration in acidic and basic water, non-normalized.</w:t>
        </w:r>
        <w:r w:rsidR="00E21A65">
          <w:rPr>
            <w:noProof/>
            <w:webHidden/>
          </w:rPr>
          <w:tab/>
        </w:r>
        <w:r w:rsidR="00E21A65">
          <w:rPr>
            <w:noProof/>
            <w:webHidden/>
          </w:rPr>
          <w:fldChar w:fldCharType="begin"/>
        </w:r>
        <w:r w:rsidR="00E21A65">
          <w:rPr>
            <w:noProof/>
            <w:webHidden/>
          </w:rPr>
          <w:instrText xml:space="preserve"> PAGEREF _Toc71224073 \h </w:instrText>
        </w:r>
        <w:r w:rsidR="00E21A65">
          <w:rPr>
            <w:noProof/>
            <w:webHidden/>
          </w:rPr>
        </w:r>
        <w:r w:rsidR="00E21A65">
          <w:rPr>
            <w:noProof/>
            <w:webHidden/>
          </w:rPr>
          <w:fldChar w:fldCharType="separate"/>
        </w:r>
        <w:r w:rsidR="007712B4">
          <w:rPr>
            <w:noProof/>
            <w:webHidden/>
          </w:rPr>
          <w:t>94</w:t>
        </w:r>
        <w:r w:rsidR="00E21A65">
          <w:rPr>
            <w:noProof/>
            <w:webHidden/>
          </w:rPr>
          <w:fldChar w:fldCharType="end"/>
        </w:r>
      </w:hyperlink>
    </w:p>
    <w:p w14:paraId="17ECCA80" w14:textId="5DDFF83E" w:rsidR="00E21A65" w:rsidRDefault="00775C9C">
      <w:pPr>
        <w:pStyle w:val="TableofFigures"/>
        <w:tabs>
          <w:tab w:val="right" w:leader="dot" w:pos="9350"/>
        </w:tabs>
        <w:rPr>
          <w:rFonts w:asciiTheme="minorHAnsi" w:eastAsiaTheme="minorEastAsia" w:hAnsiTheme="minorHAnsi"/>
          <w:noProof/>
          <w:sz w:val="22"/>
        </w:rPr>
      </w:pPr>
      <w:hyperlink w:anchor="_Toc71224074" w:history="1">
        <w:r w:rsidR="00E21A65" w:rsidRPr="00126440">
          <w:rPr>
            <w:rStyle w:val="Hyperlink"/>
            <w:b/>
            <w:bCs/>
            <w:noProof/>
          </w:rPr>
          <w:t>Figure A.7:</w:t>
        </w:r>
        <w:r w:rsidR="00E21A65" w:rsidRPr="00126440">
          <w:rPr>
            <w:rStyle w:val="Hyperlink"/>
            <w:noProof/>
          </w:rPr>
          <w:t xml:space="preserve"> Comparison of manganese concentration in acidic and basic water, non-normalized.</w:t>
        </w:r>
        <w:r w:rsidR="00E21A65">
          <w:rPr>
            <w:noProof/>
            <w:webHidden/>
          </w:rPr>
          <w:tab/>
        </w:r>
        <w:r w:rsidR="00E21A65">
          <w:rPr>
            <w:noProof/>
            <w:webHidden/>
          </w:rPr>
          <w:fldChar w:fldCharType="begin"/>
        </w:r>
        <w:r w:rsidR="00E21A65">
          <w:rPr>
            <w:noProof/>
            <w:webHidden/>
          </w:rPr>
          <w:instrText xml:space="preserve"> PAGEREF _Toc71224074 \h </w:instrText>
        </w:r>
        <w:r w:rsidR="00E21A65">
          <w:rPr>
            <w:noProof/>
            <w:webHidden/>
          </w:rPr>
        </w:r>
        <w:r w:rsidR="00E21A65">
          <w:rPr>
            <w:noProof/>
            <w:webHidden/>
          </w:rPr>
          <w:fldChar w:fldCharType="separate"/>
        </w:r>
        <w:r w:rsidR="007712B4">
          <w:rPr>
            <w:noProof/>
            <w:webHidden/>
          </w:rPr>
          <w:t>95</w:t>
        </w:r>
        <w:r w:rsidR="00E21A65">
          <w:rPr>
            <w:noProof/>
            <w:webHidden/>
          </w:rPr>
          <w:fldChar w:fldCharType="end"/>
        </w:r>
      </w:hyperlink>
    </w:p>
    <w:p w14:paraId="722160BF" w14:textId="5757B4F1" w:rsidR="00E21A65" w:rsidRDefault="00775C9C">
      <w:pPr>
        <w:pStyle w:val="TableofFigures"/>
        <w:tabs>
          <w:tab w:val="right" w:leader="dot" w:pos="9350"/>
        </w:tabs>
        <w:rPr>
          <w:rFonts w:asciiTheme="minorHAnsi" w:eastAsiaTheme="minorEastAsia" w:hAnsiTheme="minorHAnsi"/>
          <w:noProof/>
          <w:sz w:val="22"/>
        </w:rPr>
      </w:pPr>
      <w:hyperlink w:anchor="_Toc71224075" w:history="1">
        <w:r w:rsidR="00E21A65" w:rsidRPr="00126440">
          <w:rPr>
            <w:rStyle w:val="Hyperlink"/>
            <w:b/>
            <w:bCs/>
            <w:noProof/>
          </w:rPr>
          <w:t>Figure A.8:</w:t>
        </w:r>
        <w:r w:rsidR="00E21A65" w:rsidRPr="00126440">
          <w:rPr>
            <w:rStyle w:val="Hyperlink"/>
            <w:noProof/>
          </w:rPr>
          <w:t xml:space="preserve"> Comparison of nickel concentration in acidic and basic water, non-normalized.</w:t>
        </w:r>
        <w:r w:rsidR="00E21A65">
          <w:rPr>
            <w:noProof/>
            <w:webHidden/>
          </w:rPr>
          <w:tab/>
        </w:r>
        <w:r w:rsidR="00E21A65">
          <w:rPr>
            <w:noProof/>
            <w:webHidden/>
          </w:rPr>
          <w:fldChar w:fldCharType="begin"/>
        </w:r>
        <w:r w:rsidR="00E21A65">
          <w:rPr>
            <w:noProof/>
            <w:webHidden/>
          </w:rPr>
          <w:instrText xml:space="preserve"> PAGEREF _Toc71224075 \h </w:instrText>
        </w:r>
        <w:r w:rsidR="00E21A65">
          <w:rPr>
            <w:noProof/>
            <w:webHidden/>
          </w:rPr>
        </w:r>
        <w:r w:rsidR="00E21A65">
          <w:rPr>
            <w:noProof/>
            <w:webHidden/>
          </w:rPr>
          <w:fldChar w:fldCharType="separate"/>
        </w:r>
        <w:r w:rsidR="007712B4">
          <w:rPr>
            <w:noProof/>
            <w:webHidden/>
          </w:rPr>
          <w:t>95</w:t>
        </w:r>
        <w:r w:rsidR="00E21A65">
          <w:rPr>
            <w:noProof/>
            <w:webHidden/>
          </w:rPr>
          <w:fldChar w:fldCharType="end"/>
        </w:r>
      </w:hyperlink>
    </w:p>
    <w:p w14:paraId="05896DD6" w14:textId="6094D9E5" w:rsidR="00E21A65" w:rsidRDefault="00775C9C">
      <w:pPr>
        <w:pStyle w:val="TableofFigures"/>
        <w:tabs>
          <w:tab w:val="right" w:leader="dot" w:pos="9350"/>
        </w:tabs>
        <w:rPr>
          <w:rFonts w:asciiTheme="minorHAnsi" w:eastAsiaTheme="minorEastAsia" w:hAnsiTheme="minorHAnsi"/>
          <w:noProof/>
          <w:sz w:val="22"/>
        </w:rPr>
      </w:pPr>
      <w:hyperlink w:anchor="_Toc71224076" w:history="1">
        <w:r w:rsidR="00E21A65" w:rsidRPr="00126440">
          <w:rPr>
            <w:rStyle w:val="Hyperlink"/>
            <w:b/>
            <w:bCs/>
            <w:noProof/>
          </w:rPr>
          <w:t>Figure A.9:</w:t>
        </w:r>
        <w:r w:rsidR="00E21A65" w:rsidRPr="00126440">
          <w:rPr>
            <w:rStyle w:val="Hyperlink"/>
            <w:noProof/>
          </w:rPr>
          <w:t xml:space="preserve"> Comparison of aluminum concentration in acidic and basic water, non-normalized.</w:t>
        </w:r>
        <w:r w:rsidR="00E21A65">
          <w:rPr>
            <w:noProof/>
            <w:webHidden/>
          </w:rPr>
          <w:tab/>
        </w:r>
        <w:r w:rsidR="00E21A65">
          <w:rPr>
            <w:noProof/>
            <w:webHidden/>
          </w:rPr>
          <w:fldChar w:fldCharType="begin"/>
        </w:r>
        <w:r w:rsidR="00E21A65">
          <w:rPr>
            <w:noProof/>
            <w:webHidden/>
          </w:rPr>
          <w:instrText xml:space="preserve"> PAGEREF _Toc71224076 \h </w:instrText>
        </w:r>
        <w:r w:rsidR="00E21A65">
          <w:rPr>
            <w:noProof/>
            <w:webHidden/>
          </w:rPr>
        </w:r>
        <w:r w:rsidR="00E21A65">
          <w:rPr>
            <w:noProof/>
            <w:webHidden/>
          </w:rPr>
          <w:fldChar w:fldCharType="separate"/>
        </w:r>
        <w:r w:rsidR="007712B4">
          <w:rPr>
            <w:noProof/>
            <w:webHidden/>
          </w:rPr>
          <w:t>96</w:t>
        </w:r>
        <w:r w:rsidR="00E21A65">
          <w:rPr>
            <w:noProof/>
            <w:webHidden/>
          </w:rPr>
          <w:fldChar w:fldCharType="end"/>
        </w:r>
      </w:hyperlink>
    </w:p>
    <w:p w14:paraId="04475455" w14:textId="1E01A96C" w:rsidR="00E21A65" w:rsidRDefault="00775C9C">
      <w:pPr>
        <w:pStyle w:val="TableofFigures"/>
        <w:tabs>
          <w:tab w:val="right" w:leader="dot" w:pos="9350"/>
        </w:tabs>
        <w:rPr>
          <w:rFonts w:asciiTheme="minorHAnsi" w:eastAsiaTheme="minorEastAsia" w:hAnsiTheme="minorHAnsi"/>
          <w:noProof/>
          <w:sz w:val="22"/>
        </w:rPr>
      </w:pPr>
      <w:hyperlink w:anchor="_Toc71224077" w:history="1">
        <w:r w:rsidR="00E21A65" w:rsidRPr="00126440">
          <w:rPr>
            <w:rStyle w:val="Hyperlink"/>
            <w:b/>
            <w:bCs/>
            <w:noProof/>
          </w:rPr>
          <w:t>Figure A.10:</w:t>
        </w:r>
        <w:r w:rsidR="00E21A65" w:rsidRPr="00126440">
          <w:rPr>
            <w:rStyle w:val="Hyperlink"/>
            <w:noProof/>
          </w:rPr>
          <w:t>.Comparison of major copper species in the MINEQL+ adsorption model.</w:t>
        </w:r>
        <w:r w:rsidR="00E21A65">
          <w:rPr>
            <w:noProof/>
            <w:webHidden/>
          </w:rPr>
          <w:tab/>
        </w:r>
        <w:r w:rsidR="00E21A65">
          <w:rPr>
            <w:noProof/>
            <w:webHidden/>
          </w:rPr>
          <w:fldChar w:fldCharType="begin"/>
        </w:r>
        <w:r w:rsidR="00E21A65">
          <w:rPr>
            <w:noProof/>
            <w:webHidden/>
          </w:rPr>
          <w:instrText xml:space="preserve"> PAGEREF _Toc71224077 \h </w:instrText>
        </w:r>
        <w:r w:rsidR="00E21A65">
          <w:rPr>
            <w:noProof/>
            <w:webHidden/>
          </w:rPr>
        </w:r>
        <w:r w:rsidR="00E21A65">
          <w:rPr>
            <w:noProof/>
            <w:webHidden/>
          </w:rPr>
          <w:fldChar w:fldCharType="separate"/>
        </w:r>
        <w:r w:rsidR="007712B4">
          <w:rPr>
            <w:noProof/>
            <w:webHidden/>
          </w:rPr>
          <w:t>96</w:t>
        </w:r>
        <w:r w:rsidR="00E21A65">
          <w:rPr>
            <w:noProof/>
            <w:webHidden/>
          </w:rPr>
          <w:fldChar w:fldCharType="end"/>
        </w:r>
      </w:hyperlink>
    </w:p>
    <w:p w14:paraId="3F7AED16" w14:textId="20BD4657" w:rsidR="00E21A65" w:rsidRDefault="00775C9C">
      <w:pPr>
        <w:pStyle w:val="TableofFigures"/>
        <w:tabs>
          <w:tab w:val="right" w:leader="dot" w:pos="9350"/>
        </w:tabs>
        <w:rPr>
          <w:rFonts w:asciiTheme="minorHAnsi" w:eastAsiaTheme="minorEastAsia" w:hAnsiTheme="minorHAnsi"/>
          <w:noProof/>
          <w:sz w:val="22"/>
        </w:rPr>
      </w:pPr>
      <w:hyperlink w:anchor="_Toc71224078" w:history="1">
        <w:r w:rsidR="00E21A65" w:rsidRPr="00126440">
          <w:rPr>
            <w:rStyle w:val="Hyperlink"/>
            <w:b/>
            <w:bCs/>
            <w:noProof/>
          </w:rPr>
          <w:t>Figure A.11:</w:t>
        </w:r>
        <w:r w:rsidR="00E21A65" w:rsidRPr="00126440">
          <w:rPr>
            <w:rStyle w:val="Hyperlink"/>
            <w:noProof/>
          </w:rPr>
          <w:t xml:space="preserve"> Comparison of major manganese species in the MINEQL+ adsorption model.</w:t>
        </w:r>
        <w:r w:rsidR="00E21A65">
          <w:rPr>
            <w:noProof/>
            <w:webHidden/>
          </w:rPr>
          <w:tab/>
        </w:r>
        <w:r w:rsidR="00E21A65">
          <w:rPr>
            <w:noProof/>
            <w:webHidden/>
          </w:rPr>
          <w:fldChar w:fldCharType="begin"/>
        </w:r>
        <w:r w:rsidR="00E21A65">
          <w:rPr>
            <w:noProof/>
            <w:webHidden/>
          </w:rPr>
          <w:instrText xml:space="preserve"> PAGEREF _Toc71224078 \h </w:instrText>
        </w:r>
        <w:r w:rsidR="00E21A65">
          <w:rPr>
            <w:noProof/>
            <w:webHidden/>
          </w:rPr>
        </w:r>
        <w:r w:rsidR="00E21A65">
          <w:rPr>
            <w:noProof/>
            <w:webHidden/>
          </w:rPr>
          <w:fldChar w:fldCharType="separate"/>
        </w:r>
        <w:r w:rsidR="007712B4">
          <w:rPr>
            <w:noProof/>
            <w:webHidden/>
          </w:rPr>
          <w:t>97</w:t>
        </w:r>
        <w:r w:rsidR="00E21A65">
          <w:rPr>
            <w:noProof/>
            <w:webHidden/>
          </w:rPr>
          <w:fldChar w:fldCharType="end"/>
        </w:r>
      </w:hyperlink>
    </w:p>
    <w:p w14:paraId="69E64546" w14:textId="72CCBEC3" w:rsidR="00E21A65" w:rsidRDefault="00775C9C">
      <w:pPr>
        <w:pStyle w:val="TableofFigures"/>
        <w:tabs>
          <w:tab w:val="right" w:leader="dot" w:pos="9350"/>
        </w:tabs>
        <w:rPr>
          <w:rFonts w:asciiTheme="minorHAnsi" w:eastAsiaTheme="minorEastAsia" w:hAnsiTheme="minorHAnsi"/>
          <w:noProof/>
          <w:sz w:val="22"/>
        </w:rPr>
      </w:pPr>
      <w:hyperlink w:anchor="_Toc71224079" w:history="1">
        <w:r w:rsidR="00E21A65" w:rsidRPr="00126440">
          <w:rPr>
            <w:rStyle w:val="Hyperlink"/>
            <w:b/>
            <w:bCs/>
            <w:noProof/>
          </w:rPr>
          <w:t>Figure A.12:</w:t>
        </w:r>
        <w:r w:rsidR="00E21A65" w:rsidRPr="00126440">
          <w:rPr>
            <w:rStyle w:val="Hyperlink"/>
            <w:noProof/>
          </w:rPr>
          <w:t xml:space="preserve"> Comparison of major nickel species in the MINEQL+ adsorption model.</w:t>
        </w:r>
        <w:r w:rsidR="00E21A65">
          <w:rPr>
            <w:noProof/>
            <w:webHidden/>
          </w:rPr>
          <w:tab/>
        </w:r>
        <w:r w:rsidR="00E21A65">
          <w:rPr>
            <w:noProof/>
            <w:webHidden/>
          </w:rPr>
          <w:fldChar w:fldCharType="begin"/>
        </w:r>
        <w:r w:rsidR="00E21A65">
          <w:rPr>
            <w:noProof/>
            <w:webHidden/>
          </w:rPr>
          <w:instrText xml:space="preserve"> PAGEREF _Toc71224079 \h </w:instrText>
        </w:r>
        <w:r w:rsidR="00E21A65">
          <w:rPr>
            <w:noProof/>
            <w:webHidden/>
          </w:rPr>
        </w:r>
        <w:r w:rsidR="00E21A65">
          <w:rPr>
            <w:noProof/>
            <w:webHidden/>
          </w:rPr>
          <w:fldChar w:fldCharType="separate"/>
        </w:r>
        <w:r w:rsidR="007712B4">
          <w:rPr>
            <w:noProof/>
            <w:webHidden/>
          </w:rPr>
          <w:t>97</w:t>
        </w:r>
        <w:r w:rsidR="00E21A65">
          <w:rPr>
            <w:noProof/>
            <w:webHidden/>
          </w:rPr>
          <w:fldChar w:fldCharType="end"/>
        </w:r>
      </w:hyperlink>
    </w:p>
    <w:p w14:paraId="41FC77EE" w14:textId="47A67FFD" w:rsidR="00E21A65" w:rsidRDefault="00775C9C">
      <w:pPr>
        <w:pStyle w:val="TableofFigures"/>
        <w:tabs>
          <w:tab w:val="right" w:leader="dot" w:pos="9350"/>
        </w:tabs>
        <w:rPr>
          <w:rFonts w:asciiTheme="minorHAnsi" w:eastAsiaTheme="minorEastAsia" w:hAnsiTheme="minorHAnsi"/>
          <w:noProof/>
          <w:sz w:val="22"/>
        </w:rPr>
      </w:pPr>
      <w:hyperlink w:anchor="_Toc71224080" w:history="1">
        <w:r w:rsidR="00E21A65" w:rsidRPr="00126440">
          <w:rPr>
            <w:rStyle w:val="Hyperlink"/>
            <w:b/>
            <w:bCs/>
            <w:noProof/>
          </w:rPr>
          <w:t>Figure A.13:</w:t>
        </w:r>
        <w:r w:rsidR="00E21A65" w:rsidRPr="00126440">
          <w:rPr>
            <w:rStyle w:val="Hyperlink"/>
            <w:noProof/>
          </w:rPr>
          <w:t xml:space="preserve"> Comparison of major aluminum species in the MINEQL+ adsorption model.</w:t>
        </w:r>
        <w:r w:rsidR="00E21A65">
          <w:rPr>
            <w:noProof/>
            <w:webHidden/>
          </w:rPr>
          <w:tab/>
        </w:r>
        <w:r w:rsidR="00E21A65">
          <w:rPr>
            <w:noProof/>
            <w:webHidden/>
          </w:rPr>
          <w:fldChar w:fldCharType="begin"/>
        </w:r>
        <w:r w:rsidR="00E21A65">
          <w:rPr>
            <w:noProof/>
            <w:webHidden/>
          </w:rPr>
          <w:instrText xml:space="preserve"> PAGEREF _Toc71224080 \h </w:instrText>
        </w:r>
        <w:r w:rsidR="00E21A65">
          <w:rPr>
            <w:noProof/>
            <w:webHidden/>
          </w:rPr>
        </w:r>
        <w:r w:rsidR="00E21A65">
          <w:rPr>
            <w:noProof/>
            <w:webHidden/>
          </w:rPr>
          <w:fldChar w:fldCharType="separate"/>
        </w:r>
        <w:r w:rsidR="007712B4">
          <w:rPr>
            <w:noProof/>
            <w:webHidden/>
          </w:rPr>
          <w:t>98</w:t>
        </w:r>
        <w:r w:rsidR="00E21A65">
          <w:rPr>
            <w:noProof/>
            <w:webHidden/>
          </w:rPr>
          <w:fldChar w:fldCharType="end"/>
        </w:r>
      </w:hyperlink>
    </w:p>
    <w:p w14:paraId="0D91B5B6" w14:textId="74A73E4E" w:rsidR="00E21A65" w:rsidRDefault="00775C9C">
      <w:pPr>
        <w:pStyle w:val="TableofFigures"/>
        <w:tabs>
          <w:tab w:val="right" w:leader="dot" w:pos="9350"/>
        </w:tabs>
        <w:rPr>
          <w:rFonts w:asciiTheme="minorHAnsi" w:eastAsiaTheme="minorEastAsia" w:hAnsiTheme="minorHAnsi"/>
          <w:noProof/>
          <w:sz w:val="22"/>
        </w:rPr>
      </w:pPr>
      <w:hyperlink w:anchor="_Toc71224081" w:history="1">
        <w:r w:rsidR="00E21A65" w:rsidRPr="00126440">
          <w:rPr>
            <w:rStyle w:val="Hyperlink"/>
            <w:b/>
            <w:bCs/>
            <w:noProof/>
          </w:rPr>
          <w:t>Figure A.14:</w:t>
        </w:r>
        <w:r w:rsidR="00E21A65" w:rsidRPr="00126440">
          <w:rPr>
            <w:rStyle w:val="Hyperlink"/>
            <w:noProof/>
          </w:rPr>
          <w:t xml:space="preserve"> Comparison of major cobalt species in the MINEQL+ adsorption model.</w:t>
        </w:r>
        <w:r w:rsidR="00E21A65">
          <w:rPr>
            <w:noProof/>
            <w:webHidden/>
          </w:rPr>
          <w:tab/>
        </w:r>
        <w:r w:rsidR="00E21A65">
          <w:rPr>
            <w:noProof/>
            <w:webHidden/>
          </w:rPr>
          <w:fldChar w:fldCharType="begin"/>
        </w:r>
        <w:r w:rsidR="00E21A65">
          <w:rPr>
            <w:noProof/>
            <w:webHidden/>
          </w:rPr>
          <w:instrText xml:space="preserve"> PAGEREF _Toc71224081 \h </w:instrText>
        </w:r>
        <w:r w:rsidR="00E21A65">
          <w:rPr>
            <w:noProof/>
            <w:webHidden/>
          </w:rPr>
        </w:r>
        <w:r w:rsidR="00E21A65">
          <w:rPr>
            <w:noProof/>
            <w:webHidden/>
          </w:rPr>
          <w:fldChar w:fldCharType="separate"/>
        </w:r>
        <w:r w:rsidR="007712B4">
          <w:rPr>
            <w:noProof/>
            <w:webHidden/>
          </w:rPr>
          <w:t>98</w:t>
        </w:r>
        <w:r w:rsidR="00E21A65">
          <w:rPr>
            <w:noProof/>
            <w:webHidden/>
          </w:rPr>
          <w:fldChar w:fldCharType="end"/>
        </w:r>
      </w:hyperlink>
    </w:p>
    <w:p w14:paraId="29F4CF33" w14:textId="6FC4F880" w:rsidR="00E21A65" w:rsidRDefault="00775C9C">
      <w:pPr>
        <w:pStyle w:val="TableofFigures"/>
        <w:tabs>
          <w:tab w:val="right" w:leader="dot" w:pos="9350"/>
        </w:tabs>
        <w:rPr>
          <w:rFonts w:asciiTheme="minorHAnsi" w:eastAsiaTheme="minorEastAsia" w:hAnsiTheme="minorHAnsi"/>
          <w:noProof/>
          <w:sz w:val="22"/>
        </w:rPr>
      </w:pPr>
      <w:hyperlink w:anchor="_Toc71224082" w:history="1">
        <w:r w:rsidR="00E21A65" w:rsidRPr="00126440">
          <w:rPr>
            <w:rStyle w:val="Hyperlink"/>
            <w:b/>
            <w:bCs/>
            <w:noProof/>
          </w:rPr>
          <w:t>Figure A.15:</w:t>
        </w:r>
        <w:r w:rsidR="00E21A65" w:rsidRPr="00126440">
          <w:rPr>
            <w:rStyle w:val="Hyperlink"/>
            <w:noProof/>
          </w:rPr>
          <w:t xml:space="preserve"> Comparison of experimental and MINEQL+ concentration results for the acidic water group.</w:t>
        </w:r>
        <w:r w:rsidR="00E21A65">
          <w:rPr>
            <w:noProof/>
            <w:webHidden/>
          </w:rPr>
          <w:tab/>
        </w:r>
        <w:r w:rsidR="00E21A65">
          <w:rPr>
            <w:noProof/>
            <w:webHidden/>
          </w:rPr>
          <w:fldChar w:fldCharType="begin"/>
        </w:r>
        <w:r w:rsidR="00E21A65">
          <w:rPr>
            <w:noProof/>
            <w:webHidden/>
          </w:rPr>
          <w:instrText xml:space="preserve"> PAGEREF _Toc71224082 \h </w:instrText>
        </w:r>
        <w:r w:rsidR="00E21A65">
          <w:rPr>
            <w:noProof/>
            <w:webHidden/>
          </w:rPr>
        </w:r>
        <w:r w:rsidR="00E21A65">
          <w:rPr>
            <w:noProof/>
            <w:webHidden/>
          </w:rPr>
          <w:fldChar w:fldCharType="separate"/>
        </w:r>
        <w:r w:rsidR="007712B4">
          <w:rPr>
            <w:noProof/>
            <w:webHidden/>
          </w:rPr>
          <w:t>99</w:t>
        </w:r>
        <w:r w:rsidR="00E21A65">
          <w:rPr>
            <w:noProof/>
            <w:webHidden/>
          </w:rPr>
          <w:fldChar w:fldCharType="end"/>
        </w:r>
      </w:hyperlink>
    </w:p>
    <w:p w14:paraId="2FBDA754" w14:textId="6F06F4C2" w:rsidR="00E21A65" w:rsidRDefault="00775C9C">
      <w:pPr>
        <w:pStyle w:val="TableofFigures"/>
        <w:tabs>
          <w:tab w:val="right" w:leader="dot" w:pos="9350"/>
        </w:tabs>
        <w:rPr>
          <w:rFonts w:asciiTheme="minorHAnsi" w:eastAsiaTheme="minorEastAsia" w:hAnsiTheme="minorHAnsi"/>
          <w:noProof/>
          <w:sz w:val="22"/>
        </w:rPr>
      </w:pPr>
      <w:hyperlink w:anchor="_Toc71224083" w:history="1">
        <w:r w:rsidR="00E21A65" w:rsidRPr="00126440">
          <w:rPr>
            <w:rStyle w:val="Hyperlink"/>
            <w:b/>
            <w:bCs/>
            <w:noProof/>
          </w:rPr>
          <w:t>Figure A.16:</w:t>
        </w:r>
        <w:r w:rsidR="00E21A65" w:rsidRPr="00126440">
          <w:rPr>
            <w:rStyle w:val="Hyperlink"/>
            <w:noProof/>
          </w:rPr>
          <w:t xml:space="preserve"> Comparison of experimental and MINEQL+ concentration results for the basic water group.</w:t>
        </w:r>
        <w:r w:rsidR="00E21A65">
          <w:rPr>
            <w:noProof/>
            <w:webHidden/>
          </w:rPr>
          <w:tab/>
        </w:r>
        <w:r w:rsidR="00E21A65">
          <w:rPr>
            <w:noProof/>
            <w:webHidden/>
          </w:rPr>
          <w:fldChar w:fldCharType="begin"/>
        </w:r>
        <w:r w:rsidR="00E21A65">
          <w:rPr>
            <w:noProof/>
            <w:webHidden/>
          </w:rPr>
          <w:instrText xml:space="preserve"> PAGEREF _Toc71224083 \h </w:instrText>
        </w:r>
        <w:r w:rsidR="00E21A65">
          <w:rPr>
            <w:noProof/>
            <w:webHidden/>
          </w:rPr>
        </w:r>
        <w:r w:rsidR="00E21A65">
          <w:rPr>
            <w:noProof/>
            <w:webHidden/>
          </w:rPr>
          <w:fldChar w:fldCharType="separate"/>
        </w:r>
        <w:r w:rsidR="007712B4">
          <w:rPr>
            <w:noProof/>
            <w:webHidden/>
          </w:rPr>
          <w:t>99</w:t>
        </w:r>
        <w:r w:rsidR="00E21A65">
          <w:rPr>
            <w:noProof/>
            <w:webHidden/>
          </w:rPr>
          <w:fldChar w:fldCharType="end"/>
        </w:r>
      </w:hyperlink>
    </w:p>
    <w:p w14:paraId="7058C4D8" w14:textId="19C90627" w:rsidR="009573F1" w:rsidRDefault="00570135" w:rsidP="005D1946">
      <w:pPr>
        <w:tabs>
          <w:tab w:val="right" w:leader="dot" w:pos="9360"/>
        </w:tabs>
      </w:pPr>
      <w:r>
        <w:fldChar w:fldCharType="end"/>
      </w:r>
      <w:r w:rsidR="0064681B">
        <w:br w:type="page"/>
      </w:r>
    </w:p>
    <w:p w14:paraId="34AA62F3" w14:textId="55EAFBAF" w:rsidR="0064681B" w:rsidRPr="002A4ADE" w:rsidRDefault="0064681B" w:rsidP="008F23B0">
      <w:pPr>
        <w:pStyle w:val="Heading1"/>
      </w:pPr>
      <w:bookmarkStart w:id="3" w:name="_Toc71223983"/>
      <w:r w:rsidRPr="002A4ADE">
        <w:lastRenderedPageBreak/>
        <w:t>Abstract</w:t>
      </w:r>
      <w:bookmarkEnd w:id="3"/>
    </w:p>
    <w:p w14:paraId="2CA0ECD5" w14:textId="3B2F621E" w:rsidR="0064681B" w:rsidRDefault="00E755A5" w:rsidP="00665523">
      <w:pPr>
        <w:ind w:firstLine="720"/>
        <w:jc w:val="both"/>
        <w:rPr>
          <w:sz w:val="23"/>
          <w:szCs w:val="23"/>
        </w:rPr>
      </w:pPr>
      <w:bookmarkStart w:id="4" w:name="_Hlk69477330"/>
      <w:r>
        <w:rPr>
          <w:sz w:val="23"/>
          <w:szCs w:val="23"/>
        </w:rPr>
        <w:t>Lithium-ion batteries (LIB) are becoming the front-runner for rechargeable battery usage yet are rarely disposed of properly.</w:t>
      </w:r>
      <w:r w:rsidR="00FB7456">
        <w:rPr>
          <w:sz w:val="23"/>
          <w:szCs w:val="23"/>
        </w:rPr>
        <w:t xml:space="preserve">  </w:t>
      </w:r>
      <w:r w:rsidR="00065E24">
        <w:rPr>
          <w:sz w:val="23"/>
          <w:szCs w:val="23"/>
        </w:rPr>
        <w:t>Analysis of varying landfills</w:t>
      </w:r>
      <w:r w:rsidR="00EB1694">
        <w:rPr>
          <w:sz w:val="23"/>
          <w:szCs w:val="23"/>
        </w:rPr>
        <w:t xml:space="preserve"> </w:t>
      </w:r>
      <w:r w:rsidR="00065E24">
        <w:rPr>
          <w:sz w:val="23"/>
          <w:szCs w:val="23"/>
        </w:rPr>
        <w:t>and</w:t>
      </w:r>
      <w:r w:rsidR="00FB7456">
        <w:rPr>
          <w:sz w:val="23"/>
          <w:szCs w:val="23"/>
        </w:rPr>
        <w:t xml:space="preserve"> electronic waste recycling centers </w:t>
      </w:r>
      <w:r w:rsidR="00EB1694">
        <w:rPr>
          <w:sz w:val="23"/>
          <w:szCs w:val="23"/>
        </w:rPr>
        <w:t xml:space="preserve">throughout the world </w:t>
      </w:r>
      <w:r w:rsidR="00065E24">
        <w:rPr>
          <w:sz w:val="23"/>
          <w:szCs w:val="23"/>
        </w:rPr>
        <w:t>show h</w:t>
      </w:r>
      <w:r w:rsidR="00EB1694">
        <w:rPr>
          <w:sz w:val="23"/>
          <w:szCs w:val="23"/>
        </w:rPr>
        <w:t>igh levels of metal contamination in the nearby soil and water system</w:t>
      </w:r>
      <w:r w:rsidR="00A81DC6">
        <w:rPr>
          <w:sz w:val="23"/>
          <w:szCs w:val="23"/>
        </w:rPr>
        <w:t xml:space="preserve">, </w:t>
      </w:r>
      <w:r>
        <w:rPr>
          <w:sz w:val="23"/>
          <w:szCs w:val="23"/>
        </w:rPr>
        <w:t>contaminating the environment and impacting the health of the surrounding communities.</w:t>
      </w:r>
      <w:r w:rsidR="00872122">
        <w:rPr>
          <w:sz w:val="23"/>
          <w:szCs w:val="23"/>
        </w:rPr>
        <w:t xml:space="preserve"> </w:t>
      </w:r>
      <w:r>
        <w:rPr>
          <w:sz w:val="23"/>
          <w:szCs w:val="23"/>
        </w:rPr>
        <w:t xml:space="preserve"> Depending on soil characteristics, the solubility of metals changes</w:t>
      </w:r>
      <w:r w:rsidR="006F4D5F">
        <w:rPr>
          <w:sz w:val="23"/>
          <w:szCs w:val="23"/>
        </w:rPr>
        <w:t xml:space="preserve"> by </w:t>
      </w:r>
      <w:r>
        <w:rPr>
          <w:sz w:val="23"/>
          <w:szCs w:val="23"/>
        </w:rPr>
        <w:t xml:space="preserve">either integrating into the soil or leaching into the water runoff. </w:t>
      </w:r>
      <w:r w:rsidR="00872122">
        <w:rPr>
          <w:sz w:val="23"/>
          <w:szCs w:val="23"/>
        </w:rPr>
        <w:t xml:space="preserve"> </w:t>
      </w:r>
      <w:r>
        <w:rPr>
          <w:sz w:val="23"/>
          <w:szCs w:val="23"/>
        </w:rPr>
        <w:t>Though research has been performed with other battery types and electronic waste</w:t>
      </w:r>
      <w:r w:rsidR="00F27F12">
        <w:rPr>
          <w:sz w:val="23"/>
          <w:szCs w:val="23"/>
        </w:rPr>
        <w:t xml:space="preserve"> regarding the severity of the metal contamination over time</w:t>
      </w:r>
      <w:r>
        <w:rPr>
          <w:sz w:val="23"/>
          <w:szCs w:val="23"/>
        </w:rPr>
        <w:t>,</w:t>
      </w:r>
      <w:r w:rsidR="006F4D5F">
        <w:rPr>
          <w:sz w:val="23"/>
          <w:szCs w:val="23"/>
        </w:rPr>
        <w:t xml:space="preserve"> no published studies related to</w:t>
      </w:r>
      <w:r>
        <w:rPr>
          <w:sz w:val="23"/>
          <w:szCs w:val="23"/>
        </w:rPr>
        <w:t xml:space="preserve"> LIB </w:t>
      </w:r>
      <w:r w:rsidR="006F4D5F">
        <w:rPr>
          <w:sz w:val="23"/>
          <w:szCs w:val="23"/>
        </w:rPr>
        <w:t>were found</w:t>
      </w:r>
      <w:r>
        <w:rPr>
          <w:sz w:val="23"/>
          <w:szCs w:val="23"/>
        </w:rPr>
        <w:t xml:space="preserve">. </w:t>
      </w:r>
      <w:r w:rsidR="00872122">
        <w:rPr>
          <w:sz w:val="23"/>
          <w:szCs w:val="23"/>
        </w:rPr>
        <w:t xml:space="preserve"> </w:t>
      </w:r>
      <w:r>
        <w:rPr>
          <w:sz w:val="23"/>
          <w:szCs w:val="23"/>
        </w:rPr>
        <w:t xml:space="preserve">This </w:t>
      </w:r>
      <w:r w:rsidR="00872122">
        <w:rPr>
          <w:sz w:val="23"/>
          <w:szCs w:val="23"/>
        </w:rPr>
        <w:t>study</w:t>
      </w:r>
      <w:r>
        <w:rPr>
          <w:sz w:val="23"/>
          <w:szCs w:val="23"/>
        </w:rPr>
        <w:t xml:space="preserve"> focuse</w:t>
      </w:r>
      <w:r w:rsidR="00872122">
        <w:rPr>
          <w:sz w:val="23"/>
          <w:szCs w:val="23"/>
        </w:rPr>
        <w:t>d</w:t>
      </w:r>
      <w:r>
        <w:rPr>
          <w:sz w:val="23"/>
          <w:szCs w:val="23"/>
        </w:rPr>
        <w:t xml:space="preserve"> on evaluating the effect soil and water pH ha</w:t>
      </w:r>
      <w:r w:rsidR="00F27F12">
        <w:rPr>
          <w:sz w:val="23"/>
          <w:szCs w:val="23"/>
        </w:rPr>
        <w:t>s</w:t>
      </w:r>
      <w:r>
        <w:rPr>
          <w:sz w:val="23"/>
          <w:szCs w:val="23"/>
        </w:rPr>
        <w:t xml:space="preserve"> on the leaching of LIB metals</w:t>
      </w:r>
      <w:r w:rsidR="00E553AB">
        <w:rPr>
          <w:sz w:val="23"/>
          <w:szCs w:val="23"/>
        </w:rPr>
        <w:t xml:space="preserve"> </w:t>
      </w:r>
      <w:r w:rsidR="0054035D">
        <w:rPr>
          <w:sz w:val="23"/>
          <w:szCs w:val="23"/>
        </w:rPr>
        <w:t>and the comparison to the MINEQL+ model of the systems</w:t>
      </w:r>
      <w:r>
        <w:rPr>
          <w:sz w:val="23"/>
          <w:szCs w:val="23"/>
        </w:rPr>
        <w:t xml:space="preserve">. </w:t>
      </w:r>
      <w:r w:rsidR="00872122">
        <w:rPr>
          <w:sz w:val="23"/>
          <w:szCs w:val="23"/>
        </w:rPr>
        <w:t xml:space="preserve"> </w:t>
      </w:r>
      <w:r w:rsidR="00F27F12">
        <w:rPr>
          <w:sz w:val="23"/>
          <w:szCs w:val="23"/>
        </w:rPr>
        <w:t xml:space="preserve">Dismantled LIB pieces were added to the two types of soil and water sample groups, which were amended to a pH of approximately 4.5 and 9.5, </w:t>
      </w:r>
      <w:r w:rsidR="0054035D">
        <w:rPr>
          <w:sz w:val="23"/>
          <w:szCs w:val="23"/>
        </w:rPr>
        <w:t>for</w:t>
      </w:r>
      <w:r w:rsidR="00F27F12">
        <w:rPr>
          <w:sz w:val="23"/>
          <w:szCs w:val="23"/>
        </w:rPr>
        <w:t xml:space="preserve"> one to twenty-four weeks.  </w:t>
      </w:r>
      <w:r w:rsidR="0054035D">
        <w:rPr>
          <w:sz w:val="23"/>
          <w:szCs w:val="23"/>
        </w:rPr>
        <w:t>The soil and water samples analyzed by X-ray Fluorescence (XRF) for</w:t>
      </w:r>
      <w:r w:rsidR="00053814">
        <w:rPr>
          <w:sz w:val="23"/>
          <w:szCs w:val="23"/>
        </w:rPr>
        <w:t xml:space="preserve"> copper, manganese, nickel, cobalt, and aluminum</w:t>
      </w:r>
      <w:r w:rsidR="00A62872">
        <w:rPr>
          <w:sz w:val="23"/>
          <w:szCs w:val="23"/>
        </w:rPr>
        <w:t>.  C</w:t>
      </w:r>
      <w:r w:rsidR="004B783C">
        <w:rPr>
          <w:sz w:val="23"/>
          <w:szCs w:val="23"/>
        </w:rPr>
        <w:t xml:space="preserve">obalt </w:t>
      </w:r>
      <w:r w:rsidR="009325F2">
        <w:rPr>
          <w:sz w:val="23"/>
          <w:szCs w:val="23"/>
        </w:rPr>
        <w:t xml:space="preserve">was </w:t>
      </w:r>
      <w:r w:rsidR="004B783C">
        <w:rPr>
          <w:sz w:val="23"/>
          <w:szCs w:val="23"/>
        </w:rPr>
        <w:t>below the detection limit</w:t>
      </w:r>
      <w:r w:rsidR="009325F2">
        <w:rPr>
          <w:sz w:val="23"/>
          <w:szCs w:val="23"/>
        </w:rPr>
        <w:t xml:space="preserve"> in both </w:t>
      </w:r>
      <w:r w:rsidR="00A62872">
        <w:rPr>
          <w:sz w:val="23"/>
          <w:szCs w:val="23"/>
        </w:rPr>
        <w:t>soil and water</w:t>
      </w:r>
      <w:r w:rsidR="009325F2">
        <w:rPr>
          <w:sz w:val="23"/>
          <w:szCs w:val="23"/>
        </w:rPr>
        <w:t xml:space="preserve"> groups</w:t>
      </w:r>
      <w:r w:rsidR="0054035D">
        <w:rPr>
          <w:sz w:val="23"/>
          <w:szCs w:val="23"/>
        </w:rPr>
        <w:t xml:space="preserve">.  The results from the soil samples show </w:t>
      </w:r>
      <w:r w:rsidR="000F3A3E">
        <w:rPr>
          <w:sz w:val="23"/>
          <w:szCs w:val="23"/>
        </w:rPr>
        <w:t>the basic soil having a significantly higher adsorption rate</w:t>
      </w:r>
      <w:r w:rsidR="00D91D5D">
        <w:rPr>
          <w:sz w:val="23"/>
          <w:szCs w:val="23"/>
        </w:rPr>
        <w:t xml:space="preserve"> over the acidic soil for copper, nickel, and manganese</w:t>
      </w:r>
      <w:r w:rsidR="00CD49B5">
        <w:rPr>
          <w:sz w:val="23"/>
          <w:szCs w:val="23"/>
        </w:rPr>
        <w:t xml:space="preserve"> (p &lt;0.05)</w:t>
      </w:r>
      <w:r w:rsidR="00635030">
        <w:rPr>
          <w:sz w:val="23"/>
          <w:szCs w:val="23"/>
        </w:rPr>
        <w:t xml:space="preserve">.  There was </w:t>
      </w:r>
      <w:r w:rsidR="00216ADC">
        <w:rPr>
          <w:sz w:val="23"/>
          <w:szCs w:val="23"/>
        </w:rPr>
        <w:t xml:space="preserve">no significant difference in </w:t>
      </w:r>
      <w:r w:rsidR="003B3443">
        <w:rPr>
          <w:sz w:val="23"/>
          <w:szCs w:val="23"/>
        </w:rPr>
        <w:t>aluminum</w:t>
      </w:r>
      <w:r w:rsidR="00D454F2">
        <w:rPr>
          <w:sz w:val="23"/>
          <w:szCs w:val="23"/>
        </w:rPr>
        <w:t xml:space="preserve"> adsorption</w:t>
      </w:r>
      <w:r w:rsidR="000F3A3E">
        <w:rPr>
          <w:sz w:val="23"/>
          <w:szCs w:val="23"/>
        </w:rPr>
        <w:t xml:space="preserve"> between </w:t>
      </w:r>
      <w:r w:rsidR="00D91D5D">
        <w:rPr>
          <w:sz w:val="23"/>
          <w:szCs w:val="23"/>
        </w:rPr>
        <w:t>the soil</w:t>
      </w:r>
      <w:r w:rsidR="000F3A3E">
        <w:rPr>
          <w:sz w:val="23"/>
          <w:szCs w:val="23"/>
        </w:rPr>
        <w:t xml:space="preserve"> groups</w:t>
      </w:r>
      <w:r w:rsidR="0054035D">
        <w:rPr>
          <w:sz w:val="23"/>
          <w:szCs w:val="23"/>
        </w:rPr>
        <w:t xml:space="preserve">. </w:t>
      </w:r>
      <w:r w:rsidR="0054035D" w:rsidRPr="0054035D">
        <w:rPr>
          <w:sz w:val="23"/>
          <w:szCs w:val="23"/>
        </w:rPr>
        <w:t xml:space="preserve"> </w:t>
      </w:r>
      <w:r w:rsidR="00750A73">
        <w:rPr>
          <w:sz w:val="23"/>
          <w:szCs w:val="23"/>
        </w:rPr>
        <w:t>The MINEQL+</w:t>
      </w:r>
      <w:r w:rsidR="0098011A">
        <w:rPr>
          <w:sz w:val="23"/>
          <w:szCs w:val="23"/>
        </w:rPr>
        <w:t xml:space="preserve"> </w:t>
      </w:r>
      <w:r w:rsidR="004776E6">
        <w:rPr>
          <w:sz w:val="23"/>
          <w:szCs w:val="23"/>
        </w:rPr>
        <w:t xml:space="preserve">model </w:t>
      </w:r>
      <w:r w:rsidR="0098011A">
        <w:rPr>
          <w:sz w:val="23"/>
          <w:szCs w:val="23"/>
        </w:rPr>
        <w:t xml:space="preserve">utilized the </w:t>
      </w:r>
      <w:r w:rsidR="00D91D5D">
        <w:rPr>
          <w:sz w:val="23"/>
          <w:szCs w:val="23"/>
        </w:rPr>
        <w:t>two-</w:t>
      </w:r>
      <w:r w:rsidR="00CC5839">
        <w:rPr>
          <w:sz w:val="23"/>
          <w:szCs w:val="23"/>
        </w:rPr>
        <w:t>layer adsorption model to</w:t>
      </w:r>
      <w:r w:rsidR="00750A73">
        <w:rPr>
          <w:sz w:val="23"/>
          <w:szCs w:val="23"/>
        </w:rPr>
        <w:t xml:space="preserve"> </w:t>
      </w:r>
      <w:r w:rsidR="00D11987">
        <w:rPr>
          <w:sz w:val="23"/>
          <w:szCs w:val="23"/>
        </w:rPr>
        <w:t>qualitatively match</w:t>
      </w:r>
      <w:r w:rsidR="007311E7">
        <w:rPr>
          <w:sz w:val="23"/>
          <w:szCs w:val="23"/>
        </w:rPr>
        <w:t xml:space="preserve"> </w:t>
      </w:r>
      <w:r w:rsidR="00D11987">
        <w:rPr>
          <w:sz w:val="23"/>
          <w:szCs w:val="23"/>
        </w:rPr>
        <w:t>the experimental results</w:t>
      </w:r>
      <w:r w:rsidR="004B2D1F">
        <w:rPr>
          <w:sz w:val="23"/>
          <w:szCs w:val="23"/>
        </w:rPr>
        <w:t>, with</w:t>
      </w:r>
      <w:r w:rsidR="00AE72E1">
        <w:rPr>
          <w:sz w:val="23"/>
          <w:szCs w:val="23"/>
        </w:rPr>
        <w:t xml:space="preserve"> estimating through iteration</w:t>
      </w:r>
      <w:r w:rsidR="00A14124">
        <w:rPr>
          <w:sz w:val="23"/>
          <w:szCs w:val="23"/>
        </w:rPr>
        <w:t xml:space="preserve"> the equilibrium constants for the </w:t>
      </w:r>
      <w:r w:rsidR="000C1058">
        <w:rPr>
          <w:sz w:val="23"/>
          <w:szCs w:val="23"/>
        </w:rPr>
        <w:t>metals in the soil</w:t>
      </w:r>
      <w:r w:rsidR="0054035D">
        <w:rPr>
          <w:sz w:val="23"/>
          <w:szCs w:val="23"/>
        </w:rPr>
        <w:t xml:space="preserve">.  </w:t>
      </w:r>
      <w:r w:rsidR="00D91D5D">
        <w:rPr>
          <w:sz w:val="23"/>
          <w:szCs w:val="23"/>
        </w:rPr>
        <w:t>The results from the water samples show the acidic water having a significantly higher leaching rate over the basic water for copper, nickel, and manganese (p &lt;0.05).  The leaching rate of aluminum was significantly higher in the basic water over the acidic water (p &lt;0.05).</w:t>
      </w:r>
      <w:r w:rsidR="007E7242">
        <w:rPr>
          <w:sz w:val="23"/>
          <w:szCs w:val="23"/>
        </w:rPr>
        <w:t xml:space="preserve"> </w:t>
      </w:r>
      <w:r w:rsidR="0054035D">
        <w:rPr>
          <w:sz w:val="23"/>
          <w:szCs w:val="23"/>
        </w:rPr>
        <w:t xml:space="preserve"> </w:t>
      </w:r>
      <w:r w:rsidR="001E7890">
        <w:rPr>
          <w:sz w:val="23"/>
          <w:szCs w:val="23"/>
        </w:rPr>
        <w:t>T</w:t>
      </w:r>
      <w:r w:rsidR="00D454F2">
        <w:rPr>
          <w:sz w:val="23"/>
          <w:szCs w:val="23"/>
        </w:rPr>
        <w:t xml:space="preserve">he MINEQL+ model </w:t>
      </w:r>
      <w:r w:rsidR="007311E7">
        <w:rPr>
          <w:sz w:val="23"/>
          <w:szCs w:val="23"/>
        </w:rPr>
        <w:t xml:space="preserve">utilized solubility parameters to qualitatively match </w:t>
      </w:r>
      <w:r w:rsidR="00AE72E1">
        <w:rPr>
          <w:sz w:val="23"/>
          <w:szCs w:val="23"/>
        </w:rPr>
        <w:t xml:space="preserve">the </w:t>
      </w:r>
      <w:r w:rsidR="000844DF">
        <w:rPr>
          <w:sz w:val="23"/>
          <w:szCs w:val="23"/>
        </w:rPr>
        <w:t xml:space="preserve">experimental results </w:t>
      </w:r>
      <w:r w:rsidR="00E10AD8">
        <w:rPr>
          <w:sz w:val="23"/>
          <w:szCs w:val="23"/>
        </w:rPr>
        <w:t xml:space="preserve">and determine the dominant metal species </w:t>
      </w:r>
      <w:r w:rsidR="00211A06">
        <w:rPr>
          <w:sz w:val="23"/>
          <w:szCs w:val="23"/>
        </w:rPr>
        <w:t xml:space="preserve">for </w:t>
      </w:r>
      <w:r w:rsidR="00D40641">
        <w:rPr>
          <w:sz w:val="23"/>
          <w:szCs w:val="23"/>
        </w:rPr>
        <w:t xml:space="preserve">ecological health </w:t>
      </w:r>
      <w:r w:rsidR="00211A06">
        <w:rPr>
          <w:sz w:val="23"/>
          <w:szCs w:val="23"/>
        </w:rPr>
        <w:t>risk.</w:t>
      </w:r>
      <w:r w:rsidR="00E61540">
        <w:rPr>
          <w:sz w:val="23"/>
          <w:szCs w:val="23"/>
        </w:rPr>
        <w:t xml:space="preserve">  This study highlights the severity of LIB metal contamination</w:t>
      </w:r>
      <w:r w:rsidR="001D48CD">
        <w:rPr>
          <w:sz w:val="23"/>
          <w:szCs w:val="23"/>
        </w:rPr>
        <w:t xml:space="preserve"> </w:t>
      </w:r>
      <w:r w:rsidR="00E61540">
        <w:rPr>
          <w:sz w:val="23"/>
          <w:szCs w:val="23"/>
        </w:rPr>
        <w:t>into the environment based on soil and water pH.</w:t>
      </w:r>
      <w:r w:rsidR="00FB7456">
        <w:rPr>
          <w:sz w:val="23"/>
          <w:szCs w:val="23"/>
        </w:rPr>
        <w:t xml:space="preserve">  The results of this study aim to encourage the </w:t>
      </w:r>
      <w:r w:rsidR="00052584">
        <w:rPr>
          <w:sz w:val="23"/>
          <w:szCs w:val="23"/>
        </w:rPr>
        <w:t xml:space="preserve">monitoring of soil and water pH surrounding </w:t>
      </w:r>
      <w:r w:rsidR="00052584">
        <w:rPr>
          <w:sz w:val="23"/>
          <w:szCs w:val="23"/>
        </w:rPr>
        <w:lastRenderedPageBreak/>
        <w:t xml:space="preserve">landfills and recycling centers as implementation steps to prevent further contamination of the </w:t>
      </w:r>
      <w:r w:rsidR="00586BBF">
        <w:rPr>
          <w:sz w:val="23"/>
          <w:szCs w:val="23"/>
        </w:rPr>
        <w:t xml:space="preserve">surrounding </w:t>
      </w:r>
      <w:r w:rsidR="00052584">
        <w:rPr>
          <w:sz w:val="23"/>
          <w:szCs w:val="23"/>
        </w:rPr>
        <w:t>environment by LIB.</w:t>
      </w:r>
    </w:p>
    <w:bookmarkEnd w:id="4"/>
    <w:p w14:paraId="34AA127D" w14:textId="77777777" w:rsidR="00137E28" w:rsidRDefault="00137E28" w:rsidP="00665523">
      <w:pPr>
        <w:ind w:firstLine="720"/>
        <w:jc w:val="both"/>
        <w:rPr>
          <w:sz w:val="23"/>
          <w:szCs w:val="23"/>
        </w:rPr>
      </w:pPr>
    </w:p>
    <w:p w14:paraId="0FB5845D" w14:textId="24D07298" w:rsidR="00137E28" w:rsidRDefault="00137E28" w:rsidP="00021989">
      <w:pPr>
        <w:ind w:left="1440" w:hanging="1440"/>
        <w:jc w:val="both"/>
      </w:pPr>
      <w:r w:rsidRPr="00137E28">
        <w:rPr>
          <w:b/>
          <w:bCs/>
          <w:sz w:val="23"/>
          <w:szCs w:val="23"/>
        </w:rPr>
        <w:t>Key Words:</w:t>
      </w:r>
      <w:r>
        <w:rPr>
          <w:sz w:val="23"/>
          <w:szCs w:val="23"/>
        </w:rPr>
        <w:t xml:space="preserve"> </w:t>
      </w:r>
      <w:r w:rsidR="00021989">
        <w:rPr>
          <w:sz w:val="23"/>
          <w:szCs w:val="23"/>
        </w:rPr>
        <w:t>Lithium-ion battery, Soil pH, Heavy metal contamination,</w:t>
      </w:r>
      <w:r w:rsidR="00F86B56">
        <w:rPr>
          <w:sz w:val="23"/>
          <w:szCs w:val="23"/>
        </w:rPr>
        <w:t xml:space="preserve"> </w:t>
      </w:r>
      <w:r w:rsidR="00AA3292">
        <w:rPr>
          <w:sz w:val="23"/>
          <w:szCs w:val="23"/>
        </w:rPr>
        <w:t>Adsorption Rate, Leaching Rate</w:t>
      </w:r>
    </w:p>
    <w:p w14:paraId="7DFDD374" w14:textId="77777777" w:rsidR="0064681B" w:rsidRDefault="0064681B" w:rsidP="00665523">
      <w:pPr>
        <w:jc w:val="both"/>
      </w:pPr>
    </w:p>
    <w:p w14:paraId="16A79FE6" w14:textId="77777777" w:rsidR="0064681B" w:rsidRDefault="0064681B" w:rsidP="00665523">
      <w:pPr>
        <w:jc w:val="both"/>
        <w:sectPr w:rsidR="0064681B" w:rsidSect="00B20E78">
          <w:footerReference w:type="default" r:id="rId11"/>
          <w:footnotePr>
            <w:pos w:val="beneathText"/>
            <w:numFmt w:val="lowerLetter"/>
          </w:footnotePr>
          <w:pgSz w:w="12240" w:h="15840"/>
          <w:pgMar w:top="1440" w:right="1440" w:bottom="1440" w:left="1440" w:header="720" w:footer="720" w:gutter="0"/>
          <w:pgNumType w:fmt="lowerRoman" w:start="4"/>
          <w:cols w:space="720"/>
          <w:docGrid w:linePitch="360"/>
        </w:sectPr>
      </w:pPr>
    </w:p>
    <w:p w14:paraId="4A2C46A4" w14:textId="20C6DC64" w:rsidR="0019209C" w:rsidRDefault="00F84424" w:rsidP="0019209C">
      <w:pPr>
        <w:pStyle w:val="Heading1"/>
      </w:pPr>
      <w:bookmarkStart w:id="5" w:name="_Toc71223984"/>
      <w:r>
        <w:lastRenderedPageBreak/>
        <w:t xml:space="preserve">Chapter </w:t>
      </w:r>
      <w:r w:rsidR="0019209C">
        <w:t>I: Project Introduction</w:t>
      </w:r>
      <w:bookmarkEnd w:id="5"/>
    </w:p>
    <w:p w14:paraId="63DFD557" w14:textId="13FDE778" w:rsidR="00901946" w:rsidRPr="002A4ADE" w:rsidRDefault="00F84424" w:rsidP="00F84424">
      <w:pPr>
        <w:pStyle w:val="Heading2"/>
      </w:pPr>
      <w:bookmarkStart w:id="6" w:name="_Toc71223985"/>
      <w:r>
        <w:t>1.1</w:t>
      </w:r>
      <w:r w:rsidR="00196F2F">
        <w:t xml:space="preserve"> </w:t>
      </w:r>
      <w:r w:rsidR="004D4BF6" w:rsidRPr="002A4ADE">
        <w:t>Introduction</w:t>
      </w:r>
      <w:bookmarkEnd w:id="6"/>
    </w:p>
    <w:p w14:paraId="66753DC8" w14:textId="52EFA1A5" w:rsidR="00452AF3" w:rsidRDefault="00452AF3" w:rsidP="00665523">
      <w:pPr>
        <w:ind w:firstLine="720"/>
        <w:jc w:val="both"/>
      </w:pPr>
      <w:r>
        <w:t>L</w:t>
      </w:r>
      <w:r w:rsidRPr="00090F43">
        <w:t xml:space="preserve">ithium-ion batteries (LIB) </w:t>
      </w:r>
      <w:r>
        <w:t>are becoming the front-runner for rechargeable battery usage and storage in household electronics, electric vehicles, and have been introduced as community power reserve stations.  When comparing presently available batteries types (i.e., alkaline, lead-acid, nickel-metal hydride), LIB are consistently lighter weight, have no memory effects</w:t>
      </w:r>
      <w:r w:rsidR="006F4D5F">
        <w:t xml:space="preserve"> (lower life cycle)</w:t>
      </w:r>
      <w:r>
        <w:t xml:space="preserve">, have a higher specific energy (run time), and have higher specific power (power output) </w:t>
      </w:r>
      <w:r>
        <w:fldChar w:fldCharType="begin" w:fldLock="1"/>
      </w:r>
      <w:r w:rsidR="00137F9F">
        <w:instrText>ADDIN CSL_CITATION {"citationItems":[{"id":"ITEM-1","itemData":{"DOI":"10.1016/j.rser.2018.03.002","ISSN":"18790690","abstract":"Lithium-ion batteries play an important role in the life quality of modern society as the dominant technology for use in portable electronic devices such as mobile phones, tablets and laptops. Beyond this application lithium-ion batteries are the preferred option for the emerging electric vehicle sector, while still underexploited in power supply systems, especially in combination with photovoltaics and wind power. As a technological component, lithium-ion batteries present huge global potential towards energy sustainability and substantial reductions in carbon emissions. A detailed review is presented herein on the state of the art and future perspectives of Li-ion batteries with emphasis on this potential.","author":[{"dropping-particle":"","family":"Zubi","given":"Ghassan","non-dropping-particle":"","parse-names":false,"suffix":""},{"dropping-particle":"","family":"Dufo-López","given":"Rodolfo","non-dropping-particle":"","parse-names":false,"suffix":""},{"dropping-particle":"","family":"Carvalho","given":"Monica","non-dropping-particle":"","parse-names":false,"suffix":""},{"dropping-particle":"","family":"Pasaoglu","given":"Guzay","non-dropping-particle":"","parse-names":false,"suffix":""}],"container-title":"Renewable and Sustainable Energy Reviews","id":"ITEM-1","issue":"April 2017","issued":{"date-parts":[["2018"]]},"page":"292-308","title":"The lithium-ion battery: State of the art and future perspectives","type":"article-journal","volume":"89"},"uris":["http://www.mendeley.com/documents/?uuid=05c76805-7aa3-4b5f-bf1b-1a917e6115de"]}],"mendeley":{"formattedCitation":"(Zubi et al., 2018)","plainTextFormattedCitation":"(Zubi et al., 2018)","previouslyFormattedCitation":"(Zubi et al., 2018)"},"properties":{"noteIndex":0},"schema":"https://github.com/citation-style-language/schema/raw/master/csl-citation.json"}</w:instrText>
      </w:r>
      <w:r>
        <w:fldChar w:fldCharType="separate"/>
      </w:r>
      <w:r w:rsidRPr="001A37E8">
        <w:rPr>
          <w:noProof/>
        </w:rPr>
        <w:t>(Zubi et al., 2018)</w:t>
      </w:r>
      <w:r>
        <w:fldChar w:fldCharType="end"/>
      </w:r>
      <w:r>
        <w:t xml:space="preserve">.  These characteristics allow LIB to perform in a diverse set of applications, as previously mentioned.  </w:t>
      </w:r>
    </w:p>
    <w:p w14:paraId="15248B94" w14:textId="3BE913F9" w:rsidR="00540CCF" w:rsidRDefault="00D311DF" w:rsidP="00235408">
      <w:pPr>
        <w:ind w:firstLine="720"/>
        <w:jc w:val="both"/>
      </w:pPr>
      <w:r>
        <w:t xml:space="preserve">As with every consumable product, there are ideal disposal procedures to limit the </w:t>
      </w:r>
      <w:r w:rsidR="006F4D5F">
        <w:t>pollution</w:t>
      </w:r>
      <w:r>
        <w:t xml:space="preserve"> into the environment; LIB </w:t>
      </w:r>
      <w:proofErr w:type="gramStart"/>
      <w:r>
        <w:t>are</w:t>
      </w:r>
      <w:proofErr w:type="gramEnd"/>
      <w:r>
        <w:t xml:space="preserve"> no different.  LIB are often improperly discarded into the waste management system (landfills) rather than being recycled </w:t>
      </w:r>
      <w:r>
        <w:fldChar w:fldCharType="begin" w:fldLock="1"/>
      </w:r>
      <w:r>
        <w:instrText>ADDIN CSL_CITATION {"citationItems":[{"id":"ITEM-1","itemData":{"abstract":"Lithium-ion batteries have made portable electronics ubiquitous, and they are about to do the same for electric vehicles. That success story is setting the world on track to generate a multimillion-metric-ton heap of used Li-ion batteries that could end up in the trash. The batteries are valuable and recyclable, but because of technical, economic, and other factors, less than 5% are recycled today. The enormousness of the impending spent-battery situation is driving researchers to search for cost-effective, environmentally sustainable strategies for dealing with the vast stockpile of Li-ion batteries looming on the horizon.","author":[{"dropping-particle":"","family":"Jacoby","given":"Mitch","non-dropping-particle":"","parse-names":false,"suffix":""}],"container-title":"Chemical &amp; Engineering News","id":"ITEM-1","issued":{"date-parts":[["2019"]]},"page":"volume 97, issue 28","title":"It’s time to get serious about recycling lithium-ion batteries","type":"article-magazine"},"uris":["http://www.mendeley.com/documents/?uuid=08a01f88-cbc9-48cc-b731-4f6478c8a970"]}],"mendeley":{"formattedCitation":"(Jacoby, 2019)","plainTextFormattedCitation":"(Jacoby, 2019)","previouslyFormattedCitation":"(Jacoby, 2019)"},"properties":{"noteIndex":0},"schema":"https://github.com/citation-style-language/schema/raw/master/csl-citation.json"}</w:instrText>
      </w:r>
      <w:r>
        <w:fldChar w:fldCharType="separate"/>
      </w:r>
      <w:r w:rsidRPr="00A77877">
        <w:rPr>
          <w:noProof/>
        </w:rPr>
        <w:t>(Jacoby, 2019)</w:t>
      </w:r>
      <w:r>
        <w:fldChar w:fldCharType="end"/>
      </w:r>
      <w:r>
        <w:t xml:space="preserve">.  Batteries disposed of in landfills leach their heavy metals during the degradation process into the soil and water systems nearby, polluting the environment.  Even though recycling prevents reusable waste from entering landfills, the recycling centers create heavy metal contamination in the surrounding areas from the recycling process of batteries and other electronic waste.  Heavy metal contamination from landfills and recycling centers into drinking water and agriculture can accumulate in the body, causing future health problems </w:t>
      </w:r>
      <w:r>
        <w:fldChar w:fldCharType="begin" w:fldLock="1"/>
      </w:r>
      <w:r>
        <w:instrText>ADDIN CSL_CITATION {"citationItems":[{"id":"ITEM-1","itemData":{"DOI":"10.1016/j.tox.2017.05.015","ISSN":"0300-483X","author":[{"dropping-particle":"","family":"Leyssens","given":"Laura","non-dropping-particle":"","parse-names":false,"suffix":""},{"dropping-particle":"","family":"Vinck","given":"Bart","non-dropping-particle":"","parse-names":false,"suffix":""},{"dropping-particle":"Van Der","family":"Straeten","given":"Catherine","non-dropping-particle":"","parse-names":false,"suffix":""},{"dropping-particle":"","family":"Wuyts","given":"Floris","non-dropping-particle":"","parse-names":false,"suffix":""},{"dropping-particle":"","family":"Maes","given":"Leen","non-dropping-particle":"","parse-names":false,"suffix":""}],"container-title":"Toxicology","id":"ITEM-1","issue":"May","issued":{"date-parts":[["2017"]]},"page":"43-56","publisher":"Elsevier","title":"Cobalt toxicity in humans — A review of the potential sources and systemic health e ff ects","type":"article-journal","volume":"387"},"uris":["http://www.mendeley.com/documents/?uuid=39a96986-73cd-4421-96d1-5b43d89fec0c"]}],"mendeley":{"formattedCitation":"(Leyssens et al., 2017)","plainTextFormattedCitation":"(Leyssens et al., 2017)","previouslyFormattedCitation":"(Leyssens et al., 2017)"},"properties":{"noteIndex":0},"schema":"https://github.com/citation-style-language/schema/raw/master/csl-citation.json"}</w:instrText>
      </w:r>
      <w:r>
        <w:fldChar w:fldCharType="separate"/>
      </w:r>
      <w:r w:rsidRPr="00171753">
        <w:rPr>
          <w:noProof/>
        </w:rPr>
        <w:t>(Leyssens et al., 2017)</w:t>
      </w:r>
      <w:r>
        <w:fldChar w:fldCharType="end"/>
      </w:r>
      <w:r>
        <w:t>.  There is a lack of knowledge on the effects soil characteristics have on LIB heavy metal leaching.  Such characteristics include pH, cation exchange capacity, original metal content, redox conditions, and organic matter content.  This research will examine the effects soil pH has on the LIB heavy metal leaching rate.</w:t>
      </w:r>
    </w:p>
    <w:p w14:paraId="24C7B535" w14:textId="77777777" w:rsidR="00BD23B5" w:rsidRDefault="00BD23B5" w:rsidP="00235408">
      <w:pPr>
        <w:ind w:firstLine="720"/>
        <w:jc w:val="both"/>
      </w:pPr>
    </w:p>
    <w:p w14:paraId="5F7FCAF8" w14:textId="1DBACD0C" w:rsidR="00540CCF" w:rsidRPr="004B356A" w:rsidRDefault="00F84424" w:rsidP="00540CCF">
      <w:pPr>
        <w:pStyle w:val="Heading2"/>
      </w:pPr>
      <w:bookmarkStart w:id="7" w:name="_Toc71223986"/>
      <w:r>
        <w:lastRenderedPageBreak/>
        <w:t xml:space="preserve">1.2 </w:t>
      </w:r>
      <w:r w:rsidR="00540CCF" w:rsidRPr="004B356A">
        <w:t>Research Question</w:t>
      </w:r>
      <w:bookmarkEnd w:id="7"/>
    </w:p>
    <w:p w14:paraId="449A6782" w14:textId="77777777" w:rsidR="00540CCF" w:rsidRDefault="00540CCF" w:rsidP="00540CCF">
      <w:pPr>
        <w:jc w:val="both"/>
      </w:pPr>
      <w:r>
        <w:tab/>
        <w:t>The first research question in this study was: what effect does soil and water pH have on the adsorption and leaching of LIB metals such that soil and water contamination becomes a considerable risk?</w:t>
      </w:r>
    </w:p>
    <w:p w14:paraId="7281B0C7" w14:textId="5CE4D414" w:rsidR="00540CCF" w:rsidRDefault="00540CCF" w:rsidP="00540CCF">
      <w:pPr>
        <w:jc w:val="both"/>
      </w:pPr>
      <w:r>
        <w:tab/>
        <w:t xml:space="preserve">The second research question in this study was: how does MINEQL+ modeling of the adsorption and leaching of LIB metals into soil and water </w:t>
      </w:r>
      <w:proofErr w:type="gramStart"/>
      <w:r>
        <w:t>compare</w:t>
      </w:r>
      <w:proofErr w:type="gramEnd"/>
      <w:r>
        <w:t xml:space="preserve"> to the experimental results?</w:t>
      </w:r>
    </w:p>
    <w:p w14:paraId="51A8FC0D" w14:textId="77777777" w:rsidR="00BD23B5" w:rsidRDefault="00BD23B5" w:rsidP="00540CCF">
      <w:pPr>
        <w:jc w:val="both"/>
      </w:pPr>
    </w:p>
    <w:p w14:paraId="7467B83A" w14:textId="2BAFD972" w:rsidR="00540CCF" w:rsidRPr="002A4ADE" w:rsidRDefault="00F84424" w:rsidP="00540CCF">
      <w:pPr>
        <w:pStyle w:val="Heading2"/>
      </w:pPr>
      <w:bookmarkStart w:id="8" w:name="_Toc71223987"/>
      <w:r>
        <w:t>1.3</w:t>
      </w:r>
      <w:r w:rsidR="00540CCF">
        <w:t xml:space="preserve"> </w:t>
      </w:r>
      <w:r w:rsidR="00540CCF" w:rsidRPr="002A4ADE">
        <w:t>Hypotheses</w:t>
      </w:r>
      <w:bookmarkEnd w:id="8"/>
    </w:p>
    <w:p w14:paraId="4A1385AD" w14:textId="3FB921D0" w:rsidR="00540CCF" w:rsidRDefault="00540CCF" w:rsidP="00540CCF">
      <w:pPr>
        <w:ind w:firstLine="720"/>
        <w:jc w:val="both"/>
        <w:rPr>
          <w:szCs w:val="32"/>
        </w:rPr>
      </w:pPr>
      <w:bookmarkStart w:id="9" w:name="_Hlk68627950"/>
      <w:r w:rsidRPr="00E755A5">
        <w:rPr>
          <w:szCs w:val="32"/>
        </w:rPr>
        <w:t xml:space="preserve">The first hypothesis for this </w:t>
      </w:r>
      <w:r>
        <w:rPr>
          <w:szCs w:val="32"/>
        </w:rPr>
        <w:t>study</w:t>
      </w:r>
      <w:r w:rsidRPr="00E755A5">
        <w:rPr>
          <w:szCs w:val="32"/>
        </w:rPr>
        <w:t xml:space="preserve"> states that the integration </w:t>
      </w:r>
      <w:r>
        <w:rPr>
          <w:szCs w:val="32"/>
        </w:rPr>
        <w:t xml:space="preserve">and adsorption </w:t>
      </w:r>
      <w:r w:rsidRPr="00E755A5">
        <w:rPr>
          <w:szCs w:val="32"/>
        </w:rPr>
        <w:t xml:space="preserve">of LIB metals (manganese, cobalt, nickel, aluminum, and copper) into pH amended soil over a 24 week time period will be more significant in basic soil than acidic soil.  Specifically, the copper and nickel will have the highest </w:t>
      </w:r>
      <w:r w:rsidR="003B6DD8">
        <w:rPr>
          <w:szCs w:val="32"/>
        </w:rPr>
        <w:t>adsorption</w:t>
      </w:r>
      <w:r>
        <w:rPr>
          <w:szCs w:val="32"/>
        </w:rPr>
        <w:t xml:space="preserve"> rates</w:t>
      </w:r>
      <w:r w:rsidRPr="00E755A5">
        <w:rPr>
          <w:szCs w:val="32"/>
        </w:rPr>
        <w:t xml:space="preserve"> onto the soil compared to the other metals, notably at the basic pH </w:t>
      </w:r>
      <w:r w:rsidR="006F4D5F">
        <w:rPr>
          <w:szCs w:val="32"/>
        </w:rPr>
        <w:t>range based on their affinity towards adsorption</w:t>
      </w:r>
      <w:r w:rsidRPr="00E755A5">
        <w:rPr>
          <w:szCs w:val="32"/>
        </w:rPr>
        <w:t xml:space="preserve">.  </w:t>
      </w:r>
    </w:p>
    <w:p w14:paraId="69FC1A62" w14:textId="65E60CC4" w:rsidR="00540CCF" w:rsidRDefault="00540CCF" w:rsidP="00540CCF">
      <w:pPr>
        <w:ind w:firstLine="720"/>
        <w:jc w:val="both"/>
        <w:rPr>
          <w:szCs w:val="32"/>
        </w:rPr>
      </w:pPr>
      <w:r w:rsidRPr="00E755A5">
        <w:rPr>
          <w:szCs w:val="32"/>
        </w:rPr>
        <w:t xml:space="preserve">The second hypothesis for this </w:t>
      </w:r>
      <w:r>
        <w:rPr>
          <w:szCs w:val="32"/>
        </w:rPr>
        <w:t>study</w:t>
      </w:r>
      <w:r w:rsidRPr="00E755A5">
        <w:rPr>
          <w:szCs w:val="32"/>
        </w:rPr>
        <w:t xml:space="preserve"> states that the dissolution of LIB metals into pH amended water over a 24 week time period will be more significant in acidic </w:t>
      </w:r>
      <w:r>
        <w:rPr>
          <w:szCs w:val="32"/>
        </w:rPr>
        <w:t>water</w:t>
      </w:r>
      <w:r w:rsidRPr="00E755A5">
        <w:rPr>
          <w:szCs w:val="32"/>
        </w:rPr>
        <w:t xml:space="preserve"> than basic </w:t>
      </w:r>
      <w:r>
        <w:rPr>
          <w:szCs w:val="32"/>
        </w:rPr>
        <w:t>water</w:t>
      </w:r>
      <w:r w:rsidRPr="00E755A5">
        <w:rPr>
          <w:szCs w:val="32"/>
        </w:rPr>
        <w:t xml:space="preserve">.  Specifically, cobalt and copper will have a higher </w:t>
      </w:r>
      <w:r>
        <w:rPr>
          <w:szCs w:val="32"/>
        </w:rPr>
        <w:t>leaching rate</w:t>
      </w:r>
      <w:r w:rsidRPr="00E755A5">
        <w:rPr>
          <w:szCs w:val="32"/>
        </w:rPr>
        <w:t xml:space="preserve"> in the acidic water compared to the other metals</w:t>
      </w:r>
      <w:r w:rsidR="006F4D5F">
        <w:rPr>
          <w:szCs w:val="32"/>
        </w:rPr>
        <w:t xml:space="preserve"> based on solubility </w:t>
      </w:r>
      <w:r w:rsidR="002D779C">
        <w:rPr>
          <w:szCs w:val="32"/>
        </w:rPr>
        <w:t>and the formation kinetics of metal compounds</w:t>
      </w:r>
      <w:r w:rsidRPr="00E755A5">
        <w:rPr>
          <w:szCs w:val="32"/>
        </w:rPr>
        <w:t>.</w:t>
      </w:r>
    </w:p>
    <w:p w14:paraId="26822223" w14:textId="77777777" w:rsidR="00BD23B5" w:rsidRDefault="00BD23B5" w:rsidP="00540CCF">
      <w:pPr>
        <w:ind w:firstLine="720"/>
        <w:jc w:val="both"/>
        <w:rPr>
          <w:szCs w:val="32"/>
        </w:rPr>
      </w:pPr>
    </w:p>
    <w:p w14:paraId="4876FA20" w14:textId="0DEC2C98" w:rsidR="00540CCF" w:rsidRPr="002A4ADE" w:rsidRDefault="00F84424" w:rsidP="00540CCF">
      <w:pPr>
        <w:pStyle w:val="Heading2"/>
      </w:pPr>
      <w:bookmarkStart w:id="10" w:name="_Toc71223988"/>
      <w:bookmarkEnd w:id="9"/>
      <w:r>
        <w:t>1.4</w:t>
      </w:r>
      <w:r w:rsidR="00540CCF">
        <w:t xml:space="preserve"> </w:t>
      </w:r>
      <w:r w:rsidR="00540CCF" w:rsidRPr="002A4ADE">
        <w:t>Objectives</w:t>
      </w:r>
      <w:bookmarkEnd w:id="10"/>
    </w:p>
    <w:p w14:paraId="17667957" w14:textId="63B81E6C" w:rsidR="0072651E" w:rsidRDefault="00540CCF" w:rsidP="00540CCF">
      <w:pPr>
        <w:ind w:firstLine="720"/>
        <w:jc w:val="both"/>
        <w:rPr>
          <w:szCs w:val="32"/>
        </w:rPr>
      </w:pPr>
      <w:r w:rsidRPr="00E755A5">
        <w:rPr>
          <w:szCs w:val="32"/>
        </w:rPr>
        <w:t xml:space="preserve">The objective is to evaluate the effects soil and water pH has on the </w:t>
      </w:r>
      <w:r w:rsidR="00E06E82">
        <w:rPr>
          <w:szCs w:val="32"/>
        </w:rPr>
        <w:t xml:space="preserve">adsorption and </w:t>
      </w:r>
      <w:r w:rsidRPr="00E755A5">
        <w:rPr>
          <w:szCs w:val="32"/>
        </w:rPr>
        <w:t xml:space="preserve">leaching rate of LIB metals by creating homogenous soil samples for reproducibility, simulating the damaged LIB in landfills and recycling centers, and simulating the environment in which the LIB </w:t>
      </w:r>
      <w:proofErr w:type="gramStart"/>
      <w:r w:rsidRPr="00E755A5">
        <w:rPr>
          <w:szCs w:val="32"/>
        </w:rPr>
        <w:t>are</w:t>
      </w:r>
      <w:proofErr w:type="gramEnd"/>
      <w:r w:rsidRPr="00E755A5">
        <w:rPr>
          <w:szCs w:val="32"/>
        </w:rPr>
        <w:t xml:space="preserve"> located.  </w:t>
      </w:r>
      <w:r>
        <w:rPr>
          <w:szCs w:val="32"/>
        </w:rPr>
        <w:t>With</w:t>
      </w:r>
      <w:r w:rsidRPr="00E755A5">
        <w:rPr>
          <w:szCs w:val="32"/>
        </w:rPr>
        <w:t xml:space="preserve"> this, a 24 week timeline on the rate at which the LIB metals </w:t>
      </w:r>
      <w:r>
        <w:rPr>
          <w:szCs w:val="32"/>
        </w:rPr>
        <w:t>adsorb onto</w:t>
      </w:r>
      <w:r w:rsidRPr="00E755A5">
        <w:rPr>
          <w:szCs w:val="32"/>
        </w:rPr>
        <w:t xml:space="preserve"> the soil </w:t>
      </w:r>
      <w:r w:rsidRPr="00E755A5">
        <w:rPr>
          <w:szCs w:val="32"/>
        </w:rPr>
        <w:lastRenderedPageBreak/>
        <w:t xml:space="preserve">and </w:t>
      </w:r>
      <w:r>
        <w:rPr>
          <w:szCs w:val="32"/>
        </w:rPr>
        <w:t xml:space="preserve">leach into the </w:t>
      </w:r>
      <w:r w:rsidRPr="00E755A5">
        <w:rPr>
          <w:szCs w:val="32"/>
        </w:rPr>
        <w:t>water will be established</w:t>
      </w:r>
      <w:r>
        <w:rPr>
          <w:szCs w:val="32"/>
        </w:rPr>
        <w:t xml:space="preserve"> and compared to MINEQL+ computer modeling of the systems.</w:t>
      </w:r>
    </w:p>
    <w:p w14:paraId="65959328" w14:textId="77777777" w:rsidR="0072651E" w:rsidRDefault="0072651E">
      <w:pPr>
        <w:rPr>
          <w:szCs w:val="32"/>
        </w:rPr>
      </w:pPr>
      <w:r>
        <w:rPr>
          <w:szCs w:val="32"/>
        </w:rPr>
        <w:br w:type="page"/>
      </w:r>
    </w:p>
    <w:p w14:paraId="7107AEA0" w14:textId="77777777" w:rsidR="00F84424" w:rsidRDefault="00F84424" w:rsidP="00F84424">
      <w:pPr>
        <w:pStyle w:val="Heading1"/>
      </w:pPr>
      <w:bookmarkStart w:id="11" w:name="_Toc71223989"/>
      <w:r>
        <w:lastRenderedPageBreak/>
        <w:t xml:space="preserve">Chapter </w:t>
      </w:r>
      <w:r w:rsidR="00235408" w:rsidRPr="002A4ADE">
        <w:t>I</w:t>
      </w:r>
      <w:r w:rsidR="00235408">
        <w:t>I</w:t>
      </w:r>
      <w:r w:rsidR="00235408" w:rsidRPr="002A4ADE">
        <w:t xml:space="preserve">: </w:t>
      </w:r>
      <w:r w:rsidR="00235408">
        <w:t>Literature Review</w:t>
      </w:r>
      <w:bookmarkEnd w:id="11"/>
    </w:p>
    <w:p w14:paraId="33AFA51A" w14:textId="07A571B4" w:rsidR="00ED3935" w:rsidRPr="002A4ADE" w:rsidRDefault="00F84424" w:rsidP="00F84424">
      <w:pPr>
        <w:pStyle w:val="Heading2"/>
      </w:pPr>
      <w:bookmarkStart w:id="12" w:name="_Toc71223990"/>
      <w:r>
        <w:t>2.</w:t>
      </w:r>
      <w:r w:rsidR="00196F2F">
        <w:t xml:space="preserve">1 </w:t>
      </w:r>
      <w:r w:rsidR="0003185F" w:rsidRPr="002A4ADE">
        <w:t xml:space="preserve">Li-ion </w:t>
      </w:r>
      <w:r w:rsidR="00ED3935" w:rsidRPr="002A4ADE">
        <w:t>Battery Technology</w:t>
      </w:r>
      <w:bookmarkEnd w:id="12"/>
    </w:p>
    <w:p w14:paraId="10D686B8" w14:textId="0E126DC2" w:rsidR="00452AF3" w:rsidRDefault="00452AF3" w:rsidP="00665523">
      <w:pPr>
        <w:ind w:firstLine="720"/>
        <w:jc w:val="both"/>
      </w:pPr>
      <w:r>
        <w:t>The basic components of LIB are the same as other battery types: there is an anode, cathode, electrolyte solution, and a separator.  The LIB</w:t>
      </w:r>
      <w:r w:rsidRPr="00090F43">
        <w:t xml:space="preserve"> anode </w:t>
      </w:r>
      <w:r>
        <w:t>is most commonly g</w:t>
      </w:r>
      <w:r w:rsidRPr="00090F43">
        <w:t>raphite</w:t>
      </w:r>
      <w:r>
        <w:t xml:space="preserve"> with a copper current collector.  T</w:t>
      </w:r>
      <w:r w:rsidRPr="00090F43">
        <w:t>he cathode is constructed of varying metals to promote a desired performance</w:t>
      </w:r>
      <w:r>
        <w:t xml:space="preserve"> and uses an aluminum current collector</w:t>
      </w:r>
      <w:r w:rsidRPr="00090F43">
        <w:t>.</w:t>
      </w:r>
      <w:r>
        <w:t xml:space="preserve"> </w:t>
      </w:r>
      <w:r w:rsidRPr="00090F43">
        <w:t xml:space="preserve"> The most common cathodes in use are</w:t>
      </w:r>
      <w:r>
        <w:t xml:space="preserve"> lithium cobalt oxide (</w:t>
      </w:r>
      <w:r w:rsidRPr="00090F43">
        <w:t>LiCoO</w:t>
      </w:r>
      <w:r w:rsidRPr="00090F43">
        <w:rPr>
          <w:vertAlign w:val="subscript"/>
        </w:rPr>
        <w:t>2</w:t>
      </w:r>
      <w:r>
        <w:t>), lithium manganese oxide (</w:t>
      </w:r>
      <w:r w:rsidRPr="00090F43">
        <w:t>LiMn</w:t>
      </w:r>
      <w:r w:rsidRPr="00090F43">
        <w:rPr>
          <w:vertAlign w:val="subscript"/>
        </w:rPr>
        <w:t>2</w:t>
      </w:r>
      <w:r w:rsidRPr="00090F43">
        <w:t>O</w:t>
      </w:r>
      <w:r w:rsidRPr="00090F43">
        <w:rPr>
          <w:vertAlign w:val="subscript"/>
        </w:rPr>
        <w:t>4</w:t>
      </w:r>
      <w:r>
        <w:t>), and lithium nickel manganese cobalt oxide (</w:t>
      </w:r>
      <w:r w:rsidRPr="00090F43">
        <w:t>LiNi</w:t>
      </w:r>
      <w:r>
        <w:rPr>
          <w:vertAlign w:val="subscript"/>
        </w:rPr>
        <w:t>x</w:t>
      </w:r>
      <w:r w:rsidRPr="00090F43">
        <w:t>Mn</w:t>
      </w:r>
      <w:r>
        <w:rPr>
          <w:vertAlign w:val="subscript"/>
        </w:rPr>
        <w:t>y</w:t>
      </w:r>
      <w:r w:rsidRPr="00090F43">
        <w:t>Co</w:t>
      </w:r>
      <w:r>
        <w:rPr>
          <w:vertAlign w:val="subscript"/>
        </w:rPr>
        <w:t>z</w:t>
      </w:r>
      <w:r w:rsidRPr="00090F43">
        <w:t>O</w:t>
      </w:r>
      <w:r w:rsidRPr="00090F43">
        <w:rPr>
          <w:vertAlign w:val="subscript"/>
        </w:rPr>
        <w:t>2</w:t>
      </w:r>
      <w:r>
        <w:t xml:space="preserve">, 0 &lt; x, y, z &lt; 1) </w:t>
      </w:r>
      <w:r>
        <w:fldChar w:fldCharType="begin" w:fldLock="1"/>
      </w:r>
      <w:r>
        <w:instrText>ADDIN CSL_CITATION {"citationItems":[{"id":"ITEM-1","itemData":{"DOI":"10.1016/j.rser.2018.03.002","ISSN":"18790690","abstract":"Lithium-ion batteries play an important role in the life quality of modern society as the dominant technology for use in portable electronic devices such as mobile phones, tablets and laptops. Beyond this application lithium-ion batteries are the preferred option for the emerging electric vehicle sector, while still underexploited in power supply systems, especially in combination with photovoltaics and wind power. As a technological component, lithium-ion batteries present huge global potential towards energy sustainability and substantial reductions in carbon emissions. A detailed review is presented herein on the state of the art and future perspectives of Li-ion batteries with emphasis on this potential.","author":[{"dropping-particle":"","family":"Zubi","given":"Ghassan","non-dropping-particle":"","parse-names":false,"suffix":""},{"dropping-particle":"","family":"Dufo-López","given":"Rodolfo","non-dropping-particle":"","parse-names":false,"suffix":""},{"dropping-particle":"","family":"Carvalho","given":"Monica","non-dropping-particle":"","parse-names":false,"suffix":""},{"dropping-particle":"","family":"Pasaoglu","given":"Guzay","non-dropping-particle":"","parse-names":false,"suffix":""}],"container-title":"Renewable and Sustainable Energy Reviews","id":"ITEM-1","issue":"April 2017","issued":{"date-parts":[["2018"]]},"page":"292-308","title":"The lithium-ion battery: State of the art and future perspectives","type":"article-journal","volume":"89"},"uris":["http://www.mendeley.com/documents/?uuid=05c76805-7aa3-4b5f-bf1b-1a917e6115de"]}],"mendeley":{"formattedCitation":"(Zubi et al., 2018)","plainTextFormattedCitation":"(Zubi et al., 2018)","previouslyFormattedCitation":"(Zubi et al., 2018)"},"properties":{"noteIndex":0},"schema":"https://github.com/citation-style-language/schema/raw/master/csl-citation.json"}</w:instrText>
      </w:r>
      <w:r>
        <w:fldChar w:fldCharType="separate"/>
      </w:r>
      <w:r w:rsidRPr="00A36911">
        <w:rPr>
          <w:noProof/>
        </w:rPr>
        <w:t>(Zubi et al., 2018)</w:t>
      </w:r>
      <w:r>
        <w:fldChar w:fldCharType="end"/>
      </w:r>
      <w:r>
        <w:t>.  The different cathodes are used depending on the output requirements, a high specific energy or high specific power or a combination of the two.  The cathode is made up of sheets of the metal oxides where the lithium ions compose a layer in between the sheets.</w:t>
      </w:r>
      <w:r w:rsidRPr="00090F43">
        <w:t xml:space="preserve">  The electrolyte is </w:t>
      </w:r>
      <w:r>
        <w:t>can be</w:t>
      </w:r>
      <w:r w:rsidRPr="00090F43">
        <w:t xml:space="preserve"> a solution of lithium hexafluorophosphate, LiPF</w:t>
      </w:r>
      <w:r w:rsidRPr="00090F43">
        <w:rPr>
          <w:vertAlign w:val="subscript"/>
        </w:rPr>
        <w:t>6</w:t>
      </w:r>
      <w:r w:rsidRPr="00090F43">
        <w:t>, in an organic solvent such as dimethyl carbonate</w:t>
      </w:r>
      <w:r>
        <w:t xml:space="preserve">; though a polymer gel made of polyvinylidene fluoride is becoming more common </w:t>
      </w:r>
      <w:r>
        <w:fldChar w:fldCharType="begin" w:fldLock="1"/>
      </w:r>
      <w:r>
        <w:instrText>ADDIN CSL_CITATION {"citationItems":[{"id":"ITEM-1","itemData":{"DOI":"10.1007/s10800-013-0535-4","ISSN":"0021891X","abstract":"Polymer gel electrolytes comprising a sulfur-based ionic liquid (IL), a lithium salt, and butyrolactone (GBL) as an additive hosted in PVdF-HFP matrix were prepared and characterized. The result shows that adding small amount of GBL to the polymer electrolytes can improve the cathodic stability of the electrolytes, which ensures the lithium plating/stripping in the redox process. Furthermore, cyclic voltammograms studies indicate that the polymer electrolytes have well reversible redox process. When the IL component reaches 75 wt%, the polymer electrolyte has higher ionic conductivity than the other samples and it is 6.32 × 10-4 S cm-1. The assembled batteries with the polymer electrolyte have better discharge capacity, and after 100 cycles, the discharge capacity of the battery still retains 148 mAh g-1. © Springer Science+Business Media Dordrecht 2013.","author":[{"dropping-particle":"","family":"Li","given":"Mingtao","non-dropping-particle":"","parse-names":false,"suffix":""},{"dropping-particle":"","family":"Yang","given":"Bolun","non-dropping-particle":"","parse-names":false,"suffix":""},{"dropping-particle":"","family":"Zhang","given":"Zhan","non-dropping-particle":"","parse-names":false,"suffix":""},{"dropping-particle":"","family":"Wang","given":"Lu","non-dropping-particle":"","parse-names":false,"suffix":""},{"dropping-particle":"","family":"Zhang","given":"Ying","non-dropping-particle":"","parse-names":false,"suffix":""}],"container-title":"Journal of Applied Electrochemistry","id":"ITEM-1","issue":"5","issued":{"date-parts":[["2013"]]},"page":"515-521","title":"Polymer gel electrolytes containing sulfur-based ionic liquids in lithium battery applications at room temperature","type":"article-journal","volume":"43"},"uris":["http://www.mendeley.com/documents/?uuid=a07086a4-cca2-411d-ac8a-ad8fc88fd70f"]}],"mendeley":{"formattedCitation":"(M. Li et al., 2013)","plainTextFormattedCitation":"(M. Li et al., 2013)","previouslyFormattedCitation":"(M. Li et al., 2013)"},"properties":{"noteIndex":0},"schema":"https://github.com/citation-style-language/schema/raw/master/csl-citation.json"}</w:instrText>
      </w:r>
      <w:r>
        <w:fldChar w:fldCharType="separate"/>
      </w:r>
      <w:r w:rsidRPr="00EB5D29">
        <w:rPr>
          <w:noProof/>
        </w:rPr>
        <w:t>(M. Li et al., 2013)</w:t>
      </w:r>
      <w:r>
        <w:fldChar w:fldCharType="end"/>
      </w:r>
      <w:r w:rsidRPr="00090F43">
        <w:t>.  The s</w:t>
      </w:r>
      <w:r>
        <w:t>eparator</w:t>
      </w:r>
      <w:r w:rsidRPr="00090F43">
        <w:t xml:space="preserve"> only allows the lithium ions to transfer, preventing the anode and cathode from coming in contact.  </w:t>
      </w:r>
      <w:r>
        <w:t>For LIB discharge</w:t>
      </w:r>
      <w:r w:rsidRPr="00090F43">
        <w:t xml:space="preserve">, the lithium ions flow from the anode through the electrolyte to the cathode, releasing electricity to power the devices.  When recharging the battery, the ions flow back to the anode to the original status until it is used again.  </w:t>
      </w:r>
      <w:r w:rsidR="005B16F4">
        <w:t xml:space="preserve">This process is </w:t>
      </w:r>
      <w:r w:rsidR="00ED00EF">
        <w:t>shown in Figure 2.1.</w:t>
      </w:r>
    </w:p>
    <w:p w14:paraId="5AE38638" w14:textId="31D53891" w:rsidR="00255C71" w:rsidRDefault="007878D9" w:rsidP="00665523">
      <w:pPr>
        <w:jc w:val="center"/>
      </w:pPr>
      <w:r>
        <w:rPr>
          <w:noProof/>
        </w:rPr>
        <w:lastRenderedPageBreak/>
        <mc:AlternateContent>
          <mc:Choice Requires="wps">
            <w:drawing>
              <wp:anchor distT="0" distB="0" distL="114300" distR="114300" simplePos="0" relativeHeight="251659264" behindDoc="0" locked="0" layoutInCell="1" allowOverlap="1" wp14:anchorId="5BE7E5FF" wp14:editId="4ABE57CF">
                <wp:simplePos x="0" y="0"/>
                <wp:positionH relativeFrom="column">
                  <wp:posOffset>2393156</wp:posOffset>
                </wp:positionH>
                <wp:positionV relativeFrom="paragraph">
                  <wp:posOffset>3571875</wp:posOffset>
                </wp:positionV>
                <wp:extent cx="640557" cy="195263"/>
                <wp:effectExtent l="0" t="0" r="7620" b="0"/>
                <wp:wrapNone/>
                <wp:docPr id="6" name="Rectangle 6"/>
                <wp:cNvGraphicFramePr/>
                <a:graphic xmlns:a="http://schemas.openxmlformats.org/drawingml/2006/main">
                  <a:graphicData uri="http://schemas.microsoft.com/office/word/2010/wordprocessingShape">
                    <wps:wsp>
                      <wps:cNvSpPr/>
                      <wps:spPr>
                        <a:xfrm>
                          <a:off x="0" y="0"/>
                          <a:ext cx="640557" cy="19526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DEE1A2" id="Rectangle 6" o:spid="_x0000_s1026" style="position:absolute;margin-left:188.45pt;margin-top:281.25pt;width:50.45pt;height:1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" fillcolor="white [3201]" stroked="f" strokeweight="1pt"/>
            </w:pict>
          </mc:Fallback>
        </mc:AlternateContent>
      </w:r>
      <w:r w:rsidR="00255C71">
        <w:rPr>
          <w:noProof/>
        </w:rPr>
        <w:drawing>
          <wp:inline distT="0" distB="0" distL="0" distR="0" wp14:anchorId="6B7762E3" wp14:editId="5E19984C">
            <wp:extent cx="5035305" cy="4351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5228" cy="4368235"/>
                    </a:xfrm>
                    <a:prstGeom prst="rect">
                      <a:avLst/>
                    </a:prstGeom>
                    <a:noFill/>
                    <a:ln>
                      <a:noFill/>
                    </a:ln>
                  </pic:spPr>
                </pic:pic>
              </a:graphicData>
            </a:graphic>
          </wp:inline>
        </w:drawing>
      </w:r>
    </w:p>
    <w:p w14:paraId="373740A8" w14:textId="388F9057" w:rsidR="00255C71" w:rsidRPr="008B135E" w:rsidRDefault="000F20E4" w:rsidP="000F20E4">
      <w:pPr>
        <w:pStyle w:val="Caption"/>
      </w:pPr>
      <w:bookmarkStart w:id="13" w:name="_Toc68725181"/>
      <w:bookmarkStart w:id="14" w:name="_Toc69168335"/>
      <w:bookmarkStart w:id="15" w:name="_Toc69351358"/>
      <w:bookmarkStart w:id="16" w:name="_Toc69352515"/>
      <w:bookmarkStart w:id="17" w:name="_Toc69416008"/>
      <w:bookmarkStart w:id="18" w:name="_Toc71224044"/>
      <w:r>
        <w:rPr>
          <w:b/>
          <w:bCs/>
        </w:rPr>
        <w:t>Figure 2</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w:t>
      </w:r>
      <w:r w:rsidR="0065637B">
        <w:rPr>
          <w:b/>
          <w:bCs/>
        </w:rPr>
        <w:fldChar w:fldCharType="end"/>
      </w:r>
      <w:r w:rsidR="008B135E" w:rsidRPr="009573F1">
        <w:rPr>
          <w:b/>
          <w:bCs/>
        </w:rPr>
        <w:t>:</w:t>
      </w:r>
      <w:r w:rsidR="008B135E">
        <w:t xml:space="preserve"> Diagram of a lithium-ion battery cell.</w:t>
      </w:r>
      <w:bookmarkEnd w:id="13"/>
      <w:bookmarkEnd w:id="14"/>
      <w:bookmarkEnd w:id="15"/>
      <w:bookmarkEnd w:id="16"/>
      <w:bookmarkEnd w:id="17"/>
      <w:bookmarkEnd w:id="18"/>
    </w:p>
    <w:p w14:paraId="6065EBFF" w14:textId="77777777" w:rsidR="00BD23B5" w:rsidRDefault="00BD23B5" w:rsidP="00665523">
      <w:pPr>
        <w:ind w:firstLine="720"/>
        <w:jc w:val="both"/>
      </w:pPr>
    </w:p>
    <w:p w14:paraId="10FAF8D2" w14:textId="4BFE347B" w:rsidR="00452AF3" w:rsidRDefault="00452AF3" w:rsidP="00665523">
      <w:pPr>
        <w:ind w:firstLine="720"/>
        <w:jc w:val="both"/>
      </w:pPr>
      <w:r w:rsidRPr="00090F43">
        <w:t xml:space="preserve">Lithium-ion technology has paved the way for reliable, high voltage and power output, lower storage weight, and high cycle life batteries </w:t>
      </w:r>
      <w:r w:rsidRPr="00090F43">
        <w:fldChar w:fldCharType="begin" w:fldLock="1"/>
      </w:r>
      <w:r w:rsidRPr="00090F43">
        <w:instrText>ADDIN CSL_CITATION {"citationItems":[{"id":"ITEM-1","itemData":{"DOI":"10.1016/j.rser.2018.03.002","ISSN":"18790690","abstract":"Lithium-ion batteries play an important role in the life quality of modern society as the dominant technology for use in portable electronic devices such as mobile phones, tablets and laptops. Beyond this application lithium-ion batteries are the preferred option for the emerging electric vehicle sector, while still underexploited in power supply systems, especially in combination with photovoltaics and wind power. As a technological component, lithium-ion batteries present huge global potential towards energy sustainability and substantial reductions in carbon emissions. A detailed review is presented herein on the state of the art and future perspectives of Li-ion batteries with emphasis on this potential.","author":[{"dropping-particle":"","family":"Zubi","given":"Ghassan","non-dropping-particle":"","parse-names":false,"suffix":""},{"dropping-particle":"","family":"Dufo-López","given":"Rodolfo","non-dropping-particle":"","parse-names":false,"suffix":""},{"dropping-particle":"","family":"Carvalho","given":"Monica","non-dropping-particle":"","parse-names":false,"suffix":""},{"dropping-particle":"","family":"Pasaoglu","given":"Guzay","non-dropping-particle":"","parse-names":false,"suffix":""}],"container-title":"Renewable and Sustainable Energy Reviews","id":"ITEM-1","issue":"April 2017","issued":{"date-parts":[["2018"]]},"page":"292-308","title":"The lithium-ion battery: State of the art and future perspectives","type":"article-journal","volume":"89"},"uris":["http://www.mendeley.com/documents/?uuid=05c76805-7aa3-4b5f-bf1b-1a917e6115de"]}],"mendeley":{"formattedCitation":"(Zubi et al., 2018)","plainTextFormattedCitation":"(Zubi et al., 2018)","previouslyFormattedCitation":"(Zubi et al., 2018)"},"properties":{"noteIndex":0},"schema":"https://github.com/citation-style-language/schema/raw/master/csl-citation.json"}</w:instrText>
      </w:r>
      <w:r w:rsidRPr="00090F43">
        <w:fldChar w:fldCharType="separate"/>
      </w:r>
      <w:r w:rsidRPr="00090F43">
        <w:rPr>
          <w:noProof/>
        </w:rPr>
        <w:t>(Zubi et al., 2018)</w:t>
      </w:r>
      <w:r w:rsidRPr="00090F43">
        <w:fldChar w:fldCharType="end"/>
      </w:r>
      <w:r w:rsidRPr="00090F43">
        <w:t>.  LiNi</w:t>
      </w:r>
      <w:r>
        <w:rPr>
          <w:vertAlign w:val="subscript"/>
        </w:rPr>
        <w:t>x</w:t>
      </w:r>
      <w:r w:rsidRPr="00090F43">
        <w:t>Mn</w:t>
      </w:r>
      <w:r>
        <w:rPr>
          <w:vertAlign w:val="subscript"/>
        </w:rPr>
        <w:t>y</w:t>
      </w:r>
      <w:r w:rsidRPr="00090F43">
        <w:t>Co</w:t>
      </w:r>
      <w:r>
        <w:rPr>
          <w:vertAlign w:val="subscript"/>
        </w:rPr>
        <w:t>z</w:t>
      </w:r>
      <w:r w:rsidRPr="00090F43">
        <w:t>O</w:t>
      </w:r>
      <w:r w:rsidRPr="00090F43">
        <w:rPr>
          <w:vertAlign w:val="subscript"/>
        </w:rPr>
        <w:t>2</w:t>
      </w:r>
      <w:r>
        <w:t xml:space="preserve"> (NMC) is becoming the front-runner for LIB because it possesses the benefits of nickel, </w:t>
      </w:r>
      <w:proofErr w:type="gramStart"/>
      <w:r>
        <w:t>manganese</w:t>
      </w:r>
      <w:proofErr w:type="gramEnd"/>
      <w:r>
        <w:t xml:space="preserve"> and cobalt.  There are multiple combinations of these NMC batteries to better suit the designed task, such as a higher power output for power tools (higher Mn and Co content) or higher run time for energy cells (higher Ni content)</w:t>
      </w:r>
      <w:r w:rsidR="0088606B">
        <w:t xml:space="preserve"> </w:t>
      </w:r>
      <w:r>
        <w:fldChar w:fldCharType="begin" w:fldLock="1"/>
      </w:r>
      <w:r>
        <w:instrText>ADDIN CSL_CITATION {"citationItems":[{"id":"ITEM-1","itemData":{"URL":"https://batteryuniversity.com/index.php/learn/article/types_of_lithium_ion","accessed":{"date-parts":[["2020","4","14"]]},"container-title":"Battery University","id":"ITEM-1","issued":{"date-parts":[["2019"]]},"title":"BU-205: Types of Lithium-ion","type":"webpage"},"uris":["http://www.mendeley.com/documents/?uuid=8b6a6af6-1da6-4232-9044-c9fd60bb7628"]}],"mendeley":{"formattedCitation":"(&lt;i&gt;BU-205: Types of Lithium-ion&lt;/i&gt;, 2019)","plainTextFormattedCitation":"(BU-205: Types of Lithium-ion, 2019)","previouslyFormattedCitation":"(&lt;i&gt;BU-205: Types of Lithium-ion&lt;/i&gt;, 2019)"},"properties":{"noteIndex":0},"schema":"https://github.com/citation-style-language/schema/raw/master/csl-citation.json"}</w:instrText>
      </w:r>
      <w:r>
        <w:fldChar w:fldCharType="separate"/>
      </w:r>
      <w:r w:rsidRPr="000C4AFB">
        <w:rPr>
          <w:noProof/>
        </w:rPr>
        <w:t>(</w:t>
      </w:r>
      <w:r w:rsidRPr="000C4AFB">
        <w:rPr>
          <w:i/>
          <w:noProof/>
        </w:rPr>
        <w:t>BU-205: Types of Lithium-ion</w:t>
      </w:r>
      <w:r w:rsidRPr="000C4AFB">
        <w:rPr>
          <w:noProof/>
        </w:rPr>
        <w:t>, 2019)</w:t>
      </w:r>
      <w:r>
        <w:fldChar w:fldCharType="end"/>
      </w:r>
      <w:r>
        <w:t xml:space="preserve">.  </w:t>
      </w:r>
    </w:p>
    <w:p w14:paraId="72302D32" w14:textId="77777777" w:rsidR="00B63DB3" w:rsidRDefault="00B63DB3" w:rsidP="00665523">
      <w:pPr>
        <w:ind w:firstLine="720"/>
        <w:jc w:val="both"/>
      </w:pPr>
    </w:p>
    <w:p w14:paraId="7E971E05" w14:textId="31524A6B" w:rsidR="00ED3935" w:rsidRPr="002A4ADE" w:rsidRDefault="00F84424" w:rsidP="00821C2A">
      <w:pPr>
        <w:pStyle w:val="Heading2"/>
        <w:numPr>
          <w:ilvl w:val="0"/>
          <w:numId w:val="0"/>
        </w:numPr>
      </w:pPr>
      <w:bookmarkStart w:id="19" w:name="_Toc71223991"/>
      <w:r>
        <w:lastRenderedPageBreak/>
        <w:t>2.2</w:t>
      </w:r>
      <w:r w:rsidR="00196F2F">
        <w:t xml:space="preserve"> </w:t>
      </w:r>
      <w:r w:rsidR="0003185F" w:rsidRPr="002A4ADE">
        <w:t xml:space="preserve">Li-ion </w:t>
      </w:r>
      <w:r w:rsidR="00ED3935" w:rsidRPr="002A4ADE">
        <w:t>Battery Disposal</w:t>
      </w:r>
      <w:bookmarkEnd w:id="19"/>
    </w:p>
    <w:p w14:paraId="47E6354A" w14:textId="77777777" w:rsidR="0037360F" w:rsidRDefault="00255C71" w:rsidP="00665523">
      <w:pPr>
        <w:ind w:firstLine="720"/>
        <w:jc w:val="both"/>
      </w:pPr>
      <w:r>
        <w:t>As with all other types of batteries, NMC LIB degrade with time due to side reactions between the internal metals.  The nickel cycles between Ni</w:t>
      </w:r>
      <w:r>
        <w:rPr>
          <w:vertAlign w:val="superscript"/>
        </w:rPr>
        <w:t>2+</w:t>
      </w:r>
      <w:r>
        <w:t>/</w:t>
      </w:r>
      <w:r>
        <w:rPr>
          <w:vertAlign w:val="superscript"/>
        </w:rPr>
        <w:t>3+</w:t>
      </w:r>
      <w:r>
        <w:t xml:space="preserve"> and Ni</w:t>
      </w:r>
      <w:r>
        <w:rPr>
          <w:vertAlign w:val="superscript"/>
        </w:rPr>
        <w:t>3+</w:t>
      </w:r>
      <w:r>
        <w:t>/</w:t>
      </w:r>
      <w:r>
        <w:rPr>
          <w:vertAlign w:val="superscript"/>
        </w:rPr>
        <w:t>4+</w:t>
      </w:r>
      <w:r>
        <w:t xml:space="preserve"> oxidation states throughout the charging and discharging process.  When the Ni</w:t>
      </w:r>
      <w:r>
        <w:rPr>
          <w:vertAlign w:val="superscript"/>
        </w:rPr>
        <w:t>2+</w:t>
      </w:r>
      <w:r>
        <w:t xml:space="preserve"> is present, it is capable of diffusing into the lithium layer where reactions with the nickel on the cathode sheet create highly reactive Ni</w:t>
      </w:r>
      <w:r>
        <w:rPr>
          <w:vertAlign w:val="superscript"/>
        </w:rPr>
        <w:t>4+</w:t>
      </w:r>
      <w:r>
        <w:t xml:space="preserve">.  This oxidation state of nickel can react with electrolytes, thickening the cathode-electrolyte interfaces, which reduces the number of available lithium ions, decreasing the battery’s performance and longevity </w:t>
      </w:r>
      <w:r>
        <w:fldChar w:fldCharType="begin" w:fldLock="1"/>
      </w:r>
      <w:r>
        <w:instrText xml:space="preserve">ADDIN CSL_CITATION {"citationItems":[{"id":"ITEM-1","itemData":{"DOI":"10.1007/s41918-019-00053-3","ISBN":"0123456789","ISSN":"2520-8489","abstract":"The demand for lithium-ion batteries (LIBs) with high mass-specific capacities, high rate capabilities and long-term cycla-bilities is driving the research and development of LIBs with nickel-rich NMC (LiNi x Mn y Co 1−x−y O 2 , x </w:instrText>
      </w:r>
      <w:r>
        <w:rPr>
          <w:rFonts w:ascii="Cambria Math" w:hAnsi="Cambria Math" w:cs="Cambria Math"/>
        </w:rPr>
        <w:instrText>⩾</w:instrText>
      </w:r>
      <w:r>
        <w:instrText xml:space="preserve"> 0.5) cathodes and graphite (Li x C 6) anodes. Based on this, this review will summarize recently reported and widely recognized studies of the degradation mechanisms of Ni-rich NMC cathodes and graphite anodes. And with a broad collection of proposed mechanisms on both atomic and micrometer scales, this review can supplement previous degradation studies of Ni-rich NMC batteries. In addition, this review will categorize advanced mitigation strategies for both electrodes based on different modifications in which Ni-rich NMC cathode improvement strategies involve dopants, gradient layers, surface coatings, carbon matrixes and advanced synthesis methods, whereas graphite anode improvement strategies involve surface coatings, charge/discharge protocols and electrolyte volume estimations. Electrolyte components that can facilitate the stabilization of anodic solid electrolyte interfaces are also reviewed, and trade-offs between modification techniques as well as controversies are discussed for a deeper understanding of the mitigation strategies of Ni-rich NMC/graphite LIBs. Furthermore, this review will present various physical and electrochemical diagnostic tools that are vital in the elucidation of degradation mechanisms during operation to supplement future degradation studies. Finally, this review will summarize current research focuses and propose future research directions.","author":[{"dropping-particle":"","family":"Li","given":"Tianyu","non-dropping-particle":"","parse-names":false,"suffix":""},{"dropping-particle":"","family":"Yuan","given":"Xiao-Zi","non-dropping-particle":"","parse-names":false,"suffix":""},{"dropping-particle":"","family":"Zhang","given":"Lei","non-dropping-particle":"","parse-names":false,"suffix":""},{"dropping-particle":"","family":"Song","given":"Datong","non-dropping-particle":"","parse-names":false,"suffix":""},{"dropping-particle":"","family":"Shi","given":"Kaiyuan","non-dropping-particle":"","parse-names":false,"suffix":""},{"dropping-particle":"","family":"Bock","given":"Christina","non-dropping-particle":"","parse-names":false,"suffix":""}],"container-title":"Electrochemical Energy Reviews","id":"ITEM-1","issue":"1","issued":{"date-parts":[["2019"]]},"number-of-pages":"43-80","publisher":"Springer Singapore","title":"Degradation Mechanisms and Mitigation Strategies of Nickel-Rich NMC-Based Lithium-Ion Batteries","type":"book","volume":"3"},"uris":["http://www.mendeley.com/documents/?uuid=fae30c39-668b-48f4-8a08-3e63895c8960"]}],"mendeley":{"formattedCitation":"(T. Li et al., 2019)","plainTextFormattedCitation":"(T. Li et al., 2019)","previouslyFormattedCitation":"(T. Li et al., 2019)"},"properties":{"noteIndex":0},"schema":"https://github.com/citation-style-language/schema/raw/master/csl-citation.json"}</w:instrText>
      </w:r>
      <w:r>
        <w:fldChar w:fldCharType="separate"/>
      </w:r>
      <w:r w:rsidRPr="006B2A76">
        <w:rPr>
          <w:noProof/>
        </w:rPr>
        <w:t>(T. Li et al., 2019)</w:t>
      </w:r>
      <w:r>
        <w:fldChar w:fldCharType="end"/>
      </w:r>
      <w:r>
        <w:t>.  At higher voltages, the Ni</w:t>
      </w:r>
      <w:r>
        <w:rPr>
          <w:vertAlign w:val="superscript"/>
        </w:rPr>
        <w:t>4+</w:t>
      </w:r>
      <w:r>
        <w:t xml:space="preserve"> can produce CO</w:t>
      </w:r>
      <w:r>
        <w:rPr>
          <w:vertAlign w:val="subscript"/>
        </w:rPr>
        <w:t>2</w:t>
      </w:r>
      <w:r>
        <w:t xml:space="preserve"> which increases electrode interfacial resistances for the lithium ion to insert onto and desert from the cathode, resulting in performance reduction.  When the cathode is in a highly delithiated state (i.e., when there is little lithium inserted on the cathode), an electron from O</w:t>
      </w:r>
      <w:r>
        <w:rPr>
          <w:vertAlign w:val="superscript"/>
        </w:rPr>
        <w:t>2-</w:t>
      </w:r>
      <w:r>
        <w:t xml:space="preserve"> can transfer to Co</w:t>
      </w:r>
      <w:r>
        <w:rPr>
          <w:vertAlign w:val="superscript"/>
        </w:rPr>
        <w:t>4+</w:t>
      </w:r>
      <w:r>
        <w:t>, reducing it to Co</w:t>
      </w:r>
      <w:r>
        <w:rPr>
          <w:vertAlign w:val="superscript"/>
        </w:rPr>
        <w:t>3+</w:t>
      </w:r>
      <w:r>
        <w:t>.  This releases O</w:t>
      </w:r>
      <w:r>
        <w:rPr>
          <w:vertAlign w:val="subscript"/>
        </w:rPr>
        <w:t>2</w:t>
      </w:r>
      <w:r>
        <w:t xml:space="preserve"> into the battery cells that cause capacity and voltage fading and degrade the battery to the point of thermal runaway </w:t>
      </w:r>
      <w:r>
        <w:fldChar w:fldCharType="begin" w:fldLock="1"/>
      </w:r>
      <w:r>
        <w:instrText>ADDIN CSL_CITATION {"citationItems":[{"id":"ITEM-1","itemData":{"DOI":"10.1002/aenm.201900551","author":[{"dropping-particle":"","family":"Sharifi-asl","given":"Soroosh","non-dropping-particle":"","parse-names":false,"suffix":""},{"dropping-particle":"","family":"Lu","given":"Jun","non-dropping-particle":"","parse-names":false,"suffix":""},{"dropping-particle":"","family":"Amine","given":"Khalil","non-dropping-particle":"","parse-names":false,"suffix":""},{"dropping-particle":"","family":"Shahbazian-Yassar","given":"Reza","non-dropping-particle":"","parse-names":false,"suffix":""}],"container-title":"Advanced Energy Materials","id":"ITEM-1","issue":"22","issued":{"date-parts":[["2019"]]},"title":"Oxygen release degradation in Li-ion battery cathode materials: mechanisms and mitigating approaches","type":"article-journal","volume":"9"},"uris":["http://www.mendeley.com/documents/?uuid=1e3884fb-f023-4d2a-b4be-3cac77f38883"]}],"mendeley":{"formattedCitation":"(Sharifi-asl et al., 2019)","plainTextFormattedCitation":"(Sharifi-asl et al., 2019)","previouslyFormattedCitation":"(Sharifi-asl et al., 2019)"},"properties":{"noteIndex":0},"schema":"https://github.com/citation-style-language/schema/raw/master/csl-citation.json"}</w:instrText>
      </w:r>
      <w:r>
        <w:fldChar w:fldCharType="separate"/>
      </w:r>
      <w:r w:rsidRPr="0034703F">
        <w:rPr>
          <w:noProof/>
        </w:rPr>
        <w:t>(Sharifi-asl et al., 2019)</w:t>
      </w:r>
      <w:r>
        <w:fldChar w:fldCharType="end"/>
      </w:r>
      <w:r>
        <w:t xml:space="preserve">.  </w:t>
      </w:r>
      <w:r w:rsidRPr="00090F43">
        <w:t>LI</w:t>
      </w:r>
      <w:r>
        <w:t>B do have a longer life than other common batteries but</w:t>
      </w:r>
      <w:r w:rsidRPr="00090F43">
        <w:t xml:space="preserve"> do not have a long life compared to the product in which they are used.  </w:t>
      </w:r>
    </w:p>
    <w:p w14:paraId="19FF6024" w14:textId="43487F75" w:rsidR="00ED3935" w:rsidRDefault="0037360F" w:rsidP="00665523">
      <w:pPr>
        <w:ind w:firstLine="720"/>
        <w:jc w:val="both"/>
      </w:pPr>
      <w:r>
        <w:t xml:space="preserve">The average mobile phone LIB has a lifespan of just over two years, which is less than the mobile phone itself </w:t>
      </w:r>
      <w:r>
        <w:fldChar w:fldCharType="begin" w:fldLock="1"/>
      </w:r>
      <w:r>
        <w:instrText>ADDIN CSL_CITATION {"citationItems":[{"id":"ITEM-1","itemData":{"DOI":"10.1016/j.jclepro.2017.05.181","ISSN":"09596526","abstract":"Ever-increasing demand and production of lithium-ion batteries result in disposal problems. There is little known information about recycling lithium-ion batteries from consumer electronics in China, despite China is the largest lithium-ion battery manufacturer and consumer. To address this gap, this paper aims at investigating the current status of recycling spent lithium-ion batteries from consumer electronics in China, and to provide recommendations for improving spent lithium-ion battery recycling rate. Generation, collection and recycling of spent lithium-ion batteries were investigated using a combined methodology consists of online surveys, field investigations and estimations. The survey shows that although respondents have expressed their willingness towards recycling, most of them did not know where to send their spent lithium-ion batteries. Field investigations were carried out to trace the material flow of spent lithium-ion batteries in current waste electric and electronic equipment collection systems. It was found that the spent lithium-ion batteries are not included in current collection systems, as only few recycling practitioners are collecting spent lithium-ion batteries. Inadequate supply was found to have a significant impact on current recycling industry. Combining official statistics, survey results and actual throughput of the recycling plants, it was roughly estimated that less than 10% of lithium-ion batteries used in consumer electronics are currently recycled, while others always end up in idle or landfill. This study provides essential information on status quo of recycling lithium-ion batteries from consumer electronics in China including consumers' behaviours, recycling practices and estimated recycling rate. Further, policy implications were proposed with the purpose of promoting recycling rates of spent LIBs from CEs.","author":[{"dropping-particle":"","family":"Gu","given":"Fu","non-dropping-particle":"","parse-names":false,"suffix":""},{"dropping-particle":"","family":"Guo","given":"Jianfeng","non-dropping-particle":"","parse-names":false,"suffix":""},{"dropping-particle":"","family":"Yao","given":"Xing","non-dropping-particle":"","parse-names":false,"suffix":""},{"dropping-particle":"","family":"Summers","given":"Peter A.","non-dropping-particle":"","parse-names":false,"suffix":""},{"dropping-particle":"","family":"Widijatmoko","given":"Samuel D.","non-dropping-particle":"","parse-names":false,"suffix":""},{"dropping-particle":"","family":"Hall","given":"Philip","non-dropping-particle":"","parse-names":false,"suffix":""}],"container-title":"Journal of Cleaner Production","id":"ITEM-1","issued":{"date-parts":[["2017"]]},"page":"765-780","title":"An investigation of the current status of recycling spent lithium-ion batteries from consumer electronics in China","type":"article-journal","volume":"161"},"uris":["http://www.mendeley.com/documents/?uuid=30269d69-af90-470a-9e86-4101b8ece6d7"]}],"mendeley":{"formattedCitation":"(Gu et al., 2017)","plainTextFormattedCitation":"(Gu et al., 2017)","previouslyFormattedCitation":"(Gu et al., 2017)"},"properties":{"noteIndex":0},"schema":"https://github.com/citation-style-language/schema/raw/master/csl-citation.json"}</w:instrText>
      </w:r>
      <w:r>
        <w:fldChar w:fldCharType="separate"/>
      </w:r>
      <w:r w:rsidRPr="00095C8F">
        <w:rPr>
          <w:noProof/>
        </w:rPr>
        <w:t>(Gu et al., 2017)</w:t>
      </w:r>
      <w:r>
        <w:fldChar w:fldCharType="end"/>
      </w:r>
      <w:r>
        <w:t xml:space="preserve">.  When the LIB </w:t>
      </w:r>
      <w:proofErr w:type="gramStart"/>
      <w:r>
        <w:t>are</w:t>
      </w:r>
      <w:proofErr w:type="gramEnd"/>
      <w:r>
        <w:t xml:space="preserve"> replaced in any electronic device, </w:t>
      </w:r>
      <w:r w:rsidR="00297C3B">
        <w:t xml:space="preserve">like electronic waste (e-waste), </w:t>
      </w:r>
      <w:r>
        <w:t xml:space="preserve">they are either discarded into the trash can for the municipal waste system to pick up and dump into the landfill or they are properly recycled.  Unfortunately, less than five percent of LIB are recycled throughout the world </w:t>
      </w:r>
      <w:r>
        <w:fldChar w:fldCharType="begin" w:fldLock="1"/>
      </w:r>
      <w:r>
        <w:instrText>ADDIN CSL_CITATION {"citationItems":[{"id":"ITEM-1","itemData":{"abstract":"Lithium-ion batteries have made portable electronics ubiquitous, and they are about to do the same for electric vehicles. That success story is setting the world on track to generate a multimillion-metric-ton heap of used Li-ion batteries that could end up in the trash. The batteries are valuable and recyclable, but because of technical, economic, and other factors, less than 5% are recycled today. The enormousness of the impending spent-battery situation is driving researchers to search for cost-effective, environmentally sustainable strategies for dealing with the vast stockpile of Li-ion batteries looming on the horizon.","author":[{"dropping-particle":"","family":"Jacoby","given":"Mitch","non-dropping-particle":"","parse-names":false,"suffix":""}],"container-title":"Chemical &amp; Engineering News","id":"ITEM-1","issued":{"date-parts":[["2019"]]},"page":"volume 97, issue 28","title":"It’s time to get serious about recycling lithium-ion batteries","type":"article-magazine"},"uris":["http://www.mendeley.com/documents/?uuid=08a01f88-cbc9-48cc-b731-4f6478c8a970"]}],"mendeley":{"formattedCitation":"(Jacoby, 2019)","plainTextFormattedCitation":"(Jacoby, 2019)","previouslyFormattedCitation":"(Jacoby, 2019)"},"properties":{"noteIndex":0},"schema":"https://github.com/citation-style-language/schema/raw/master/csl-citation.json"}</w:instrText>
      </w:r>
      <w:r>
        <w:fldChar w:fldCharType="separate"/>
      </w:r>
      <w:r w:rsidRPr="005026E6">
        <w:rPr>
          <w:noProof/>
        </w:rPr>
        <w:t>(Jacoby, 2019)</w:t>
      </w:r>
      <w:r>
        <w:fldChar w:fldCharType="end"/>
      </w:r>
      <w:r>
        <w:t xml:space="preserve">.  That results in hundreds of thousands of metric tons of LIB disposed into landfills rather than being recycled.  There are several reasons why the recycling rate is so low. First, there is little public information or advertisement regarding where and how to recycle LIB. Second, technology for LIB recycling </w:t>
      </w:r>
      <w:r>
        <w:lastRenderedPageBreak/>
        <w:t xml:space="preserve">is very fluid, changing and updating every few years.  Finally, there are contradictory identifications between governmental authorities relating to whether LIB are considered safe to discard into the waste system or are hazardous waste and must be recycled properly </w:t>
      </w:r>
      <w:r>
        <w:fldChar w:fldCharType="begin" w:fldLock="1"/>
      </w:r>
      <w:r>
        <w:instrText>ADDIN CSL_CITATION {"citationItems":[{"id":"ITEM-1","itemData":{"author":[{"dropping-particle":"","family":"Timpane","given":"Michael","non-dropping-particle":"","parse-names":false,"suffix":""}],"container-title":"Environmental Protection Agency","id":"ITEM-1","issued":{"date-parts":[["2018"]]},"title":"Lithium Ion Batteries in the Solid Waste System","type":"report"},"uris":["http://www.mendeley.com/documents/?uuid=e117adcb-dc73-411a-9c6c-0635b546dc85"]}],"mendeley":{"formattedCitation":"(Timpane, 2018)","plainTextFormattedCitation":"(Timpane, 2018)","previouslyFormattedCitation":"(Timpane, 2018)"},"properties":{"noteIndex":0},"schema":"https://github.com/citation-style-language/schema/raw/master/csl-citation.json"}</w:instrText>
      </w:r>
      <w:r>
        <w:fldChar w:fldCharType="separate"/>
      </w:r>
      <w:r w:rsidRPr="00BD5074">
        <w:rPr>
          <w:noProof/>
        </w:rPr>
        <w:t>(Timpane, 2018)</w:t>
      </w:r>
      <w:r>
        <w:fldChar w:fldCharType="end"/>
      </w:r>
      <w:r>
        <w:t xml:space="preserve">.  Regardless of where the LIB </w:t>
      </w:r>
      <w:proofErr w:type="gramStart"/>
      <w:r>
        <w:t>are</w:t>
      </w:r>
      <w:proofErr w:type="gramEnd"/>
      <w:r>
        <w:t xml:space="preserve"> discarded, there is contamination of the surrounding area, whether it be the landfill or the recycling center.</w:t>
      </w:r>
    </w:p>
    <w:p w14:paraId="5CD8EB6F" w14:textId="77777777" w:rsidR="00BD23B5" w:rsidRPr="00ED3935" w:rsidRDefault="00BD23B5" w:rsidP="00665523">
      <w:pPr>
        <w:ind w:firstLine="720"/>
        <w:jc w:val="both"/>
      </w:pPr>
    </w:p>
    <w:p w14:paraId="37393ACA" w14:textId="46ABA8D7" w:rsidR="00ED3935" w:rsidRPr="002A4ADE" w:rsidRDefault="00F84424" w:rsidP="00E610FB">
      <w:pPr>
        <w:pStyle w:val="Heading2"/>
      </w:pPr>
      <w:bookmarkStart w:id="20" w:name="_Toc71223992"/>
      <w:r>
        <w:t>2.</w:t>
      </w:r>
      <w:r w:rsidR="00196F2F">
        <w:t xml:space="preserve">3 </w:t>
      </w:r>
      <w:r w:rsidR="00ED3935" w:rsidRPr="002A4ADE">
        <w:t>Environmental Effects</w:t>
      </w:r>
      <w:bookmarkEnd w:id="20"/>
    </w:p>
    <w:p w14:paraId="21D7F7CD" w14:textId="35F6A1BC" w:rsidR="00417C54" w:rsidRDefault="00417C54" w:rsidP="00417C54">
      <w:pPr>
        <w:ind w:firstLine="720"/>
        <w:jc w:val="both"/>
      </w:pPr>
      <w:r>
        <w:t xml:space="preserve">Soil has a vast array of characteristics based on location, fauna, temperature, organic matter content, cation exchange capacity (CEC), water content, and many others.  The United States Department of Agriculture (USDA) has created a taxonomic system of twelve different groups, with a multitude of subgroups for each one.  These groups differ based on the composition of the layers, or horizons, of the soil and the characteristics listed above </w:t>
      </w:r>
      <w:r>
        <w:fldChar w:fldCharType="begin" w:fldLock="1"/>
      </w:r>
      <w:r>
        <w:instrText>ADDIN CSL_CITATION {"citationItems":[{"id":"ITEM-1","itemData":{"ISSN":"00039039","author":[{"dropping-particle":"","family":"Fischer","given":"J.","non-dropping-particle":"","parse-names":false,"suffix":""}],"container-title":"Soil Survey Staff","edition":"2","editor":[{"dropping-particle":"","family":"USDA","given":"","non-dropping-particle":"","parse-names":false,"suffix":""}],"id":"ITEM-1","issued":{"date-parts":[["1999"]]},"number-of-pages":"9-20","publisher":"U.S. Government Printing Office","publisher-place":"Washington, DC","title":"Soil Taxonomy A Basic System of Soil Classification for Making and Interpreting Soil Surveys","type":"book"},"uris":["http://www.mendeley.com/documents/?uuid=1ddccd55-03fb-4d36-a5b5-aedd8561f7c1"]}],"mendeley":{"formattedCitation":"(Fischer, 1999)","plainTextFormattedCitation":"(Fischer, 1999)","previouslyFormattedCitation":"(Fischer, 1999)"},"properties":{"noteIndex":0},"schema":"https://github.com/citation-style-language/schema/raw/master/csl-citation.json"}</w:instrText>
      </w:r>
      <w:r>
        <w:fldChar w:fldCharType="separate"/>
      </w:r>
      <w:r w:rsidRPr="00EF2672">
        <w:rPr>
          <w:noProof/>
        </w:rPr>
        <w:t>(Fischer, 1999)</w:t>
      </w:r>
      <w:r>
        <w:fldChar w:fldCharType="end"/>
      </w:r>
      <w:r>
        <w:t xml:space="preserve">.  Due to the complexity of these soil groups and to limit the scope of research, this </w:t>
      </w:r>
      <w:r w:rsidR="00F8207C">
        <w:t>study</w:t>
      </w:r>
      <w:r>
        <w:t xml:space="preserve"> will focus on the pH of soil.  The pH of soil around the world ranges from around a pH of one to over a pH of ten, </w:t>
      </w:r>
      <w:r w:rsidR="0040731A">
        <w:t xml:space="preserve">with </w:t>
      </w:r>
      <w:r w:rsidR="004B05D4">
        <w:t>30-40% of arable land on earth</w:t>
      </w:r>
      <w:r w:rsidR="00F115B3">
        <w:t xml:space="preserve"> is acidic soil </w:t>
      </w:r>
      <w:r w:rsidR="0080720E">
        <w:fldChar w:fldCharType="begin" w:fldLock="1"/>
      </w:r>
      <w:r w:rsidR="0088606B">
        <w:instrText>ADDIN CSL_CITATION {"citationItems":[{"id":"ITEM-1","itemData":{"DOI":"10.1016/s0074-7696(00)00001-2","ISSN":"00747696","PMID":"10965465","abstract":"Aluminum is the major element in the soil and exists as a stable complex with oxygen and silicate in neutral and weakly acidic soil. When the soil pH is lower than 4.5-5.0, Al is solubilized in the soil water and absorbed by plant roots. Absorbed Al inhibits root elongation severely, and the elongation of roots exposed to Al3- as low as μmol level is inhibited within an hour(s). Thus much research has been conducted to understand the mechanism of Al toxicity and tolerance. Al is located specifically at the root apex. Al-sensitive plants absorb more Al than do Al-tolerant plants, and thus the exclusion mechanism of Al is the major idea for Al tolerance. The understanding of Al stress in plants is important for stable food production in future. Al is a complicated ion in its chemical form and biological function. In this chapter, mechanisms of Al toxicity and tolerance proposed during the past few decades as well as future topics are described from physiological and molecular points of view. (C) 2000 Academic Press.","author":[{"dropping-particle":"","family":"Matsumoto","given":"H.","non-dropping-particle":"","parse-names":false,"suffix":""}],"container-title":"International Review of Cytology","id":"ITEM-1","issued":{"date-parts":[["2000"]]},"page":"1-46","title":"Cell biology of aluminum toxicity tolerance in higher plants","type":"article-journal","volume":"200"},"uris":["http://www.mendeley.com/documents/?uuid=6fcdb6ab-b331-48f0-81d8-f463c6b90feb"]}],"mendeley":{"formattedCitation":"(Matsumoto, 2000)","plainTextFormattedCitation":"(Matsumoto, 2000)","previouslyFormattedCitation":"(Matsumoto, 2000)"},"properties":{"noteIndex":0},"schema":"https://github.com/citation-style-language/schema/raw/master/csl-citation.json"}</w:instrText>
      </w:r>
      <w:r w:rsidR="0080720E">
        <w:fldChar w:fldCharType="separate"/>
      </w:r>
      <w:r w:rsidR="0080720E" w:rsidRPr="0080720E">
        <w:rPr>
          <w:noProof/>
        </w:rPr>
        <w:t>(Matsumoto, 2000)</w:t>
      </w:r>
      <w:r w:rsidR="0080720E">
        <w:fldChar w:fldCharType="end"/>
      </w:r>
      <w:r>
        <w:t xml:space="preserve">.  Depending on the soil pH, adsorption of metals changes.  In basic soil conditions (pH&gt;7), metal ions adsorb strongly to soil particle surfaces, thus not leaching into rain runoff or water systems and less available for plant uptake.  In acidic soil conditions (pH&lt;7), there is less affinity for the metal ions to adsorb to the soil particles, causing them to leach into the water and be more available for plant uptake.  An example of this is aluminum and manganese present in pH&lt;5 soil can reach toxic concentrations for plant uptake and human consumption </w:t>
      </w:r>
      <w:r>
        <w:fldChar w:fldCharType="begin" w:fldLock="1"/>
      </w:r>
      <w:r>
        <w:instrText>ADDIN CSL_CITATION {"citationItems":[{"id":"ITEM-1","itemData":{"abstract":"Soil pH and organic matter are key soil parameters. This Nutrient Management Module explains how each affects soil fertility. The appendix at the end of this bulletin lists additional resources.","author":[{"dropping-particle":"","family":"McCauley","given":"A.","non-dropping-particle":"","parse-names":false,"suffix":""},{"dropping-particle":"","family":"Jones","given":"C","non-dropping-particle":"","parse-names":false,"suffix":""},{"dropping-particle":"","family":"Olson-Rutz","given":"K","non-dropping-particle":"","parse-names":false,"suffix":""}],"container-title":"Nutrient Management","id":"ITEM-1","issue":"8","issued":{"date-parts":[["2017"]]},"page":"1-16","title":"Soil pH and organic matter","type":"entry-encyclopedia"},"uris":["http://www.mendeley.com/documents/?uuid=b58aa6bd-be53-4fb2-9513-aa88b67ee19a"]}],"mendeley":{"formattedCitation":"(McCauley et al., 2017)","plainTextFormattedCitation":"(McCauley et al., 2017)","previouslyFormattedCitation":"(McCauley et al., 2017)"},"properties":{"noteIndex":0},"schema":"https://github.com/citation-style-language/schema/raw/master/csl-citation.json"}</w:instrText>
      </w:r>
      <w:r>
        <w:fldChar w:fldCharType="separate"/>
      </w:r>
      <w:r w:rsidRPr="004001CE">
        <w:rPr>
          <w:noProof/>
        </w:rPr>
        <w:t>(McCauley et al., 2017)</w:t>
      </w:r>
      <w:r>
        <w:fldChar w:fldCharType="end"/>
      </w:r>
      <w:r>
        <w:t xml:space="preserve">.  </w:t>
      </w:r>
    </w:p>
    <w:p w14:paraId="490434E0" w14:textId="3CF64C85" w:rsidR="002B3FD3" w:rsidRDefault="00417C54" w:rsidP="00417C54">
      <w:pPr>
        <w:ind w:firstLine="720"/>
        <w:jc w:val="both"/>
      </w:pPr>
      <w:r>
        <w:t xml:space="preserve">Adsorption for heavy metals have been studied with various soil parameters to determine the affinity metals have for the soil over the dissolved state in water.  Nickel, copper, and zinc </w:t>
      </w:r>
      <w:r>
        <w:lastRenderedPageBreak/>
        <w:t>adsorption edges based on soil pH show that the metals increase adsorption</w:t>
      </w:r>
      <w:r w:rsidR="00634F37">
        <w:t xml:space="preserve"> </w:t>
      </w:r>
      <w:r w:rsidR="00564B30">
        <w:t>onto soil</w:t>
      </w:r>
      <w:r>
        <w:t xml:space="preserve"> as the pH increases </w:t>
      </w:r>
      <w:r>
        <w:fldChar w:fldCharType="begin" w:fldLock="1"/>
      </w:r>
      <w:r>
        <w:instrText>ADDIN CSL_CITATION {"citationItems":[{"id":"ITEM-1","itemData":{"DOI":"10.1021/es5005522","ISSN":"15205851","PMID":"24899255","abstract":"Metal solid phase speciation plays an important role in the control of the long-term stability of metals in biosolid-amended soils. The present work used pH-adsorption edge experiments and synchrotron-based spectroscopy techniques to understand the solid phase speciation of copper, nickel and zinc in a biosolid-amended soil. Comparison of metal adsorption edges on the biosolid-amended soil and the soil sample showed that Cu, Ni, and Zn can be retained by both soil and biosolid components such as amorphous iron phases, organic matter and clay minerals. These data are combined with microscopic results to obtain structural information about the surface complexes formed. Linear combination fitting of K-edge XANES spectra of metal hot-spots indicated consistent differences in metal speciation between metals. While organic matter plays a dominant role in Ni binding in the biosolid-amended soil, it was of lesser importance for Cu and Zn. This study suggests that even if the metals can be associated with soil components (clay minerals and organic matter), biosolid application will increase metals retention in the biosolid-amended soil by providing reactive organic matter and iron oxide fractions. Among the studied metals, the long-term mobility of Ni could be affected by organic matter degradation while Cu and Zn are strongly associated with iron oxides. © 2014 American Chemical Society.","author":[{"dropping-particle":"","family":"Mamindy-Pajany","given":"Yannick","non-dropping-particle":"","parse-names":false,"suffix":""},{"dropping-particle":"","family":"Sayen","given":"Stéphanie","non-dropping-particle":"","parse-names":false,"suffix":""},{"dropping-particle":"","family":"Mosselmans","given":"J. Frederick W.","non-dropping-particle":"","parse-names":false,"suffix":""},{"dropping-particle":"","family":"Guillon","given":"Emmanuel","non-dropping-particle":"","parse-names":false,"suffix":""}],"container-title":"Environmental Science and Technology","id":"ITEM-1","issue":"13","issued":{"date-parts":[["2014"]]},"page":"7237-7244","title":"Copper, nickel and zinc speciation in a biosolid-amended soil: PH adsorption edge, μ-XRF and μ-XANES investigations","type":"article-journal","volume":"48"},"uris":["http://www.mendeley.com/documents/?uuid=4c42fd43-091b-4873-a4fe-e80b3ea5c701"]}],"mendeley":{"formattedCitation":"(Mamindy-Pajany et al., 2014)","plainTextFormattedCitation":"(Mamindy-Pajany et al., 2014)","previouslyFormattedCitation":"(Mamindy-Pajany et al., 2014)"},"properties":{"noteIndex":0},"schema":"https://github.com/citation-style-language/schema/raw/master/csl-citation.json"}</w:instrText>
      </w:r>
      <w:r>
        <w:fldChar w:fldCharType="separate"/>
      </w:r>
      <w:r w:rsidRPr="00592713">
        <w:rPr>
          <w:noProof/>
        </w:rPr>
        <w:t>(Mamindy-Pajany et al., 2014)</w:t>
      </w:r>
      <w:r>
        <w:fldChar w:fldCharType="end"/>
      </w:r>
      <w:r>
        <w:t xml:space="preserve">.  This reveals that the availability of the </w:t>
      </w:r>
      <w:r w:rsidR="00416B66">
        <w:t xml:space="preserve">toxic </w:t>
      </w:r>
      <w:r>
        <w:t>metals for plant uptake or water transport diminishes in basic soil.</w:t>
      </w:r>
      <w:r w:rsidR="001103A4">
        <w:t xml:space="preserve">  </w:t>
      </w:r>
      <w:r w:rsidR="001103A4">
        <w:fldChar w:fldCharType="begin" w:fldLock="1"/>
      </w:r>
      <w:r w:rsidR="00B63DB3">
        <w:instrText>ADDIN CSL_CITATION {"citationItems":[{"id":"ITEM-1","itemData":{"DOI":"10.4324/9780429051340-10","ISBN":"9780429707735","ISSN":"1381-1169","abstract":"This chapter discusses Canada's uranium resources, domestic demand, industry structure, and related government policy. Energy is extracted from uranium by a nuclear, rather than a chemical, reaction, as in hydrocarbon combustion. The uranium industry is also under stricter government control than are most commodity industries, partly because of the relationship of uranium to nuclear weapons and the risk of their proliferation. In a US-Canadian context, uranium-related issues can be aggregated into the categories of bilateral trade, international trade, and nonproliferation. An understanding of the structure of the nuclear-power-reactor fuel cycle is important to an understanding of the world uranium market because, as already indicated, demand for uranium for other uses is very small. The economics of reprocessing and recycling the recovered uranium and plutonium in the current generation of reactors is quite uncertain today but probably unfavorable. By 1974 the situation had been totally transformed: prices were rising steeply, and Canadian uranium was in great demand.","author":[{"dropping-particle":"","family":"Alloway","given":"Brian J.","non-dropping-particle":"","parse-names":false,"suffix":""}],"container-title":"Natural Resources in U.S.-canadian Relations, Volume 2: Patterns and Trends in Resource Supplies and Policies","edition":"3rd Editio","id":"ITEM-1","issued":{"date-parts":[["2019"]]},"number-of-pages":"615","publisher":"Springer","publisher-place":"New York","title":"Heavy Metals in Soils","type":"book","volume":"2"},"uris":["http://www.mendeley.com/documents/?uuid=970c4dde-98c6-4860-94ae-29c806fe4065"]}],"mendeley":{"formattedCitation":"(Alloway, 2019)","manualFormatting":"Alloway (2019","plainTextFormattedCitation":"(Alloway, 2019)","previouslyFormattedCitation":"(Alloway, 2019)"},"properties":{"noteIndex":0},"schema":"https://github.com/citation-style-language/schema/raw/master/csl-citation.json"}</w:instrText>
      </w:r>
      <w:r w:rsidR="001103A4">
        <w:fldChar w:fldCharType="separate"/>
      </w:r>
      <w:r w:rsidR="001103A4" w:rsidRPr="001103A4">
        <w:rPr>
          <w:noProof/>
        </w:rPr>
        <w:t xml:space="preserve">Alloway </w:t>
      </w:r>
      <w:r w:rsidR="00B63DB3">
        <w:rPr>
          <w:noProof/>
        </w:rPr>
        <w:t>(</w:t>
      </w:r>
      <w:r w:rsidR="001103A4" w:rsidRPr="001103A4">
        <w:rPr>
          <w:noProof/>
        </w:rPr>
        <w:t>2019</w:t>
      </w:r>
      <w:r w:rsidR="001103A4">
        <w:fldChar w:fldCharType="end"/>
      </w:r>
      <w:r w:rsidR="00B63DB3">
        <w:t>)</w:t>
      </w:r>
      <w:r w:rsidR="001103A4">
        <w:t xml:space="preserve"> affirms this statement with manganese and cobalt concentrations in sandy loam soil over a pH of 4.5 to 7.5.  The manganese </w:t>
      </w:r>
      <w:r w:rsidR="00376DA9">
        <w:t xml:space="preserve">soil solution </w:t>
      </w:r>
      <w:r w:rsidR="001103A4">
        <w:t>concentration sharply decline</w:t>
      </w:r>
      <w:r w:rsidR="00376DA9">
        <w:t>d</w:t>
      </w:r>
      <w:r w:rsidR="001103A4">
        <w:t xml:space="preserve"> from 227 mM at pH 4.5 to 3.1 mM at pH 5.6 then to 0.34 mM at pH 7.5.  Cobalt decreases from 0.13 mM to 0.03 </w:t>
      </w:r>
      <w:r w:rsidR="00376DA9">
        <w:t xml:space="preserve">mM </w:t>
      </w:r>
      <w:r w:rsidR="001103A4">
        <w:t>over a similar pH increase.</w:t>
      </w:r>
      <w:r w:rsidR="002B3FD3">
        <w:t xml:space="preserve">  As pH increases from acidic conditions</w:t>
      </w:r>
      <w:r w:rsidR="00555D85">
        <w:t xml:space="preserve">, </w:t>
      </w:r>
      <w:r w:rsidR="002B3FD3">
        <w:t>metals generally decrease in availability and key nutrients become more available to plant</w:t>
      </w:r>
      <w:r w:rsidR="00555D85">
        <w:t>s</w:t>
      </w:r>
      <w:r w:rsidR="00564B30">
        <w:t xml:space="preserve"> </w:t>
      </w:r>
      <w:r w:rsidR="00564B30">
        <w:fldChar w:fldCharType="begin" w:fldLock="1"/>
      </w:r>
      <w:r w:rsidR="00564B30">
        <w:instrText>ADDIN CSL_CITATION {"citationItems":[{"id":"ITEM-1","itemData":{"URL":"https://landresources.montana.edu/soilfertility/documents/PDF/sscoop/SoilAcidifProbCauseTestSS.pdf","accessed":{"date-parts":[["2021","2","17"]]},"author":[{"dropping-particle":"","family":"Jones","given":"Clain","non-dropping-particle":"","parse-names":false,"suffix":""},{"dropping-particle":"","family":"Olson-Rutz","given":"Kathrin","non-dropping-particle":"","parse-names":false,"suffix":""}],"container-title":"Montana State University","id":"ITEM-1","issued":{"date-parts":[["2020"]]},"page":"1-2","title":"Soil acidification: problems, causes, &amp; testing","type":"webpage"},"uris":["http://www.mendeley.com/documents/?uuid=c525763e-39bc-4430-96e9-8946ceacd593"]}],"mendeley":{"formattedCitation":"(Jones &amp; Olson-Rutz, 2020)","plainTextFormattedCitation":"(Jones &amp; Olson-Rutz, 2020)","previouslyFormattedCitation":"(Jones &amp; Olson-Rutz, 2020)"},"properties":{"noteIndex":0},"schema":"https://github.com/citation-style-language/schema/raw/master/csl-citation.json"}</w:instrText>
      </w:r>
      <w:r w:rsidR="00564B30">
        <w:fldChar w:fldCharType="separate"/>
      </w:r>
      <w:r w:rsidR="00564B30" w:rsidRPr="00564B30">
        <w:rPr>
          <w:noProof/>
        </w:rPr>
        <w:t>(Jones &amp; Olson-Rutz, 2020)</w:t>
      </w:r>
      <w:r w:rsidR="00564B30">
        <w:fldChar w:fldCharType="end"/>
      </w:r>
      <w:r w:rsidR="002B3FD3">
        <w:t xml:space="preserve">.  </w:t>
      </w:r>
    </w:p>
    <w:p w14:paraId="754A4032" w14:textId="277E8D0F" w:rsidR="00417C54" w:rsidRPr="00E34E8A" w:rsidRDefault="00417C54" w:rsidP="00417C54">
      <w:pPr>
        <w:ind w:firstLine="720"/>
        <w:jc w:val="both"/>
      </w:pPr>
      <w:r>
        <w:t xml:space="preserve">Although individually tested metals are shown to have their own adsorption edges, there is competition between metals to adsorb onto soil based on the metal’s affinity toward the soil particles.  This may cause one metal species to be more mobile in the soil and be more readily taken up by plants or transported via water runoff to contaminate other sites.  Mamindy-Pajany et al. </w:t>
      </w:r>
      <w:r w:rsidR="00B63DB3">
        <w:t>(</w:t>
      </w:r>
      <w:r>
        <w:t>2014</w:t>
      </w:r>
      <w:r w:rsidR="00B63DB3">
        <w:t>)</w:t>
      </w:r>
      <w:r>
        <w:t xml:space="preserve"> shows that in the presence of the other metals, nickel, copper, and zinc have a lower percent adsorbed onto the soil compared to the individual metal’s percent adsorption.  An exception to this is at higher pH soil and zinc adsorption, which after pH 6, the percent adsorbed is at approximately 100% for both individual zinc and the metal mixture.  This analysis along with McCauley et al. </w:t>
      </w:r>
      <w:r w:rsidR="00B63DB3">
        <w:t>(</w:t>
      </w:r>
      <w:r>
        <w:t>2017</w:t>
      </w:r>
      <w:r w:rsidR="00B63DB3">
        <w:t>)</w:t>
      </w:r>
      <w:r>
        <w:t xml:space="preserve"> and </w:t>
      </w:r>
      <w:r>
        <w:fldChar w:fldCharType="begin" w:fldLock="1"/>
      </w:r>
      <w:r w:rsidR="00B63DB3">
        <w:instrText>ADDIN CSL_CITATION {"citationItems":[{"id":"ITEM-1","itemData":{"DOI":"10.1021/acsomega.8b01874","ISSN":"24701343","abstract":"In this study, novel adsorbent ceria nanoparticles (CeNPs) entrapped in tamarind powder (Tm@CeNPs) were efficiently utilized for the simultaneous adsorption of aqueous mercury [Hg(II)] and aqueous lead [Pb(II)]. Surface interactions between the adsorbent and heavy metal ions play an important role in the adsorption process, and the surface morphology can significantly improve the adsorption capacity of the adsorbent. The Langmuir adsorption capacity of Tm@CeNPs for Hg(II) and Pb(II) was found to be 200 and 142.85 mg/g, respectively. The surface area of utilized adsorbent was found to be very high, that is, 412 m2/g. The adsorption kinetics of Tm@CeNPs for both ions follow pseudo-second-order, and the adsorption process is also thermodynamically feasible. Column study favors multilayer adsorption of the heavy metal ion. The spectral analysis of the adsorbent revealed that hydroxyl, carboxylic, and ester groups, as well as CeNPs, are responsible for Hg(II) and Pb(II) adsorption. The cost-benefit analysis confirms the economic viability of the synthesized Tm@CeNPs composite for heavy metal removal. The adsorbent is best suited for Hg(II) adsorption as compared to Pb(II). This is a novel study on the utilization of tamarind leaf powder with CeNPs for heavy metal ion adsorption and its adsorption mechanism, which has not been reported to date.","author":[{"dropping-particle":"","family":"Sharma","given":"Rekha","non-dropping-particle":"","parse-names":false,"suffix":""},{"dropping-particle":"","family":"Raghav","given":"Sapna","non-dropping-particle":"","parse-names":false,"suffix":""},{"dropping-particle":"","family":"Nair","given":"Manjula","non-dropping-particle":"","parse-names":false,"suffix":""},{"dropping-particle":"","family":"Kumar","given":"Dinesh","non-dropping-particle":"","parse-names":false,"suffix":""}],"container-title":"ACS Omega","id":"ITEM-1","issue":"11","issued":{"date-parts":[["2018"]]},"page":"14606-14619","title":"Kinetics and adsorption studies of mercury and lead by ceria nanoparticles entrapped in tamarind powder","type":"article-journal","volume":"3"},"uris":["http://www.mendeley.com/documents/?uuid=40ddefbb-a121-4d31-b4a7-3710f3b5eb8b"]}],"mendeley":{"formattedCitation":"(Sharma et al., 2018)","manualFormatting":"Sharma et al. (2018","plainTextFormattedCitation":"(Sharma et al., 2018)","previouslyFormattedCitation":"(Sharma et al., 2018)"},"properties":{"noteIndex":0},"schema":"https://github.com/citation-style-language/schema/raw/master/csl-citation.json"}</w:instrText>
      </w:r>
      <w:r>
        <w:fldChar w:fldCharType="separate"/>
      </w:r>
      <w:r w:rsidRPr="00DB61C8">
        <w:rPr>
          <w:noProof/>
        </w:rPr>
        <w:t xml:space="preserve">Sharma et al. </w:t>
      </w:r>
      <w:r w:rsidR="00B63DB3">
        <w:rPr>
          <w:noProof/>
        </w:rPr>
        <w:t>(</w:t>
      </w:r>
      <w:r w:rsidRPr="00DB61C8">
        <w:rPr>
          <w:noProof/>
        </w:rPr>
        <w:t>2018</w:t>
      </w:r>
      <w:r>
        <w:fldChar w:fldCharType="end"/>
      </w:r>
      <w:r w:rsidR="00B63DB3">
        <w:t>)</w:t>
      </w:r>
      <w:r>
        <w:t xml:space="preserve"> can use effective nuclear charge, Z</w:t>
      </w:r>
      <w:r>
        <w:rPr>
          <w:vertAlign w:val="subscript"/>
        </w:rPr>
        <w:t>eff</w:t>
      </w:r>
      <w:r>
        <w:t xml:space="preserve">, as a prediction for the adsorption of metals onto soil.  </w:t>
      </w:r>
      <w:bookmarkStart w:id="21" w:name="_Hlk68702119"/>
      <w:r>
        <w:t>As Z</w:t>
      </w:r>
      <w:r>
        <w:rPr>
          <w:vertAlign w:val="subscript"/>
        </w:rPr>
        <w:t>eff</w:t>
      </w:r>
      <w:r>
        <w:t xml:space="preserve"> increases, the high charge to size ratio allows stronger attraction and thus stronger binding to occur to the soil particles.</w:t>
      </w:r>
      <w:bookmarkEnd w:id="21"/>
      <w:r>
        <w:t xml:space="preserve">  A lower adsorption of the metal allows it to be available for agriculture uptake or transported via water systems to other areas.  Regardless of the soil characteristics, heavy metals in LIB will leach into the soil and water systems, potentially reaching concentration levels that are considered dangerous to human health when ingested for a long period of time.</w:t>
      </w:r>
    </w:p>
    <w:p w14:paraId="161E3F5E" w14:textId="4F55EE03" w:rsidR="00CD6383" w:rsidRDefault="000E2397" w:rsidP="00665523">
      <w:pPr>
        <w:ind w:firstLine="720"/>
        <w:jc w:val="both"/>
        <w:rPr>
          <w:szCs w:val="32"/>
        </w:rPr>
      </w:pPr>
      <w:r>
        <w:rPr>
          <w:szCs w:val="32"/>
        </w:rPr>
        <w:lastRenderedPageBreak/>
        <w:t xml:space="preserve">Since the creation of landfills, leachate contamination into </w:t>
      </w:r>
      <w:r w:rsidR="00137F9F">
        <w:rPr>
          <w:szCs w:val="32"/>
        </w:rPr>
        <w:t>the surrounding soil, surface water, and groundwater has been a concern</w:t>
      </w:r>
      <w:r w:rsidR="00C5374E">
        <w:rPr>
          <w:szCs w:val="32"/>
        </w:rPr>
        <w:t xml:space="preserve"> </w:t>
      </w:r>
      <w:r w:rsidR="00C5374E">
        <w:rPr>
          <w:szCs w:val="32"/>
        </w:rPr>
        <w:fldChar w:fldCharType="begin" w:fldLock="1"/>
      </w:r>
      <w:r w:rsidR="00C5374E">
        <w:rPr>
          <w:szCs w:val="32"/>
        </w:rPr>
        <w:instrText>ADDIN CSL_CITATION {"citationItems":[{"id":"ITEM-1","itemData":{"author":[{"dropping-particle":"","family":"Perry","given":"Jon R.","non-dropping-particle":"","parse-names":false,"suffix":""},{"dropping-particle":"","family":"Dorian","given":"Gerry","non-dropping-particle":"","parse-names":false,"suffix":""}],"id":"ITEM-1","issued":{"date-parts":[["1987"]]},"title":"Characterization of MWC ashes and leachates from MSW landfills, monofills, and co-disposal sites","type":"report"},"uris":["http://www.mendeley.com/documents/?uuid=fcaeab1a-240c-4b8e-87c5-86b42a4e87be"]}],"mendeley":{"formattedCitation":"(Perry &amp; Dorian, 1987)","plainTextFormattedCitation":"(Perry &amp; Dorian, 1987)","previouslyFormattedCitation":"(Perry &amp; Dorian, 1987)"},"properties":{"noteIndex":0},"schema":"https://github.com/citation-style-language/schema/raw/master/csl-citation.json"}</w:instrText>
      </w:r>
      <w:r w:rsidR="00C5374E">
        <w:rPr>
          <w:szCs w:val="32"/>
        </w:rPr>
        <w:fldChar w:fldCharType="separate"/>
      </w:r>
      <w:r w:rsidR="00C5374E" w:rsidRPr="00C5374E">
        <w:rPr>
          <w:noProof/>
          <w:szCs w:val="32"/>
        </w:rPr>
        <w:t>(Perry &amp; Dorian, 1987)</w:t>
      </w:r>
      <w:r w:rsidR="00C5374E">
        <w:rPr>
          <w:szCs w:val="32"/>
        </w:rPr>
        <w:fldChar w:fldCharType="end"/>
      </w:r>
      <w:r w:rsidR="00137F9F">
        <w:rPr>
          <w:szCs w:val="32"/>
        </w:rPr>
        <w:t>.  Since the mid-20</w:t>
      </w:r>
      <w:r w:rsidR="00137F9F" w:rsidRPr="00137F9F">
        <w:rPr>
          <w:szCs w:val="32"/>
          <w:vertAlign w:val="superscript"/>
        </w:rPr>
        <w:t>th</w:t>
      </w:r>
      <w:r w:rsidR="00137F9F">
        <w:rPr>
          <w:szCs w:val="32"/>
        </w:rPr>
        <w:t xml:space="preserve"> Century though, regulations</w:t>
      </w:r>
      <w:r w:rsidR="00FE7B92">
        <w:rPr>
          <w:szCs w:val="32"/>
        </w:rPr>
        <w:t xml:space="preserve"> in the U.S. and other more developed countries</w:t>
      </w:r>
      <w:r w:rsidR="00137F9F">
        <w:rPr>
          <w:szCs w:val="32"/>
        </w:rPr>
        <w:t xml:space="preserve"> have been put in place to curb the leachate from seeping out of </w:t>
      </w:r>
      <w:r w:rsidR="00FE7B92">
        <w:rPr>
          <w:szCs w:val="32"/>
        </w:rPr>
        <w:t>official</w:t>
      </w:r>
      <w:r w:rsidR="00137F9F">
        <w:rPr>
          <w:szCs w:val="32"/>
        </w:rPr>
        <w:t xml:space="preserve"> landfill</w:t>
      </w:r>
      <w:r w:rsidR="00FE7B92">
        <w:rPr>
          <w:szCs w:val="32"/>
        </w:rPr>
        <w:t>s</w:t>
      </w:r>
      <w:r w:rsidR="00137F9F">
        <w:rPr>
          <w:szCs w:val="32"/>
        </w:rPr>
        <w:t>.  These regulations set by the</w:t>
      </w:r>
      <w:r w:rsidR="00515852">
        <w:rPr>
          <w:szCs w:val="32"/>
        </w:rPr>
        <w:t xml:space="preserve"> United States</w:t>
      </w:r>
      <w:r w:rsidR="00137F9F">
        <w:rPr>
          <w:szCs w:val="32"/>
        </w:rPr>
        <w:t xml:space="preserve"> Environmental Protection Agency (EPA) include installing a layer of impervious clay</w:t>
      </w:r>
      <w:r w:rsidR="00F13A79">
        <w:rPr>
          <w:szCs w:val="32"/>
        </w:rPr>
        <w:t>,</w:t>
      </w:r>
      <w:r w:rsidR="00137F9F">
        <w:rPr>
          <w:szCs w:val="32"/>
        </w:rPr>
        <w:t xml:space="preserve"> </w:t>
      </w:r>
      <w:r w:rsidR="00303626">
        <w:rPr>
          <w:szCs w:val="32"/>
        </w:rPr>
        <w:t>geomembranes</w:t>
      </w:r>
      <w:r w:rsidR="00F13A79">
        <w:rPr>
          <w:szCs w:val="32"/>
        </w:rPr>
        <w:t>, and other impervious barriers</w:t>
      </w:r>
      <w:r w:rsidR="00137F9F">
        <w:rPr>
          <w:szCs w:val="32"/>
        </w:rPr>
        <w:t xml:space="preserve"> into the future landfill site as well as leachate collection and treatment procedures at the source to prevent contamination </w:t>
      </w:r>
      <w:r w:rsidR="00137F9F">
        <w:rPr>
          <w:szCs w:val="32"/>
        </w:rPr>
        <w:fldChar w:fldCharType="begin" w:fldLock="1"/>
      </w:r>
      <w:r w:rsidR="00C5374E">
        <w:rPr>
          <w:szCs w:val="32"/>
        </w:rPr>
        <w:instrText>ADDIN CSL_CITATION {"citationItems":[{"id":"ITEM-1","itemData":{"author":[{"dropping-particle":"","family":"Agency","given":"Environmental Protection","non-dropping-particle":"","parse-names":false,"suffix":""}],"id":"ITEM-1","issue":"103","issued":{"date-parts":[["1987"]]},"number-of-pages":"20218-20311","title":"Liners and leak detection for hazardous waste land disposal units","type":"report","volume":"52"},"uris":["http://www.mendeley.com/documents/?uuid=d320aa21-34b6-4892-9e70-fcc9b2c22f67"]}],"mendeley":{"formattedCitation":"(Agency, 1987)","plainTextFormattedCitation":"(Agency, 1987)","previouslyFormattedCitation":"(Agency, 1987)"},"properties":{"noteIndex":0},"schema":"https://github.com/citation-style-language/schema/raw/master/csl-citation.json"}</w:instrText>
      </w:r>
      <w:r w:rsidR="00137F9F">
        <w:rPr>
          <w:szCs w:val="32"/>
        </w:rPr>
        <w:fldChar w:fldCharType="separate"/>
      </w:r>
      <w:r w:rsidR="00137F9F" w:rsidRPr="00137F9F">
        <w:rPr>
          <w:noProof/>
          <w:szCs w:val="32"/>
        </w:rPr>
        <w:t>(Agency, 1987)</w:t>
      </w:r>
      <w:r w:rsidR="00137F9F">
        <w:rPr>
          <w:szCs w:val="32"/>
        </w:rPr>
        <w:fldChar w:fldCharType="end"/>
      </w:r>
      <w:r w:rsidR="00137F9F">
        <w:rPr>
          <w:szCs w:val="32"/>
        </w:rPr>
        <w:t xml:space="preserve">.  However, </w:t>
      </w:r>
      <w:r w:rsidR="0044152E">
        <w:rPr>
          <w:szCs w:val="32"/>
        </w:rPr>
        <w:t>the</w:t>
      </w:r>
      <w:r w:rsidR="00137F9F">
        <w:rPr>
          <w:szCs w:val="32"/>
        </w:rPr>
        <w:t xml:space="preserve"> EPA recognizes that these </w:t>
      </w:r>
      <w:r w:rsidR="00F13A79">
        <w:rPr>
          <w:szCs w:val="32"/>
        </w:rPr>
        <w:t>barriers</w:t>
      </w:r>
      <w:r w:rsidR="00137F9F">
        <w:rPr>
          <w:szCs w:val="32"/>
        </w:rPr>
        <w:t xml:space="preserve"> can fail due to </w:t>
      </w:r>
      <w:r w:rsidR="00F13A79">
        <w:rPr>
          <w:szCs w:val="32"/>
        </w:rPr>
        <w:t xml:space="preserve">degradation over time or </w:t>
      </w:r>
      <w:r w:rsidR="00137F9F">
        <w:rPr>
          <w:szCs w:val="32"/>
        </w:rPr>
        <w:t>multiple errors in the installation process, causing leachate to escape into the surrounding environment sans treatment.</w:t>
      </w:r>
      <w:r w:rsidR="00F13A79">
        <w:rPr>
          <w:szCs w:val="32"/>
        </w:rPr>
        <w:t xml:space="preserve">  </w:t>
      </w:r>
    </w:p>
    <w:p w14:paraId="773E715C" w14:textId="5CE3BCBF" w:rsidR="00F13A79" w:rsidRDefault="0014497E" w:rsidP="00665523">
      <w:pPr>
        <w:ind w:firstLine="720"/>
        <w:jc w:val="both"/>
        <w:rPr>
          <w:szCs w:val="32"/>
        </w:rPr>
      </w:pPr>
      <w:r>
        <w:rPr>
          <w:szCs w:val="32"/>
        </w:rPr>
        <w:t>Common</w:t>
      </w:r>
      <w:r w:rsidR="00F13A79">
        <w:rPr>
          <w:szCs w:val="32"/>
        </w:rPr>
        <w:t xml:space="preserve"> listed failure</w:t>
      </w:r>
      <w:r>
        <w:rPr>
          <w:szCs w:val="32"/>
        </w:rPr>
        <w:t>s</w:t>
      </w:r>
      <w:r w:rsidR="00F13A79">
        <w:rPr>
          <w:szCs w:val="32"/>
        </w:rPr>
        <w:t xml:space="preserve"> of these barriers </w:t>
      </w:r>
      <w:r>
        <w:rPr>
          <w:szCs w:val="32"/>
        </w:rPr>
        <w:t>include defective or low quality material</w:t>
      </w:r>
      <w:r w:rsidR="005E0EF1">
        <w:rPr>
          <w:szCs w:val="32"/>
        </w:rPr>
        <w:t>;</w:t>
      </w:r>
      <w:r>
        <w:rPr>
          <w:szCs w:val="32"/>
        </w:rPr>
        <w:t xml:space="preserve"> root penetration</w:t>
      </w:r>
      <w:r w:rsidR="005E0EF1">
        <w:rPr>
          <w:szCs w:val="32"/>
        </w:rPr>
        <w:t>;</w:t>
      </w:r>
      <w:r>
        <w:rPr>
          <w:szCs w:val="32"/>
        </w:rPr>
        <w:t xml:space="preserve"> cracking due to shrinking</w:t>
      </w:r>
      <w:r w:rsidR="005E0EF1">
        <w:rPr>
          <w:szCs w:val="32"/>
        </w:rPr>
        <w:t>, swelling, and settlement;</w:t>
      </w:r>
      <w:r>
        <w:rPr>
          <w:szCs w:val="32"/>
        </w:rPr>
        <w:t xml:space="preserve"> and degradation of the material </w:t>
      </w:r>
      <w:r>
        <w:rPr>
          <w:szCs w:val="32"/>
        </w:rPr>
        <w:fldChar w:fldCharType="begin" w:fldLock="1"/>
      </w:r>
      <w:r w:rsidR="00303626">
        <w:rPr>
          <w:szCs w:val="32"/>
        </w:rPr>
        <w:instrText>ADDIN CSL_CITATION {"citationItems":[{"id":"ITEM-1","itemData":{"DOI":"10.17226/11930","ISBN":"0309108101","abstract":"President Carter's 1980 declaration of a state of emergency at Love Canal, New York, recognized that residents' health had been affected by nearby chemical waste sites. The Resource Conservation and Recovery Act, enacted in 1976, ushered in a new era of waste management disposal designed to protect the public from harm. It required that modern waste containment systems use \"engineered\" barriers designed to isolate hazardous and toxic wastes and prevent them from seeping into the environment. These containment systems are now employed at thousands of waste sites around the United States, and their effectiveness must be continually monitored. Assessment of the Performance of Engineered Waste Containment Barriers assesses the performance of waste containment barriers to date. Existing data suggest that waste containment systems with liners and covers, when constructed and maintained in accordance with current regulations, are performing well thus far. However, they have not been in existence long enough to assess long-term (postclosure) performance, which may extend for hundreds of years. The book makes recommendations on how to improve future assessments and increase confidence in predictions of barrier system performance which will be of interest to policy makers, environmental interest groups, industrial waste producers, and industrial waste management industry.","author":[{"dropping-particle":"","family":"Council","given":"National Research","non-dropping-particle":"","parse-names":false,"suffix":""}],"container-title":"The National Academies Press","id":"ITEM-1","issued":{"date-parts":[["2007"]]},"number-of-pages":"1-121","publisher":"The National Academies Press","publisher-place":"Washington, DC","title":"Assessment of the Performance of Engineered Waste Containment Barriers","type":"book"},"uris":["http://www.mendeley.com/documents/?uuid=fafca9fd-4c38-4788-adc8-6fdef83ae414"]},{"id":"ITEM-2","itemData":{"author":[{"dropping-particle":"","family":"Agency","given":"Environmental Protection","non-dropping-particle":"","parse-names":false,"suffix":""}],"id":"ITEM-2","issue":"103","issued":{"date-parts":[["1987"]]},"number-of-pages":"20218-20311","title":"Liners and leak detection for hazardous waste land disposal units","type":"report","volume":"52"},"uris":["http://www.mendeley.com/documents/?uuid=d320aa21-34b6-4892-9e70-fcc9b2c22f67"]}],"mendeley":{"formattedCitation":"(Agency, 1987; Council, 2007)","plainTextFormattedCitation":"(Agency, 1987; Council, 2007)","previouslyFormattedCitation":"(Agency, 1987; Council, 2007)"},"properties":{"noteIndex":0},"schema":"https://github.com/citation-style-language/schema/raw/master/csl-citation.json"}</w:instrText>
      </w:r>
      <w:r>
        <w:rPr>
          <w:szCs w:val="32"/>
        </w:rPr>
        <w:fldChar w:fldCharType="separate"/>
      </w:r>
      <w:r w:rsidRPr="0014497E">
        <w:rPr>
          <w:noProof/>
          <w:szCs w:val="32"/>
        </w:rPr>
        <w:t>(Agency, 1987; Council, 2007)</w:t>
      </w:r>
      <w:r>
        <w:rPr>
          <w:szCs w:val="32"/>
        </w:rPr>
        <w:fldChar w:fldCharType="end"/>
      </w:r>
      <w:r>
        <w:rPr>
          <w:szCs w:val="32"/>
        </w:rPr>
        <w:t>.  T</w:t>
      </w:r>
      <w:r w:rsidR="00303626">
        <w:rPr>
          <w:szCs w:val="32"/>
        </w:rPr>
        <w:t xml:space="preserve">he EPA requires multiple barriers stacked together to minimize the failure risk of the individual barriers.  Nonetheless, the agency concludes, “based on what is known about the pressures placed on liners over time, is that any liner will begin to leak eventually” </w:t>
      </w:r>
      <w:r w:rsidR="00303626">
        <w:rPr>
          <w:szCs w:val="32"/>
        </w:rPr>
        <w:fldChar w:fldCharType="begin" w:fldLock="1"/>
      </w:r>
      <w:r w:rsidR="007B1135">
        <w:rPr>
          <w:szCs w:val="32"/>
        </w:rPr>
        <w:instrText>ADDIN CSL_CITATION {"citationItems":[{"id":"ITEM-1","itemData":{"author":[{"dropping-particle":"","family":"Agency","given":"Environmental Protection","non-dropping-particle":"","parse-names":false,"suffix":""}],"id":"ITEM-1","issue":"143","issued":{"date-parts":[["1982"]]},"number-of-pages":"32284-32285","title":"Hazardous Waste Management System; Standards Applicable to Owners and Operators of Hazardous Waste Treatment, Storage and Disposal Facilities; and EPA Administered Permit Programs","type":"report","volume":"47"},"uris":["http://www.mendeley.com/documents/?uuid=34c30431-aa9f-4970-aa8d-3511ac3836b0"]}],"mendeley":{"formattedCitation":"(Agency, 1982)","plainTextFormattedCitation":"(Agency, 1982)","previouslyFormattedCitation":"(Agency, 1982)"},"properties":{"noteIndex":0},"schema":"https://github.com/citation-style-language/schema/raw/master/csl-citation.json"}</w:instrText>
      </w:r>
      <w:r w:rsidR="00303626">
        <w:rPr>
          <w:szCs w:val="32"/>
        </w:rPr>
        <w:fldChar w:fldCharType="separate"/>
      </w:r>
      <w:r w:rsidR="00303626" w:rsidRPr="00303626">
        <w:rPr>
          <w:noProof/>
          <w:szCs w:val="32"/>
        </w:rPr>
        <w:t>(Agency, 1982)</w:t>
      </w:r>
      <w:r w:rsidR="00303626">
        <w:rPr>
          <w:szCs w:val="32"/>
        </w:rPr>
        <w:fldChar w:fldCharType="end"/>
      </w:r>
      <w:r w:rsidR="00303626">
        <w:rPr>
          <w:szCs w:val="32"/>
        </w:rPr>
        <w:t xml:space="preserve">.  </w:t>
      </w:r>
      <w:r w:rsidR="005E0EF1">
        <w:rPr>
          <w:szCs w:val="32"/>
        </w:rPr>
        <w:t>The majority of the leachate produced in landfills occurs during its active life, when it is still being filled with waste, and directly after it is closed and capped with barriers to prevent water penetration.  Th</w:t>
      </w:r>
      <w:r w:rsidR="007B1135">
        <w:rPr>
          <w:szCs w:val="32"/>
        </w:rPr>
        <w:t>is leachate is monitored and treated to prevent contamination into the soil and water systems</w:t>
      </w:r>
      <w:r w:rsidR="00D43659">
        <w:rPr>
          <w:szCs w:val="32"/>
        </w:rPr>
        <w:t>,</w:t>
      </w:r>
      <w:r w:rsidR="007B1135">
        <w:rPr>
          <w:szCs w:val="32"/>
        </w:rPr>
        <w:t xml:space="preserve"> </w:t>
      </w:r>
      <w:r w:rsidR="00D43659">
        <w:rPr>
          <w:szCs w:val="32"/>
        </w:rPr>
        <w:t xml:space="preserve">however, elevated concentrations of hazardous metals due to the increase of electronic waste can cause issues in the treatment process, disallowing full removal of the metals before discharging the water into the environment </w:t>
      </w:r>
      <w:r w:rsidR="00D43659">
        <w:rPr>
          <w:szCs w:val="32"/>
        </w:rPr>
        <w:fldChar w:fldCharType="begin" w:fldLock="1"/>
      </w:r>
      <w:r w:rsidR="001103A4">
        <w:rPr>
          <w:szCs w:val="32"/>
        </w:rPr>
        <w:instrText>ADDIN CSL_CITATION {"citationItems":[{"id":"ITEM-1","itemData":{"DOI":"10.1021/es034155t","ISSN":"0013936X","PMID":"14594391","abstract":"The proper management of discarded electronic devices (E-waste) is an important issue for solid waste professionals because of the magnitude of the waste stream and because these devices often contain a variety of toxic metals (e.g., lead). While recycling of E-waste is developing, much of this waste stream is disposed in landfills. Leaching tests are frequently used to characterize the potential of a solid waste to leach when disposed in a landfill. In the United States, the Toxicity Characteristic Leaching Procedure (TCLP) is used to determine whether a solid waste is a hazardous waste by the toxicity characteristic. The TCLP is designed to simulate worse-case leaching in a landfill environment where the waste is co-disposed with municipal solid waste (MSW). While the TCLP is a required analysis from a regulatory perspective, the leachate concentrations measured may not accurately reflect the concentrations observed under typical landfill conditions. Another method that can be performed to assess the degree a pollutant might leach from a waste in a landfill is to use actual landfill leachate as the leaching solution. In this study, two lead-containing components found in electronic devices (printed wire boards from computers and cathode ray tubes from computers and televisions) were leached using the TCLP and leachates from 11 Florida landfills. California's Waste Extraction Test (WET) and the Synthetic Precipitation Leaching Procedure were also performed. The results indicated that the extractions using MSW landfill leachates resulted in lower lead concentrations than those by the TCLP. The pH of the leaching solution and the ability of the organic acids in the TCLP and WET to complex with the lead are factors that regulate the amount of lead leached.","author":[{"dropping-particle":"","family":"Jang","given":"Yong Chul","non-dropping-particle":"","parse-names":false,"suffix":""},{"dropping-particle":"","family":"Townsend","given":"Timothy G.","non-dropping-particle":"","parse-names":false,"suffix":""}],"container-title":"Environmental Science and Technology","id":"ITEM-1","issue":"20","issued":{"date-parts":[["2003"]]},"page":"4778-4784","title":"Leaching of lead from computer printed wire boards and cathode ray tubes by municipal solid waste landfill leachates","type":"article-journal","volume":"37"},"uris":["http://www.mendeley.com/documents/?uuid=0abd1ed2-5fa7-4676-b4a8-c69c3e130cad"]}],"mendeley":{"formattedCitation":"(Jang &amp; Townsend, 2003)","plainTextFormattedCitation":"(Jang &amp; Townsend, 2003)","previouslyFormattedCitation":"(Jang &amp; Townsend, 2003)"},"properties":{"noteIndex":0},"schema":"https://github.com/citation-style-language/schema/raw/master/csl-citation.json"}</w:instrText>
      </w:r>
      <w:r w:rsidR="00D43659">
        <w:rPr>
          <w:szCs w:val="32"/>
        </w:rPr>
        <w:fldChar w:fldCharType="separate"/>
      </w:r>
      <w:r w:rsidR="00D43659" w:rsidRPr="00D43659">
        <w:rPr>
          <w:noProof/>
          <w:szCs w:val="32"/>
        </w:rPr>
        <w:t>(Jang &amp; Townsend, 2003)</w:t>
      </w:r>
      <w:r w:rsidR="00D43659">
        <w:rPr>
          <w:szCs w:val="32"/>
        </w:rPr>
        <w:fldChar w:fldCharType="end"/>
      </w:r>
      <w:r w:rsidR="00D43659">
        <w:rPr>
          <w:szCs w:val="32"/>
        </w:rPr>
        <w:t xml:space="preserve">.  </w:t>
      </w:r>
    </w:p>
    <w:p w14:paraId="636D4716" w14:textId="357110DB" w:rsidR="00110CCF" w:rsidRDefault="00110CCF" w:rsidP="00665523">
      <w:pPr>
        <w:ind w:firstLine="720"/>
        <w:jc w:val="both"/>
        <w:rPr>
          <w:szCs w:val="32"/>
        </w:rPr>
      </w:pPr>
      <w:r>
        <w:rPr>
          <w:szCs w:val="32"/>
        </w:rPr>
        <w:t xml:space="preserve">Electronic waste in landfills leach heavy metals into the nearby water systems. The leachate that contains these contaminants comes from rainwater permeating the soil to solubilize the heavy </w:t>
      </w:r>
      <w:r>
        <w:rPr>
          <w:szCs w:val="32"/>
        </w:rPr>
        <w:lastRenderedPageBreak/>
        <w:t xml:space="preserve">metals in waste as well as surface runoff of exposed waste.  The pH of landfill leachate varies depending on the phase of biological stabilization, with literature showing a pH range of 3.5 to 8.5 </w:t>
      </w:r>
      <w:r>
        <w:rPr>
          <w:szCs w:val="32"/>
        </w:rPr>
        <w:fldChar w:fldCharType="begin" w:fldLock="1"/>
      </w:r>
      <w:r w:rsidR="00C5374E">
        <w:rPr>
          <w:szCs w:val="32"/>
        </w:rPr>
        <w:instrText>ADDIN CSL_CITATION {"citationItems":[{"id":"ITEM-1","itemData":{"author":[{"dropping-particle":"","family":"Perry","given":"Jon R.","non-dropping-particle":"","parse-names":false,"suffix":""},{"dropping-particle":"","family":"Dorian","given":"Gerry","non-dropping-particle":"","parse-names":false,"suffix":""}],"id":"ITEM-1","issued":{"date-parts":[["1987"]]},"title":"Characterization of MWC ashes and leachates from MSW landfills, monofills, and co-disposal sites","type":"report"},"uris":["http://www.mendeley.com/documents/?uuid=fcaeab1a-240c-4b8e-87c5-86b42a4e87be"]}],"mendeley":{"formattedCitation":"(Perry &amp; Dorian, 1987)","plainTextFormattedCitation":"(Perry &amp; Dorian, 1987)","previouslyFormattedCitation":"(Perry &amp; Dorian, 1987)"},"properties":{"noteIndex":0},"schema":"https://github.com/citation-style-language/schema/raw/master/csl-citation.json"}</w:instrText>
      </w:r>
      <w:r>
        <w:rPr>
          <w:szCs w:val="32"/>
        </w:rPr>
        <w:fldChar w:fldCharType="separate"/>
      </w:r>
      <w:r w:rsidR="00C5374E" w:rsidRPr="00C5374E">
        <w:rPr>
          <w:noProof/>
          <w:szCs w:val="32"/>
        </w:rPr>
        <w:t>(Perry &amp; Dorian, 1987)</w:t>
      </w:r>
      <w:r>
        <w:rPr>
          <w:szCs w:val="32"/>
        </w:rPr>
        <w:fldChar w:fldCharType="end"/>
      </w:r>
      <w:r>
        <w:rPr>
          <w:szCs w:val="32"/>
        </w:rPr>
        <w:t xml:space="preserve">.  New landfills undergo an acid formulation phase, more currently called anaerobic acid phase, which is the fermentation and hydrolysis of waste into volatile organic fatty acids.  This phase decreases the pH of the landfill and increases the heavy metal solubility in the leachate.  </w:t>
      </w:r>
      <w:r w:rsidR="00EB58E1">
        <w:rPr>
          <w:szCs w:val="32"/>
        </w:rPr>
        <w:t>Examples</w:t>
      </w:r>
      <w:r>
        <w:rPr>
          <w:szCs w:val="32"/>
        </w:rPr>
        <w:t xml:space="preserve"> from </w:t>
      </w:r>
      <w:r w:rsidR="00C5374E">
        <w:rPr>
          <w:szCs w:val="32"/>
        </w:rPr>
        <w:fldChar w:fldCharType="begin" w:fldLock="1"/>
      </w:r>
      <w:r w:rsidR="00B63DB3">
        <w:rPr>
          <w:szCs w:val="32"/>
        </w:rPr>
        <w:instrText>ADDIN CSL_CITATION {"citationItems":[{"id":"ITEM-1","itemData":{"author":[{"dropping-particle":"","family":"Perry","given":"Jon R.","non-dropping-particle":"","parse-names":false,"suffix":""},{"dropping-particle":"","family":"Dorian","given":"Gerry","non-dropping-particle":"","parse-names":false,"suffix":""}],"id":"ITEM-1","issued":{"date-parts":[["1987"]]},"title":"Characterization of MWC ashes and leachates from MSW landfills, monofills, and co-disposal sites","type":"report"},"uris":["http://www.mendeley.com/documents/?uuid=fcaeab1a-240c-4b8e-87c5-86b42a4e87be"]}],"mendeley":{"formattedCitation":"(Perry &amp; Dorian, 1987)","manualFormatting":"Perry &amp; Dorian (1987","plainTextFormattedCitation":"(Perry &amp; Dorian, 1987)","previouslyFormattedCitation":"(Perry &amp; Dorian, 1987)"},"properties":{"noteIndex":0},"schema":"https://github.com/citation-style-language/schema/raw/master/csl-citation.json"}</w:instrText>
      </w:r>
      <w:r w:rsidR="00C5374E">
        <w:rPr>
          <w:szCs w:val="32"/>
        </w:rPr>
        <w:fldChar w:fldCharType="separate"/>
      </w:r>
      <w:r w:rsidR="00C5374E" w:rsidRPr="00C5374E">
        <w:rPr>
          <w:noProof/>
          <w:szCs w:val="32"/>
        </w:rPr>
        <w:t xml:space="preserve">Perry &amp; Dorian </w:t>
      </w:r>
      <w:r w:rsidR="00B63DB3">
        <w:rPr>
          <w:noProof/>
          <w:szCs w:val="32"/>
        </w:rPr>
        <w:t>(</w:t>
      </w:r>
      <w:r w:rsidR="00C5374E" w:rsidRPr="00C5374E">
        <w:rPr>
          <w:noProof/>
          <w:szCs w:val="32"/>
        </w:rPr>
        <w:t>1987</w:t>
      </w:r>
      <w:r w:rsidR="00C5374E">
        <w:rPr>
          <w:szCs w:val="32"/>
        </w:rPr>
        <w:fldChar w:fldCharType="end"/>
      </w:r>
      <w:r w:rsidR="00B63DB3">
        <w:rPr>
          <w:szCs w:val="32"/>
        </w:rPr>
        <w:t>)</w:t>
      </w:r>
      <w:r w:rsidR="00C5374E">
        <w:rPr>
          <w:szCs w:val="32"/>
        </w:rPr>
        <w:t xml:space="preserve"> </w:t>
      </w:r>
      <w:r>
        <w:rPr>
          <w:szCs w:val="32"/>
        </w:rPr>
        <w:t xml:space="preserve">is manganese; the concentration of Mn is 0.6 mg/L in every phase except for the acid formulation phase.  During this phase, the concentration ranges from 0.6 to 41 mg/L; a drastic increase in Mn that is then integrated into the nearby water systems.  </w:t>
      </w:r>
    </w:p>
    <w:p w14:paraId="724CF420" w14:textId="77777777" w:rsidR="00110CCF" w:rsidRDefault="00110CCF" w:rsidP="00665523">
      <w:pPr>
        <w:ind w:firstLine="720"/>
        <w:jc w:val="both"/>
        <w:rPr>
          <w:szCs w:val="32"/>
        </w:rPr>
      </w:pPr>
      <w:r>
        <w:rPr>
          <w:szCs w:val="32"/>
        </w:rPr>
        <w:t xml:space="preserve">Although recycling is the ideal method of disposing LIB, recycling centers contribute to heavy metal contamination as well.  Electronic waste recycling centers distribute heavy metals via flue gas into the air and via ash into the soil and water. </w:t>
      </w:r>
      <w:r>
        <w:rPr>
          <w:szCs w:val="32"/>
        </w:rPr>
        <w:fldChar w:fldCharType="begin" w:fldLock="1"/>
      </w:r>
      <w:r>
        <w:rPr>
          <w:szCs w:val="32"/>
        </w:rPr>
        <w:instrText>ADDIN CSL_CITATION {"citationItems":[{"id":"ITEM-1","itemData":{"DOI":"10.1016/j.tox.2017.05.015","ISSN":"0300-483X","author":[{"dropping-particle":"","family":"Leyssens","given":"Laura","non-dropping-particle":"","parse-names":false,"suffix":""},{"dropping-particle":"","family":"Vinck","given":"Bart","non-dropping-particle":"","parse-names":false,"suffix":""},{"dropping-particle":"Van Der","family":"Straeten","given":"Catherine","non-dropping-particle":"","parse-names":false,"suffix":""},{"dropping-particle":"","family":"Wuyts","given":"Floris","non-dropping-particle":"","parse-names":false,"suffix":""},{"dropping-particle":"","family":"Maes","given":"Leen","non-dropping-particle":"","parse-names":false,"suffix":""}],"container-title":"Toxicology","id":"ITEM-1","issue":"May","issued":{"date-parts":[["2017"]]},"page":"43-56","publisher":"Elsevier","title":"Cobalt toxicity in humans — A review of the potential sources and systemic health e ff ects","type":"article-journal","volume":"387"},"uris":["http://www.mendeley.com/documents/?uuid=39a96986-73cd-4421-96d1-5b43d89fec0c"]}],"mendeley":{"formattedCitation":"(Leyssens et al., 2017)","plainTextFormattedCitation":"(Leyssens et al., 2017)","previouslyFormattedCitation":"(Leyssens et al., 2017)"},"properties":{"noteIndex":0},"schema":"https://github.com/citation-style-language/schema/raw/master/csl-citation.json"}</w:instrText>
      </w:r>
      <w:r>
        <w:rPr>
          <w:szCs w:val="32"/>
        </w:rPr>
        <w:fldChar w:fldCharType="separate"/>
      </w:r>
      <w:r w:rsidRPr="00360ABD">
        <w:rPr>
          <w:noProof/>
          <w:szCs w:val="32"/>
        </w:rPr>
        <w:t>(Leyssens et al., 2017)</w:t>
      </w:r>
      <w:r>
        <w:rPr>
          <w:szCs w:val="32"/>
        </w:rPr>
        <w:fldChar w:fldCharType="end"/>
      </w:r>
      <w:r>
        <w:rPr>
          <w:szCs w:val="32"/>
        </w:rPr>
        <w:t xml:space="preserve">.  The air, soil, and water spread the heavy metals into the environment, polluting the water systems and agriculture for food.  Lead-acid battery recycling centers and general electronic waste recycling centers around the world have been studied for their contamination impact on the nearby communities </w:t>
      </w:r>
      <w:r>
        <w:rPr>
          <w:szCs w:val="32"/>
        </w:rPr>
        <w:fldChar w:fldCharType="begin" w:fldLock="1"/>
      </w:r>
      <w:r>
        <w:rPr>
          <w:szCs w:val="32"/>
        </w:rPr>
        <w:instrText>ADDIN CSL_CITATION {"citationItems":[{"id":"ITEM-1","itemData":{"DOI":"10.1007/s10163-016-0527-7","ISSN":"16118227","abstract":"Used lead–acid battery (ULAB) recycling has caused numerous health and environmental issues in developing countries. Surface soil pollution from ULAB recycling activities has been linked with elevated levels of lead in human blood. We measured surface soil lead in and surrounding the ULAB recycling village of Hung Yen in northern Vietnam in 2011, 2013, and 2014. The data were analyzed statistically and discussed with respect to distance from the contamination source, year of measurement, contamination pathway, and countermeasures against the contamination. Transportation routes from the smelter or collection site displayed the greatest concentration of surface soil lead (median 6400–10,000 mg/kg). Surface soil lead decreased significantly with distance along the road from the ULAB recycling site, although such a decrease was not observed for rice fields, agricultural roads, or garden soil. Re-suspension and adherence by traffic were identified as key pollution pathways. Distance from the source, covering of the surface of roads, construction of walls, and position relative to the source were shown to be the most effective factors in the reduction of surface soil lead pollution. Application of a combination of these measures should result in improvement in the health of residents.","author":[{"dropping-particle":"","family":"Fujimori","given":"Takashi","non-dropping-particle":"","parse-names":false,"suffix":""},{"dropping-particle":"","family":"Eguchi","given":"Akifumi","non-dropping-particle":"","parse-names":false,"suffix":""},{"dropping-particle":"","family":"Agusa","given":"Tetsuro","non-dropping-particle":"","parse-names":false,"suffix":""},{"dropping-particle":"","family":"Tue","given":"Nguyen Minh","non-dropping-particle":"","parse-names":false,"suffix":""},{"dropping-particle":"","family":"Suzuki","given":"Go","non-dropping-particle":"","parse-names":false,"suffix":""},{"dropping-particle":"","family":"Takahashi","given":"Shin","non-dropping-particle":"","parse-names":false,"suffix":""},{"dropping-particle":"","family":"Viet","given":"Pham Hung","non-dropping-particle":"","parse-names":false,"suffix":""},{"dropping-particle":"","family":"Tanabe","given":"Shinsuke","non-dropping-particle":"","parse-names":false,"suffix":""},{"dropping-particle":"","family":"Takigami","given":"Hidetaka","non-dropping-particle":"","parse-names":false,"suffix":""}],"container-title":"Journal of Material Cycles and Waste Management","id":"ITEM-1","issue":"4","issued":{"date-parts":[["2016","9","1"]]},"page":"599-607","publisher":"Springer-Verlag Tokyo","title":"Lead contamination in surface soil on roads from used lead–acid battery recycling in Dong Mai, Northern Vietnam","type":"article-journal","volume":"18"},"uris":["http://www.mendeley.com/documents/?uuid=8d8761b9-843b-3251-b082-87a92426f980"]}],"mendeley":{"formattedCitation":"(Fujimori et al., 2016)","manualFormatting":"(Fujimori et al., 2016","plainTextFormattedCitation":"(Fujimori et al., 2016)","previouslyFormattedCitation":"(Fujimori et al., 2016)"},"properties":{"noteIndex":0},"schema":"https://github.com/citation-style-language/schema/raw/master/csl-citation.json"}</w:instrText>
      </w:r>
      <w:r>
        <w:rPr>
          <w:szCs w:val="32"/>
        </w:rPr>
        <w:fldChar w:fldCharType="separate"/>
      </w:r>
      <w:r w:rsidRPr="0012652F">
        <w:rPr>
          <w:noProof/>
          <w:szCs w:val="32"/>
        </w:rPr>
        <w:t>(Fujimori et al., 2016</w:t>
      </w:r>
      <w:r>
        <w:rPr>
          <w:szCs w:val="32"/>
        </w:rPr>
        <w:fldChar w:fldCharType="end"/>
      </w:r>
      <w:r>
        <w:rPr>
          <w:szCs w:val="32"/>
        </w:rPr>
        <w:t xml:space="preserve">; </w:t>
      </w:r>
      <w:r>
        <w:rPr>
          <w:szCs w:val="32"/>
        </w:rPr>
        <w:fldChar w:fldCharType="begin" w:fldLock="1"/>
      </w:r>
      <w:r>
        <w:rPr>
          <w:szCs w:val="32"/>
        </w:rPr>
        <w:instrText>ADDIN CSL_CITATION {"citationItems":[{"id":"ITEM-1","itemData":{"DOI":"10.1002/gch2.201700090","ISSN":"2056-6646","abstract":"Land pollution is a threat to sustainable agricultural development and food security in developing countries. Consumption of farm products from contaminated areas can generate health hazards to the diverse consumers along the food chain through the different pollutants in the products. This study is designed to determine the accumulation of Pb, Cd, and Fe in topsoil, surface water, and maize leaf, stem, grains, and root, cultivated in a garden nearby Ori-Ile battery waste dumpsite, Omilende Area, Olodo, Nigeria. Soil samples, garden maize parts, and surface water samples are collected from the study area using standard procedures. Corresponding reference samples are collected from Moor Plantation, Ibadan. All collected samples are analysed for Pb, Cd, and Fe concentrations. Mean Pb, Cd, and Fe concentrations in topsoil are found to be significantly higher than 157.0 +/- 39.8, 2.2 +/- 1.2, and 976.3 +/- 353.9 mg kg(-1), respectively, which are obtained from reference soil and National Environmental Standards and Regulations Enforcement Agency limits (Pb: 164 mg kg(-1) and Cd: 50 mg kg(-1)). The soil contamination factor values obtained are greater than 6, indicating severe pollution. Downstream has the highest Pb, Cd, and Fe concentrations. In maize parts, the root has the highest concentration of Pb (40.95 +/- 1.98 mg L-1) and Cd (2.84 +/- 0.19 mg L-1), which are significantly higher (p 0.05) than those from the reference site. A high concentration of heavy metals found in topsoil further bio-accumulates in maize parts. Consequently, this garden maize is unfit for consumption.","author":[{"dropping-particle":"","family":"Afolayan","given":"Adedotun Onoyinka","non-dropping-particle":"","parse-names":false,"suffix":""}],"container-title":"Global Challenges","id":"ITEM-1","issue":"3","issued":{"date-parts":[["2018","3"]]},"page":"1700090","publisher":"Wiley","title":"Accumulation of Heavy Metals from Battery Waste in Topsoil, Surface Water, and Garden Grown Maize at Omilende Area, Olodo, Nigeria","type":"article-journal","volume":"2"},"uris":["http://www.mendeley.com/documents/?uuid=515923eb-b2e3-3876-ade1-2612167042fd"]}],"mendeley":{"formattedCitation":"(Afolayan, 2018)","manualFormatting":"Afolayan, 2018","plainTextFormattedCitation":"(Afolayan, 2018)","previouslyFormattedCitation":"(Afolayan, 2018)"},"properties":{"noteIndex":0},"schema":"https://github.com/citation-style-language/schema/raw/master/csl-citation.json"}</w:instrText>
      </w:r>
      <w:r>
        <w:rPr>
          <w:szCs w:val="32"/>
        </w:rPr>
        <w:fldChar w:fldCharType="separate"/>
      </w:r>
      <w:r w:rsidRPr="0012652F">
        <w:rPr>
          <w:noProof/>
          <w:szCs w:val="32"/>
        </w:rPr>
        <w:t>Afolayan, 2018</w:t>
      </w:r>
      <w:r>
        <w:rPr>
          <w:szCs w:val="32"/>
        </w:rPr>
        <w:fldChar w:fldCharType="end"/>
      </w:r>
      <w:r>
        <w:rPr>
          <w:szCs w:val="32"/>
        </w:rPr>
        <w:t xml:space="preserve">; </w:t>
      </w:r>
      <w:r>
        <w:rPr>
          <w:szCs w:val="32"/>
        </w:rPr>
        <w:fldChar w:fldCharType="begin" w:fldLock="1"/>
      </w:r>
      <w:r>
        <w:rPr>
          <w:szCs w:val="32"/>
        </w:rPr>
        <w:instrText>ADDIN CSL_CITATION {"citationItems":[{"id":"ITEM-1","itemData":{"DOI":"10.1177/0734242X10397580","ISSN":"0734242X","abstract":"The dismantling and disposal of electronic waste (e-waste) in developing countries is causing increasing concern because of its impacts on the environment and risks to human health. Heavy-metal concentrations in the surface soils of Guiyu (Guangdong Province, China) were monitored to determine the status of heavy-metal contamination on e-waste dismantling area with a more than 20 years history. Two metalloids and nine metals were selected for investigation. This paper also attempts to compare the data among a variety of e-waste dismantling areas, after reviewing a number of heavy-metal contamination-related studies in such areas in China over the past decade. In addition, source apportionment of heavy metal in the surface soil of these areas has been analysed. Both the MSW open-burning sites probably contained invaluable e-waste and abandoned sites formerly involved in informal recycling activities are the new sources of soil-based environmental pollution in Guiyu. Although printed circuit board waste is thought to be the main source of heavy-metal emissions during e-waste processing, requirement is necessary to soundly manage the plastic separated from e-waste, which mostly contains heavy metals and other toxic substances. © The Author(s) 2011.","author":[{"dropping-particle":"","family":"Li","given":"Jinhui","non-dropping-particle":"","parse-names":false,"suffix":""},{"dropping-particle":"","family":"Duan","given":"Huabo","non-dropping-particle":"","parse-names":false,"suffix":""},{"dropping-particle":"","family":"Shi","given":"Pixing","non-dropping-particle":"","parse-names":false,"suffix":""}],"container-title":"Waste Management and Research","id":"ITEM-1","issue":"7","issued":{"date-parts":[["2011"]]},"page":"727-738","title":"Heavy metal contamination of surface soil in electronic waste dismantling area: Site investigation and source-apportionment analysis","type":"article-journal","volume":"29"},"uris":["http://www.mendeley.com/documents/?uuid=508dc25d-4d89-449d-ab25-647989e6864d"]}],"mendeley":{"formattedCitation":"(J. Li et al., 2011)","manualFormatting":"J. Li et al., 2011)","plainTextFormattedCitation":"(J. Li et al., 2011)","previouslyFormattedCitation":"(J. Li et al., 2011)"},"properties":{"noteIndex":0},"schema":"https://github.com/citation-style-language/schema/raw/master/csl-citation.json"}</w:instrText>
      </w:r>
      <w:r>
        <w:rPr>
          <w:szCs w:val="32"/>
        </w:rPr>
        <w:fldChar w:fldCharType="separate"/>
      </w:r>
      <w:r w:rsidRPr="0012652F">
        <w:rPr>
          <w:noProof/>
          <w:szCs w:val="32"/>
        </w:rPr>
        <w:t>J. Li et al., 2011)</w:t>
      </w:r>
      <w:r>
        <w:rPr>
          <w:szCs w:val="32"/>
        </w:rPr>
        <w:fldChar w:fldCharType="end"/>
      </w:r>
      <w:r>
        <w:rPr>
          <w:szCs w:val="32"/>
        </w:rPr>
        <w:t xml:space="preserve">.  </w:t>
      </w:r>
    </w:p>
    <w:p w14:paraId="0D3E675D" w14:textId="77777777" w:rsidR="00110CCF" w:rsidRDefault="00110CCF" w:rsidP="00665523">
      <w:pPr>
        <w:ind w:firstLine="720"/>
        <w:jc w:val="both"/>
      </w:pPr>
      <w:r>
        <w:t xml:space="preserve">One area that has been studied is the town of Guiyu, </w:t>
      </w:r>
      <w:r w:rsidRPr="00090F43">
        <w:t>China</w:t>
      </w:r>
      <w:r>
        <w:t xml:space="preserve">, one of the larger electronic and battery recycling centers in China </w:t>
      </w:r>
      <w:r>
        <w:fldChar w:fldCharType="begin" w:fldLock="1"/>
      </w:r>
      <w:r>
        <w:instrText>ADDIN CSL_CITATION {"citationItems":[{"id":"ITEM-1","itemData":{"DOI":"10.1177/0734242X10397580","ISSN":"0734242X","abstract":"The dismantling and disposal of electronic waste (e-waste) in developing countries is causing increasing concern because of its impacts on the environment and risks to human health. Heavy-metal concentrations in the surface soils of Guiyu (Guangdong Province, China) were monitored to determine the status of heavy-metal contamination on e-waste dismantling area with a more than 20 years history. Two metalloids and nine metals were selected for investigation. This paper also attempts to compare the data among a variety of e-waste dismantling areas, after reviewing a number of heavy-metal contamination-related studies in such areas in China over the past decade. In addition, source apportionment of heavy metal in the surface soil of these areas has been analysed. Both the MSW open-burning sites probably contained invaluable e-waste and abandoned sites formerly involved in informal recycling activities are the new sources of soil-based environmental pollution in Guiyu. Although printed circuit board waste is thought to be the main source of heavy-metal emissions during e-waste processing, requirement is necessary to soundly manage the plastic separated from e-waste, which mostly contains heavy metals and other toxic substances. © The Author(s) 2011.","author":[{"dropping-particle":"","family":"Li","given":"Jinhui","non-dropping-particle":"","parse-names":false,"suffix":""},{"dropping-particle":"","family":"Duan","given":"Huabo","non-dropping-particle":"","parse-names":false,"suffix":""},{"dropping-particle":"","family":"Shi","given":"Pixing","non-dropping-particle":"","parse-names":false,"suffix":""}],"container-title":"Waste Management and Research","id":"ITEM-1","issue":"7","issued":{"date-parts":[["2011"]]},"page":"727-738","title":"Heavy metal contamination of surface soil in electronic waste dismantling area: Site investigation and source-apportionment analysis","type":"article-journal","volume":"29"},"uris":["http://www.mendeley.com/documents/?uuid=508dc25d-4d89-449d-ab25-647989e6864d"]}],"mendeley":{"formattedCitation":"(J. Li et al., 2011)","plainTextFormattedCitation":"(J. Li et al., 2011)","previouslyFormattedCitation":"(J. Li et al., 2011)"},"properties":{"noteIndex":0},"schema":"https://github.com/citation-style-language/schema/raw/master/csl-citation.json"}</w:instrText>
      </w:r>
      <w:r>
        <w:fldChar w:fldCharType="separate"/>
      </w:r>
      <w:r w:rsidRPr="003A3987">
        <w:rPr>
          <w:noProof/>
        </w:rPr>
        <w:t>(J. Li et al., 2011)</w:t>
      </w:r>
      <w:r>
        <w:fldChar w:fldCharType="end"/>
      </w:r>
      <w:r>
        <w:t>.</w:t>
      </w:r>
      <w:r w:rsidRPr="00090F43">
        <w:t xml:space="preserve">  This town is in a rice growing region with a population of 150,000 and receive</w:t>
      </w:r>
      <w:r>
        <w:t>d</w:t>
      </w:r>
      <w:r w:rsidRPr="00090F43">
        <w:t xml:space="preserve"> approximately 15,000 metric tons of waste every day</w:t>
      </w:r>
      <w:r>
        <w:t xml:space="preserve"> at the time of the study</w:t>
      </w:r>
      <w:r w:rsidRPr="00090F43">
        <w:t xml:space="preserve">.  The air, water, and soil </w:t>
      </w:r>
      <w:r>
        <w:t>we</w:t>
      </w:r>
      <w:r w:rsidRPr="00090F43">
        <w:t xml:space="preserve">re contaminated with heavy metals, </w:t>
      </w:r>
      <w:r>
        <w:t>which presents</w:t>
      </w:r>
      <w:r w:rsidRPr="00090F43">
        <w:t xml:space="preserve"> risks to human and environmental health.  </w:t>
      </w:r>
      <w:r>
        <w:t xml:space="preserve">J. </w:t>
      </w:r>
      <w:r>
        <w:fldChar w:fldCharType="begin" w:fldLock="1"/>
      </w:r>
      <w:r>
        <w:instrText>ADDIN CSL_CITATION {"citationItems":[{"id":"ITEM-1","itemData":{"DOI":"10.1177/0734242X10397580","ISSN":"0734242X","abstract":"The dismantling and disposal of electronic waste (e-waste) in developing countries is causing increasing concern because of its impacts on the environment and risks to human health. Heavy-metal concentrations in the surface soils of Guiyu (Guangdong Province, China) were monitored to determine the status of heavy-metal contamination on e-waste dismantling area with a more than 20 years history. Two metalloids and nine metals were selected for investigation. This paper also attempts to compare the data among a variety of e-waste dismantling areas, after reviewing a number of heavy-metal contamination-related studies in such areas in China over the past decade. In addition, source apportionment of heavy metal in the surface soil of these areas has been analysed. Both the MSW open-burning sites probably contained invaluable e-waste and abandoned sites formerly involved in informal recycling activities are the new sources of soil-based environmental pollution in Guiyu. Although printed circuit board waste is thought to be the main source of heavy-metal emissions during e-waste processing, requirement is necessary to soundly manage the plastic separated from e-waste, which mostly contains heavy metals and other toxic substances. © The Author(s) 2011.","author":[{"dropping-particle":"","family":"Li","given":"Jinhui","non-dropping-particle":"","parse-names":false,"suffix":""},{"dropping-particle":"","family":"Duan","given":"Huabo","non-dropping-particle":"","parse-names":false,"suffix":""},{"dropping-particle":"","family":"Shi","given":"Pixing","non-dropping-particle":"","parse-names":false,"suffix":""}],"container-title":"Waste Management and Research","id":"ITEM-1","issue":"7","issued":{"date-parts":[["2011"]]},"page":"727-738","title":"Heavy metal contamination of surface soil in electronic waste dismantling area: Site investigation and source-apportionment analysis","type":"article-journal","volume":"29"},"uris":["http://www.mendeley.com/documents/?uuid=508dc25d-4d89-449d-ab25-647989e6864d"]}],"mendeley":{"formattedCitation":"(J. Li et al., 2011)","manualFormatting":"Li et al., (2011","plainTextFormattedCitation":"(J. Li et al., 2011)","previouslyFormattedCitation":"(J. Li et al., 2011)"},"properties":{"noteIndex":0},"schema":"https://github.com/citation-style-language/schema/raw/master/csl-citation.json"}</w:instrText>
      </w:r>
      <w:r>
        <w:fldChar w:fldCharType="separate"/>
      </w:r>
      <w:r w:rsidRPr="0024586D">
        <w:rPr>
          <w:noProof/>
        </w:rPr>
        <w:t xml:space="preserve">Li et al., </w:t>
      </w:r>
      <w:r>
        <w:rPr>
          <w:noProof/>
        </w:rPr>
        <w:t>(</w:t>
      </w:r>
      <w:r w:rsidRPr="0024586D">
        <w:rPr>
          <w:noProof/>
        </w:rPr>
        <w:t>2011</w:t>
      </w:r>
      <w:r>
        <w:fldChar w:fldCharType="end"/>
      </w:r>
      <w:r>
        <w:t>) ex</w:t>
      </w:r>
      <w:r w:rsidRPr="00090F43">
        <w:t>amined</w:t>
      </w:r>
      <w:r>
        <w:t xml:space="preserve"> soil and water around</w:t>
      </w:r>
      <w:r w:rsidRPr="00090F43">
        <w:t xml:space="preserve"> </w:t>
      </w:r>
      <w:r>
        <w:t xml:space="preserve">both current and abandoned recycling sites, then compared the results to previous measurements.  The authors determined that many areas had one or more heavy metals well above China’s </w:t>
      </w:r>
      <w:r>
        <w:lastRenderedPageBreak/>
        <w:t xml:space="preserve">Environmental Quality Standards for Soils Grades I through III guide value.  Grade I is the upper limit of the soil background level; this grade is used to screen potential drinking water and animal rangeland sites.  Grade II is the maximum value of contamination for the purpose of agriculture.  Grade III is land that should be rehabilitated due to the high concentrations of heavy metal contamination </w:t>
      </w:r>
      <w:r>
        <w:fldChar w:fldCharType="begin" w:fldLock="1"/>
      </w:r>
      <w:r>
        <w:instrText>ADDIN CSL_CITATION {"citationItems":[{"id":"ITEM-1","itemData":{"DOI":"10.1177/0734242X10397580","ISSN":"0734242X","abstract":"The dismantling and disposal of electronic waste (e-waste) in developing countries is causing increasing concern because of its impacts on the environment and risks to human health. Heavy-metal concentrations in the surface soils of Guiyu (Guangdong Province, China) were monitored to determine the status of heavy-metal contamination on e-waste dismantling area with a more than 20 years history. Two metalloids and nine metals were selected for investigation. This paper also attempts to compare the data among a variety of e-waste dismantling areas, after reviewing a number of heavy-metal contamination-related studies in such areas in China over the past decade. In addition, source apportionment of heavy metal in the surface soil of these areas has been analysed. Both the MSW open-burning sites probably contained invaluable e-waste and abandoned sites formerly involved in informal recycling activities are the new sources of soil-based environmental pollution in Guiyu. Although printed circuit board waste is thought to be the main source of heavy-metal emissions during e-waste processing, requirement is necessary to soundly manage the plastic separated from e-waste, which mostly contains heavy metals and other toxic substances. © The Author(s) 2011.","author":[{"dropping-particle":"","family":"Li","given":"Jinhui","non-dropping-particle":"","parse-names":false,"suffix":""},{"dropping-particle":"","family":"Duan","given":"Huabo","non-dropping-particle":"","parse-names":false,"suffix":""},{"dropping-particle":"","family":"Shi","given":"Pixing","non-dropping-particle":"","parse-names":false,"suffix":""}],"container-title":"Waste Management and Research","id":"ITEM-1","issue":"7","issued":{"date-parts":[["2011"]]},"page":"727-738","title":"Heavy metal contamination of surface soil in electronic waste dismantling area: Site investigation and source-apportionment analysis","type":"article-journal","volume":"29"},"uris":["http://www.mendeley.com/documents/?uuid=508dc25d-4d89-449d-ab25-647989e6864d"]}],"mendeley":{"formattedCitation":"(J. Li et al., 2011)","plainTextFormattedCitation":"(J. Li et al., 2011)","previouslyFormattedCitation":"(J. Li et al., 2011)"},"properties":{"noteIndex":0},"schema":"https://github.com/citation-style-language/schema/raw/master/csl-citation.json"}</w:instrText>
      </w:r>
      <w:r>
        <w:fldChar w:fldCharType="separate"/>
      </w:r>
      <w:r w:rsidRPr="006B2A76">
        <w:rPr>
          <w:noProof/>
        </w:rPr>
        <w:t>(J. Li et al., 2011)</w:t>
      </w:r>
      <w:r>
        <w:fldChar w:fldCharType="end"/>
      </w:r>
      <w:r>
        <w:t>.  One example is the copper measurements, the Grade I and III levels are 90 and 300 mg/kg, respectively.  Out of the nine soil samples collected, seven were higher than Grade I, with one sample at 12,700 mg/kg.  These high levels of heavy metals in the soil will be transferred and accumulated into the agriculture on which humans depend.</w:t>
      </w:r>
    </w:p>
    <w:p w14:paraId="2E101874" w14:textId="19E28878" w:rsidR="00110CCF" w:rsidRDefault="00110CCF" w:rsidP="00665523">
      <w:pPr>
        <w:ind w:firstLine="720"/>
        <w:jc w:val="both"/>
      </w:pPr>
      <w:r>
        <w:t xml:space="preserve">A second location that has been studied is Olodo, Nigeria, which has a battery waste dumpsite with agriculture in the surrounding area.  </w:t>
      </w:r>
      <w:r>
        <w:fldChar w:fldCharType="begin" w:fldLock="1"/>
      </w:r>
      <w:r w:rsidR="006B776E">
        <w:instrText>ADDIN CSL_CITATION {"citationItems":[{"id":"ITEM-1","itemData":{"DOI":"10.1002/gch2.201700090","ISSN":"2056-6646","abstract":"Land pollution is a threat to sustainable agricultural development and food security in developing countries. Consumption of farm products from contaminated areas can generate health hazards to the diverse consumers along the food chain through the different pollutants in the products. This study is designed to determine the accumulation of Pb, Cd, and Fe in topsoil, surface water, and maize leaf, stem, grains, and root, cultivated in a garden nearby Ori-Ile battery waste dumpsite, Omilende Area, Olodo, Nigeria. Soil samples, garden maize parts, and surface water samples are collected from the study area using standard procedures. Corresponding reference samples are collected from Moor Plantation, Ibadan. All collected samples are analysed for Pb, Cd, and Fe concentrations. Mean Pb, Cd, and Fe concentrations in topsoil are found to be significantly higher than 157.0 +/- 39.8, 2.2 +/- 1.2, and 976.3 +/- 353.9 mg kg(-1), respectively, which are obtained from reference soil and National Environmental Standards and Regulations Enforcement Agency limits (Pb: 164 mg kg(-1) and Cd: 50 mg kg(-1)). The soil contamination factor values obtained are greater than 6, indicating severe pollution. Downstream has the highest Pb, Cd, and Fe concentrations. In maize parts, the root has the highest concentration of Pb (40.95 +/- 1.98 mg L-1) and Cd (2.84 +/- 0.19 mg L-1), which are significantly higher (p 0.05) than those from the reference site. A high concentration of heavy metals found in topsoil further bio-accumulates in maize parts. Consequently, this garden maize is unfit for consumption.","author":[{"dropping-particle":"","family":"Afolayan","given":"Adedotun Onoyinka","non-dropping-particle":"","parse-names":false,"suffix":""}],"container-title":"Global Challenges","id":"ITEM-1","issue":"3","issued":{"date-parts":[["2018","3"]]},"page":"1700090","publisher":"Wiley","title":"Accumulation of Heavy Metals from Battery Waste in Topsoil, Surface Water, and Garden Grown Maize at Omilende Area, Olodo, Nigeria","type":"article-journal","volume":"2"},"uris":["http://www.mendeley.com/documents/?uuid=515923eb-b2e3-3876-ade1-2612167042fd"]}],"mendeley":{"formattedCitation":"(Afolayan, 2018)","manualFormatting":"Afolayan (2018","plainTextFormattedCitation":"(Afolayan, 2018)","previouslyFormattedCitation":"(Afolayan, 2018)"},"properties":{"noteIndex":0},"schema":"https://github.com/citation-style-language/schema/raw/master/csl-citation.json"}</w:instrText>
      </w:r>
      <w:r>
        <w:fldChar w:fldCharType="separate"/>
      </w:r>
      <w:r w:rsidRPr="00176DE6">
        <w:rPr>
          <w:noProof/>
        </w:rPr>
        <w:t xml:space="preserve">Afolayan </w:t>
      </w:r>
      <w:r>
        <w:rPr>
          <w:noProof/>
        </w:rPr>
        <w:t>(</w:t>
      </w:r>
      <w:r w:rsidRPr="00176DE6">
        <w:rPr>
          <w:noProof/>
        </w:rPr>
        <w:t>2018</w:t>
      </w:r>
      <w:r>
        <w:fldChar w:fldCharType="end"/>
      </w:r>
      <w:r>
        <w:t>) analyzed the lead, cadmium, and iron concentrations in topsoil, surface water, and maize plants located near this dumpsite.  The National Environmental Standards and Regulations Enforcement Agency (NESREA) for Nigeria has set limits for soil and water to be considered safe.  For soil, the limits for lead and cadmium are 164 and 50 mg/kg, respectively, with no limit for iron.  At all locations, sampled, the lead concentrations were at least 20 times the limit and the cadmium concentrations were at least 3.28 times the limit.  In addition to the soil analysis, the stream running near the dumpsite was analyzed</w:t>
      </w:r>
      <w:r w:rsidR="00A757D0">
        <w:t>, 188 m u</w:t>
      </w:r>
      <w:r>
        <w:t xml:space="preserve">pstream and </w:t>
      </w:r>
      <w:r w:rsidR="00A757D0">
        <w:t xml:space="preserve">140 m </w:t>
      </w:r>
      <w:r>
        <w:t>downstream</w:t>
      </w:r>
      <w:r w:rsidR="00A757D0">
        <w:t xml:space="preserve"> from the dumpsite</w:t>
      </w:r>
      <w:r>
        <w:t xml:space="preserve">.  Unsurprisingly, the downstream water had </w:t>
      </w:r>
      <w:proofErr w:type="gramStart"/>
      <w:r>
        <w:t>lead</w:t>
      </w:r>
      <w:proofErr w:type="gramEnd"/>
      <w:r>
        <w:t>, cadmium, and iron concentrations much higher than the upstream</w:t>
      </w:r>
      <w:r w:rsidR="002565A2">
        <w:t xml:space="preserve"> location, with </w:t>
      </w:r>
      <w:r w:rsidR="00A757D0">
        <w:t>maximum downstream measurements of 2.15 mg/L, 0.17 mg/L, and 12.90</w:t>
      </w:r>
      <w:r w:rsidR="002565A2">
        <w:t xml:space="preserve"> </w:t>
      </w:r>
      <w:r w:rsidR="00A757D0">
        <w:t>mg/L, respectively, and upstream measurements of</w:t>
      </w:r>
      <w:r w:rsidR="009F6C61">
        <w:t xml:space="preserve"> 0.55 mg/L for</w:t>
      </w:r>
      <w:r w:rsidR="00A757D0">
        <w:t xml:space="preserve"> </w:t>
      </w:r>
      <w:r w:rsidR="009F6C61">
        <w:t>iron while lead and</w:t>
      </w:r>
      <w:r w:rsidR="00A757D0">
        <w:t xml:space="preserve"> cadmium</w:t>
      </w:r>
      <w:r w:rsidR="009F6C61">
        <w:t xml:space="preserve"> were</w:t>
      </w:r>
      <w:r w:rsidR="00A757D0">
        <w:t xml:space="preserve"> below detectable limits</w:t>
      </w:r>
      <w:r w:rsidR="002565A2">
        <w:t>.</w:t>
      </w:r>
      <w:r>
        <w:t xml:space="preserve"> </w:t>
      </w:r>
      <w:r w:rsidR="002565A2">
        <w:t>T</w:t>
      </w:r>
      <w:r>
        <w:t xml:space="preserve">he NESREA </w:t>
      </w:r>
      <w:r w:rsidR="002565A2">
        <w:t xml:space="preserve">water concentration </w:t>
      </w:r>
      <w:r>
        <w:t>limits</w:t>
      </w:r>
      <w:r w:rsidR="002565A2">
        <w:t xml:space="preserve"> of</w:t>
      </w:r>
      <w:r>
        <w:t xml:space="preserve"> </w:t>
      </w:r>
      <w:r w:rsidR="002565A2">
        <w:t>lead, cadmium, and iron are 0.050 mg/L, 0.01 mg/L, and 1.0 mg/L, respectively</w:t>
      </w:r>
      <w:r>
        <w:t xml:space="preserve">.  These elevated concentrations cause aquatic pollution that will harm the ecosystem for miles downstream.  When the maize was analyzed, all sections of the plant </w:t>
      </w:r>
      <w:r>
        <w:lastRenderedPageBreak/>
        <w:t>(leaf, grain, stem, and root) averaged approximately 40.95±1.98 mg/L of lead and 2.84±0.19 mg/L of cadmium, with control maize having negligible concentrations.  Iron is essential for photosynthesis, thus iron levels in the maize are not shown to be affected.  These studies show that heavy metals leach into the environment regardless of location, however, there is a lack of research on the significance of soil characteristics effect on this contamination.</w:t>
      </w:r>
    </w:p>
    <w:p w14:paraId="6D405B6B" w14:textId="77777777" w:rsidR="00BD23B5" w:rsidRPr="00162565" w:rsidRDefault="00BD23B5" w:rsidP="00665523">
      <w:pPr>
        <w:ind w:firstLine="720"/>
        <w:jc w:val="both"/>
      </w:pPr>
    </w:p>
    <w:p w14:paraId="6B617A7B" w14:textId="3AA5ED6F" w:rsidR="00ED3935" w:rsidRPr="002A4ADE" w:rsidRDefault="00F84424" w:rsidP="00E610FB">
      <w:pPr>
        <w:pStyle w:val="Heading2"/>
      </w:pPr>
      <w:bookmarkStart w:id="22" w:name="_Toc71223993"/>
      <w:r>
        <w:t>2.</w:t>
      </w:r>
      <w:r w:rsidR="00196F2F">
        <w:t xml:space="preserve">4 </w:t>
      </w:r>
      <w:r w:rsidR="00ED3935" w:rsidRPr="002A4ADE">
        <w:t>Human Health Effects</w:t>
      </w:r>
      <w:bookmarkEnd w:id="22"/>
    </w:p>
    <w:p w14:paraId="1A10C95D" w14:textId="3BC94EF5" w:rsidR="00110CCF" w:rsidRDefault="00110CCF" w:rsidP="00665523">
      <w:pPr>
        <w:jc w:val="both"/>
        <w:rPr>
          <w:szCs w:val="32"/>
        </w:rPr>
      </w:pPr>
      <w:r>
        <w:rPr>
          <w:szCs w:val="32"/>
        </w:rPr>
        <w:tab/>
      </w:r>
      <w:r w:rsidR="002C5E1F">
        <w:rPr>
          <w:szCs w:val="32"/>
        </w:rPr>
        <w:t xml:space="preserve">Heavy metals are generally linked to pollution and their negative environmental effects, yet some are required as micronutrients for healthy plant, animal, and microorganism life.  </w:t>
      </w:r>
      <w:r w:rsidR="00CB1F4F">
        <w:rPr>
          <w:szCs w:val="32"/>
        </w:rPr>
        <w:t>Zinc</w:t>
      </w:r>
      <w:r w:rsidR="002C5E1F">
        <w:rPr>
          <w:szCs w:val="32"/>
        </w:rPr>
        <w:t>, iron, copper, chromium, manganese, and cobalt</w:t>
      </w:r>
      <w:r w:rsidR="00CB1F4F">
        <w:rPr>
          <w:szCs w:val="32"/>
        </w:rPr>
        <w:t xml:space="preserve"> are used in metabolic functions </w:t>
      </w:r>
      <w:r w:rsidR="00CB1F4F">
        <w:rPr>
          <w:szCs w:val="32"/>
        </w:rPr>
        <w:fldChar w:fldCharType="begin" w:fldLock="1"/>
      </w:r>
      <w:r w:rsidR="00A15AB2">
        <w:rPr>
          <w:szCs w:val="32"/>
        </w:rPr>
        <w:instrText>ADDIN CSL_CITATION {"citationItems":[{"id":"ITEM-1","itemData":{"author":[{"dropping-particle":"","family":"Muhammad","given":"R.H.","non-dropping-particle":"","parse-names":false,"suffix":""},{"dropping-particle":"","family":"Hassan","given":"U.F.","non-dropping-particle":"","parse-names":false,"suffix":""},{"dropping-particle":"","family":"Mahmoud","given":"A.A.","non-dropping-particle":"","parse-names":false,"suffix":""},{"dropping-particle":"","family":"Baba","given":"H.","non-dropping-particle":"","parse-names":false,"suffix":""},{"dropping-particle":"","family":"Hassas","given":"H.F.","non-dropping-particle":"","parse-names":false,"suffix":""},{"dropping-particle":"","family":"Madaki","given":"A.A.","non-dropping-particle":"","parse-names":false,"suffix":""},{"dropping-particle":"","family":"Madaki","given":"A.I.","non-dropping-particle":"","parse-names":false,"suffix":""}],"container-title":"International Journal of Research and Scientific Innovation","id":"ITEM-1","issue":"4","issued":{"date-parts":[["2020"]]},"page":"216-221","title":"Heavy metals suitability in irrigation water sources of Bauchi Suburb, Bauchi State, Nigeria","type":"article-journal","volume":"7"},"uris":["http://www.mendeley.com/documents/?uuid=d8712d57-91b6-41fe-8eb6-816490fc1fc4"]}],"mendeley":{"formattedCitation":"(Muhammad et al., 2020)","plainTextFormattedCitation":"(Muhammad et al., 2020)","previouslyFormattedCitation":"(Muhammad et al., 2020)"},"properties":{"noteIndex":0},"schema":"https://github.com/citation-style-language/schema/raw/master/csl-citation.json"}</w:instrText>
      </w:r>
      <w:r w:rsidR="00CB1F4F">
        <w:rPr>
          <w:szCs w:val="32"/>
        </w:rPr>
        <w:fldChar w:fldCharType="separate"/>
      </w:r>
      <w:r w:rsidR="00CB1F4F" w:rsidRPr="00CB1F4F">
        <w:rPr>
          <w:noProof/>
          <w:szCs w:val="32"/>
        </w:rPr>
        <w:t>(Muhammad et al., 2020)</w:t>
      </w:r>
      <w:r w:rsidR="00CB1F4F">
        <w:rPr>
          <w:szCs w:val="32"/>
        </w:rPr>
        <w:fldChar w:fldCharType="end"/>
      </w:r>
      <w:r w:rsidR="00CB1F4F">
        <w:rPr>
          <w:szCs w:val="32"/>
        </w:rPr>
        <w:t>.  However, when the heavy metal concentrations in soil and water become higher than the permissible limits established by the World Health Organization</w:t>
      </w:r>
      <w:r w:rsidR="00B274A0">
        <w:rPr>
          <w:szCs w:val="32"/>
        </w:rPr>
        <w:t xml:space="preserve"> (WHO)</w:t>
      </w:r>
      <w:r w:rsidR="00CB1F4F">
        <w:rPr>
          <w:szCs w:val="32"/>
        </w:rPr>
        <w:t xml:space="preserve"> and other governmental health institutions, they can have </w:t>
      </w:r>
      <w:r>
        <w:rPr>
          <w:szCs w:val="32"/>
        </w:rPr>
        <w:t>detrimental health effects to humans and animals</w:t>
      </w:r>
      <w:r w:rsidR="00CB1F4F">
        <w:rPr>
          <w:szCs w:val="32"/>
        </w:rPr>
        <w:t xml:space="preserve"> </w:t>
      </w:r>
      <w:r w:rsidR="00A15AB2">
        <w:rPr>
          <w:szCs w:val="32"/>
        </w:rPr>
        <w:fldChar w:fldCharType="begin" w:fldLock="1"/>
      </w:r>
      <w:r w:rsidR="00DF697F">
        <w:rPr>
          <w:szCs w:val="32"/>
        </w:rPr>
        <w:instrText>ADDIN CSL_CITATION {"citationItems":[{"id":"ITEM-1","itemData":{"DOI":"10.3238/arztebl.2017.0653","author":[{"dropping-particle":"","family":"Klotz","given":"Katrin","non-dropping-particle":"","parse-names":false,"suffix":""},{"dropping-particle":"","family":"Weistenhöfer","given":"Wobbeke","non-dropping-particle":"","parse-names":false,"suffix":""},{"dropping-particle":"","family":"Neff","given":"Frauke","non-dropping-particle":"","parse-names":false,"suffix":""},{"dropping-particle":"","family":"Hartwig","given":"Andrea","non-dropping-particle":"","parse-names":false,"suffix":""},{"dropping-particle":"Van","family":"Thriel","given":"Christoph","non-dropping-particle":"","parse-names":false,"suffix":""},{"dropping-particle":"","family":"Drexler","given":"Hans","non-dropping-particle":"","parse-names":false,"suffix":""}],"container-title":"Deutsches Ärzteblatt International","id":"ITEM-1","issue":"39","issued":{"date-parts":[["2017"]]},"page":"653-660","title":"The Health Effects of Aluminum Exposure","type":"article-journal","volume":"114"},"uris":["http://www.mendeley.com/documents/?uuid=b88e1c6f-9071-4378-8f22-2955b2b74758"]},{"id":"ITEM-2","itemData":{"DOI":"10.5114/fn.2014.47838","ISSN":"1509572X","abstract":"Manganese (Mn) is an essential trace element that is required for maintaining the proper function and regulation of many biochemical and cellular reactions. Despite its essentiality, at excessive levels Mn is toxic to the central nervous system. The overdose accumulation of Mn in specific brain areas, such as the substantia nigra, the globus pallidus and the striatum, triggers neurotoxicity resulting in a neurological brain disorder, referred to as manganism. Manganese toxicity is associated with the disruption of glutamine (Gln)/glutamate (Glu) GABA cycle (GGC). The GGC represents a complex process, since Gln efflux from astrocytes must be met by its influx in neurons. Mn toxicity is associated with the disruption of both of these critical points in the cycle. In cultured astrocytes, pre-treatment with Mn inhibits the initial net uptake of Gln in a concentration-dependent manner. Manganese added directly to astrocytes induces deregulation in the expression of SNAT3, SNAT2, ASCT2 and LAT2 transporters and significantly decreases in Gln uptake mediated by the transporting Systems N and ASC, and a decrease in Gln efflux mediated by Systems N, ASC and L. Further, Mn disrupts Glu transporting systems leading to both a reduction in Glu uptake and elevation in extracellular Glu levels. Interestingly, there appear to be common signaling targets of Mn in GGC cycling in glial cells. Namely, the PKC signaling is affected by Mn in Gln and Glu transporters expression and function. Additionally, Mn was identified to deregulate glutamine synthetase (GS) expression and activity. Those evidences could triggers depletion of Gln synthesis/metabolism in glia cells and consequently diminish astrocytic-derived glutamine, while disruption of Glu removal/transport can mediate dyshomeostasis in neurotransmission of functioning neurons. Overdose and excessive Mn accumulations in astrocytes not only culminate in pathology, but also affect astrocytic protective properties and defect or alternate astrocyte-neuronal integrity. Here we highlight the mechanistic commonalities inherent to Mn neurotoxicity related to the astrocyte pathology and GGC impairment.","author":[{"dropping-particle":"","family":"Sidoryk-Wegrzynowicz","given":"Marta","non-dropping-particle":"","parse-names":false,"suffix":""}],"container-title":"Folia Neuropathologica","id":"ITEM-2","issue":"4","issued":{"date-parts":[["2014"]]},"page":"377-382","title":"Impairment of glutamine/glutamate-γ-aminobutyric acid cycle in manganese toxicity in the central nervous system","type":"article-journal","volume":"52"},"uris":["http://www.mendeley.com/documents/?uuid=77eed8ac-85dd-4f24-8b09-46af49a15af1"]},{"id":"ITEM-3","itemData":{"DOI":"10.1021/tx900338d","ISSN":"0893228X","abstract":"Copper and iron are essential but also toxic metals. Their essentiality is known, but their toxicity, except for the genetic overload diseases, Wilson's disease and hemochromatosis, is not so well known. Yet, their toxicities are so general in the population that they are a looming public health problem in diseases of aging and in the aging process itself. Both metals are transition elements, and their resulting redox properties have been used during evolution in the development of oxidative energy generation. But both contribute to the production of excess damaging oxidant radicals. Evolution has kept stores of copper and iron in excess during the reproductive years because they are so vital to life. But the oxidant damage from these excess stores of metals builds up as we age, and natural selection ceases to act after about age 50 since diseases after that do not contribute to reproductive fitness. Diseases of aging such as Alzheimer's disease, other neurodegenerative diseases, arteriosclerosis, diabetes mellitus, and others may all be contributed to by excess copper and iron. A very disturbing study has found that in the general population those in the highest fifth of copper intake, if they are also eating a relatively high fat diet, lose cognition at over three times the normal rate. Inorganic copper in drinking water and in supplements is handled differently than food copper and is therefore more toxic. Trace amounts of copper in drinking water, less than one-tenth of that allowed in human drinking water by the Environmental Protection Agency, greatly enhanced an Alzheimer's-like disease in an animal model. In the last part of this review, I will provide advice on how to lower risks from copper and iron toxicity. © 2010 American Chemical Society.","author":[{"dropping-particle":"","family":"Brewer","given":"George J.","non-dropping-particle":"","parse-names":false,"suffix":""}],"container-title":"Chemical Research in Toxicology","id":"ITEM-3","issue":"2","issued":{"date-parts":[["2010"]]},"page":"319-326","title":"Risks of copper and iron toxicity during aging in humans","type":"article-journal","volume":"23"},"uris":["http://www.mendeley.com/documents/?uuid=a453e1fa-a516-418c-8d7d-8400c9769089"]},{"id":"ITEM-4","itemData":{"DOI":"10.1016/j.jhazmat.2012.11.040","ISSN":"0304-3894","author":[{"dropping-particle":"","family":"Yeganeh","given":"Mojgan","non-dropping-particle":"","parse-names":false,"suffix":""},{"dropping-particle":"","family":"Afyuni","given":"Majid","non-dropping-particle":"","parse-names":false,"suffix":""},{"dropping-particle":"","family":"Khoshgoftarmanesh","given":"Amir-hosein","non-dropping-particle":"","parse-names":false,"suffix":""},{"dropping-particle":"","family":"Khodakarami","given":"Loghman","non-dropping-particle":"","parse-names":false,"suffix":""}],"container-title":"Journal of Hazardous Materials","id":"ITEM-4","issued":{"date-parts":[["2013"]]},"page":"225-239","publisher":"Elsevier B.V.","title":"Mapping of human health risks arising from soil nickel and mercury","type":"article-journal","volume":"244-245"},"uris":["http://www.mendeley.com/documents/?uuid=8466f15d-b9e2-4b6d-9826-0244b2b00ca0"]},{"id":"ITEM-5","itemData":{"DOI":"10.20546/ijcmas.2016.503.084","author":[{"dropping-particle":"","family":"Kumar","given":"Satish","non-dropping-particle":"","parse-names":false,"suffix":""},{"dropping-particle":"V","family":"Trivedi","given":"A","non-dropping-particle":"","parse-names":false,"suffix":""}],"container-title":"International Journal of Current Microbiology and Applied Sciences","id":"ITEM-5","issue":"3","issued":{"date-parts":[["2016"]]},"page":"719-727","title":"A Review on Role of Nickel in the Biological System","type":"article-journal","volume":"5"},"uris":["http://www.mendeley.com/documents/?uuid=7096429d-36c3-4c05-8fe4-77dcae0095ea"]},{"id":"ITEM-6","itemData":{"DOI":"10.2903/sp.efsa.2015.EN-478","author":[{"dropping-particle":"","family":"Casalegno","given":"Carlotta","non-dropping-particle":"","parse-names":false,"suffix":""},{"dropping-particle":"","family":"Schifanella","given":"Onofrio","non-dropping-particle":"","parse-names":false,"suffix":""},{"dropping-particle":"","family":"Zennaro","given":"Eleonora","non-dropping-particle":"","parse-names":false,"suffix":""},{"dropping-particle":"","family":"Marroncelli","given":"Sandro","non-dropping-particle":"","parse-names":false,"suffix":""},{"dropping-particle":"","family":"Chemservice","given":"S","non-dropping-particle":"","parse-names":false,"suffix":""}],"container-title":"European Food Safety Authority","id":"ITEM-6","issue":"2","issued":{"date-parts":[["2015"]]},"title":"Collate literature data on toxicity of Chromium ( Cr ) and Nickel ( Ni ) in experimental animals and humans 1","type":"article-journal","volume":"12"},"uris":["http://www.mendeley.com/documents/?uuid=d287a043-13f5-4e73-8fb7-20e817b95ee9"]},{"id":"ITEM-7","itemData":{"DOI":"10.1016/j.tox.2017.05.015","ISSN":"0300-483X","author":[{"dropping-particle":"","family":"Leyssens","given":"Laura","non-dropping-particle":"","parse-names":false,"suffix":""},{"dropping-particle":"","family":"Vinck","given":"Bart","non-dropping-particle":"","parse-names":false,"suffix":""},{"dropping-particle":"Van Der","family":"Straeten","given":"Catherine","non-dropping-particle":"","parse-names":false,"suffix":""},{"dropping-particle":"","family":"Wuyts","given":"Floris","non-dropping-particle":"","parse-names":false,"suffix":""},{"dropping-particle":"","family":"Maes","given":"Leen","non-dropping-particle":"","parse-names":false,"suffix":""}],"container-title":"Toxicology","id":"ITEM-7","issue":"May","issued":{"date-parts":[["2017"]]},"page":"43-56","publisher":"Elsevier","title":"Cobalt toxicity in humans — A review of the potential sources and systemic health e ff ects","type":"article-journal","volume":"387"},"uris":["http://www.mendeley.com/documents/?uuid=39a96986-73cd-4421-96d1-5b43d89fec0c"]},{"id":"ITEM-8","itemData":{"DOI":"10.1007/s10534-011-9454-1","ISSN":"09660844","abstract":"Manganese (Mn) is an essential metal for life. It is a key constituent of clue enzymes in the central nervous system, contributing to antioxidant defenses, energetic metabolism, ammonia detoxification, among other important functions. Until now, Mn transport mechanisms are partially understood; however, it is known that it shares some mechanisms of transport with iron. CNS is susceptible to Mn toxicity because it possesses mechanisms that allow Mn entry and favor its accumulation. Cases of occupational Mn exposure have been extensively reported in the literature; however, there are other ways of exposure, such as long-term parental nutrition and liver failure. Manganism and hepatic encephalopathy are the most common pathologies associated with the effects of Mn exposure. Both pathologies are associated with motor and psychiatric disturbances, related in turn to mechanisms of damage such as oxidative stress and neurotransmitters alterations, the dopaminergic system being one of the most affected. Although manganism and Parkinson's disease share some characteristics, they differ in many aspects that are discussed here. The mechanisms for Mn transport and its participation in manganism and hepatic encephalopathy are also considered in this review. It is necessary to find an effective therapeutic strategy to decrease Mn levels in exposed individuals and to treat Mn long term effects. In the case of patients with chronic liver failure it would be worthwhile to test a low-Mn diet in order to ameliorate symptoms of hepatic encephalopathy possibly related to Mn accumulation. © 2011 Springer Science+Business Media, LLC.","author":[{"dropping-particle":"","family":"Rivera-Mancía","given":"Susana","non-dropping-particle":"","parse-names":false,"suffix":""},{"dropping-particle":"","family":"Ríos","given":"Camilo","non-dropping-particle":"","parse-names":false,"suffix":""},{"dropping-particle":"","family":"Montes","given":"Sergio","non-dropping-particle":"","parse-names":false,"suffix":""}],"container-title":"BioMetals","id":"ITEM-8","issue":"5","issued":{"date-parts":[["2011"]]},"page":"811-825","title":"Manganese accumulation in the CNS and associated pathologies","type":"article-journal","volume":"24"},"uris":["http://www.mendeley.com/documents/?uuid=7f0a1168-712a-44a4-b63b-fc657e956b81"]}],"mendeley":{"formattedCitation":"(Brewer, 2010; Casalegno et al., 2015; Klotz et al., 2017; Kumar &amp; Trivedi, 2016; Leyssens et al., 2017; Rivera-Mancía et al., 2011; Sidoryk-Wegrzynowicz, 2014; Yeganeh et al., 2013)","plainTextFormattedCitation":"(Brewer, 2010; Casalegno et al., 2015; Klotz et al., 2017; Kumar &amp; Trivedi, 2016; Leyssens et al., 2017; Rivera-Mancía et al., 2011; Sidoryk-Wegrzynowicz, 2014; Yeganeh et al., 2013)","previouslyFormattedCitation":"(Brewer, 2010; Casalegno et al., 2015; Klotz et al., 2017; Kumar &amp; Trivedi, 2016; Leyssens et al., 2017; Rivera-Mancía et al., 2011; Sidoryk-Wegrzynowicz, 2014; Yeganeh et al., 2013)"},"properties":{"noteIndex":0},"schema":"https://github.com/citation-style-language/schema/raw/master/csl-citation.json"}</w:instrText>
      </w:r>
      <w:r w:rsidR="00A15AB2">
        <w:rPr>
          <w:szCs w:val="32"/>
        </w:rPr>
        <w:fldChar w:fldCharType="separate"/>
      </w:r>
      <w:r w:rsidR="00A15AB2" w:rsidRPr="00A15AB2">
        <w:rPr>
          <w:noProof/>
          <w:szCs w:val="32"/>
        </w:rPr>
        <w:t>(Brewer, 2010; Casalegno et al., 2015; Klotz et al., 2017; Kumar &amp; Trivedi, 2016; Leyssens et al., 2017; Rivera-Mancía et al., 2011; Sidoryk-Wegrzynowicz, 2014; Yeganeh et al., 2013)</w:t>
      </w:r>
      <w:r w:rsidR="00A15AB2">
        <w:rPr>
          <w:szCs w:val="32"/>
        </w:rPr>
        <w:fldChar w:fldCharType="end"/>
      </w:r>
      <w:r w:rsidR="00CB1F4F">
        <w:rPr>
          <w:szCs w:val="32"/>
        </w:rPr>
        <w:t xml:space="preserve">.  The health effects </w:t>
      </w:r>
      <w:r w:rsidR="00A15AB2">
        <w:rPr>
          <w:szCs w:val="32"/>
        </w:rPr>
        <w:t xml:space="preserve">can be provoked by acute (short term) or chronic (long term) exposure to elevated levels of the heavy metals.  </w:t>
      </w:r>
      <w:r>
        <w:rPr>
          <w:szCs w:val="32"/>
        </w:rPr>
        <w:t xml:space="preserve">Chronic toxicity is the focus of the LIB metals due to their lower concentrations in the environment from battery waste, where </w:t>
      </w:r>
      <w:r w:rsidR="0045464F">
        <w:rPr>
          <w:szCs w:val="32"/>
        </w:rPr>
        <w:t>bioaccumulation</w:t>
      </w:r>
      <w:r>
        <w:rPr>
          <w:szCs w:val="32"/>
        </w:rPr>
        <w:t xml:space="preserve"> occurs slowly over time through the ingestion of contaminated food and water.  The pollution of these heavy metals into the surrounding area has long lasting effects on the environment and those that live </w:t>
      </w:r>
      <w:r w:rsidR="0045464F">
        <w:rPr>
          <w:szCs w:val="32"/>
        </w:rPr>
        <w:t>or</w:t>
      </w:r>
      <w:r>
        <w:rPr>
          <w:szCs w:val="32"/>
        </w:rPr>
        <w:t xml:space="preserve"> work nearby.  As previously said, the area around </w:t>
      </w:r>
      <w:r w:rsidR="00AC37FB">
        <w:rPr>
          <w:szCs w:val="32"/>
        </w:rPr>
        <w:t xml:space="preserve">studied </w:t>
      </w:r>
      <w:r>
        <w:rPr>
          <w:szCs w:val="32"/>
        </w:rPr>
        <w:t xml:space="preserve">landfills and electronic waste recycling centers </w:t>
      </w:r>
      <w:r w:rsidR="00AC37FB">
        <w:rPr>
          <w:szCs w:val="32"/>
        </w:rPr>
        <w:t>are shown to be</w:t>
      </w:r>
      <w:r>
        <w:rPr>
          <w:szCs w:val="32"/>
        </w:rPr>
        <w:t xml:space="preserve"> contaminated with heavy metals to the point that the soil and water are considered unfit for human use due to the dangerous health effects caused by the ingestion and absorption of </w:t>
      </w:r>
      <w:r>
        <w:rPr>
          <w:szCs w:val="32"/>
        </w:rPr>
        <w:lastRenderedPageBreak/>
        <w:t xml:space="preserve">these metals.  To reiterate, the predominant metals in LIB are lithium, aluminum, and copper; with cobalt, manganese, and nickel present depending on the composition of the LIB.  </w:t>
      </w:r>
    </w:p>
    <w:p w14:paraId="1109B5AD" w14:textId="77777777" w:rsidR="00110CCF" w:rsidRDefault="00110CCF" w:rsidP="00665523">
      <w:pPr>
        <w:ind w:firstLine="720"/>
        <w:jc w:val="both"/>
        <w:rPr>
          <w:szCs w:val="32"/>
        </w:rPr>
      </w:pPr>
      <w:r>
        <w:rPr>
          <w:szCs w:val="32"/>
        </w:rPr>
        <w:t xml:space="preserve">Lithium is a common treatment for Bipolar disorder by increasing serotonin while hindering dopamine and norepinephrine release. As a neurological therapy drug, a long-term use of lithium can cause disorders such as seizures, altered mental status, and Parkinson’s-like symptoms.  In addition to this, lithium increases the possibility of hypothyroidism six-fold by disrupting the conversion and responsiveness to thyroid hormones </w:t>
      </w:r>
      <w:r>
        <w:rPr>
          <w:szCs w:val="32"/>
        </w:rPr>
        <w:fldChar w:fldCharType="begin" w:fldLock="1"/>
      </w:r>
      <w:r>
        <w:rPr>
          <w:szCs w:val="32"/>
        </w:rPr>
        <w:instrText>ADDIN CSL_CITATION {"citationItems":[{"id":"ITEM-1","itemData":{"URL":"https://www.acep.org/how-we-serve/sections/toxicology/news/august-2016/acute-and-chronic-lithium-toxicity/?_t_id=s_yGUswORhc9StQ823xZag%3D%3D&amp;_t_q=lithium toxicity&amp;_t_tags=andquerymatch,language:en%7Clanguage:7D2DA0A9FC754533B091FA6886A51C0D,siteid:3f8e28","author":[{"dropping-particle":"","family":"Mehus","given":"Brian","non-dropping-particle":"","parse-names":false,"suffix":""},{"dropping-particle":"","family":"Leroy","given":"Jenna","non-dropping-particle":"","parse-names":false,"suffix":""}],"container-title":"American College of Emergency Physicians","id":"ITEM-1","issued":{"date-parts":[["2018"]]},"title":"Acute and chronic lithium toxicity","type":"webpage"},"uris":["http://www.mendeley.com/documents/?uuid=2393e369-89bf-4f60-a0fb-48e354873a64"]}],"mendeley":{"formattedCitation":"(Mehus &amp; Leroy, 2018)","plainTextFormattedCitation":"(Mehus &amp; Leroy, 2018)","previouslyFormattedCitation":"(Mehus &amp; Leroy, 2018)"},"properties":{"noteIndex":0},"schema":"https://github.com/citation-style-language/schema/raw/master/csl-citation.json"}</w:instrText>
      </w:r>
      <w:r>
        <w:rPr>
          <w:szCs w:val="32"/>
        </w:rPr>
        <w:fldChar w:fldCharType="separate"/>
      </w:r>
      <w:r w:rsidRPr="00C832B2">
        <w:rPr>
          <w:noProof/>
          <w:szCs w:val="32"/>
        </w:rPr>
        <w:t>(Mehus &amp; Leroy, 2018)</w:t>
      </w:r>
      <w:r>
        <w:rPr>
          <w:szCs w:val="32"/>
        </w:rPr>
        <w:fldChar w:fldCharType="end"/>
      </w:r>
      <w:r>
        <w:rPr>
          <w:szCs w:val="32"/>
        </w:rPr>
        <w:t xml:space="preserve">.  Although there is possible chronic toxicity of lithium, it has been shown that there is not a higher bioaccumulation of lithium when consuming water with an elevated concentration of the metal </w:t>
      </w:r>
      <w:r>
        <w:rPr>
          <w:szCs w:val="32"/>
        </w:rPr>
        <w:fldChar w:fldCharType="begin" w:fldLock="1"/>
      </w:r>
      <w:r>
        <w:rPr>
          <w:szCs w:val="32"/>
        </w:rPr>
        <w:instrText>ADDIN CSL_CITATION {"citationItems":[{"id":"ITEM-1","itemData":{"DOI":"10.1016/j.ecoenv.2008.02.026","ISSN":"01476513","abstract":"Lithium concentrations in the surface and underground waters may be higher than general environment in places where lithium-rich brines and minerals occur, and in places where lithium batteries are disposed of. This review has indicated that lithium is not expected to bioaccumulate and its human and environmental toxicity are low. Lithium is not a dietary mineral for plants but it does stimulate plant growth. Large doses of lithium (up to 10 mg/L in serum) are given to patients with bipolar disorder. At 10 mg/L of blood, a person is mildly lithium poisoned. At 15 mg/L they experience confusion and speech impairment, and at 20 mg/L Li there is a risk of death. A provisional recommended daily intake of 14.3 μg/kg body weight lithium for an adult has been suggested. Crown Copyright © 2008.","author":[{"dropping-particle":"","family":"Aral","given":"Hal","non-dropping-particle":"","parse-names":false,"suffix":""},{"dropping-particle":"","family":"Vecchio-Sadus","given":"Angelica","non-dropping-particle":"","parse-names":false,"suffix":""}],"container-title":"Ecotoxicology and Environmental Safety","id":"ITEM-1","issue":"3","issued":{"date-parts":[["2008"]]},"page":"349-356","title":"Toxicity of lithium to humans and the environment-A literature review","type":"article-journal","volume":"70"},"uris":["http://www.mendeley.com/documents/?uuid=b7743b09-ce86-4456-8e97-0fa1bcb69800"]}],"mendeley":{"formattedCitation":"(Aral &amp; Vecchio-Sadus, 2008)","plainTextFormattedCitation":"(Aral &amp; Vecchio-Sadus, 2008)","previouslyFormattedCitation":"(Aral &amp; Vecchio-Sadus, 2008)"},"properties":{"noteIndex":0},"schema":"https://github.com/citation-style-language/schema/raw/master/csl-citation.json"}</w:instrText>
      </w:r>
      <w:r>
        <w:rPr>
          <w:szCs w:val="32"/>
        </w:rPr>
        <w:fldChar w:fldCharType="separate"/>
      </w:r>
      <w:r w:rsidRPr="00523714">
        <w:rPr>
          <w:noProof/>
          <w:szCs w:val="32"/>
        </w:rPr>
        <w:t>(Aral &amp; Vecchio-Sadus, 2008)</w:t>
      </w:r>
      <w:r>
        <w:rPr>
          <w:szCs w:val="32"/>
        </w:rPr>
        <w:fldChar w:fldCharType="end"/>
      </w:r>
      <w:r>
        <w:rPr>
          <w:szCs w:val="32"/>
        </w:rPr>
        <w:t xml:space="preserve">.  </w:t>
      </w:r>
    </w:p>
    <w:p w14:paraId="3C8B6CDD" w14:textId="77777777" w:rsidR="00110CCF" w:rsidRDefault="00110CCF" w:rsidP="00665523">
      <w:pPr>
        <w:ind w:firstLine="720"/>
        <w:jc w:val="both"/>
        <w:rPr>
          <w:szCs w:val="32"/>
        </w:rPr>
      </w:pPr>
      <w:r>
        <w:rPr>
          <w:szCs w:val="32"/>
        </w:rPr>
        <w:t xml:space="preserve">Copper, the anode current collector, is useful in the functions of making red blood cells and the maintenance of nerve cells and the immune system but can cause negative health effects when built up in the body over time.  The oxidation state of copper that is most prominent in causing health effects is copper (II).  Inorganic copper (i.e., copper not bound to proteins in food) is the form of copper that has the toxic characteristics.  Because organic copper is bound to proteins in food, it is easily digested in the liver and removed from the body.  Inorganic copper is generally found in water systems due to copper pipes or contaminated water systems, thus it is readily available to transfer to the blood stream </w:t>
      </w:r>
      <w:r>
        <w:rPr>
          <w:szCs w:val="32"/>
        </w:rPr>
        <w:fldChar w:fldCharType="begin" w:fldLock="1"/>
      </w:r>
      <w:r>
        <w:rPr>
          <w:szCs w:val="32"/>
        </w:rPr>
        <w:instrText>ADDIN CSL_CITATION {"citationItems":[{"id":"ITEM-1","itemData":{"DOI":"10.1021/tx900338d","ISSN":"0893228X","abstract":"Copper and iron are essential but also toxic metals. Their essentiality is known, but their toxicity, except for the genetic overload diseases, Wilson's disease and hemochromatosis, is not so well known. Yet, their toxicities are so general in the population that they are a looming public health problem in diseases of aging and in the aging process itself. Both metals are transition elements, and their resulting redox properties have been used during evolution in the development of oxidative energy generation. But both contribute to the production of excess damaging oxidant radicals. Evolution has kept stores of copper and iron in excess during the reproductive years because they are so vital to life. But the oxidant damage from these excess stores of metals builds up as we age, and natural selection ceases to act after about age 50 since diseases after that do not contribute to reproductive fitness. Diseases of aging such as Alzheimer's disease, other neurodegenerative diseases, arteriosclerosis, diabetes mellitus, and others may all be contributed to by excess copper and iron. A very disturbing study has found that in the general population those in the highest fifth of copper intake, if they are also eating a relatively high fat diet, lose cognition at over three times the normal rate. Inorganic copper in drinking water and in supplements is handled differently than food copper and is therefore more toxic. Trace amounts of copper in drinking water, less than one-tenth of that allowed in human drinking water by the Environmental Protection Agency, greatly enhanced an Alzheimer's-like disease in an animal model. In the last part of this review, I will provide advice on how to lower risks from copper and iron toxicity. © 2010 American Chemical Society.","author":[{"dropping-particle":"","family":"Brewer","given":"George J.","non-dropping-particle":"","parse-names":false,"suffix":""}],"container-title":"Chemical Research in Toxicology","id":"ITEM-1","issue":"2","issued":{"date-parts":[["2010"]]},"page":"319-326","title":"Risks of copper and iron toxicity during aging in humans","type":"article-journal","volume":"23"},"uris":["http://www.mendeley.com/documents/?uuid=a453e1fa-a516-418c-8d7d-8400c9769089"]}],"mendeley":{"formattedCitation":"(Brewer, 2010)","plainTextFormattedCitation":"(Brewer, 2010)","previouslyFormattedCitation":"(Brewer, 2010)"},"properties":{"noteIndex":0},"schema":"https://github.com/citation-style-language/schema/raw/master/csl-citation.json"}</w:instrText>
      </w:r>
      <w:r>
        <w:rPr>
          <w:szCs w:val="32"/>
        </w:rPr>
        <w:fldChar w:fldCharType="separate"/>
      </w:r>
      <w:r w:rsidRPr="00FE5A4D">
        <w:rPr>
          <w:noProof/>
          <w:szCs w:val="32"/>
        </w:rPr>
        <w:t>(Brewer, 2010)</w:t>
      </w:r>
      <w:r>
        <w:rPr>
          <w:szCs w:val="32"/>
        </w:rPr>
        <w:fldChar w:fldCharType="end"/>
      </w:r>
      <w:r>
        <w:rPr>
          <w:szCs w:val="32"/>
        </w:rPr>
        <w:t xml:space="preserve">.  Excess copper in the body contributes to mitochondrial damage because of the generation of reactive oxygen species (ROS).  These species damage DNA, proteins, and lipids, resulting in damaged cells that cannot fully function.  Copper toxicity has been linked to liver diseases and neurodegenerative diseases such as Alzheimer’s disease.  To put values on copper toxicity, the amount of copper that increases Alzheimer’s-like </w:t>
      </w:r>
      <w:r>
        <w:rPr>
          <w:szCs w:val="32"/>
        </w:rPr>
        <w:lastRenderedPageBreak/>
        <w:t xml:space="preserve">diseases in rabbit models is 0.12 parts per million (ppm) in their drinking water </w:t>
      </w:r>
      <w:r>
        <w:rPr>
          <w:szCs w:val="32"/>
        </w:rPr>
        <w:fldChar w:fldCharType="begin" w:fldLock="1"/>
      </w:r>
      <w:r>
        <w:rPr>
          <w:szCs w:val="32"/>
        </w:rPr>
        <w:instrText>ADDIN CSL_CITATION {"citationItems":[{"id":"ITEM-1","itemData":{"DOI":"10.1073/pnas.1832769100","ISBN":"1832769100","ISSN":"00278424","PMID":"12920183","abstract":"Despite the crucial role played by cholesterol and copper in nutrition and normal brain function, recent evidence indicates that they may both be important factors in the etiology of Alzheimer's disease (AD). Here we provide critical evidence for the role of cholesterol and copper in AD by showing that the addition of trace amounts of copper (0.12 ppm) to water given to cholesterol-fed rabbits can induce β-amyloid (Aβ) accumulation, including senile plaque-like structures in the hippocampus and temporal lobe, and can significantly retard the ability of rabbits to learn a difficult trace conditioning task. The Aβ deposits do not affect the ability of rabbits to detect or respond to the training stimuli nor to learn a simpler delay conditioning task. Trace amounts of copper in drinking water may influence clearance of Aβ from the brain at the level of the interface between the blood and cerebrovasculature and combined with high cholesterol may be a key component to the accumulation of Aβ in the brain, having a significant impact on learning and memory. Cholesterol-fed rabbits have at least 12 pathological markers seen in AD, suggesting that the cholesterol-fed rabbit is a good animal model for studying AD.","author":[{"dropping-particle":"","family":"Sparks","given":"D. Larry","non-dropping-particle":"","parse-names":false,"suffix":""},{"dropping-particle":"","family":"Schreurs","given":"Bernard G.","non-dropping-particle":"","parse-names":false,"suffix":""}],"container-title":"Proceedings of the National Academy of Sciences of the United States of America","id":"ITEM-1","issue":"19","issued":{"date-parts":[["2003"]]},"page":"11065-11069","title":"Trace amounts of copper in water induce β-amyloid plaques and learning deficits in a rabbit model of Alzheimer's disease","type":"article-journal","volume":"100"},"uris":["http://www.mendeley.com/documents/?uuid=150b0d05-c5e1-4057-b7af-9f89a4773bdf"]}],"mendeley":{"formattedCitation":"(Sparks &amp; Schreurs, 2003)","plainTextFormattedCitation":"(Sparks &amp; Schreurs, 2003)","previouslyFormattedCitation":"(Sparks &amp; Schreurs, 2003)"},"properties":{"noteIndex":0},"schema":"https://github.com/citation-style-language/schema/raw/master/csl-citation.json"}</w:instrText>
      </w:r>
      <w:r>
        <w:rPr>
          <w:szCs w:val="32"/>
        </w:rPr>
        <w:fldChar w:fldCharType="separate"/>
      </w:r>
      <w:r w:rsidRPr="00FE5A4D">
        <w:rPr>
          <w:noProof/>
          <w:szCs w:val="32"/>
        </w:rPr>
        <w:t>(Sparks &amp; Schreurs, 2003)</w:t>
      </w:r>
      <w:r>
        <w:rPr>
          <w:szCs w:val="32"/>
        </w:rPr>
        <w:fldChar w:fldCharType="end"/>
      </w:r>
      <w:r>
        <w:rPr>
          <w:szCs w:val="32"/>
        </w:rPr>
        <w:t xml:space="preserve">.  This shows that very little copper is needed to potentially cause harm in humans.  </w:t>
      </w:r>
    </w:p>
    <w:p w14:paraId="4BDC2AE8" w14:textId="77777777" w:rsidR="00110CCF" w:rsidRDefault="00110CCF" w:rsidP="00665523">
      <w:pPr>
        <w:ind w:firstLine="720"/>
        <w:jc w:val="both"/>
        <w:rPr>
          <w:szCs w:val="32"/>
        </w:rPr>
      </w:pPr>
      <w:r>
        <w:rPr>
          <w:szCs w:val="32"/>
        </w:rPr>
        <w:t xml:space="preserve">Aluminum, the cathode current collector, is a natural component of food and water, and plays an essential role in medicine and some cosmetics.  Exposure to aluminum from these sources is far below the tolerable weekly intake of 1 mg aluminum/kg body weight, set by the European Food Safety Authority </w:t>
      </w:r>
      <w:r>
        <w:rPr>
          <w:szCs w:val="32"/>
        </w:rPr>
        <w:fldChar w:fldCharType="begin" w:fldLock="1"/>
      </w:r>
      <w:r>
        <w:rPr>
          <w:szCs w:val="32"/>
        </w:rPr>
        <w:instrText>ADDIN CSL_CITATION {"citationItems":[{"id":"ITEM-1","itemData":{"DOI":"10.3238/arztebl.2017.0653","author":[{"dropping-particle":"","family":"Klotz","given":"Katrin","non-dropping-particle":"","parse-names":false,"suffix":""},{"dropping-particle":"","family":"Weistenhöfer","given":"Wobbeke","non-dropping-particle":"","parse-names":false,"suffix":""},{"dropping-particle":"","family":"Neff","given":"Frauke","non-dropping-particle":"","parse-names":false,"suffix":""},{"dropping-particle":"","family":"Hartwig","given":"Andrea","non-dropping-particle":"","parse-names":false,"suffix":""},{"dropping-particle":"Van","family":"Thriel","given":"Christoph","non-dropping-particle":"","parse-names":false,"suffix":""},{"dropping-particle":"","family":"Drexler","given":"Hans","non-dropping-particle":"","parse-names":false,"suffix":""}],"container-title":"Deutsches Ärzteblatt International","id":"ITEM-1","issue":"39","issued":{"date-parts":[["2017"]]},"page":"653-660","title":"The Health Effects of Aluminum Exposure","type":"article-journal","volume":"114"},"uris":["http://www.mendeley.com/documents/?uuid=b88e1c6f-9071-4378-8f22-2955b2b74758"]}],"mendeley":{"formattedCitation":"(Klotz et al., 2017)","plainTextFormattedCitation":"(Klotz et al., 2017)","previouslyFormattedCitation":"(Klotz et al., 2017)"},"properties":{"noteIndex":0},"schema":"https://github.com/citation-style-language/schema/raw/master/csl-citation.json"}</w:instrText>
      </w:r>
      <w:r>
        <w:rPr>
          <w:szCs w:val="32"/>
        </w:rPr>
        <w:fldChar w:fldCharType="separate"/>
      </w:r>
      <w:r w:rsidRPr="007A7233">
        <w:rPr>
          <w:noProof/>
          <w:szCs w:val="32"/>
        </w:rPr>
        <w:t>(Klotz et al., 2017)</w:t>
      </w:r>
      <w:r>
        <w:rPr>
          <w:szCs w:val="32"/>
        </w:rPr>
        <w:fldChar w:fldCharType="end"/>
      </w:r>
      <w:r>
        <w:rPr>
          <w:szCs w:val="32"/>
        </w:rPr>
        <w:t xml:space="preserve">.  Nonetheless, aluminum, like copper, causes negative health effects on the nervous system and brain when over exposed for an extended amount of time.  A buildup of aluminum over time can lead to neurological degradation, resembling Alzheimer’s disease and Amyotrophic Lateral Sclerosis (ALS).  The excess aluminum damages the blood-brain barrier, increasing the permeability of the membrane and allowing aluminum and other contaminants to enter the brain and cause damage </w:t>
      </w:r>
      <w:r>
        <w:rPr>
          <w:szCs w:val="32"/>
        </w:rPr>
        <w:fldChar w:fldCharType="begin" w:fldLock="1"/>
      </w:r>
      <w:r>
        <w:rPr>
          <w:szCs w:val="32"/>
        </w:rPr>
        <w:instrText>ADDIN CSL_CITATION {"citationItems":[{"id":"ITEM-1","itemData":{"DOI":"10.1007/s12026-013-8403-1","ISSN":"0257277X","abstract":"We have examined the neurotoxicity of aluminum in humans and animals under various conditions, following different routes of administration, and provide an overview of the various associated disease states. The literature demonstrates clearly negative impacts of aluminum on the nervous system across the age span. In adults, aluminum exposure can lead to apparently age-related neurological deficits resembling Alzheimer's and has been linked to this disease and to the Guamanian variant, ALS-PDC. Similar outcomes have been found in animal models. In addition, injection of aluminum adjuvants in an attempt to model Gulf War syndrome and associated neurological deficits leads to an ALS phenotype in young male mice. In young children, a highly significant correlation exists between the number of pediatric aluminum-adjuvanted vaccines administered and the rate of autism spectrum disorders. Many of the features of aluminum-induced neurotoxicity may arise, in part, from autoimmune reactions, as part of the ASIA syndrome. © 2013 Springer Science+Business Media New York.","author":[{"dropping-particle":"","family":"Shaw","given":"C. A.","non-dropping-particle":"","parse-names":false,"suffix":""},{"dropping-particle":"","family":"Tomljenovic","given":"L.","non-dropping-particle":"","parse-names":false,"suffix":""}],"container-title":"Immunologic Research","id":"ITEM-1","issue":"2-3","issued":{"date-parts":[["2013"]]},"page":"304-316","title":"Aluminum in the central nervous system (CNS): Toxicity in humans and animals, vaccine adjuvants, and autoimmunity","type":"article-journal","volume":"56"},"uris":["http://www.mendeley.com/documents/?uuid=283850f1-7726-47f0-a54a-ada2f1abde1a"]}],"mendeley":{"formattedCitation":"(Shaw &amp; Tomljenovic, 2013)","plainTextFormattedCitation":"(Shaw &amp; Tomljenovic, 2013)","previouslyFormattedCitation":"(Shaw &amp; Tomljenovic, 2013)"},"properties":{"noteIndex":0},"schema":"https://github.com/citation-style-language/schema/raw/master/csl-citation.json"}</w:instrText>
      </w:r>
      <w:r>
        <w:rPr>
          <w:szCs w:val="32"/>
        </w:rPr>
        <w:fldChar w:fldCharType="separate"/>
      </w:r>
      <w:r w:rsidRPr="00C91542">
        <w:rPr>
          <w:noProof/>
          <w:szCs w:val="32"/>
        </w:rPr>
        <w:t>(Shaw &amp; Tomljenovic, 2013)</w:t>
      </w:r>
      <w:r>
        <w:rPr>
          <w:szCs w:val="32"/>
        </w:rPr>
        <w:fldChar w:fldCharType="end"/>
      </w:r>
      <w:r>
        <w:rPr>
          <w:szCs w:val="32"/>
        </w:rPr>
        <w:t xml:space="preserve">.  Excess aluminum increases lipid accumulation inside cells because it enhances lipogenesis (creation of lipids) and reduces β-oxidation (destruction of lipids) </w:t>
      </w:r>
      <w:r>
        <w:rPr>
          <w:szCs w:val="32"/>
        </w:rPr>
        <w:fldChar w:fldCharType="begin" w:fldLock="1"/>
      </w:r>
      <w:r>
        <w:rPr>
          <w:szCs w:val="32"/>
        </w:rPr>
        <w:instrText>ADDIN CSL_CITATION {"citationItems":[{"id":"ITEM-1","itemData":{"DOI":"10.1016/j.yexcr.2011.07.009","abstract":"Aluminum (Al) is a metal toxin that has been implicated in the etiology of a number of diseases including Alzheimer's, Parkinson's, dialysis encephalopathy, and osteomalacia. Al has been shown to exert its effects by disrupting lipid membrane fluidity, perturbing iron (Fe), magnesium, and calcium homeostasis, and causing oxidative stress. However, the exact molecular targets of aluminum's toxicity have remained elusive. In the present review, we describe how the use of a systems biology approach in cultured hepatoblastoma cells (HepG2) allowed the identification of the molecular targets of Al toxicity. Mitochondrial metabolism is the main site of the toxicological action of Al. Fe-dependent and redox sensitive enzymes in the tricarboxylic acid (TCA) cycle and oxidative phosphorylation (OXPHOS) are dramatically decreased by Al exposure. In an effort to compensate for diminished mitochondrial function, Al-treated cells stabilize hypoxia inducible factor-1α (HIF-1α) to increase ATP production by glycolysis. Additionally, Al toxicity leads to an increase in intracellular lipid accumulation due to enhanced lipogenesis and a decrease in the β-oxidation of fatty acids. Central to these effects is the alteration of α-ketoglutarate (KG) homeostasis. In Al-exposed cells, KG is preferentially used to quench ROS leading to succinate accumulation and HIF-1α stabilization. Moreover, the channeling of KG to combat oxidative stress leads to a reduction of l-carnitine biosynthesis and a concomitant decrease in fatty acid oxidation. The fluidity and interaction of these metabolic modules and the implications of these findings in liver-related disorders are discussed herein.","author":[{"dropping-particle":"","family":"Mailloux","given":"Ryan","non-dropping-particle":"","parse-names":false,"suffix":""},{"dropping-particle":"","family":"Lemire","given":"Joseph","non-dropping-particle":"","parse-names":false,"suffix":""},{"dropping-particle":"","family":"Appanna","given":"Vasu","non-dropping-particle":"","parse-names":false,"suffix":""}],"container-title":"Experimental Cell Research","id":"ITEM-1","issue":"16","issued":{"date-parts":[["2011"]]},"page":"2231-2238","title":"Hepatic response to aluminum toxicity: Dyslipidemia and liver diseases","type":"article-journal","volume":"317"},"uris":["http://www.mendeley.com/documents/?uuid=572ae9bc-64d9-4a4a-9f6a-e3f2b4f94053"]}],"mendeley":{"formattedCitation":"(Mailloux et al., 2011)","plainTextFormattedCitation":"(Mailloux et al., 2011)","previouslyFormattedCitation":"(Mailloux et al., 2011)"},"properties":{"noteIndex":0},"schema":"https://github.com/citation-style-language/schema/raw/master/csl-citation.json"}</w:instrText>
      </w:r>
      <w:r>
        <w:rPr>
          <w:szCs w:val="32"/>
        </w:rPr>
        <w:fldChar w:fldCharType="separate"/>
      </w:r>
      <w:r w:rsidRPr="004D309C">
        <w:rPr>
          <w:noProof/>
          <w:szCs w:val="32"/>
        </w:rPr>
        <w:t>(Mailloux et al., 2011)</w:t>
      </w:r>
      <w:r>
        <w:rPr>
          <w:szCs w:val="32"/>
        </w:rPr>
        <w:fldChar w:fldCharType="end"/>
      </w:r>
      <w:r>
        <w:rPr>
          <w:szCs w:val="32"/>
        </w:rPr>
        <w:t>.  The increase of lipids in cells may lead to cell dysfunction or cell death, causing further problems in the body.</w:t>
      </w:r>
    </w:p>
    <w:p w14:paraId="5866F134" w14:textId="77777777" w:rsidR="00110CCF" w:rsidRDefault="00110CCF" w:rsidP="00665523">
      <w:pPr>
        <w:ind w:firstLine="720"/>
        <w:jc w:val="both"/>
        <w:rPr>
          <w:szCs w:val="32"/>
        </w:rPr>
      </w:pPr>
      <w:r>
        <w:rPr>
          <w:szCs w:val="32"/>
        </w:rPr>
        <w:t xml:space="preserve">Manganese is one of the possible metals to make up the cathode.  It is an essential metal for the central nervous system by assisting in antioxidant defenses, ammonia detoxification, as well as other necessary mechanisms in the body.  However, overexposure to manganese, regardless of oxidation state, can be catastrophic to these mechanisms </w:t>
      </w:r>
      <w:r>
        <w:rPr>
          <w:szCs w:val="32"/>
        </w:rPr>
        <w:fldChar w:fldCharType="begin" w:fldLock="1"/>
      </w:r>
      <w:r>
        <w:rPr>
          <w:szCs w:val="32"/>
        </w:rPr>
        <w:instrText>ADDIN CSL_CITATION {"citationItems":[{"id":"ITEM-1","itemData":{"author":[{"dropping-particle":"","family":"Williams","given":"Malcolm","non-dropping-particle":"","parse-names":false,"suffix":""},{"dropping-particle":"","family":"Todd","given":"Daniel","non-dropping-particle":"","parse-names":false,"suffix":""},{"dropping-particle":"","family":"Roney","given":"Nickolette","non-dropping-particle":"","parse-names":false,"suffix":""},{"dropping-particle":"","family":"Crawford","given":"Jewell","non-dropping-particle":"","parse-names":false,"suffix":""},{"dropping-particle":"","family":"Coles","given":"Charleton","non-dropping-particle":"","parse-names":false,"suffix":""},{"dropping-particle":"","family":"McClure","given":"Peter","non-dropping-particle":"","parse-names":false,"suffix":""},{"dropping-particle":"","family":"Garey","given":"Joan","non-dropping-particle":"","parse-names":false,"suffix":""},{"dropping-particle":"","family":"Citra","given":"Mario","non-dropping-particle":"","parse-names":false,"suffix":""}],"container-title":"U.S. Department of Health and Human Services","id":"ITEM-1","issue":"September","issued":{"date-parts":[["2012"]]},"title":"Toxicological profile for manganese","type":"article-journal"},"uris":["http://www.mendeley.com/documents/?uuid=ea5700a6-938b-4b9d-97b4-4b78968a706c"]}],"mendeley":{"formattedCitation":"(Williams et al., 2012)","plainTextFormattedCitation":"(Williams et al., 2012)","previouslyFormattedCitation":"(Williams et al., 2012)"},"properties":{"noteIndex":0},"schema":"https://github.com/citation-style-language/schema/raw/master/csl-citation.json"}</w:instrText>
      </w:r>
      <w:r>
        <w:rPr>
          <w:szCs w:val="32"/>
        </w:rPr>
        <w:fldChar w:fldCharType="separate"/>
      </w:r>
      <w:r w:rsidRPr="00FD1067">
        <w:rPr>
          <w:noProof/>
          <w:szCs w:val="32"/>
        </w:rPr>
        <w:t>(Williams et al., 2012)</w:t>
      </w:r>
      <w:r>
        <w:rPr>
          <w:szCs w:val="32"/>
        </w:rPr>
        <w:fldChar w:fldCharType="end"/>
      </w:r>
      <w:r>
        <w:rPr>
          <w:szCs w:val="32"/>
        </w:rPr>
        <w:t xml:space="preserve">.  Manganese accumulation in the brain, called manganism, leads to psychiatric and motor function impairments, similar to Parkinson’s disease </w:t>
      </w:r>
      <w:r>
        <w:rPr>
          <w:szCs w:val="32"/>
        </w:rPr>
        <w:fldChar w:fldCharType="begin" w:fldLock="1"/>
      </w:r>
      <w:r>
        <w:rPr>
          <w:szCs w:val="32"/>
        </w:rPr>
        <w:instrText>ADDIN CSL_CITATION {"citationItems":[{"id":"ITEM-1","itemData":{"DOI":"10.1289/ehp.0901748","author":[{"dropping-particle":"","family":"Guilarte","given":"Tomás","non-dropping-particle":"","parse-names":false,"suffix":""}],"container-title":"Environmental Health Perspectives","id":"ITEM-1","issue":"8","issued":{"date-parts":[["2010"]]},"page":"1071-1080","title":"Review Manganese and Parkinson ' s Disease : A critical review and new findings","type":"article-journal","volume":"118"},"uris":["http://www.mendeley.com/documents/?uuid=c90b9d14-5a73-4412-a898-50f180ea6b8e"]}],"mendeley":{"formattedCitation":"(Guilarte, 2010)","plainTextFormattedCitation":"(Guilarte, 2010)","previouslyFormattedCitation":"(Guilarte, 2010)"},"properties":{"noteIndex":0},"schema":"https://github.com/citation-style-language/schema/raw/master/csl-citation.json"}</w:instrText>
      </w:r>
      <w:r>
        <w:rPr>
          <w:szCs w:val="32"/>
        </w:rPr>
        <w:fldChar w:fldCharType="separate"/>
      </w:r>
      <w:r w:rsidRPr="00731BC5">
        <w:rPr>
          <w:noProof/>
          <w:szCs w:val="32"/>
        </w:rPr>
        <w:t>(Guilarte, 2010)</w:t>
      </w:r>
      <w:r>
        <w:rPr>
          <w:szCs w:val="32"/>
        </w:rPr>
        <w:fldChar w:fldCharType="end"/>
      </w:r>
      <w:r>
        <w:rPr>
          <w:szCs w:val="32"/>
        </w:rPr>
        <w:t xml:space="preserve">.  Manganese also is a source for hepatic encephalopathy, the decline in brain function because of liver disease.  A healthy liver readily removes toxins from the body, with liver disease, however, the toxins are not adequately removed.  </w:t>
      </w:r>
      <w:r>
        <w:rPr>
          <w:szCs w:val="32"/>
        </w:rPr>
        <w:lastRenderedPageBreak/>
        <w:t xml:space="preserve">The lack of manganese removal from the liver allows the metal to accumulate in the brain, causing brain function impairments </w:t>
      </w:r>
      <w:r>
        <w:rPr>
          <w:szCs w:val="32"/>
        </w:rPr>
        <w:fldChar w:fldCharType="begin" w:fldLock="1"/>
      </w:r>
      <w:r>
        <w:rPr>
          <w:szCs w:val="32"/>
        </w:rPr>
        <w:instrText>ADDIN CSL_CITATION {"citationItems":[{"id":"ITEM-1","itemData":{"DOI":"10.1007/s10534-011-9454-1","ISSN":"09660844","abstract":"Manganese (Mn) is an essential metal for life. It is a key constituent of clue enzymes in the central nervous system, contributing to antioxidant defenses, energetic metabolism, ammonia detoxification, among other important functions. Until now, Mn transport mechanisms are partially understood; however, it is known that it shares some mechanisms of transport with iron. CNS is susceptible to Mn toxicity because it possesses mechanisms that allow Mn entry and favor its accumulation. Cases of occupational Mn exposure have been extensively reported in the literature; however, there are other ways of exposure, such as long-term parental nutrition and liver failure. Manganism and hepatic encephalopathy are the most common pathologies associated with the effects of Mn exposure. Both pathologies are associated with motor and psychiatric disturbances, related in turn to mechanisms of damage such as oxidative stress and neurotransmitters alterations, the dopaminergic system being one of the most affected. Although manganism and Parkinson's disease share some characteristics, they differ in many aspects that are discussed here. The mechanisms for Mn transport and its participation in manganism and hepatic encephalopathy are also considered in this review. It is necessary to find an effective therapeutic strategy to decrease Mn levels in exposed individuals and to treat Mn long term effects. In the case of patients with chronic liver failure it would be worthwhile to test a low-Mn diet in order to ameliorate symptoms of hepatic encephalopathy possibly related to Mn accumulation. © 2011 Springer Science+Business Media, LLC.","author":[{"dropping-particle":"","family":"Rivera-Mancía","given":"Susana","non-dropping-particle":"","parse-names":false,"suffix":""},{"dropping-particle":"","family":"Ríos","given":"Camilo","non-dropping-particle":"","parse-names":false,"suffix":""},{"dropping-particle":"","family":"Montes","given":"Sergio","non-dropping-particle":"","parse-names":false,"suffix":""}],"container-title":"BioMetals","id":"ITEM-1","issue":"5","issued":{"date-parts":[["2011"]]},"page":"811-825","title":"Manganese accumulation in the CNS and associated pathologies","type":"article-journal","volume":"24"},"uris":["http://www.mendeley.com/documents/?uuid=7f0a1168-712a-44a4-b63b-fc657e956b81"]}],"mendeley":{"formattedCitation":"(Rivera-Mancía et al., 2011)","plainTextFormattedCitation":"(Rivera-Mancía et al., 2011)","previouslyFormattedCitation":"(Rivera-Mancía et al., 2011)"},"properties":{"noteIndex":0},"schema":"https://github.com/citation-style-language/schema/raw/master/csl-citation.json"}</w:instrText>
      </w:r>
      <w:r>
        <w:rPr>
          <w:szCs w:val="32"/>
        </w:rPr>
        <w:fldChar w:fldCharType="separate"/>
      </w:r>
      <w:r w:rsidRPr="009B0B1F">
        <w:rPr>
          <w:noProof/>
          <w:szCs w:val="32"/>
        </w:rPr>
        <w:t>(Rivera-Mancía et al., 2011)</w:t>
      </w:r>
      <w:r>
        <w:rPr>
          <w:szCs w:val="32"/>
        </w:rPr>
        <w:fldChar w:fldCharType="end"/>
      </w:r>
      <w:r>
        <w:rPr>
          <w:szCs w:val="32"/>
        </w:rPr>
        <w:t xml:space="preserve">. </w:t>
      </w:r>
    </w:p>
    <w:p w14:paraId="00403974" w14:textId="77777777" w:rsidR="00110CCF" w:rsidRDefault="00110CCF" w:rsidP="00665523">
      <w:pPr>
        <w:ind w:firstLine="720"/>
        <w:jc w:val="both"/>
        <w:rPr>
          <w:szCs w:val="32"/>
        </w:rPr>
      </w:pPr>
      <w:r>
        <w:rPr>
          <w:szCs w:val="32"/>
        </w:rPr>
        <w:t>Cobalt is one of the possible metals to make up the cathode.  It plays a necessary role in only one known biological function, the role of vitamin B</w:t>
      </w:r>
      <w:r>
        <w:rPr>
          <w:szCs w:val="32"/>
          <w:vertAlign w:val="subscript"/>
        </w:rPr>
        <w:t>12</w:t>
      </w:r>
      <w:r>
        <w:rPr>
          <w:szCs w:val="32"/>
        </w:rPr>
        <w:t>, also called cyanocobalamin.  Exposure to any other cobalt compound is considered toxic to the body.  Cobalt accumulation can cause cardiovascular, neurological, and endocrine complications.  The cobalt (II) ion (Co</w:t>
      </w:r>
      <w:r>
        <w:rPr>
          <w:szCs w:val="32"/>
          <w:vertAlign w:val="superscript"/>
        </w:rPr>
        <w:t>2+</w:t>
      </w:r>
      <w:r>
        <w:rPr>
          <w:szCs w:val="32"/>
        </w:rPr>
        <w:t xml:space="preserve">) is the primary state for toxicity in the body because it is generally unbound ions circulating rather than protein-bound cobalt.  The ions interact with cellular receptors, ion channels, and biomolecules, generating ROS and causing lipid peroxidation, interruption of thyroid iodine uptake, and mitochondrial disfunction </w:t>
      </w:r>
      <w:r>
        <w:rPr>
          <w:szCs w:val="32"/>
        </w:rPr>
        <w:fldChar w:fldCharType="begin" w:fldLock="1"/>
      </w:r>
      <w:r>
        <w:rPr>
          <w:szCs w:val="32"/>
        </w:rPr>
        <w:instrText>ADDIN CSL_CITATION {"citationItems":[{"id":"ITEM-1","itemData":{"DOI":"10.1016/j.tox.2017.05.015","ISSN":"0300-483X","author":[{"dropping-particle":"","family":"Leyssens","given":"Laura","non-dropping-particle":"","parse-names":false,"suffix":""},{"dropping-particle":"","family":"Vinck","given":"Bart","non-dropping-particle":"","parse-names":false,"suffix":""},{"dropping-particle":"Van Der","family":"Straeten","given":"Catherine","non-dropping-particle":"","parse-names":false,"suffix":""},{"dropping-particle":"","family":"Wuyts","given":"Floris","non-dropping-particle":"","parse-names":false,"suffix":""},{"dropping-particle":"","family":"Maes","given":"Leen","non-dropping-particle":"","parse-names":false,"suffix":""}],"container-title":"Toxicology","id":"ITEM-1","issue":"May","issued":{"date-parts":[["2017"]]},"page":"43-56","publisher":"Elsevier","title":"Cobalt toxicity in humans — A review of the potential sources and systemic health e ff ects","type":"article-journal","volume":"387"},"uris":["http://www.mendeley.com/documents/?uuid=39a96986-73cd-4421-96d1-5b43d89fec0c"]}],"mendeley":{"formattedCitation":"(Leyssens et al., 2017)","plainTextFormattedCitation":"(Leyssens et al., 2017)","previouslyFormattedCitation":"(Leyssens et al., 2017)"},"properties":{"noteIndex":0},"schema":"https://github.com/citation-style-language/schema/raw/master/csl-citation.json"}</w:instrText>
      </w:r>
      <w:r>
        <w:rPr>
          <w:szCs w:val="32"/>
        </w:rPr>
        <w:fldChar w:fldCharType="separate"/>
      </w:r>
      <w:r w:rsidRPr="00EE1E49">
        <w:rPr>
          <w:noProof/>
          <w:szCs w:val="32"/>
        </w:rPr>
        <w:t>(Leyssens et al., 2017)</w:t>
      </w:r>
      <w:r>
        <w:rPr>
          <w:szCs w:val="32"/>
        </w:rPr>
        <w:fldChar w:fldCharType="end"/>
      </w:r>
      <w:r>
        <w:rPr>
          <w:szCs w:val="32"/>
        </w:rPr>
        <w:t>.  The results of these disruptions in the body by cobalt include hypothyroidism, cardiomyopathy, and hearing and visual impairment.</w:t>
      </w:r>
    </w:p>
    <w:p w14:paraId="3AE8B749" w14:textId="77777777" w:rsidR="00110CCF" w:rsidRDefault="00110CCF" w:rsidP="00665523">
      <w:pPr>
        <w:ind w:firstLine="720"/>
        <w:jc w:val="both"/>
        <w:rPr>
          <w:szCs w:val="32"/>
        </w:rPr>
      </w:pPr>
      <w:r>
        <w:rPr>
          <w:szCs w:val="32"/>
        </w:rPr>
        <w:t xml:space="preserve">Nickel is one of the possible metals to make up the cathode.  Nickel is the least understood metal with regards to its function in the body, with many theories based on where it is found in high concentrations.  Nickel is present in DNA and RNA probably as a stabilizer for nucleic acids.  It is also shown to aid in the absorption of iron and may activate enzymes that breakdown or utilize glucose </w:t>
      </w:r>
      <w:r>
        <w:rPr>
          <w:szCs w:val="32"/>
        </w:rPr>
        <w:fldChar w:fldCharType="begin" w:fldLock="1"/>
      </w:r>
      <w:r>
        <w:rPr>
          <w:szCs w:val="32"/>
        </w:rPr>
        <w:instrText>ADDIN CSL_CITATION {"citationItems":[{"id":"ITEM-1","itemData":{"DOI":"10.20546/ijcmas.2016.503.084","author":[{"dropping-particle":"","family":"Kumar","given":"Satish","non-dropping-particle":"","parse-names":false,"suffix":""},{"dropping-particle":"V","family":"Trivedi","given":"A","non-dropping-particle":"","parse-names":false,"suffix":""}],"container-title":"International Journal of Current Microbiology and Applied Sciences","id":"ITEM-1","issue":"3","issued":{"date-parts":[["2016"]]},"page":"719-727","title":"A Review on Role of Nickel in the Biological System","type":"article-journal","volume":"5"},"uris":["http://www.mendeley.com/documents/?uuid=7096429d-36c3-4c05-8fe4-77dcae0095ea"]}],"mendeley":{"formattedCitation":"(Kumar &amp; Trivedi, 2016)","plainTextFormattedCitation":"(Kumar &amp; Trivedi, 2016)","previouslyFormattedCitation":"(Kumar &amp; Trivedi, 2016)"},"properties":{"noteIndex":0},"schema":"https://github.com/citation-style-language/schema/raw/master/csl-citation.json"}</w:instrText>
      </w:r>
      <w:r>
        <w:rPr>
          <w:szCs w:val="32"/>
        </w:rPr>
        <w:fldChar w:fldCharType="separate"/>
      </w:r>
      <w:r w:rsidRPr="00951A64">
        <w:rPr>
          <w:noProof/>
          <w:szCs w:val="32"/>
        </w:rPr>
        <w:t>(Kumar &amp; Trivedi, 2016)</w:t>
      </w:r>
      <w:r>
        <w:rPr>
          <w:szCs w:val="32"/>
        </w:rPr>
        <w:fldChar w:fldCharType="end"/>
      </w:r>
      <w:r>
        <w:rPr>
          <w:szCs w:val="32"/>
        </w:rPr>
        <w:t xml:space="preserve">.  Besides the skin nickel allergy that many people have, there are long term exposure effects in the body.  Soluble nickel (II) compounds (i.e., nickel chloride or nickel nitrate) are more toxic than their more insoluble counterparts (i.e., nickel sulfide or nickel oxide).  This can be explained by the easier uptake of soluble components in the body and the insoluble components pass through without interaction.  The absorption of soluble nickel through drinking water leads to a higher nickel concentration in the liver, causing lipid peroxidation, glutathione peroxidase activity, and other destructive processes.  Another location in the body that </w:t>
      </w:r>
      <w:r>
        <w:rPr>
          <w:szCs w:val="32"/>
        </w:rPr>
        <w:lastRenderedPageBreak/>
        <w:t xml:space="preserve">nickel negatively affects is the seminal vesicle, causing a decrease in size and activity, leading to lower testosterone production </w:t>
      </w:r>
      <w:r>
        <w:rPr>
          <w:szCs w:val="32"/>
        </w:rPr>
        <w:fldChar w:fldCharType="begin" w:fldLock="1"/>
      </w:r>
      <w:r>
        <w:rPr>
          <w:szCs w:val="32"/>
        </w:rPr>
        <w:instrText>ADDIN CSL_CITATION {"citationItems":[{"id":"ITEM-1","itemData":{"DOI":"10.2903/sp.efsa.2015.EN-478","author":[{"dropping-particle":"","family":"Casalegno","given":"Carlotta","non-dropping-particle":"","parse-names":false,"suffix":""},{"dropping-particle":"","family":"Schifanella","given":"Onofrio","non-dropping-particle":"","parse-names":false,"suffix":""},{"dropping-particle":"","family":"Zennaro","given":"Eleonora","non-dropping-particle":"","parse-names":false,"suffix":""},{"dropping-particle":"","family":"Marroncelli","given":"Sandro","non-dropping-particle":"","parse-names":false,"suffix":""},{"dropping-particle":"","family":"Chemservice","given":"S","non-dropping-particle":"","parse-names":false,"suffix":""}],"container-title":"European Food Safety Authority","id":"ITEM-1","issue":"2","issued":{"date-parts":[["2015"]]},"title":"Collate literature data on toxicity of Chromium ( Cr ) and Nickel ( Ni ) in experimental animals and humans 1","type":"article-journal","volume":"12"},"uris":["http://www.mendeley.com/documents/?uuid=d287a043-13f5-4e73-8fb7-20e817b95ee9"]}],"mendeley":{"formattedCitation":"(Casalegno et al., 2015)","plainTextFormattedCitation":"(Casalegno et al., 2015)","previouslyFormattedCitation":"(Casalegno et al., 2015)"},"properties":{"noteIndex":0},"schema":"https://github.com/citation-style-language/schema/raw/master/csl-citation.json"}</w:instrText>
      </w:r>
      <w:r>
        <w:rPr>
          <w:szCs w:val="32"/>
        </w:rPr>
        <w:fldChar w:fldCharType="separate"/>
      </w:r>
      <w:r w:rsidRPr="00633486">
        <w:rPr>
          <w:noProof/>
          <w:szCs w:val="32"/>
        </w:rPr>
        <w:t>(Casalegno et al., 2015)</w:t>
      </w:r>
      <w:r>
        <w:rPr>
          <w:szCs w:val="32"/>
        </w:rPr>
        <w:fldChar w:fldCharType="end"/>
      </w:r>
      <w:r>
        <w:rPr>
          <w:szCs w:val="32"/>
        </w:rPr>
        <w:t xml:space="preserve">.  </w:t>
      </w:r>
    </w:p>
    <w:p w14:paraId="10CF9320" w14:textId="11060875" w:rsidR="00ED3935" w:rsidRPr="009D51D3" w:rsidRDefault="00110CCF" w:rsidP="00665523">
      <w:pPr>
        <w:ind w:firstLine="720"/>
        <w:jc w:val="both"/>
        <w:rPr>
          <w:szCs w:val="32"/>
        </w:rPr>
      </w:pPr>
      <w:r>
        <w:rPr>
          <w:szCs w:val="32"/>
        </w:rPr>
        <w:t xml:space="preserve">With the dramatic rise in LIB in the past decade and future prediction in use, concerns over recycling and waste disposal will become even more prevalent and important to environmental and human health </w:t>
      </w:r>
      <w:r>
        <w:rPr>
          <w:szCs w:val="32"/>
        </w:rPr>
        <w:fldChar w:fldCharType="begin" w:fldLock="1"/>
      </w:r>
      <w:r>
        <w:rPr>
          <w:szCs w:val="32"/>
        </w:rPr>
        <w:instrText>ADDIN CSL_CITATION {"citationItems":[{"id":"ITEM-1","itemData":{"abstract":"Lithium-ion batteries have made portable electronics ubiquitous, and they are about to do the same for electric vehicles. That success story is setting the world on track to generate a multimillion-metric-ton heap of used Li-ion batteries that could end up in the trash. The batteries are valuable and recyclable, but because of technical, economic, and other factors, less than 5% are recycled today. The enormousness of the impending spent-battery situation is driving researchers to search for cost-effective, environmentally sustainable strategies for dealing with the vast stockpile of Li-ion batteries looming on the horizon.","author":[{"dropping-particle":"","family":"Jacoby","given":"Mitch","non-dropping-particle":"","parse-names":false,"suffix":""}],"container-title":"Chemical &amp; Engineering News","id":"ITEM-1","issued":{"date-parts":[["2019"]]},"page":"volume 97, issue 28","title":"It’s time to get serious about recycling lithium-ion batteries","type":"article-magazine"},"uris":["http://www.mendeley.com/documents/?uuid=08a01f88-cbc9-48cc-b731-4f6478c8a970"]}],"mendeley":{"formattedCitation":"(Jacoby, 2019)","plainTextFormattedCitation":"(Jacoby, 2019)","previouslyFormattedCitation":"(Jacoby, 2019)"},"properties":{"noteIndex":0},"schema":"https://github.com/citation-style-language/schema/raw/master/csl-citation.json"}</w:instrText>
      </w:r>
      <w:r>
        <w:rPr>
          <w:szCs w:val="32"/>
        </w:rPr>
        <w:fldChar w:fldCharType="separate"/>
      </w:r>
      <w:r w:rsidRPr="00EE5E62">
        <w:rPr>
          <w:noProof/>
          <w:szCs w:val="32"/>
        </w:rPr>
        <w:t>(Jacoby, 2019)</w:t>
      </w:r>
      <w:r>
        <w:rPr>
          <w:szCs w:val="32"/>
        </w:rPr>
        <w:fldChar w:fldCharType="end"/>
      </w:r>
      <w:r>
        <w:rPr>
          <w:szCs w:val="32"/>
        </w:rPr>
        <w:t xml:space="preserve">.  Heavy metals from lead acid, cadmium, and alkaline batteries have been shown to leach into the soil and water systems in landfills and recycling centers, so it is reasonable to assume that LIB do the same, although little research has been </w:t>
      </w:r>
      <w:r w:rsidR="00C704C5">
        <w:rPr>
          <w:szCs w:val="32"/>
        </w:rPr>
        <w:t>published</w:t>
      </w:r>
      <w:r>
        <w:rPr>
          <w:szCs w:val="32"/>
        </w:rPr>
        <w:t xml:space="preserve"> to confirm this.  This </w:t>
      </w:r>
      <w:r w:rsidR="00F8207C">
        <w:rPr>
          <w:szCs w:val="32"/>
        </w:rPr>
        <w:t>study</w:t>
      </w:r>
      <w:r>
        <w:rPr>
          <w:szCs w:val="32"/>
        </w:rPr>
        <w:t xml:space="preserve"> plans to fill that lack of </w:t>
      </w:r>
      <w:r w:rsidR="00C704C5">
        <w:rPr>
          <w:szCs w:val="32"/>
        </w:rPr>
        <w:t xml:space="preserve">published </w:t>
      </w:r>
      <w:r>
        <w:rPr>
          <w:szCs w:val="32"/>
        </w:rPr>
        <w:t xml:space="preserve">research by comparing the </w:t>
      </w:r>
      <w:r w:rsidR="00C610DE">
        <w:rPr>
          <w:szCs w:val="32"/>
        </w:rPr>
        <w:t xml:space="preserve">adsorbing rate into soil and the </w:t>
      </w:r>
      <w:r>
        <w:rPr>
          <w:szCs w:val="32"/>
        </w:rPr>
        <w:t xml:space="preserve">leaching rate </w:t>
      </w:r>
      <w:r w:rsidR="00C610DE">
        <w:rPr>
          <w:szCs w:val="32"/>
        </w:rPr>
        <w:t xml:space="preserve">into water </w:t>
      </w:r>
      <w:r>
        <w:rPr>
          <w:szCs w:val="32"/>
        </w:rPr>
        <w:t xml:space="preserve">of LIB metals based on </w:t>
      </w:r>
      <w:r w:rsidR="00F8207C">
        <w:rPr>
          <w:szCs w:val="32"/>
        </w:rPr>
        <w:t xml:space="preserve">the media’s </w:t>
      </w:r>
      <w:r>
        <w:rPr>
          <w:szCs w:val="32"/>
        </w:rPr>
        <w:t>pH.</w:t>
      </w:r>
    </w:p>
    <w:p w14:paraId="2C4AC928" w14:textId="77777777" w:rsidR="00E755A5" w:rsidRDefault="00E755A5">
      <w:pPr>
        <w:rPr>
          <w:szCs w:val="32"/>
        </w:rPr>
      </w:pPr>
      <w:r>
        <w:rPr>
          <w:szCs w:val="32"/>
        </w:rPr>
        <w:br w:type="page"/>
      </w:r>
    </w:p>
    <w:p w14:paraId="718BBC05" w14:textId="6AAA1D74" w:rsidR="00B0503B" w:rsidRPr="002A4ADE" w:rsidRDefault="00F84424" w:rsidP="008F23B0">
      <w:pPr>
        <w:pStyle w:val="Heading1"/>
      </w:pPr>
      <w:bookmarkStart w:id="23" w:name="_Toc71223994"/>
      <w:r>
        <w:lastRenderedPageBreak/>
        <w:t xml:space="preserve">Chapter </w:t>
      </w:r>
      <w:r w:rsidR="00B0503B" w:rsidRPr="002A4ADE">
        <w:t>II</w:t>
      </w:r>
      <w:r w:rsidR="00ED00EF">
        <w:t>I</w:t>
      </w:r>
      <w:r w:rsidR="00B0503B" w:rsidRPr="002A4ADE">
        <w:t xml:space="preserve">: </w:t>
      </w:r>
      <w:r w:rsidR="007878D9">
        <w:t>Experimental Setup and Methods</w:t>
      </w:r>
      <w:bookmarkEnd w:id="23"/>
    </w:p>
    <w:p w14:paraId="7AFC98BC" w14:textId="05AAF8F3" w:rsidR="00B0503B" w:rsidRDefault="00F84424" w:rsidP="00F84424">
      <w:pPr>
        <w:pStyle w:val="Heading2"/>
      </w:pPr>
      <w:bookmarkStart w:id="24" w:name="_Toc71223995"/>
      <w:r>
        <w:t>3.</w:t>
      </w:r>
      <w:r w:rsidR="00C81DD8">
        <w:t xml:space="preserve">1 </w:t>
      </w:r>
      <w:r w:rsidR="00B0503B" w:rsidRPr="002A4ADE">
        <w:t>Introduction</w:t>
      </w:r>
      <w:bookmarkEnd w:id="24"/>
    </w:p>
    <w:p w14:paraId="7059BBC2" w14:textId="58FFFEF9" w:rsidR="00BB10C9" w:rsidRDefault="00444F4A" w:rsidP="00444F4A">
      <w:pPr>
        <w:jc w:val="both"/>
      </w:pPr>
      <w:r>
        <w:tab/>
        <w:t xml:space="preserve">X-Ray Fluorescence Spectroscopy (XRF) technology is over a century old, by Charles G. Barkla and Henry G. J. Moseley, where they discovered X-ray radiation from samples change based on the atomic number of the element </w:t>
      </w:r>
      <w:r>
        <w:fldChar w:fldCharType="begin" w:fldLock="1"/>
      </w:r>
      <w:r w:rsidR="00005A3F">
        <w:instrText>ADDIN CSL_CITATION {"citationItems":[{"id":"ITEM-1","itemData":{"DOI":"10.1002/9781119188230.saseas0620","ISBN":"9781119188230","abstract":"While X-ray fluorescence spectrometry (XRF) has fallen out of favor in a number of sciences, it has seen increasing popularity in archaeology, in part due to portable XRF (pXRF) availability and relatively low cost. Laboratory/desktop XRF, however, is still the mainstay of this technique in archaeology mainly due to the ability to acquire many more elements than portable systems and recent increases in precision and accuracy. The history of the technique is important for understanding its popularity in archaeology, and although the future is unpredictable, it is likely to remain important in twenty-first-century archaeology.","author":[{"dropping-particle":"","family":"Shackley","given":"M. Steven","non-dropping-particle":"","parse-names":false,"suffix":""}],"container-title":"The Encyclopedia of Archaeological Sciences","id":"ITEM-1","issued":{"date-parts":[["2018"]]},"page":"1-5","title":"X-Ray fluorescence spectrometry (XRF)","type":"article-journal"},"uris":["http://www.mendeley.com/documents/?uuid=1b749b04-d668-4fc0-827d-c87149a8b759"]}],"mendeley":{"formattedCitation":"(Shackley, 2018)","plainTextFormattedCitation":"(Shackley, 2018)","previouslyFormattedCitation":"(Shackley, 2018)"},"properties":{"noteIndex":0},"schema":"https://github.com/citation-style-language/schema/raw/master/csl-citation.json"}</w:instrText>
      </w:r>
      <w:r>
        <w:fldChar w:fldCharType="separate"/>
      </w:r>
      <w:r w:rsidRPr="00444F4A">
        <w:rPr>
          <w:noProof/>
        </w:rPr>
        <w:t>(Shackley, 2018)</w:t>
      </w:r>
      <w:r>
        <w:fldChar w:fldCharType="end"/>
      </w:r>
      <w:r>
        <w:t>.  However, it was not until the mid- to late- 20</w:t>
      </w:r>
      <w:r w:rsidRPr="00444F4A">
        <w:rPr>
          <w:vertAlign w:val="superscript"/>
        </w:rPr>
        <w:t>th</w:t>
      </w:r>
      <w:r>
        <w:t xml:space="preserve"> Century that XRF technology expanded exponentially into the </w:t>
      </w:r>
      <w:r w:rsidR="00005A3F">
        <w:t>field and laboratory use that is seen today.</w:t>
      </w:r>
      <w:r w:rsidR="0058582D">
        <w:t xml:space="preserve">  The use for XRF instruments ranges from environmental assessments of contaminated sites, metal recycling plants, mining, industrial, and military use </w:t>
      </w:r>
      <w:r w:rsidR="0058582D">
        <w:fldChar w:fldCharType="begin" w:fldLock="1"/>
      </w:r>
      <w:r w:rsidR="00E64F04">
        <w:instrText>ADDIN CSL_CITATION {"citationItems":[{"id":"ITEM-1","itemData":{"author":[{"dropping-particle":"","family":"Crook","given":"Vincent","non-dropping-particle":"","parse-names":false,"suffix":""},{"dropping-particle":"","family":"Simpson","given":"Penny","non-dropping-particle":"","parse-names":false,"suffix":""},{"dropping-particle":"","family":"Rawson","given":"Beth","non-dropping-particle":"","parse-names":false,"suffix":""},{"dropping-particle":"","family":"Wake","given":"Derrick","non-dropping-particle":"","parse-names":false,"suffix":""}],"container-title":"Health and Safety Laboratory","id":"ITEM-1","issued":{"date-parts":[["2006"]]},"page":"49","title":"Investigation of PXRF procedures for measuring contaminated land","type":"article-journal","volume":"102"},"uris":["http://www.mendeley.com/documents/?uuid=75f7d547-6339-403e-b267-f5ad92e7509f"]},{"id":"ITEM-2","itemData":{"DOI":"10.1016/j.envpol.2005.11.013","ISSN":"02697491","PMID":"16406626","abstract":"Total concentrations of Cu, Pb, As, Cd, Zn, Fe, Ni and Mn were determined for 81 soil samples using two types of field portable X-ray fluorescence (FPXRF) system; dual isotope and X-ray tube. FPXRF metal concentrations were statistically compared with analytical results from aqua regia extractions followed by Inductively Coupled Plasma-Optical Emission Spectrometry (ICP-OES) analysis. The ability of each FPXRF instrument to produce analytical results comparable to the reference method was assessed by linear regression. A high degree of linearity was found for Fe and Pb with the X-ray tube instrument and for Fe, Cu, Pb, Zn, Cd and Mn with the dual source instrument. FPXRF analyser performance improved with increased analysis time for Cu, Mn and Pb, whilst Fe, Zn, Cd, Ni and As showed no significant improvement. Particle size did not influence FPXRF analyser performance. Both the dual isotope and the X-ray tube FPXRF instruments are effective tools for rapid, quantitative assessment of soil metal contamination and for monitoring the efficacy of remediation strategies. © 2005 Elsevier Ltd. All rights reserved.","author":[{"dropping-particle":"","family":"Kilbride","given":"C.","non-dropping-particle":"","parse-names":false,"suffix":""},{"dropping-particle":"","family":"Poole","given":"J.","non-dropping-particle":"","parse-names":false,"suffix":""},{"dropping-particle":"","family":"Hutchings","given":"T. R.","non-dropping-particle":"","parse-names":false,"suffix":""}],"container-title":"Environmental Pollution","id":"ITEM-2","issue":"1","issued":{"date-parts":[["2006"]]},"page":"16-23","title":"A comparison of Cu, Pb, As, Cd, Zn, Fe, Ni and Mn determined by acid extraction/ICP-OES and ex situ field portable X-ray fluorescence analyses","type":"article-journal","volume":"143"},"uris":["http://www.mendeley.com/documents/?uuid=c0df58f5-e552-40cb-85c1-72738f172483"]},{"id":"ITEM-3","itemData":{"DOI":"10.1097/SS0000000000000067","author":[{"dropping-particle":"","family":"Coronel","given":"Eric G.","non-dropping-particle":"","parse-names":false,"suffix":""},{"dropping-particle":"","family":"Bair","given":"Daniel A.","non-dropping-particle":"","parse-names":false,"suffix":""},{"dropping-particle":"","family":"Brown","given":"Clifford T.","non-dropping-particle":"","parse-names":false,"suffix":""},{"dropping-particle":"","family":"Terry","given":"Richard E.","non-dropping-particle":"","parse-names":false,"suffix":""}],"container-title":"Soil Science","id":"ITEM-3","issue":"5","issued":{"date-parts":[["2014"]]},"page":"258-271","title":"Utility and limitations of portable X-ray fluorescence and field laboratory conditions on the geochemical analysis of soils and floors at areas of known human activities","type":"article-journal","volume":"175"},"uris":["http://www.mendeley.com/documents/?uuid=a11f4c72-8377-4def-8a07-634437933f1a"]},{"id":"ITEM-4","itemData":{"DOI":"10.1016/j.envpol.2016.03.055","ISSN":"18736424","PMID":"27100216","abstract":"This research evaluates the analytical capabilities of a field portable X-ray fluorescence spectrometer (pXRF) for the measurement of contaminated soil samples using a matrix-matched calibration. The calibrated pXRF generated exceptional data quality from the measurement of ten soil reference materials. Elemental recoveries improved for all 11 elements post-calibration with reduced measurement variation and detection limits in most cases. Measurement repeatability of reference values ranged between 0.2 and 10% relative standard deviation, while the majority (82%) of reference recoveries were between 90 and 110%. Definitive data quality, the highest of the US EPA's three level quality ranking, was achieved for 15 of 19 elemental datasets. Measurement comparability against inductively coupled plasma atomic emission spectrometry (ICP-AES) values was excellent for most elements (e.g, r2 0.999 for Mn and Pb, r2 &gt; 0.995 for Cu, Zn and Cd). Parallel measurement of reference materials revealed ICP-AES and ICP-MS measured Ti and Cr poorly when compared to pXRF. Individual recoveries of soil reference materials by both ICP-AES and pXRF showed that pXRF was equivalent to or better than ICP-AES values for all but two elements (Ni, As). This study demonstrates pXRF as a suitable alternative to ICP-AES analysis in the measurement of Ti, Cr, Mn, Fe, Cu, Zn, Sr, Cd, and Pb in metal-contaminated soils. Where funds are limited, pXRF provides a low-cost, high quality solution to increasing sample density for a more complete geochemical investigation.","author":[{"dropping-particle":"","family":"Rouillon","given":"Marek","non-dropping-particle":"","parse-names":false,"suffix":""},{"dropping-particle":"","family":"Taylor","given":"Mark P.","non-dropping-particle":"","parse-names":false,"suffix":""}],"container-title":"Environmental Pollution","id":"ITEM-4","issued":{"date-parts":[["2016"]]},"page":"255-264","publisher":"Elsevier Ltd","title":"Can field portable X-ray fluorescence (pXRF) produce high quality data for application in environmental contamination research?","type":"article-journal","volume":"214"},"uris":["http://www.mendeley.com/documents/?uuid=511946f7-9b31-48f9-b918-e737dec293a4"]},{"id":"ITEM-5","itemData":{"abstract":"Lithium manganese oxide cathode and graphite anode based batteries are sought after for high power applications like electric vehicles and energy storage due to their high capacity, low cost and low toxicity. However, there are well-documented problems with capacity fade and cycle life for this battery chemistry, caused by the dissolution of divalent manganese from the cathode surface and deposition of dissolved manganese onto the anode. Dissolution of manganese from the LiMn2O4 surface into the electrolyte leads to a progressive decrease in the cathode material available for lithium intercalation. A key to improving the retention of manganese is to understand the reactions that occur at the cathode surface. Tunneling electron microscopy imaging has shown the presence of a layer of electrolyte decomposition products at the cathode surface, but no experimental composition analysis has been possible due to the thinness and delicacy of this layer. Most commercial cells use electrolyte additives to develop a stable solid- electrolyte interface layer (SEI) on the surface of the anode to increase cycle life. The speciation and reaction mechanisms of these electrolyte additives are however not well understood. Moreover, the fate of the dissolved manganese atoms on the surface of the anode is still highly debated. To bridge this knowledge gap, in this dissertation reactive force field-based molecular dynamics was applied to investigate the reactions occurring at the LiMn2O4 battery electrode-electrolyte interfaces and the mechanisms of manganese dissolution. Currently, there is no molecular dynamics (MD) force field parameterized for manganese that enables the study of this electrochemical system using computational methods. The ReaxFF model is a reactive force field that can be used to simulate the formation and dissociation of chemical bonds, and thereby help to reveal the dynamic surface reaction chemistry at the electrodes. The ReaxFF model is optimized to reproduce the density functional theory (DFT)-derived energetics of the elemental species comprising the LiMn2O4 battery cell. The force field was validated against experimental data for high temperature methane oxidation over manganese oxide surfaces. The developed model predicts the complete oxidation of methane to CO2 and H2O by removal of lattice oxygen atoms, as observed in experiments. The developed force field was used to study the anode and cathode half cells of the LiMn2O4 based battery. The stud…","author":[{"dropping-particle":"","family":"Reddivari","given":"Sahithya","non-dropping-particle":"","parse-names":false,"suffix":""}],"id":"ITEM-5","issued":{"date-parts":[["2016"]]},"page":"1-131","title":"Electrode-electrolyte Interface Layers in Lithium Ion Batteries using Reactive Force Field Based Molecular Dynamics.","type":"article-journal"},"uris":["http://www.mendeley.com/documents/?uuid=6b7f30c2-0313-42ce-9207-2003f1cd2794"]},{"id":"ITEM-6","itemData":{"DOI":"10.1007/s11368-015-1252-x","ISSN":"16147480","abstract":"Purpose: Field portable X-ray fluorescence (FPXRF) technology can offer a rapid and cost-effective determination of the total elemental concentrations in soils. The aims of this study were (i) to test the capability of FPXRF to predict the element concentrations of a very large soil sample set and (ii) to assess the influence of soil moisture, known to strongly affect the quality of FPXRF analyses. Materials and methods: A large set of 215 soil samples were analysed for Ba, Ca, Cr, Cu, Fe, Mn, Pb, Rb, Sn, Sr and Zn by inductively coupled plasma atomic emission spectroscopy (ICPAES) after aqua regia digestion and with a FPXRF analyser using a short acquisition time. Soil samples were then saturated with ultrapure water to test the influence of soil water content on FPXRF signal. Results and discussion: For all of the elements, the total concentrations obtained with ICPAES and FPXRF showed a very high degree of linearity, indicating that FPXRF can effectively predict element concentrations in soils. A Lambert-Beer law was successfully used to describe the decrease in the FPXRF concentrations with increasing soil moisture. The attenuation coefficient obtained for each element allowed us to satisfactorily predict the FPXRF concentrations of samples for water contents as high as 136.8 %. Conclusions: These results show that the effect of water on signal attenuation can be corrected and that FPXRF may gradually replace chemical methods for the analysis of environmental samples.","author":[{"dropping-particle":"","family":"Schneider","given":"Arnaud Robin","non-dropping-particle":"","parse-names":false,"suffix":""},{"dropping-particle":"","family":"Cancès","given":"Benjamin","non-dropping-particle":"","parse-names":false,"suffix":""},{"dropping-particle":"","family":"Breton","given":"Clément","non-dropping-particle":"","parse-names":false,"suffix":""},{"dropping-particle":"","family":"Ponthieu","given":"Marie","non-dropping-particle":"","parse-names":false,"suffix":""},{"dropping-particle":"","family":"Morvan","given":"Xavier","non-dropping-particle":"","parse-names":false,"suffix":""},{"dropping-particle":"","family":"Conreux","given":"Alexandra","non-dropping-particle":"","parse-names":false,"suffix":""},{"dropping-particle":"","family":"Marin","given":"Béatrice","non-dropping-particle":"","parse-names":false,"suffix":""}],"container-title":"Journal of Soils and Sediments","id":"ITEM-6","issue":"2","issued":{"date-parts":[["2016"]]},"page":"438-448","title":"Comparison of field portable XRF and aqua regia/ICPAES soil analysis and evaluation of soil moisture influence on FPXRF results","type":"article-journal","volume":"16"},"uris":["http://www.mendeley.com/documents/?uuid=fc53a5c2-719f-4c14-8cdb-2d9f306a8876"]},{"id":"ITEM-7","itemData":{"DOI":"10.1002/9781119188230.saseas0620","ISBN":"9781119188230","abstract":"While X-ray fluorescence spectrometry (XRF) has fallen out of favor in a number of sciences, it has seen increasing popularity in archaeology, in part due to portable XRF (pXRF) availability and relatively low cost. Laboratory/desktop XRF, however, is still the mainstay of this technique in archaeology mainly due to the ability to acquire many more elements than portable systems and recent increases in precision and accuracy. The history of the technique is important for understanding its popularity in archaeology, and although the future is unpredictable, it is likely to remain important in twenty-first-century archaeology.","author":[{"dropping-particle":"","family":"Shackley","given":"M. Steven","non-dropping-particle":"","parse-names":false,"suffix":""}],"container-title":"The Encyclopedia of Archaeological Sciences","id":"ITEM-7","issued":{"date-parts":[["2018"]]},"page":"1-5","title":"X-Ray fluorescence spectrometry (XRF)","type":"article-journal"},"uris":["http://www.mendeley.com/documents/?uuid=1b749b04-d668-4fc0-827d-c87149a8b759"]}],"mendeley":{"formattedCitation":"(Coronel et al., 2014; Crook et al., 2006; Kilbride et al., 2006; Reddivari, 2016; Rouillon &amp; Taylor, 2016; Schneider et al., 2016; Shackley, 2018)","plainTextFormattedCitation":"(Coronel et al., 2014; Crook et al., 2006; Kilbride et al., 2006; Reddivari, 2016; Rouillon &amp; Taylor, 2016; Schneider et al., 2016; Shackley, 2018)","previouslyFormattedCitation":"(Coronel et al., 2014; Crook et al., 2006; Kilbride et al., 2006; Reddivari, 2016; Rouillon &amp; Taylor, 2016; Schneider et al., 2016; Shackley, 2018)"},"properties":{"noteIndex":0},"schema":"https://github.com/citation-style-language/schema/raw/master/csl-citation.json"}</w:instrText>
      </w:r>
      <w:r w:rsidR="0058582D">
        <w:fldChar w:fldCharType="separate"/>
      </w:r>
      <w:r w:rsidR="0058582D" w:rsidRPr="00843059">
        <w:rPr>
          <w:noProof/>
        </w:rPr>
        <w:t>(Coronel et al., 2014; Crook et al., 2006; Kilbride et al., 2006; Reddivari, 2016; Rouillon &amp; Taylor, 2016; Schneider et al., 2016; Shackley, 2018)</w:t>
      </w:r>
      <w:r w:rsidR="0058582D">
        <w:fldChar w:fldCharType="end"/>
      </w:r>
      <w:r w:rsidR="0058582D">
        <w:t>.</w:t>
      </w:r>
      <w:r w:rsidR="00005A3F">
        <w:t xml:space="preserve">  </w:t>
      </w:r>
      <w:r w:rsidR="00493777">
        <w:t xml:space="preserve">Present </w:t>
      </w:r>
      <w:r w:rsidR="00005A3F">
        <w:t xml:space="preserve">XRF technology uses high-energy photons from the X-ray tube to excite electrons in the samples, which causes the fluorescence of secondary X-rays back to the spectrometer housed in the instrument.  Each individual element, regardless of chemical bonds, emits its own specific secondary X-rays to distinguish it from other elements and based on the intensity of the spectrum peaks, the concentration in the sample can be found </w:t>
      </w:r>
      <w:r w:rsidR="00005A3F">
        <w:fldChar w:fldCharType="begin" w:fldLock="1"/>
      </w:r>
      <w:r w:rsidR="00876F1B">
        <w:instrText>ADDIN CSL_CITATION {"citationItems":[{"id":"ITEM-1","itemData":{"author":[{"dropping-particle":"","family":"Davis","given":"M. K.","non-dropping-particle":"","parse-names":false,"suffix":""},{"dropping-particle":"","family":"Jackson","given":"T. L.","non-dropping-particle":"","parse-names":false,"suffix":""},{"dropping-particle":"","family":"Shackley","given":"M. S.","non-dropping-particle":"","parse-names":false,"suffix":""},{"dropping-particle":"","family":"Teague","given":"T.","non-dropping-particle":"","parse-names":false,"suffix":""},{"dropping-particle":"","family":"Hampel","given":"J. H.","non-dropping-particle":"","parse-names":false,"suffix":""}],"container-title":"X-ray Fluorescence Spectrometry (XRF) in Geoarchaeology","id":"ITEM-1","issued":{"date-parts":[["2011"]]},"page":"45-63","publisher":"Springer Press","title":"Chapter 3: Factors affecting the energy-dispersive X-ray fluorescence (EDXRF) analysis of archaeological obsidian","type":"chapter"},"uris":["http://www.mendeley.com/documents/?uuid=3edfc668-0ac8-4dcc-aec7-13ebbd9a23fb"]}],"mendeley":{"formattedCitation":"(Davis et al., 2011)","plainTextFormattedCitation":"(Davis et al., 2011)","previouslyFormattedCitation":"(Davis et al., 2011)"},"properties":{"noteIndex":0},"schema":"https://github.com/citation-style-language/schema/raw/master/csl-citation.json"}</w:instrText>
      </w:r>
      <w:r w:rsidR="00005A3F">
        <w:fldChar w:fldCharType="separate"/>
      </w:r>
      <w:r w:rsidR="00005A3F" w:rsidRPr="00005A3F">
        <w:rPr>
          <w:noProof/>
        </w:rPr>
        <w:t>(Davis et al., 2011)</w:t>
      </w:r>
      <w:r w:rsidR="00005A3F">
        <w:fldChar w:fldCharType="end"/>
      </w:r>
      <w:r w:rsidR="00005A3F">
        <w:t xml:space="preserve">.  Unlike </w:t>
      </w:r>
      <w:r w:rsidR="00915D06">
        <w:t>other elemental analytical technology and procedures, including traditional XRF analysis, the field portable XRF instrument used in this study does not require destructive sample preparation,</w:t>
      </w:r>
      <w:r w:rsidR="0058582D">
        <w:t xml:space="preserve"> for analytical methods such as</w:t>
      </w:r>
      <w:r w:rsidR="00915D06">
        <w:t xml:space="preserve"> </w:t>
      </w:r>
      <w:r w:rsidR="00E66AFF">
        <w:t xml:space="preserve">inductively coupled plasma </w:t>
      </w:r>
      <w:r w:rsidR="00915D06">
        <w:t xml:space="preserve">mass spectrometry </w:t>
      </w:r>
      <w:r w:rsidR="00876F1B">
        <w:t xml:space="preserve">and atomic absorption </w:t>
      </w:r>
      <w:r w:rsidR="00876F1B">
        <w:fldChar w:fldCharType="begin" w:fldLock="1"/>
      </w:r>
      <w:r w:rsidR="00547C97">
        <w:instrText>ADDIN CSL_CITATION {"citationItems":[{"id":"ITEM-1","itemData":{"DOI":"10.18686/esta.v4i1.36","ISSN":"2251-2608","abstract":"&lt;p&gt;Soil ,the carrier of agricultural production and important part of the ecological environment, is heavily contaminated with hazards heavy metals. Therefore, it is oblige to research analytical techniques that could efficiently determine the total content of heavy metals in soil. The determination of heavy metals in soil was disturbed by matrix elements or spectral interferences . In this study , this problem was solved by internal standard method . GBW07402</w:instrText>
      </w:r>
      <w:r w:rsidR="00547C97">
        <w:rPr>
          <w:rFonts w:ascii="MS Gothic" w:eastAsia="MS Gothic" w:hAnsi="MS Gothic" w:cs="MS Gothic" w:hint="eastAsia"/>
        </w:rPr>
        <w:instrText>、</w:instrText>
      </w:r>
      <w:r w:rsidR="00547C97">
        <w:instrText>GBW07448</w:instrText>
      </w:r>
      <w:r w:rsidR="00547C97">
        <w:rPr>
          <w:rFonts w:ascii="MS Gothic" w:eastAsia="MS Gothic" w:hAnsi="MS Gothic" w:cs="MS Gothic" w:hint="eastAsia"/>
        </w:rPr>
        <w:instrText>、</w:instrText>
      </w:r>
      <w:r w:rsidR="00547C97">
        <w:instrText>GBW07423</w:instrText>
      </w:r>
      <w:r w:rsidR="00547C97">
        <w:rPr>
          <w:rFonts w:ascii="MS Gothic" w:eastAsia="MS Gothic" w:hAnsi="MS Gothic" w:cs="MS Gothic" w:hint="eastAsia"/>
        </w:rPr>
        <w:instrText>、</w:instrText>
      </w:r>
      <w:r w:rsidR="00547C97">
        <w:instrText>GBW07428</w:instrText>
      </w:r>
      <w:r w:rsidR="00547C97">
        <w:rPr>
          <w:rFonts w:ascii="MS Gothic" w:eastAsia="MS Gothic" w:hAnsi="MS Gothic" w:cs="MS Gothic" w:hint="eastAsia"/>
        </w:rPr>
        <w:instrText>、</w:instrText>
      </w:r>
      <w:r w:rsidR="00547C97">
        <w:instrText>GBW074079 soil sample were chosen to be the Certified Reference Materials, soils was prepared by microwave digestion with mixed acid following analyzed for determination the content</w:instrText>
      </w:r>
      <w:r w:rsidR="00547C97">
        <w:rPr>
          <w:rFonts w:ascii="MS Gothic" w:eastAsia="MS Gothic" w:hAnsi="MS Gothic" w:cs="MS Gothic" w:hint="eastAsia"/>
        </w:rPr>
        <w:instrText>（</w:instrText>
      </w:r>
      <w:r w:rsidR="00547C97">
        <w:instrText xml:space="preserve">Cr,Cu, Pb,Ba,Ni,Mn </w:instrText>
      </w:r>
      <w:r w:rsidR="00547C97">
        <w:rPr>
          <w:rFonts w:ascii="MS Gothic" w:eastAsia="MS Gothic" w:hAnsi="MS Gothic" w:cs="MS Gothic" w:hint="eastAsia"/>
        </w:rPr>
        <w:instrText>）</w:instrText>
      </w:r>
      <w:r w:rsidR="00547C97">
        <w:instrText xml:space="preserve"> by Inductively coupled plasma mass spectrometric in 50ug/L internal standard concentration, the method was validated by compared with certified values </w:instrText>
      </w:r>
      <w:r w:rsidR="00547C97">
        <w:rPr>
          <w:rFonts w:ascii="MS Gothic" w:eastAsia="MS Gothic" w:hAnsi="MS Gothic" w:cs="MS Gothic" w:hint="eastAsia"/>
        </w:rPr>
        <w:instrText>、</w:instrText>
      </w:r>
      <w:r w:rsidR="00547C97">
        <w:instrText>method contrast(standard addition method versus internal standard method scan the same prepared solution ) and recovery check. The results of internal standard method are in excellent agreement with the indicative values and the date obtained from standard addition method, respectively. Recoveries were adequate being in the acceptable range of 90-99% and RSD of &amp;lt;6.7 % for all the elements at three level of 5,20 and 50mg/kg with quantified by standard addition method and internal standard method .Finally, The graphy of quality control(n=100)were obtained to guide internal quality control in laboratory&lt;/p&gt;","author":[{"dropping-particle":"","family":"Mao","given":"Jingchun","non-dropping-particle":"","parse-names":false,"suffix":""},{"dropping-particle":"","family":"Liu","given":"Xinyue","non-dropping-particle":"","parse-names":false,"suffix":""},{"dropping-particle":"","family":"Chen","given":"Bao","non-dropping-particle":"","parse-names":false,"suffix":""},{"dropping-particle":"","family":"Luo","given":"Famei","non-dropping-particle":"","parse-names":false,"suffix":""},{"dropping-particle":"","family":"Wu","given":"Xudong","non-dropping-particle":"","parse-names":false,"suffix":""},{"dropping-particle":"","family":"Jiang","given":"Donghua","non-dropping-particle":"","parse-names":false,"suffix":""},{"dropping-particle":"","family":"Luo","given":"Zhenggang","non-dropping-particle":"","parse-names":false,"suffix":""}],"container-title":"Electronics Science Technology and Application","id":"ITEM-1","issue":"1","issued":{"date-parts":[["2017"]]},"page":"23-31","title":"Determination of heavy metals in soil by inductively coupled plasma mass spectrometry (ICP-MS) with internal standard method","type":"article-journal","volume":"4"},"uris":["http://www.mendeley.com/documents/?uuid=d3636ed8-a7b3-4085-bacd-f5634f0c800b"]},{"id":"ITEM-2","itemData":{"author":[{"dropping-particle":"","family":"Davis","given":"M. K.","non-dropping-particle":"","parse-names":false,"suffix":""},{"dropping-particle":"","family":"Jackson","given":"T. L.","non-dropping-particle":"","parse-names":false,"suffix":""},{"dropping-particle":"","family":"Shackley","given":"M. S.","non-dropping-particle":"","parse-names":false,"suffix":""},{"dropping-particle":"","family":"Teague","given":"T.","non-dropping-particle":"","parse-names":false,"suffix":""},{"dropping-particle":"","family":"Hampel","given":"J. H.","non-dropping-particle":"","parse-names":false,"suffix":""}],"container-title":"X-ray Fluorescence Spectrometry (XRF) in Geoarchaeology","id":"ITEM-2","issued":{"date-parts":[["2011"]]},"page":"45-63","publisher":"Springer Press","title":"Chapter 3: Factors affecting the energy-dispersive X-ray fluorescence (EDXRF) analysis of archaeological obsidian","type":"chapter"},"uris":["http://www.mendeley.com/documents/?uuid=3edfc668-0ac8-4dcc-aec7-13ebbd9a23fb"]},{"id":"ITEM-3","itemData":{"DOI":"10.1186/s40543-016-0085-6","ISSN":"20933371","abstract":"Background: Traditional medicine mainly of herbal origin is widely used all around the world. Heavy metal contamination in such products is frequently reported. Accumulation of heavy metals in the human body leads to various health hazards. Thus, precise determination for such contaminants is required for safety assurance. Sample preparation is a significant step in spectroscopic analysis to achieve reliable and accurate results. Wet digestion methods are basically used for the dissolution of herbal product samples prior to elemental analysis. Methods: This study has been designed to evaluate the efficiency of three acid digestion methods using different solvents. Five samples were digested with three different acid digestion methods namely method A (a combination of nitric-perchloric acids HNO3–HClO4 in a ratio 2:1), method B (only nitric acid HNO3), and method C (a mixture of nitric-hydrochloric acids HNO3–HCl in a ratio 1:3), to recommend the most efficient digestion method that gains the highest analyte recovery. The analysis of arsenic (As), cadmium (Cd), lead (Pb), nickel (Ni), zinc (Zn), and iron (Fe) was conducted using various techniques of atomic absorption spectrometry (AAS). Results: The statistical analysis revealed that method C which represented the combination of nitric-hydrochloric acids HNO3–HCl in a ratio 1:3 was the most efficient digestion method for herbal product samples as it had given a significant high recovery (p &lt; 0.05) for all metals compared to method A and method B. Accuracy of the proposed method was evaluated by the analysis of standard reference material (SRM) 1515 Apple Leaves from the National Institute of Standards and Technology (NIST) which presented good recoveries for all metals ranging from 94.5 to 108 %. Conclusion: Method C provides highest recovery for all the analytes under investigation using AAS in herbal medicine samples. [Figure not available: see fulltext.].","author":[{"dropping-particle":"","family":"Uddin","given":"Abm Helal","non-dropping-particle":"","parse-names":false,"suffix":""},{"dropping-particle":"","family":"Khalid","given":"Reem Saadi","non-dropping-particle":"","parse-names":false,"suffix":""},{"dropping-particle":"","family":"Alaama","given":"Mohamed","non-dropping-particle":"","parse-names":false,"suffix":""},{"dropping-particle":"","family":"Abdualkader","given":"Abdualrahman M.","non-dropping-particle":"","parse-names":false,"suffix":""},{"dropping-particle":"","family":"Kasmuri","given":"Abdulrazak","non-dropping-particle":"","parse-names":false,"suffix":""},{"dropping-particle":"","family":"Abbas","given":"S. A.","non-dropping-particle":"","parse-names":false,"suffix":""}],"container-title":"Journal of Analytical Science and Technology","id":"ITEM-3","issue":"1","issued":{"date-parts":[["2016"]]},"publisher":"Journal of Analytical Science and Technology","title":"Comparative study of three digestion methods for elemental analysis in traditional medicine products using atomic absorption spectrometry","type":"article-journal","volume":"7"},"uris":["http://www.mendeley.com/documents/?uuid=83db5e1f-7409-4188-ae64-d6cc5e28a370"]},{"id":"ITEM-4","itemData":{"DOI":"10.1080/05704928.2012.682285","author":[{"dropping-particle":"","family":"Udristioiu","given":"Florin","non-dropping-particle":"","parse-names":false,"suffix":""},{"dropping-particle":"","family":"Bunaciu","given":"Andrei A","non-dropping-particle":"","parse-names":false,"suffix":""},{"dropping-particle":"","family":"Tanase","given":"I. GH.","non-dropping-particle":"","parse-names":false,"suffix":""},{"dropping-particle":"","family":"Aboul-Enein","given":"Hassan","non-dropping-particle":"","parse-names":false,"suffix":""}],"container-title":"Applied Spectroscopy Reviews","id":"ITEM-4","issue":"7","issued":{"date-parts":[["2014"]]},"page":"550-570","title":"Paper Analysis : Nondestructive and Destructive Analytical Methods","type":"article-journal","volume":"47"},"uris":["http://www.mendeley.com/documents/?uuid=1c172539-e997-4a03-9843-170714691c0b"]}],"mendeley":{"formattedCitation":"(Davis et al., 2011; Mao et al., 2017; Uddin et al., 2016; Udristioiu et al., 2014)","plainTextFormattedCitation":"(Davis et al., 2011; Mao et al., 2017; Uddin et al., 2016; Udristioiu et al., 2014)","previouslyFormattedCitation":"(Davis et al., 2011; Mao et al., 2017; Uddin et al., 2016; Udristioiu et al., 2014)"},"properties":{"noteIndex":0},"schema":"https://github.com/citation-style-language/schema/raw/master/csl-citation.json"}</w:instrText>
      </w:r>
      <w:r w:rsidR="00876F1B">
        <w:fldChar w:fldCharType="separate"/>
      </w:r>
      <w:r w:rsidR="00886A67" w:rsidRPr="00886A67">
        <w:rPr>
          <w:noProof/>
        </w:rPr>
        <w:t>(Davis et al., 2011; Mao et al., 2017; Uddin et al., 2016; Udristioiu et al., 2014)</w:t>
      </w:r>
      <w:r w:rsidR="00876F1B">
        <w:fldChar w:fldCharType="end"/>
      </w:r>
      <w:r w:rsidR="00876F1B">
        <w:t xml:space="preserve">.  </w:t>
      </w:r>
      <w:r w:rsidR="00E66AFF">
        <w:t xml:space="preserve">This non-destructive analysis of samples allows for quick and easy analysis with little to no sample preparation required and for samples to be saved for future analysis by other instruments if desired </w:t>
      </w:r>
      <w:r w:rsidR="00E66AFF">
        <w:fldChar w:fldCharType="begin" w:fldLock="1"/>
      </w:r>
      <w:r w:rsidR="00843059">
        <w:instrText>ADDIN CSL_CITATION {"citationItems":[{"id":"ITEM-1","itemData":{"DOI":"10.1002/9781119188230.saseas0620","ISBN":"9781119188230","abstract":"While X-ray fluorescence spectrometry (XRF) has fallen out of favor in a number of sciences, it has seen increasing popularity in archaeology, in part due to portable XRF (pXRF) availability and relatively low cost. Laboratory/desktop XRF, however, is still the mainstay of this technique in archaeology mainly due to the ability to acquire many more elements than portable systems and recent increases in precision and accuracy. The history of the technique is important for understanding its popularity in archaeology, and although the future is unpredictable, it is likely to remain important in twenty-first-century archaeology.","author":[{"dropping-particle":"","family":"Shackley","given":"M. Steven","non-dropping-particle":"","parse-names":false,"suffix":""}],"container-title":"The Encyclopedia of Archaeological Sciences","id":"ITEM-1","issued":{"date-parts":[["2018"]]},"page":"1-5","title":"X-Ray fluorescence spectrometry (XRF)","type":"article-journal"},"uris":["http://www.mendeley.com/documents/?uuid=1b749b04-d668-4fc0-827d-c87149a8b759"]}],"mendeley":{"formattedCitation":"(Shackley, 2018)","plainTextFormattedCitation":"(Shackley, 2018)","previouslyFormattedCitation":"(Shackley, 2018)"},"properties":{"noteIndex":0},"schema":"https://github.com/citation-style-language/schema/raw/master/csl-citation.json"}</w:instrText>
      </w:r>
      <w:r w:rsidR="00E66AFF">
        <w:fldChar w:fldCharType="separate"/>
      </w:r>
      <w:r w:rsidR="00E66AFF" w:rsidRPr="00E66AFF">
        <w:rPr>
          <w:noProof/>
        </w:rPr>
        <w:t>(Shackley, 2018)</w:t>
      </w:r>
      <w:r w:rsidR="00E66AFF">
        <w:fldChar w:fldCharType="end"/>
      </w:r>
      <w:r w:rsidR="00E66AFF">
        <w:t>.</w:t>
      </w:r>
      <w:r w:rsidR="00493777">
        <w:t xml:space="preserve">  </w:t>
      </w:r>
    </w:p>
    <w:p w14:paraId="6FE56DE5" w14:textId="77777777" w:rsidR="00BD23B5" w:rsidRDefault="00BD23B5" w:rsidP="00444F4A">
      <w:pPr>
        <w:jc w:val="both"/>
      </w:pPr>
    </w:p>
    <w:p w14:paraId="7CEE4598" w14:textId="0717ED84" w:rsidR="00B0503B" w:rsidRPr="002A4ADE" w:rsidRDefault="00F84424" w:rsidP="00F84424">
      <w:pPr>
        <w:pStyle w:val="Heading3"/>
        <w:numPr>
          <w:ilvl w:val="0"/>
          <w:numId w:val="0"/>
        </w:numPr>
      </w:pPr>
      <w:bookmarkStart w:id="25" w:name="_Toc71223996"/>
      <w:r>
        <w:lastRenderedPageBreak/>
        <w:t>3.1</w:t>
      </w:r>
      <w:r w:rsidR="00C81DD8">
        <w:t xml:space="preserve">.1 </w:t>
      </w:r>
      <w:r w:rsidR="002A4BE9">
        <w:t>XRF Technology for Soil Analysis</w:t>
      </w:r>
      <w:bookmarkEnd w:id="25"/>
    </w:p>
    <w:p w14:paraId="0682F22B" w14:textId="2AB32D9C" w:rsidR="0092538B" w:rsidRDefault="00400B00" w:rsidP="00CD6383">
      <w:pPr>
        <w:jc w:val="both"/>
        <w:rPr>
          <w:rFonts w:cs="Times New Roman"/>
        </w:rPr>
      </w:pPr>
      <w:r>
        <w:tab/>
      </w:r>
      <w:r w:rsidR="00493777">
        <w:t xml:space="preserve">Field portable XRF instruments are </w:t>
      </w:r>
      <w:r w:rsidR="0058582D">
        <w:t>most practical</w:t>
      </w:r>
      <w:r w:rsidR="00493777">
        <w:t xml:space="preserve"> being used in remote locations because of the size and low weight of the instrument</w:t>
      </w:r>
      <w:r w:rsidR="0058582D">
        <w:t xml:space="preserve"> and ease of use.  The XRF is widely used for the detection of trace metals in soils</w:t>
      </w:r>
      <w:r w:rsidR="0078556A">
        <w:t xml:space="preserve"> both in the field and in the laboratory, however, results in the field are generally reported as lower than results acquired in the laboratory.  </w:t>
      </w:r>
      <w:r w:rsidR="00C96602">
        <w:t>Moisture content in the so</w:t>
      </w:r>
      <w:r w:rsidR="00C96602" w:rsidRPr="0092538B">
        <w:rPr>
          <w:rFonts w:cs="Times New Roman"/>
        </w:rPr>
        <w:t xml:space="preserve">il greater than 20% causes X-ray scattering, </w:t>
      </w:r>
      <w:r w:rsidR="0092538B" w:rsidRPr="0092538B">
        <w:rPr>
          <w:rFonts w:cs="Times New Roman"/>
        </w:rPr>
        <w:t xml:space="preserve">which diminishes the detection capabilities of the XRF </w:t>
      </w:r>
      <w:r w:rsidR="00E64F04">
        <w:rPr>
          <w:rFonts w:cs="Times New Roman"/>
        </w:rPr>
        <w:fldChar w:fldCharType="begin" w:fldLock="1"/>
      </w:r>
      <w:r w:rsidR="00E64F04">
        <w:rPr>
          <w:rFonts w:cs="Times New Roman"/>
        </w:rPr>
        <w:instrText>ADDIN CSL_CITATION {"citationItems":[{"id":"ITEM-1","itemData":{"author":[{"dropping-particle":"","family":"Crook","given":"Vincent","non-dropping-particle":"","parse-names":false,"suffix":""},{"dropping-particle":"","family":"Simpson","given":"Penny","non-dropping-particle":"","parse-names":false,"suffix":""},{"dropping-particle":"","family":"Rawson","given":"Beth","non-dropping-particle":"","parse-names":false,"suffix":""},{"dropping-particle":"","family":"Wake","given":"Derrick","non-dropping-particle":"","parse-names":false,"suffix":""}],"container-title":"Health and Safety Laboratory","id":"ITEM-1","issued":{"date-parts":[["2006"]]},"page":"49","title":"Investigation of PXRF procedures for measuring contaminated land","type":"article-journal","volume":"102"},"uris":["http://www.mendeley.com/documents/?uuid=75f7d547-6339-403e-b267-f5ad92e7509f"]},{"id":"ITEM-2","itemData":{"DOI":"10.1007/s11368-015-1252-x","ISSN":"16147480","abstract":"Purpose: Field portable X-ray fluorescence (FPXRF) technology can offer a rapid and cost-effective determination of the total elemental concentrations in soils. The aims of this study were (i) to test the capability of FPXRF to predict the element concentrations of a very large soil sample set and (ii) to assess the influence of soil moisture, known to strongly affect the quality of FPXRF analyses. Materials and methods: A large set of 215 soil samples were analysed for Ba, Ca, Cr, Cu, Fe, Mn, Pb, Rb, Sn, Sr and Zn by inductively coupled plasma atomic emission spectroscopy (ICPAES) after aqua regia digestion and with a FPXRF analyser using a short acquisition time. Soil samples were then saturated with ultrapure water to test the influence of soil water content on FPXRF signal. Results and discussion: For all of the elements, the total concentrations obtained with ICPAES and FPXRF showed a very high degree of linearity, indicating that FPXRF can effectively predict element concentrations in soils. A Lambert-Beer law was successfully used to describe the decrease in the FPXRF concentrations with increasing soil moisture. The attenuation coefficient obtained for each element allowed us to satisfactorily predict the FPXRF concentrations of samples for water contents as high as 136.8 %. Conclusions: These results show that the effect of water on signal attenuation can be corrected and that FPXRF may gradually replace chemical methods for the analysis of environmental samples.","author":[{"dropping-particle":"","family":"Schneider","given":"Arnaud Robin","non-dropping-particle":"","parse-names":false,"suffix":""},{"dropping-particle":"","family":"Cancès","given":"Benjamin","non-dropping-particle":"","parse-names":false,"suffix":""},{"dropping-particle":"","family":"Breton","given":"Clément","non-dropping-particle":"","parse-names":false,"suffix":""},{"dropping-particle":"","family":"Ponthieu","given":"Marie","non-dropping-particle":"","parse-names":false,"suffix":""},{"dropping-particle":"","family":"Morvan","given":"Xavier","non-dropping-particle":"","parse-names":false,"suffix":""},{"dropping-particle":"","family":"Conreux","given":"Alexandra","non-dropping-particle":"","parse-names":false,"suffix":""},{"dropping-particle":"","family":"Marin","given":"Béatrice","non-dropping-particle":"","parse-names":false,"suffix":""}],"container-title":"Journal of Soils and Sediments","id":"ITEM-2","issue":"2","issued":{"date-parts":[["2016"]]},"page":"438-448","title":"Comparison of field portable XRF and aqua regia/ICPAES soil analysis and evaluation of soil moisture influence on FPXRF results","type":"article-journal","volume":"16"},"uris":["http://www.mendeley.com/documents/?uuid=fc53a5c2-719f-4c14-8cdb-2d9f306a8876"]},{"id":"ITEM-3","itemData":{"DOI":"10.14456/kkuenj.2016.24","author":[{"dropping-particle":"","family":"Sahraoui","given":"Hamdi","non-dropping-particle":"","parse-names":false,"suffix":""},{"dropping-particle":"","family":"Hachicha","given":"Mohamed","non-dropping-particle":"","parse-names":false,"suffix":""}],"container-title":"KKU Engineering Journal","id":"ITEM-3","issue":"September","issued":{"date-parts":[["2016"]]},"page":"162-165","title":"Determination of trace elements in mine soil samples using portable X-ray fluorescence spectrometer : A comparative study with ICP-OES Determination of trace elements in mine soil samples using portable X-ray fluorescence","type":"article-journal","volume":"43"},"uris":["http://www.mendeley.com/documents/?uuid=39933082-dd11-498f-af2a-f76fefb9c5b9"]},{"id":"ITEM-4","itemData":{"author":[{"dropping-particle":"","family":"Bastos","given":"R. O.","non-dropping-particle":"","parse-names":false,"suffix":""},{"dropping-particle":"","family":"Melquiades","given":"F. L.","non-dropping-particle":"","parse-names":false,"suffix":""},{"dropping-particle":"V.","family":"Biasi","given":"G. E.","non-dropping-particle":"","parse-names":false,"suffix":""}],"container-title":"X-Ray Spectrometry","id":"ITEM-4","issued":{"date-parts":[["2012"]]},"page":"304-307","title":"Correction for the effect of soil moisture on in situ XRF analysis using low-energy background","type":"article-journal","volume":"41"},"uris":["http://www.mendeley.com/documents/?uuid=e1677bfd-9fed-4f1c-81cd-248915e96f74"]}],"mendeley":{"formattedCitation":"(Bastos et al., 2012; Crook et al., 2006; Sahraoui &amp; Hachicha, 2016; Schneider et al., 2016)","plainTextFormattedCitation":"(Bastos et al., 2012; Crook et al., 2006; Sahraoui &amp; Hachicha, 2016; Schneider et al., 2016)","previouslyFormattedCitation":"(Bastos et al., 2012; Crook et al., 2006; Sahraoui &amp; Hachicha, 2016; Schneider et al., 2016)"},"properties":{"noteIndex":0},"schema":"https://github.com/citation-style-language/schema/raw/master/csl-citation.json"}</w:instrText>
      </w:r>
      <w:r w:rsidR="00E64F04">
        <w:rPr>
          <w:rFonts w:cs="Times New Roman"/>
        </w:rPr>
        <w:fldChar w:fldCharType="separate"/>
      </w:r>
      <w:r w:rsidR="00E64F04" w:rsidRPr="00E64F04">
        <w:rPr>
          <w:rFonts w:cs="Times New Roman"/>
          <w:noProof/>
        </w:rPr>
        <w:t>(Bastos et al., 2012; Crook et al., 2006; Sahraoui &amp; Hachicha, 2016; Schneider et al., 2016)</w:t>
      </w:r>
      <w:r w:rsidR="00E64F04">
        <w:rPr>
          <w:rFonts w:cs="Times New Roman"/>
        </w:rPr>
        <w:fldChar w:fldCharType="end"/>
      </w:r>
      <w:r w:rsidR="0092538B" w:rsidRPr="0092538B">
        <w:rPr>
          <w:rFonts w:cs="Times New Roman"/>
        </w:rPr>
        <w:t xml:space="preserve">. </w:t>
      </w:r>
      <w:r w:rsidR="00E64F04">
        <w:rPr>
          <w:rFonts w:cs="Times New Roman"/>
        </w:rPr>
        <w:t xml:space="preserve"> </w:t>
      </w:r>
      <w:r w:rsidR="00E64F04">
        <w:rPr>
          <w:rFonts w:cs="Times New Roman"/>
          <w:spacing w:val="26"/>
        </w:rPr>
        <w:t>P</w:t>
      </w:r>
      <w:r w:rsidR="0092538B">
        <w:rPr>
          <w:rFonts w:cs="Times New Roman"/>
        </w:rPr>
        <w:t>article size of the soil and organic content both contribute to inaccuracies and increase the limit of detection for multiple elements</w:t>
      </w:r>
      <w:r w:rsidR="00E64F04">
        <w:rPr>
          <w:rFonts w:cs="Times New Roman"/>
        </w:rPr>
        <w:t xml:space="preserve"> </w:t>
      </w:r>
      <w:r w:rsidR="00E64F04">
        <w:rPr>
          <w:rFonts w:cs="Times New Roman"/>
        </w:rPr>
        <w:fldChar w:fldCharType="begin" w:fldLock="1"/>
      </w:r>
      <w:r w:rsidR="00720151">
        <w:rPr>
          <w:rFonts w:cs="Times New Roman"/>
        </w:rPr>
        <w:instrText>ADDIN CSL_CITATION {"citationItems":[{"id":"ITEM-1","itemData":{"author":[{"dropping-particle":"","family":"Crook","given":"Vincent","non-dropping-particle":"","parse-names":false,"suffix":""},{"dropping-particle":"","family":"Simpson","given":"Penny","non-dropping-particle":"","parse-names":false,"suffix":""},{"dropping-particle":"","family":"Rawson","given":"Beth","non-dropping-particle":"","parse-names":false,"suffix":""},{"dropping-particle":"","family":"Wake","given":"Derrick","non-dropping-particle":"","parse-names":false,"suffix":""}],"container-title":"Health and Safety Laboratory","id":"ITEM-1","issued":{"date-parts":[["2006"]]},"page":"49","title":"Investigation of PXRF procedures for measuring contaminated land","type":"article-journal","volume":"102"},"uris":["http://www.mendeley.com/documents/?uuid=75f7d547-6339-403e-b267-f5ad92e7509f"]},{"id":"ITEM-2","itemData":{"DOI":"10.1016/j.envpol.2005.11.013","ISSN":"02697491","PMID":"16406626","abstract":"Total concentrations of Cu, Pb, As, Cd, Zn, Fe, Ni and Mn were determined for 81 soil samples using two types of field portable X-ray fluorescence (FPXRF) system; dual isotope and X-ray tube. FPXRF metal concentrations were statistically compared with analytical results from aqua regia extractions followed by Inductively Coupled Plasma-Optical Emission Spectrometry (ICP-OES) analysis. The ability of each FPXRF instrument to produce analytical results comparable to the reference method was assessed by linear regression. A high degree of linearity was found for Fe and Pb with the X-ray tube instrument and for Fe, Cu, Pb, Zn, Cd and Mn with the dual source instrument. FPXRF analyser performance improved with increased analysis time for Cu, Mn and Pb, whilst Fe, Zn, Cd, Ni and As showed no significant improvement. Particle size did not influence FPXRF analyser performance. Both the dual isotope and the X-ray tube FPXRF instruments are effective tools for rapid, quantitative assessment of soil metal contamination and for monitoring the efficacy of remediation strategies. © 2005 Elsevier Ltd. All rights reserved.","author":[{"dropping-particle":"","family":"Kilbride","given":"C.","non-dropping-particle":"","parse-names":false,"suffix":""},{"dropping-particle":"","family":"Poole","given":"J.","non-dropping-particle":"","parse-names":false,"suffix":""},{"dropping-particle":"","family":"Hutchings","given":"T. R.","non-dropping-particle":"","parse-names":false,"suffix":""}],"container-title":"Environmental Pollution","id":"ITEM-2","issue":"1","issued":{"date-parts":[["2006"]]},"page":"16-23","title":"A comparison of Cu, Pb, As, Cd, Zn, Fe, Ni and Mn determined by acid extraction/ICP-OES and ex situ field portable X-ray fluorescence analyses","type":"article-journal","volume":"143"},"uris":["http://www.mendeley.com/documents/?uuid=c0df58f5-e552-40cb-85c1-72738f172483"]},{"id":"ITEM-3","itemData":{"author":[{"dropping-particle":"","family":"Lin","given":"J","non-dropping-particle":"","parse-names":false,"suffix":""}],"id":"ITEM-3","issued":{"date-parts":[["2009"]]},"publisher":"University of California, Berkeley","title":"Performance of the Thermo Scientific Niton XRF Analyzer: The effects of particle size, length of analysis, water, organic matter, and soil chemistry","type":"thesis"},"uris":["http://www.mendeley.com/documents/?uuid=b9bd5f7c-2549-447f-91c7-6816740b8769"]}],"mendeley":{"formattedCitation":"(Crook et al., 2006; Kilbride et al., 2006; J. Lin, 2009)","plainTextFormattedCitation":"(Crook et al., 2006; Kilbride et al., 2006; J. Lin, 2009)","previouslyFormattedCitation":"(Crook et al., 2006; Kilbride et al., 2006; J. Lin, 2009)"},"properties":{"noteIndex":0},"schema":"https://github.com/citation-style-language/schema/raw/master/csl-citation.json"}</w:instrText>
      </w:r>
      <w:r w:rsidR="00E64F04">
        <w:rPr>
          <w:rFonts w:cs="Times New Roman"/>
        </w:rPr>
        <w:fldChar w:fldCharType="separate"/>
      </w:r>
      <w:r w:rsidR="006E0D0D" w:rsidRPr="006E0D0D">
        <w:rPr>
          <w:rFonts w:cs="Times New Roman"/>
          <w:noProof/>
        </w:rPr>
        <w:t>(Crook et al., 2006; Kilbride et al., 2006; J. Lin, 2009)</w:t>
      </w:r>
      <w:r w:rsidR="00E64F04">
        <w:rPr>
          <w:rFonts w:cs="Times New Roman"/>
        </w:rPr>
        <w:fldChar w:fldCharType="end"/>
      </w:r>
      <w:r w:rsidR="0092538B">
        <w:rPr>
          <w:rFonts w:cs="Times New Roman"/>
        </w:rPr>
        <w:t xml:space="preserve">. </w:t>
      </w:r>
      <w:r w:rsidR="00E64F04">
        <w:rPr>
          <w:rFonts w:cs="Times New Roman"/>
        </w:rPr>
        <w:t xml:space="preserve"> </w:t>
      </w:r>
      <w:r w:rsidR="0092538B">
        <w:rPr>
          <w:rFonts w:cs="Times New Roman"/>
        </w:rPr>
        <w:t xml:space="preserve">With these contributing factors for poor XRF results, XRF use in the field is best for initial examinations, with laboratory analysis reserved for generating accurate results.  </w:t>
      </w:r>
      <w:r w:rsidR="00F45003">
        <w:rPr>
          <w:rFonts w:cs="Times New Roman"/>
        </w:rPr>
        <w:t xml:space="preserve">Drying, removing organic matter, and passing the soil through at least a 250 μm or #60 sieve fraction will deliver the most accurate XRF data </w:t>
      </w:r>
      <w:r w:rsidR="00F45003">
        <w:rPr>
          <w:rFonts w:cs="Times New Roman"/>
        </w:rPr>
        <w:fldChar w:fldCharType="begin" w:fldLock="1"/>
      </w:r>
      <w:r w:rsidR="00720151">
        <w:rPr>
          <w:rFonts w:cs="Times New Roman"/>
        </w:rPr>
        <w:instrText>ADDIN CSL_CITATION {"citationItems":[{"id":"ITEM-1","itemData":{"author":[{"dropping-particle":"","family":"Sikora","given":"Amy Lynne","non-dropping-particle":"","parse-names":false,"suffix":""}],"id":"ITEM-1","issued":{"date-parts":[["2018"]]},"number-of-pages":"1-156","publisher":"University of Oklahoma","title":"Soil trace metals concentrations in a mining impacted agricultural watershed: Comparison of analytical methods, geospatial distribution, and evaluation of risk","type":"thesis"},"uris":["http://www.mendeley.com/documents/?uuid=c6858156-492f-4e85-b8f5-7bb1f5dbed74"]},{"id":"ITEM-2","itemData":{"author":[{"dropping-particle":"","family":"Lin","given":"J","non-dropping-particle":"","parse-names":false,"suffix":""}],"id":"ITEM-2","issued":{"date-parts":[["2009"]]},"publisher":"University of California, Berkeley","title":"Performance of the Thermo Scientific Niton XRF Analyzer: The effects of particle size, length of analysis, water, organic matter, and soil chemistry","type":"thesis"},"uris":["http://www.mendeley.com/documents/?uuid=b9bd5f7c-2549-447f-91c7-6816740b8769"]}],"mendeley":{"formattedCitation":"(J. Lin, 2009; Sikora, 2018)","plainTextFormattedCitation":"(J. Lin, 2009; Sikora, 2018)","previouslyFormattedCitation":"(J. Lin, 2009; Sikora, 2018)"},"properties":{"noteIndex":0},"schema":"https://github.com/citation-style-language/schema/raw/master/csl-citation.json"}</w:instrText>
      </w:r>
      <w:r w:rsidR="00F45003">
        <w:rPr>
          <w:rFonts w:cs="Times New Roman"/>
        </w:rPr>
        <w:fldChar w:fldCharType="separate"/>
      </w:r>
      <w:r w:rsidR="006E0D0D" w:rsidRPr="006E0D0D">
        <w:rPr>
          <w:rFonts w:cs="Times New Roman"/>
          <w:noProof/>
        </w:rPr>
        <w:t>(J. Lin, 2009; Sikora, 2018)</w:t>
      </w:r>
      <w:r w:rsidR="00F45003">
        <w:rPr>
          <w:rFonts w:cs="Times New Roman"/>
        </w:rPr>
        <w:fldChar w:fldCharType="end"/>
      </w:r>
      <w:r w:rsidR="00F45003">
        <w:rPr>
          <w:rFonts w:cs="Times New Roman"/>
        </w:rPr>
        <w:t>.</w:t>
      </w:r>
      <w:r w:rsidR="009E0073">
        <w:rPr>
          <w:rFonts w:cs="Times New Roman"/>
        </w:rPr>
        <w:t xml:space="preserve">  This study used these methods for metal concentration analysis in the </w:t>
      </w:r>
      <w:r w:rsidR="00086CB8">
        <w:rPr>
          <w:rFonts w:cs="Times New Roman"/>
        </w:rPr>
        <w:t xml:space="preserve">LIB </w:t>
      </w:r>
      <w:r w:rsidR="009E0073">
        <w:rPr>
          <w:rFonts w:cs="Times New Roman"/>
        </w:rPr>
        <w:t>soil samples.</w:t>
      </w:r>
    </w:p>
    <w:p w14:paraId="36E9820E" w14:textId="77777777" w:rsidR="00BD23B5" w:rsidRDefault="00BD23B5" w:rsidP="00CD6383">
      <w:pPr>
        <w:jc w:val="both"/>
        <w:rPr>
          <w:rFonts w:cs="Times New Roman"/>
        </w:rPr>
      </w:pPr>
    </w:p>
    <w:p w14:paraId="114EA93B" w14:textId="0F9D394D" w:rsidR="007878D9" w:rsidRDefault="00F84424" w:rsidP="00E610FB">
      <w:pPr>
        <w:pStyle w:val="Heading3"/>
        <w:numPr>
          <w:ilvl w:val="0"/>
          <w:numId w:val="0"/>
        </w:numPr>
      </w:pPr>
      <w:bookmarkStart w:id="26" w:name="_Toc71223997"/>
      <w:r>
        <w:t>3.</w:t>
      </w:r>
      <w:r w:rsidR="007878D9" w:rsidRPr="002A4ADE">
        <w:t>1.</w:t>
      </w:r>
      <w:r w:rsidR="007878D9">
        <w:t>2 XRF Technology for Water Analysis</w:t>
      </w:r>
      <w:bookmarkEnd w:id="26"/>
    </w:p>
    <w:p w14:paraId="7FC0D971" w14:textId="77777777" w:rsidR="00DB3134" w:rsidRDefault="00DB3134" w:rsidP="00DB3134">
      <w:pPr>
        <w:ind w:firstLine="720"/>
        <w:jc w:val="both"/>
      </w:pPr>
      <w:r>
        <w:t xml:space="preserve">XRF analysis of liquids, especially water, can be difficult due to the X-ray scattering that the liquid creates.  This scattering prevents the fluoresced X-rays from the sample from sufficiently reaching the detector on the XRF for measurements </w:t>
      </w:r>
      <w:r>
        <w:fldChar w:fldCharType="begin" w:fldLock="1"/>
      </w:r>
      <w:r>
        <w:instrText>ADDIN CSL_CITATION {"citationItems":[{"id":"ITEM-1","itemData":{"author":[{"dropping-particle":"","family":"Crook","given":"Vincent","non-dropping-particle":"","parse-names":false,"suffix":""},{"dropping-particle":"","family":"Simpson","given":"Penny","non-dropping-particle":"","parse-names":false,"suffix":""},{"dropping-particle":"","family":"Rawson","given":"Beth","non-dropping-particle":"","parse-names":false,"suffix":""},{"dropping-particle":"","family":"Wake","given":"Derrick","non-dropping-particle":"","parse-names":false,"suffix":""}],"container-title":"Health and Safety Laboratory","id":"ITEM-1","issued":{"date-parts":[["2006"]]},"page":"49","title":"Investigation of PXRF procedures for measuring contaminated land","type":"article-journal","volume":"102"},"uris":["http://www.mendeley.com/documents/?uuid=75f7d547-6339-403e-b267-f5ad92e7509f"]},{"id":"ITEM-2","itemData":{"DOI":"10.1016/j.jhydrol.2016.11.018","ISSN":"00221694","abstract":"Rapid, in-situ elemental water analysis would be an invaluable tool in studying polluted and/or salt-impacted waters. Analysis of water salinity has commonly used electrical conductance (EC); however, the identity of the elements responsible for the salinity are not revealed using EC. Several studies have established the viability of using portable X-ray fluorescence (PXRF) spectrometry for elemental data analysis of soil, sediment, and other matrices. However, the accuracy of PXRF is known to be affected while scanning moisture-laden soil samples. This study used PXRF elemental data in water samples to predict water EC. A total of 256 water samples, from 10 different countries were collected and analyzed via PXRF, inductively coupled plasma atomic emission spectroscopy (ICP-AES), and a digital salinity bridge. The PXRF detected some elements more effectively than others, but overall results indicated that PXRF can successfully predict water EC via quantifying Cl in water samples (validation R2 and RMSE of 0.77 and 0.95 log μS cm−1, respectively). The findings of this study elucidated the potential of PXRF for future analysis of pollutant and/or metal contaminated waters.","author":[{"dropping-particle":"","family":"Pearson","given":"Delaina","non-dropping-particle":"","parse-names":false,"suffix":""},{"dropping-particle":"","family":"Chakraborty","given":"Somsubhra","non-dropping-particle":"","parse-names":false,"suffix":""},{"dropping-particle":"","family":"Duda","given":"Bogdan","non-dropping-particle":"","parse-names":false,"suffix":""},{"dropping-particle":"","family":"Li","given":"Bin","non-dropping-particle":"","parse-names":false,"suffix":""},{"dropping-particle":"","family":"Weindorf","given":"David C.","non-dropping-particle":"","parse-names":false,"suffix":""},{"dropping-particle":"","family":"Deb","given":"Shovik","non-dropping-particle":"","parse-names":false,"suffix":""},{"dropping-particle":"","family":"Brevik","given":"Eric","non-dropping-particle":"","parse-names":false,"suffix":""},{"dropping-particle":"","family":"Ray","given":"D. P.","non-dropping-particle":"","parse-names":false,"suffix":""}],"container-title":"Journal of Hydrology","id":"ITEM-2","issue":"November","issued":{"date-parts":[["2017"]]},"page":"172-179","publisher":"Elsevier B.V.","title":"Water analysis via portable X-ray fluorescence spectrometry","type":"article-journal","volume":"544"},"uris":["http://www.mendeley.com/documents/?uuid=7dfad20f-babe-4f18-8c38-1d03e28c8961"]},{"id":"ITEM-3","itemData":{"author":[{"dropping-particle":"","family":"IAEA","given":"","non-dropping-particle":"","parse-names":false,"suffix":""}],"id":"ITEM-3","issue":"June","issued":{"date-parts":[["1997"]]},"number-of-pages":"1-29","publisher-place":"Vienna","title":"Sampling , storage and sample preparation procedures for X ray fluorescence analysis of environmental materials","type":"report","volume":"2"},"uris":["http://www.mendeley.com/documents/?uuid=8483babd-1249-4082-a7c1-93d446600356"]}],"mendeley":{"formattedCitation":"(Crook et al., 2006; IAEA, 1997; Pearson et al., 2017)","plainTextFormattedCitation":"(Crook et al., 2006; IAEA, 1997; Pearson et al., 2017)","previouslyFormattedCitation":"(Crook et al., 2006; IAEA, 1997; Pearson et al., 2017)"},"properties":{"noteIndex":0},"schema":"https://github.com/citation-style-language/schema/raw/master/csl-citation.json"}</w:instrText>
      </w:r>
      <w:r>
        <w:fldChar w:fldCharType="separate"/>
      </w:r>
      <w:r w:rsidRPr="00A90470">
        <w:rPr>
          <w:noProof/>
        </w:rPr>
        <w:t>(Crook et al., 2006; IAEA, 1997; Pearson et al., 2017)</w:t>
      </w:r>
      <w:r>
        <w:fldChar w:fldCharType="end"/>
      </w:r>
      <w:r>
        <w:t xml:space="preserve">.  There are multiple avenues to bypass this hurdle, mainly by precipitation of the metals.  Methods include making metal hydroxides by raising the pH, using chelating agents to bind to the dissolved metals, and adding sodium sulfide to make metal sulfides that are insoluble at higher pH, or simply drying the solution entirely to pellet the metals from the water </w:t>
      </w:r>
      <w:r>
        <w:fldChar w:fldCharType="begin" w:fldLock="1"/>
      </w:r>
      <w:r>
        <w:instrText>ADDIN CSL_CITATION {"citationItems":[{"id":"ITEM-1","itemData":{"DOI":"10.1016/S0039-9140(03)00271-6","author":[{"dropping-particle":"","family":"Gordeeva","given":"V P","non-dropping-particle":"","parse-names":false,"suffix":""},{"dropping-particle":"","family":"Statkus","given":"M A","non-dropping-particle":"","parse-names":false,"suffix":""},{"dropping-particle":"","family":"Tsysin","given":"G I","non-dropping-particle":"","parse-names":false,"suffix":""},{"dropping-particle":"","family":"Zoloto","given":"Yu A","non-dropping-particle":"","parse-names":false,"suffix":""}],"container-title":"Talanta","id":"ITEM-1","issue":"3","issued":{"date-parts":[["2003"]]},"page":"315-329","title":"X-ray fluorescence determination of As , Bi , Co , Cu , Fe , Ni , Pb , Se , V and Zn in natural water and soil extracts after preconcentration of their pyrrolidinedithiocarbamates on cellulose filters","type":"article-journal","volume":"61"},"uris":["http://www.mendeley.com/documents/?uuid=f070b385-4f98-4308-9fdb-e6b951aedef7"]},{"id":"ITEM-2","itemData":{"DOI":"10.1002/xrs.2784","ISSN":"10974539","abstract":"Potentially toxic elements may be leached contaminating the soil, surface, and ground water due to the improper disposal of batteries and electronic devices. The objective of this study was to evaluate metal release from batteries and electronic components deposited in specific receptacles filled with soil in which acid rain was simulated. The leachate solution and the soil were analyzed by synchrotron radiation total reflection x-ray fluorescence and benchtop energy dispersive x-ray fluorescence, respectively. Results indicate that batteries released K, Mn, Fe, Cu, Zn, and Pb and electronic component released Ti, Mn, Fe, Cu, Zn, and Pb. For batteries' leachate test samples, higher amounts of Fe, Cu, Mn, Zn, and Pb have been released compared with electronic component ones under same the experimental conditions. The Fe, Cu, and Pb concentrations in battery leachate test samples were above their National Environment Council maximum permitted values (MPV) and in the electronic waste leachate ones, only the Pb concentrations was above MPV. For soil sample containing batteries K, Mn and Zn presented higher concentrations, mainly at the 10-cm topsoil, ranging from 0.16 to 0.50, 0.27 to 8.67, and 0.03 to 1.26, in % (% w/w), respectively. The Zn–C battery soil samples present similar behavior to the alkaline ones. The impact due to the Pb release was higher in the soil test samples with electronic components, in which their concentrations ranged from 51 to 394 mg/kg, above its MPV up to 28-cm soil layer. The X-ray fluorescence techniques employed were suitable for water and soil environmental evaluation.","author":[{"dropping-particle":"","family":"Rodrigues dos Santos","given":"Felipe","non-dropping-particle":"","parse-names":false,"suffix":""},{"dropping-particle":"","family":"Almeida","given":"Eduardo","non-dropping-particle":"de","parse-names":false,"suffix":""},{"dropping-particle":"","family":"Cunha Kemerich","given":"Pedro Daniel","non-dropping-particle":"da","parse-names":false,"suffix":""},{"dropping-particle":"","family":"Melquiades","given":"Fábio Luiz","non-dropping-particle":"","parse-names":false,"suffix":""}],"container-title":"X-Ray Spectrometry","id":"ITEM-2","issue":"6","issued":{"date-parts":[["2017"]]},"page":"512-521","title":"Evaluation of metal release from battery and electronic components in soil using SR-TXRF and EDXRF","type":"article-journal","volume":"46"},"uris":["http://www.mendeley.com/documents/?uuid=c22541d3-d2be-40e5-af04-65802cf3576a"]},{"id":"ITEM-3","itemData":{"DOI":"10.1016/S1872-2040(11)60554-9","ISSN":"18722040","abstract":"Membrane pre-concentration methods coupled with hydroxide and sulfide precipitation/co-precipitation and X-ray fluorescence (XRF) detection have been developed for the determination of heavy metals (Fe, Ni, Mn, Cu, Zn, Pb) in coastal seawaters. The heavy metal ions in seawater samples can react with hydroxide or sulfide solution added to form hydroxide/sulfide precipitates. Then the precipitates containing target metals were filtrated on a membrane and directly detected with a portable XRF detector. Under the optimized conditions, the heavy metals in seawater samples were detected by the two type precipitation methods in the linear ranges of 12.5-400 μg L-1 with a quantification limit of 12.5 μg L-1. The RSDs (n=7) of the two type of precipitation methods were 3.7%-6.4% for a sample containing 100 μg L-1 of each metal. The detection limits were 1.32-7.84 μg L -1 for hydroxide precipitation method and 1.94-11.0 μg L -1 for sulfide precipitation method. The proposed methods were successfully applied to determine the heavy metals in seawater samples obtained from Xiamen coastal sea area and Jiulongjiang Estuary. Based on whether or not the samples were acidified and filtered before or after acidification, the established methods were applicable to the fast and on-field analysis of dissolvable, dissolved and free heavy metals in coastal and estuary water samples. Copyright © 2012, Changchun Institute of Applied Chemistry, Chinese Academy of Sciences. Published by Elsevier Limited.","author":[{"dropping-particle":"","family":"Peng","given":"Yuan Zhen","non-dropping-particle":"","parse-names":false,"suffix":""},{"dropping-particle":"","family":"Huang","given":"Yong Ming","non-dropping-particle":"","parse-names":false,"suffix":""},{"dropping-particle":"","family":"Yuan","given":"Dong Xing","non-dropping-particle":"","parse-names":false,"suffix":""},{"dropping-particle":"","family":"Li","given":"Yan","non-dropping-particle":"","parse-names":false,"suffix":""},{"dropping-particle":"Bin","family":"Gong","given":"Zhen","non-dropping-particle":"","parse-names":false,"suffix":""}],"container-title":"Fenxi Huaxue/ Chinese Journal of Analytical Chemistry","id":"ITEM-3","issue":"6","issued":{"date-parts":[["2012"]]},"page":"877-882","publisher":"Changchun Institute of Applied Chemistry, Chinese Academy of Sciences","title":"Rapid analysis of heavy metals in coastal seawater using preconcentration with precipitation/co-precipitation on membrane and detection with X-ray fluorescence","type":"article-journal","volume":"40"},"uris":["http://www.mendeley.com/documents/?uuid=3ec0a091-bbdc-4d6e-ac98-7513070c0ab3"]},{"id":"ITEM-4","itemData":{"DOI":"10.1002/xrs.892","author":[{"dropping-particle":"","family":"Abe","given":"Wataru","non-dropping-particle":"","parse-names":false,"suffix":""},{"dropping-particle":"","family":"Isaka","given":"Satoshi","non-dropping-particle":"","parse-names":false,"suffix":""},{"dropping-particle":"","family":"Koike","given":"Yuya","non-dropping-particle":"","parse-names":false,"suffix":""},{"dropping-particle":"","family":"Nakano","given":"Kazuhiko","non-dropping-particle":"","parse-names":false,"suffix":""},{"dropping-particle":"","family":"Fujita","given":"Kazuhiro","non-dropping-particle":"","parse-names":false,"suffix":""},{"dropping-particle":"","family":"Nakamura","given":"Toshihiro","non-dropping-particle":"","parse-names":false,"suffix":""}],"id":"ITEM-4","issued":{"date-parts":[["2006"]]},"page":"184-189","title":"X-ray fluorescence analysis of trace metals in environmental water using preconcentration with an iminodiacetate extraction disk","type":"article-journal","volume":"35"},"uris":["http://www.mendeley.com/documents/?uuid=04176379-6743-4d37-84cc-1360d5515475"]},{"id":"ITEM-5","itemData":{"author":[{"dropping-particle":"","family":"IAEA","given":"","non-dropping-particle":"","parse-names":false,"suffix":""}],"id":"ITEM-5","issue":"June","issued":{"date-parts":[["1997"]]},"number-of-pages":"1-29","publisher-place":"Vienna","title":"Sampling , storage and sample preparation procedures for X ray fluorescence analysis of environmental materials","type":"report","volume":"2"},"uris":["http://www.mendeley.com/documents/?uuid=8483babd-1249-4082-a7c1-93d446600356"]}],"mendeley":{"formattedCitation":"(Abe et al., 2006; Gordeeva et al., 2003; IAEA, 1997; Peng et al., 2012; Rodrigues dos Santos et al., 2017)","plainTextFormattedCitation":"(Abe et al., 2006; Gordeeva et al., 2003; IAEA, 1997; Peng et al., 2012; Rodrigues dos Santos et al., 2017)","previouslyFormattedCitation":"(Abe et al., 2006; Gordeeva et al., 2003; IAEA, 1997; Peng et al., 2012; Rodrigues dos Santos et al., 2017)"},"properties":{"noteIndex":0},"schema":"https://github.com/citation-style-language/schema/raw/master/csl-citation.json"}</w:instrText>
      </w:r>
      <w:r>
        <w:fldChar w:fldCharType="separate"/>
      </w:r>
      <w:r w:rsidRPr="00A90470">
        <w:rPr>
          <w:noProof/>
        </w:rPr>
        <w:t xml:space="preserve">(Abe et al., 2006; </w:t>
      </w:r>
      <w:r w:rsidRPr="00A90470">
        <w:rPr>
          <w:noProof/>
        </w:rPr>
        <w:lastRenderedPageBreak/>
        <w:t>Gordeeva et al., 2003; IAEA, 1997; Peng et al., 2012; Rodrigues dos Santos et al., 2017)</w:t>
      </w:r>
      <w:r>
        <w:fldChar w:fldCharType="end"/>
      </w:r>
      <w:r>
        <w:t>.  The precipitates formed by these methods can then be collected on a membrane filter to be accurately analyzed with the XRF instrument.</w:t>
      </w:r>
    </w:p>
    <w:p w14:paraId="3D8AC5A8" w14:textId="176721B5" w:rsidR="007878D9" w:rsidRDefault="007878D9" w:rsidP="00CD6383">
      <w:pPr>
        <w:jc w:val="both"/>
      </w:pPr>
      <w:r>
        <w:tab/>
        <w:t xml:space="preserve">This study employed the use of ammonium pyrrolidine dithiocarbamate (APDC) as the chelating agent to metal ions.  APDC has been used for decades to concentrate trace metals for analysis by XRF because APDC metal complexes are sparingly soluble in water </w:t>
      </w:r>
      <w:r>
        <w:fldChar w:fldCharType="begin" w:fldLock="1"/>
      </w:r>
      <w:r>
        <w:instrText>ADDIN CSL_CITATION {"citationItems":[{"id":"ITEM-1","itemData":{"author":[{"dropping-particle":"","family":"Pradzynski","given":"A H","non-dropping-particle":"","parse-names":false,"suffix":""},{"dropping-particle":"","family":"Henry","given":"R E","non-dropping-particle":"","parse-names":false,"suffix":""},{"dropping-particle":"","family":"Stewart","given":"J S","non-dropping-particle":"","parse-names":false,"suffix":""}],"container-title":"Journal of Radioanalytical Chemistry","id":"ITEM-1","issued":{"date-parts":[["1976"]]},"page":"219-228","title":"Determination of ppb concentrations of transition metals by radioisotope-excited energy-dispersive","type":"article-journal","volume":"32"},"uris":["http://www.mendeley.com/documents/?uuid=ae7af61a-6222-4dab-900b-2f30d0d007c4"]},{"id":"ITEM-2","itemData":{"DOI":"10.1016/S0039-9140(03)00271-6","author":[{"dropping-particle":"","family":"Gordeeva","given":"V P","non-dropping-particle":"","parse-names":false,"suffix":""},{"dropping-particle":"","family":"Statkus","given":"M A","non-dropping-particle":"","parse-names":false,"suffix":""},{"dropping-particle":"","family":"Tsysin","given":"G I","non-dropping-particle":"","parse-names":false,"suffix":""},{"dropping-particle":"","family":"Zoloto","given":"Yu A","non-dropping-particle":"","parse-names":false,"suffix":""}],"container-title":"Talanta","id":"ITEM-2","issue":"3","issued":{"date-parts":[["2003"]]},"page":"315-329","title":"X-ray fluorescence determination of As , Bi , Co , Cu , Fe , Ni , Pb , Se , V and Zn in natural water and soil extracts after preconcentration of their pyrrolidinedithiocarbamates on cellulose filters","type":"article-journal","volume":"61"},"uris":["http://www.mendeley.com/documents/?uuid=f070b385-4f98-4308-9fdb-e6b951aedef7"]},{"id":"ITEM-3","itemData":{"DOI":"10.1016/j.aca.2006.04.028","author":[{"dropping-particle":"","family":"Orescanin","given":"Visnja","non-dropping-particle":"","parse-names":false,"suffix":""},{"dropping-particle":"","family":"Mikelic","given":"Luka","non-dropping-particle":"","parse-names":false,"suffix":""},{"dropping-particle":"","family":"Roje","given":"Vibor","non-dropping-particle":"","parse-names":false,"suffix":""},{"dropping-particle":"","family":"Lulic","given":"Stipe","non-dropping-particle":"","parse-names":false,"suffix":""}],"container-title":"Analytica Chimica Acta","id":"ITEM-3","issue":"2","issued":{"date-parts":[["2006"]]},"page":"277-282","title":"Determination of lanthanides by source excited energy dispersive X-ray fluorescence (EDXRF) method after preconcentration with ammonium pyrrolidine dithiocarbamate (APDC)","type":"article-journal","volume":"570"},"uris":["http://www.mendeley.com/documents/?uuid=56b87b40-9d1a-4ea6-bdd1-1524ee1f2748"]},{"id":"ITEM-4","itemData":{"author":[{"dropping-particle":"","family":"IAEA","given":"","non-dropping-particle":"","parse-names":false,"suffix":""}],"id":"ITEM-4","issue":"June","issued":{"date-parts":[["1997"]]},"number-of-pages":"1-29","publisher-place":"Vienna","title":"Sampling , storage and sample preparation procedures for X ray fluorescence analysis of environmental materials","type":"report","volume":"2"},"uris":["http://www.mendeley.com/documents/?uuid=8483babd-1249-4082-a7c1-93d446600356"]},{"id":"ITEM-5","itemData":{"DOI":"10.1016/j.arabjc.2013.04.026","ISSN":"18785352","abstract":"This article provides a critical review and a wide range of applications of dithiocarbamates (DTCs) in environmental samples. The characteristics of DTCs are reviewed with particular emphasis on inorganic speciation studies using state-of-the-art analytical instrumentation coupled with computational methods of analysis. © 2013.","author":[{"dropping-particle":"","family":"Kanchi","given":"S.","non-dropping-particle":"","parse-names":false,"suffix":""},{"dropping-particle":"","family":"Singh","given":"P.","non-dropping-particle":"","parse-names":false,"suffix":""},{"dropping-particle":"","family":"Bisetty","given":"K.","non-dropping-particle":"","parse-names":false,"suffix":""}],"container-title":"Arabian Journal of Chemistry","id":"ITEM-5","issue":"1","issued":{"date-parts":[["2014"]]},"page":"11-25","publisher":"King Saud University","title":"Dithiocarbamates as hazardous remediation agent: A critical review on progress in environmental chemistry for inorganic species studies of 20th century","type":"article-journal","volume":"7"},"uris":["http://www.mendeley.com/documents/?uuid=9872ef4d-7dfb-47af-9263-247e13dab6c4"]}],"mendeley":{"formattedCitation":"(Gordeeva et al., 2003; IAEA, 1997; Kanchi et al., 2014; Orescanin et al., 2006; Pradzynski et al., 1976)","plainTextFormattedCitation":"(Gordeeva et al., 2003; IAEA, 1997; Kanchi et al., 2014; Orescanin et al., 2006; Pradzynski et al., 1976)","previouslyFormattedCitation":"(Gordeeva et al., 2003; IAEA, 1997; Kanchi et al., 2014; Orescanin et al., 2006; Pradzynski et al., 1976)"},"properties":{"noteIndex":0},"schema":"https://github.com/citation-style-language/schema/raw/master/csl-citation.json"}</w:instrText>
      </w:r>
      <w:r>
        <w:fldChar w:fldCharType="separate"/>
      </w:r>
      <w:r w:rsidRPr="00691E82">
        <w:rPr>
          <w:noProof/>
        </w:rPr>
        <w:t>(Gordeeva et al., 2003; IAEA, 1997; Kanchi et al., 2014; Orescanin et al., 2006; Pradzynski et al., 1976)</w:t>
      </w:r>
      <w:r>
        <w:fldChar w:fldCharType="end"/>
      </w:r>
      <w:r>
        <w:t xml:space="preserve">.  Orescanin et al. </w:t>
      </w:r>
      <w:r w:rsidR="003B5B1E">
        <w:t>(</w:t>
      </w:r>
      <w:r>
        <w:t>2006</w:t>
      </w:r>
      <w:r w:rsidR="003B5B1E">
        <w:t>)</w:t>
      </w:r>
      <w:r>
        <w:t xml:space="preserve"> determined that the optimal recovery of metals occurs with sufficient APDC and the water at pH 8.  This study expands on these recommendations to analyze the metal concentration in the LIB water samples.</w:t>
      </w:r>
    </w:p>
    <w:p w14:paraId="22C578B8" w14:textId="77777777" w:rsidR="00BD23B5" w:rsidRDefault="00BD23B5" w:rsidP="00CD6383">
      <w:pPr>
        <w:jc w:val="both"/>
      </w:pPr>
    </w:p>
    <w:p w14:paraId="37ACD6D6" w14:textId="67D47F35" w:rsidR="00532331" w:rsidRDefault="00F84424" w:rsidP="00F84424">
      <w:pPr>
        <w:pStyle w:val="Heading3"/>
        <w:numPr>
          <w:ilvl w:val="0"/>
          <w:numId w:val="0"/>
        </w:numPr>
      </w:pPr>
      <w:bookmarkStart w:id="27" w:name="_Toc71223998"/>
      <w:r>
        <w:t>3.</w:t>
      </w:r>
      <w:r w:rsidR="00532331" w:rsidRPr="002A4ADE">
        <w:t>1.</w:t>
      </w:r>
      <w:r w:rsidR="00532331">
        <w:t>3 MINEQL+ Modeling</w:t>
      </w:r>
      <w:bookmarkEnd w:id="27"/>
    </w:p>
    <w:p w14:paraId="16E93440" w14:textId="411B8727" w:rsidR="007878D9" w:rsidRDefault="007878D9" w:rsidP="007878D9">
      <w:pPr>
        <w:jc w:val="both"/>
      </w:pPr>
      <w:r>
        <w:tab/>
        <w:t xml:space="preserve">MINEQL+ is a powerful chemical equilibrium modeling system that incorporates user chemical inputs with its thermodynamic database to simulate experiments and predict chemical reactions in a system </w:t>
      </w:r>
      <w:r>
        <w:fldChar w:fldCharType="begin" w:fldLock="1"/>
      </w:r>
      <w:r>
        <w:instrText>ADDIN CSL_CITATION {"citationItems":[{"id":"ITEM-1","itemData":{"URL":"https://www.mineql.com/overview.html","accessed":{"date-parts":[["2021","3","20"]]},"author":[{"dropping-particle":"","family":"Software","given":"Environmental Research","non-dropping-particle":"","parse-names":false,"suffix":""}],"container-title":"Mineql.com","id":"ITEM-1","issued":{"date-parts":[["2015"]]},"title":"What is MINEQL+?","type":"webpage"},"uris":["http://www.mendeley.com/documents/?uuid=9ea42491-d6f8-48be-a233-4e543351effb"]}],"mendeley":{"formattedCitation":"(Software, 2015)","plainTextFormattedCitation":"(Software, 2015)","previouslyFormattedCitation":"(Software, 2015)"},"properties":{"noteIndex":0},"schema":"https://github.com/citation-style-language/schema/raw/master/csl-citation.json"}</w:instrText>
      </w:r>
      <w:r>
        <w:fldChar w:fldCharType="separate"/>
      </w:r>
      <w:r w:rsidRPr="00F36F67">
        <w:rPr>
          <w:noProof/>
        </w:rPr>
        <w:t>(Software, 2015)</w:t>
      </w:r>
      <w:r>
        <w:fldChar w:fldCharType="end"/>
      </w:r>
      <w:r>
        <w:t xml:space="preserve">.  This program has been used to model and predict heavy metal solubility, adsorption, and precipitation in soil and aqueous environments.  The models are often combined with physical experiments to compare the results between one another, which helps verify the physical results and show insight into the thermodynamic properties of the experiment </w:t>
      </w:r>
      <w:r>
        <w:fldChar w:fldCharType="begin" w:fldLock="1"/>
      </w:r>
      <w:r>
        <w:instrText>ADDIN CSL_CITATION {"citationItems":[{"id":"ITEM-1","itemData":{"DOI":"10.1016/j.jenvman.2016.06.053","ISSN":"10958630","PMID":"27397845","abstract":"The aim of this research was to investigate sulphate removal from mine water by precipitation as ettringite (Ca6Al2(SO4)3(OH)12·26H2O) and the utilisation of the precipitate as a sorbent for arsenate removal. The mine water sulphate concentration was reduced by 85–90% from the initial 1400 mg/L during ettringite precipitation depending on the treatment method. The precipitation conditions were also simulated with MINEQL + software, and the computational results were compared with the experimental results. The precipitated solids were characterised with X-ray diffraction and a scanning electron microscope. The precipitated solids were tested as sorbents for arsenate removal from the model solution. The arsenic(V) model solution concentration reduced 86–96% from the initial 1.5 mg/L with a 1 g/L sorbent dosage. The effect of initial arsenate concentration on the sorption of arsenate on the precipitate was studied and Langmuir, Freundlich, and Langmuir-Freundlich sorption isotherm models were fitted to the experimental data. The maximum arsenate sorption capacity (qm = 11.2 ± 4.7 mg/g) of the precipitate was obtained from the Langmuir-Freundlich isotherm. The results indicate that the precipitate produced during sulphate removal from mine water by precipitation as ettringite could be further used as a sorbent for arsenate removal.","author":[{"dropping-particle":"","family":"Tolonen","given":"Emma Tuulia","non-dropping-particle":"","parse-names":false,"suffix":""},{"dropping-particle":"","family":"Hu","given":"Tao","non-dropping-particle":"","parse-names":false,"suffix":""},{"dropping-particle":"","family":"Rämö","given":"Jaakko","non-dropping-particle":"","parse-names":false,"suffix":""},{"dropping-particle":"","family":"Lassi","given":"Ulla","non-dropping-particle":"","parse-names":false,"suffix":""}],"container-title":"Journal of Environmental Management","id":"ITEM-1","issued":{"date-parts":[["2016"]]},"page":"856-862","publisher":"Elsevier Ltd","title":"The removal of sulphate from mine water by precipitation as ettringite and the utilisation of the precipitate as a sorbent for arsenate removal","type":"article-journal","volume":"181"},"uris":["http://www.mendeley.com/documents/?uuid=fe1ba361-4568-4d9d-bb3f-cc89cef981ca"]},{"id":"ITEM-2","itemData":{"DOI":"10.1590/S1516-89132012000100020","ISSN":"15168913","abstract":"The toxicity of cadmium and chromium to Pseudokirchneriella subcapitata and Microcystis aeruginosa was evaluated through algal growth rate during 96h exposure bioassays. Free metal ion concentrations were obtained using MINEQL + 4.61 and used for IC50 determination. Metal accumulations by the microorganisms were determined and they were found to be dependent on the concentration of Cd2+ and Cr6+. IC50 for P. subcapitata were 0.60 μmol L -1 free Cd 2+ and 20 μmol L -1 free Cr 6+, while the IC50 values for M. aeruginosa were 0.01 μmol L -1 Cd 2+ and 11.07 μmol L -1 Cr 6+. P. subcapitata accumulated higher metal concentrations (0.001 - 0.05 μmol Cd mg -1 dry wt. and 0.001 - 0.04 μmol Cr mg -1 dry wt) than the cyanobacteria (0.001 - 0.01 μmol Cd mg -1 dry wt and 0.001 - 0.02 μmol Cr mg -1 dry wt). Cadmium was more toxic than chromium to both the microorganisms.","author":[{"dropping-particle":"","family":"Rodgher","given":"Suzelei","non-dropping-particle":"","parse-names":false,"suffix":""},{"dropping-particle":"","family":"Espíndola","given":"Evaldo Luiz Gaeta","non-dropping-particle":"","parse-names":false,"suffix":""},{"dropping-particle":"","family":"Simões","given":"Fernanda Cristina Fonseca","non-dropping-particle":"","parse-names":false,"suffix":""},{"dropping-particle":"","family":"Tonietto","given":"Alessandra Emanuele","non-dropping-particle":"","parse-names":false,"suffix":""}],"container-title":"Brazilian Archives of Biology and Technology","id":"ITEM-2","issue":"1","issued":{"date-parts":[["2012"]]},"page":"161-169","title":"Cadmium and chromium toxicity to pseudokirchneriella subcapitata and microcystis aeruginosa","type":"article-journal","volume":"55"},"uris":["http://www.mendeley.com/documents/?uuid=a6f23091-1509-417e-8728-3df4273f26c6"]},{"id":"ITEM-3","itemData":{"DOI":"10.14210/bjast.v18n1.p113-120","ISSN":"1808-7035","abstract":"In aquatic ecosystems, the potential effects of toxic compds. are greatly detd. by their physicochem. forms and bioavailability.  The aim of this work was the assessment of metal toxicity to the green algae Pseudokirchneriella subcapitata in contaminated water samples of an urban river (Matanza-Riachuelo, Argentina).  A total of 30 samples were analyzed.  Physicochem. parameters and total and dissolved metal (Cd, Cu, Cr, Pb, Ni and Zn) concns. were measured.  Toxicity was related as a function of size fractionation and chem. speciation (using the program Mineql+) in the dissolved fraction (&lt;1.2μm).  Percentage inhibition of algal growth (%Iw) was estd. as the differences between cultures with and without EDTA addns. in the filtered water samples.  Concns. of Cd (1-85 μg.L-1), Cr (3-164μg.L-1), and Ni (10-99 μg.L-1) in river waters were always lower than the resp. EC50 for P. subcapitata, whereas concns. of Cu (5-306 μg.L-1), Pb (13-546 μg.L-1), and Zn (4-380 μg.L-1) in dissolved fractions resulted above the EC50 values in many samples.  Only 10 samples showed algal growth inhibition (between 11.21% and 42.19%), which 8 of them also showed high concns. of free ionic forms of Pd or Zn.  Free ionic concns. of Cu were always lower than the EC50 for the algae.  Two samples resulted toxic to P. subcapitata in spite of the absence of toxic metal concns.  Besides, 13 samples no inhibited the algal growth and high concns. of Pd and Zn were obtained, producing expected %Iw values between 10.03% and 90.51%.  The absence of toxicity in most samples with toxic metal concns. could be related to the presence of org. ligands, colloidal org. matter, and antagonism effects among other metals, which reduce their bioavailability. [on SciFinder(R)]","author":[{"dropping-particle":"","family":"Magdaleno","given":"Anahí","non-dropping-particle":"","parse-names":false,"suffix":""},{"dropping-particle":"","family":"Cabo","given":"Laura","non-dropping-particle":"De","parse-names":false,"suffix":""},{"dropping-particle":"","family":"Arreghini","given":"Silvana","non-dropping-particle":"","parse-names":false,"suffix":""},{"dropping-particle":"","family":"Salinas","given":"Cristian","non-dropping-particle":"","parse-names":false,"suffix":""}],"container-title":"Brazilian Journal of Aquatic Science and Technology","id":"ITEM-3","issue":"1","issued":{"date-parts":[["2014"]]},"page":"113","title":"Assessment of heavy metal contamination and water quality in an urban river from Argentina","type":"article-journal","volume":"18"},"uris":["http://www.mendeley.com/documents/?uuid=dab313e4-6f2a-4c1e-aee3-70acae088716"]},{"id":"ITEM-4","itemData":{"DOI":"10.1016/j.chemosphere.2007.11.028","ISSN":"00456535","PMID":"18155269","abstract":"This paper presents a systematic bench-scale laboratory study performed to assess the transient behavior of chromium, nickel, and cadmium in different soils during electrokinetic remediation. A series of laboratory electrokinetic experiments was conducted using two different clayey soils, kaolin and glacial till. For each type of soil, four electrokinetic experiments with 1, 2, 4, and 10 d of treatment time were performed. In all tests, the contaminants were Cr(VI), Ni(II), and Cd(II) combined in the soil. A geochemical assessment was performed using the geochemical model MINEQL+ to determine the partitioning of the heavy metals in soils as precipitated, adsorbed, and aqueous forms. Results showed that in kaolin, the extent of Ni(II) and Cd(II) migration towards the cathode increased as the treatment time increased. Unlike kaolin, in glacial till treatment time had no effect on nickel and cadmium migration because of its high buffering capacity. In both kaolin and glacial till, the extent of Cr(VI) migration towards the anode increased as the treatment time increased. However, Cr(VI) migration was higher in glacial till as compared to kaolin because of the high pH conditions that existed in glacial till. In all tests, some Cr(VI) was reduced to Cr(III), and the Cr(VI) reduction rate to Cr(III) as well as the Cr(III) migration were significantly affected by the treatment time. Overall, this study showed that the electroosmotic flow as well as the direction and extent of contaminant migration and removal depend on the polarity of the contaminant, the type of soil, and the treatment duration. © 2007 Elsevier Ltd. All rights reserved.","author":[{"dropping-particle":"","family":"Al-Hamdan","given":"Ashraf Z.","non-dropping-particle":"","parse-names":false,"suffix":""},{"dropping-particle":"","family":"Reddy","given":"Krishna R.","non-dropping-particle":"","parse-names":false,"suffix":""}],"container-title":"Chemosphere","id":"ITEM-4","issue":"5","issued":{"date-parts":[["2008"]]},"page":"860-871","title":"Transient behavior of heavy metals in soils during electrokinetic remediation","type":"article-journal","volume":"71"},"uris":["http://www.mendeley.com/documents/?uuid=4de2c47c-1338-47a5-a6d2-763cf9b2a9d3"]}],"mendeley":{"formattedCitation":"(Al-Hamdan &amp; Reddy, 2008; Magdaleno et al., 2014; Rodgher et al., 2012; Tolonen et al., 2016)","plainTextFormattedCitation":"(Al-Hamdan &amp; Reddy, 2008; Magdaleno et al., 2014; Rodgher et al., 2012; Tolonen et al., 2016)","previouslyFormattedCitation":"(Al-Hamdan &amp; Reddy, 2008; Magdaleno et al., 2014; Rodgher et al., 2012; Tolonen et al., 2016)"},"properties":{"noteIndex":0},"schema":"https://github.com/citation-style-language/schema/raw/master/csl-citation.json"}</w:instrText>
      </w:r>
      <w:r>
        <w:fldChar w:fldCharType="separate"/>
      </w:r>
      <w:r w:rsidRPr="00F36F67">
        <w:rPr>
          <w:noProof/>
        </w:rPr>
        <w:t>(Al-Hamdan &amp; Reddy, 2008; Magdaleno et al., 2014; Rodgher et al., 2012; Tolonen et al., 2016)</w:t>
      </w:r>
      <w:r>
        <w:fldChar w:fldCharType="end"/>
      </w:r>
      <w:r>
        <w:t>.</w:t>
      </w:r>
      <w:r w:rsidR="00A7382E">
        <w:t xml:space="preserve">  There are multiple adsorption models</w:t>
      </w:r>
      <w:r w:rsidR="00C87399">
        <w:t xml:space="preserve"> to best fit the type of system that is being </w:t>
      </w:r>
      <w:r w:rsidR="00924972">
        <w:t xml:space="preserve">modelled.  </w:t>
      </w:r>
      <w:r w:rsidR="00C86C97">
        <w:t>This study utilized the triple-layer adsorption model</w:t>
      </w:r>
      <w:r w:rsidR="00444B45">
        <w:t xml:space="preserve">, which allows for adsorption onto the strong inner-layer surface as well as weaker outer-layer </w:t>
      </w:r>
      <w:r w:rsidR="00AA682F">
        <w:t xml:space="preserve">complexation, </w:t>
      </w:r>
      <w:r w:rsidR="00C751BA">
        <w:t xml:space="preserve">which includes at least one water molecule between the surface and the adsorbing metal ion.  </w:t>
      </w:r>
      <w:r w:rsidR="008225BC">
        <w:t xml:space="preserve">The </w:t>
      </w:r>
      <w:r w:rsidR="00E86244">
        <w:t xml:space="preserve">equilibrium constants </w:t>
      </w:r>
      <w:r w:rsidR="00E86244">
        <w:lastRenderedPageBreak/>
        <w:t>for this model are modified</w:t>
      </w:r>
      <w:r w:rsidR="003317B6">
        <w:t>, referred to intrinsic constants, LogK</w:t>
      </w:r>
      <w:r w:rsidR="003317B6">
        <w:rPr>
          <w:vertAlign w:val="superscript"/>
        </w:rPr>
        <w:t>int</w:t>
      </w:r>
      <w:r w:rsidR="003317B6">
        <w:t>,</w:t>
      </w:r>
      <w:r w:rsidR="00E86244">
        <w:t xml:space="preserve"> </w:t>
      </w:r>
      <w:r w:rsidR="00D64587">
        <w:t xml:space="preserve">due to ion concentration products </w:t>
      </w:r>
      <w:r w:rsidR="003317B6">
        <w:t xml:space="preserve">for the bulk solution can vary with pH and solute concentration </w:t>
      </w:r>
      <w:r w:rsidR="003317B6">
        <w:fldChar w:fldCharType="begin" w:fldLock="1"/>
      </w:r>
      <w:r w:rsidR="00F41211">
        <w:instrText>ADDIN CSL_CITATION {"citationItems":[{"id":"ITEM-1","itemData":{"ISBN":"9788578110796","ISSN":"1098-6596","PMID":"25246403","author":[{"dropping-particle":"","family":"Schecher","given":"William D.","non-dropping-particle":"","parse-names":false,"suffix":""},{"dropping-particle":"","family":"McAvoy","given":"Drew C.","non-dropping-particle":"","parse-names":false,"suffix":""}],"container-title":"Environmental Research Software","id":"ITEM-1","issued":{"date-parts":[["2015"]]},"number-of-pages":"199-311","publisher":"Environmental Research Software","publisher-place":"Hallowell","title":"MINEQL+ Chemical Equilibrium Modeling System","type":"book","volume":"5"},"uris":["http://www.mendeley.com/documents/?uuid=e574ed66-fb35-4345-82ea-081368bb538d"]},{"id":"ITEM-2","itemData":{"ISBN":"0872627624","ISSN":"07347685","abstract":"High concentrations of inorganic trace elements in irrigated soils and shallow ground water pose a threat to agricultural production and the health of humans and animals. They do so in three ways: 1) Trace elements can accumulate in plants to levels that cause phytotoxicity; 2) trace elements in plants can adversely affect humans and animals that consume those plants; and 3) trace elements can migrate with seepage through the root zone and into ground water, possibly re-emerging with subsurface drainage in surface waters, thereby affecting wildlife, or with ground water pumped for domestic use, thereby threatening the health of humans. The objective of this chapter is to provide a framework for evaluating trace-element concentrations in soils and shallow ground water in irrigated agricultural areas. High concentrations of trace elements in soils and ground water in irrigated areas can occur concomitant with soil and ground water salinity and can be affected by the same processes that affect soil and ground water salinity. High trace element concentrations may also occur independent of salinity. We will describe processes that affect the mobility of trace elements. We have focused on elements designated by the U.S. Environmental Protection Agency (EPA) as priority pollutants (EPA 1986) and on elements that have been documented as pollutants associated with irrigated agriculture. We have divided the trace elements into four categories: (1) The alkali and alkaline-earth metals [barium (Ba) and lithium (Li)]; (2) the transition metals [Chromium (Cr), molybdenum (Mo), and vanadium (V)]; (3) the nonmetals [arsenic (As), boron (B), and selenium (Se)]; and (4) the heavy metals [cadmium (Cd), copper (Cu), lead (Pb), mercury (Hg), nickel (Ni), and zinc (Zn)].","author":[{"dropping-particle":"","family":"Deverel","given":"Steven J.","non-dropping-particle":"","parse-names":false,"suffix":""},{"dropping-particle":"","family":"Fujii","given":"Roger","non-dropping-particle":"","parse-names":false,"suffix":""}],"container-title":"American Society of Civil Engineers, Manuals and Reports on Engineering Practice","id":"ITEM-2","issued":{"date-parts":[["2012"]]},"page":"89-137","title":"Chemistry of trace elements in soils and ground water","type":"chapter"},"uris":["http://www.mendeley.com/documents/?uuid=4e020d84-7b29-48e7-96a1-b7d7c39271dc"]}],"mendeley":{"formattedCitation":"(Deverel &amp; Fujii, 2012; Schecher &amp; McAvoy, 2015)","plainTextFormattedCitation":"(Deverel &amp; Fujii, 2012; Schecher &amp; McAvoy, 2015)","previouslyFormattedCitation":"(Deverel &amp; Fujii, 2012; Schecher &amp; McAvoy, 2015)"},"properties":{"noteIndex":0},"schema":"https://github.com/citation-style-language/schema/raw/master/csl-citation.json"}</w:instrText>
      </w:r>
      <w:r w:rsidR="003317B6">
        <w:fldChar w:fldCharType="separate"/>
      </w:r>
      <w:r w:rsidR="00521837" w:rsidRPr="00521837">
        <w:rPr>
          <w:noProof/>
        </w:rPr>
        <w:t>(Deverel &amp; Fujii, 2012; Schecher &amp; McAvoy, 2015)</w:t>
      </w:r>
      <w:r w:rsidR="003317B6">
        <w:fldChar w:fldCharType="end"/>
      </w:r>
      <w:r w:rsidR="003317B6">
        <w:t xml:space="preserve">.  </w:t>
      </w:r>
      <w:r w:rsidR="00AE4E0E">
        <w:t xml:space="preserve">This study utilized </w:t>
      </w:r>
      <w:r w:rsidR="00061050">
        <w:t>th</w:t>
      </w:r>
      <w:r w:rsidR="00A7382E">
        <w:t>is</w:t>
      </w:r>
      <w:r w:rsidR="00AE4E0E">
        <w:t xml:space="preserve"> </w:t>
      </w:r>
      <w:r w:rsidR="00061050">
        <w:t xml:space="preserve">adsorption </w:t>
      </w:r>
      <w:r w:rsidR="002E7A6E">
        <w:t>model</w:t>
      </w:r>
      <w:r w:rsidR="003A5684">
        <w:t xml:space="preserve"> to </w:t>
      </w:r>
      <w:r w:rsidR="00F32550">
        <w:t>adjust</w:t>
      </w:r>
      <w:r w:rsidR="003A5684">
        <w:t xml:space="preserve"> the </w:t>
      </w:r>
      <w:r w:rsidR="00F32550">
        <w:t>metal</w:t>
      </w:r>
      <w:r w:rsidR="00B63AA1">
        <w:t>s’</w:t>
      </w:r>
      <w:r w:rsidR="00F32550">
        <w:t xml:space="preserve"> </w:t>
      </w:r>
      <w:r w:rsidR="00B63AA1">
        <w:t>LogK</w:t>
      </w:r>
      <w:r w:rsidR="00B63AA1">
        <w:rPr>
          <w:vertAlign w:val="superscript"/>
        </w:rPr>
        <w:t>int</w:t>
      </w:r>
      <w:r w:rsidR="00B63AA1">
        <w:t xml:space="preserve"> values </w:t>
      </w:r>
      <w:r w:rsidR="00F32550">
        <w:t xml:space="preserve">so that the MINEQL+ models align with </w:t>
      </w:r>
      <w:r w:rsidR="003A5684">
        <w:t xml:space="preserve"> the </w:t>
      </w:r>
      <w:r w:rsidR="008A4B63">
        <w:t xml:space="preserve"> soil experimental results and compare </w:t>
      </w:r>
      <w:r w:rsidR="002E7A6E">
        <w:t>the</w:t>
      </w:r>
      <w:r w:rsidR="00C86C97">
        <w:t>se</w:t>
      </w:r>
      <w:r w:rsidR="002E7A6E">
        <w:t xml:space="preserve"> </w:t>
      </w:r>
      <w:r w:rsidR="00B63AA1">
        <w:t xml:space="preserve">values </w:t>
      </w:r>
      <w:r w:rsidR="002E7A6E">
        <w:t>with previous literature.</w:t>
      </w:r>
    </w:p>
    <w:p w14:paraId="581CC420" w14:textId="77777777" w:rsidR="00BD23B5" w:rsidRPr="00444F4A" w:rsidRDefault="00BD23B5" w:rsidP="007878D9">
      <w:pPr>
        <w:jc w:val="both"/>
      </w:pPr>
    </w:p>
    <w:p w14:paraId="7A4E4080" w14:textId="6B2AC9AD" w:rsidR="00B0503B" w:rsidRPr="002A4ADE" w:rsidRDefault="00F84424" w:rsidP="00F84424">
      <w:pPr>
        <w:pStyle w:val="Heading2"/>
      </w:pPr>
      <w:bookmarkStart w:id="28" w:name="_Toc71223999"/>
      <w:r>
        <w:t>3.</w:t>
      </w:r>
      <w:r w:rsidR="00C81DD8">
        <w:t xml:space="preserve">2 </w:t>
      </w:r>
      <w:r w:rsidR="00B0503B" w:rsidRPr="002A4ADE">
        <w:t>Methods</w:t>
      </w:r>
      <w:r w:rsidR="007878D9">
        <w:t xml:space="preserve"> for Soil Analysis</w:t>
      </w:r>
      <w:bookmarkEnd w:id="28"/>
    </w:p>
    <w:p w14:paraId="7CB1974E" w14:textId="298EE414" w:rsidR="00B0503B" w:rsidRPr="002A4ADE" w:rsidRDefault="00F84424" w:rsidP="00F84424">
      <w:pPr>
        <w:pStyle w:val="Heading3"/>
        <w:numPr>
          <w:ilvl w:val="0"/>
          <w:numId w:val="0"/>
        </w:numPr>
      </w:pPr>
      <w:bookmarkStart w:id="29" w:name="_Toc71224000"/>
      <w:r>
        <w:t>3.</w:t>
      </w:r>
      <w:r w:rsidR="00C81DD8">
        <w:t xml:space="preserve">2.1 </w:t>
      </w:r>
      <w:r w:rsidR="00B0503B" w:rsidRPr="002A4ADE">
        <w:t>Soil Collection and pH Adjustment</w:t>
      </w:r>
      <w:bookmarkEnd w:id="29"/>
    </w:p>
    <w:p w14:paraId="5BE5EF11" w14:textId="0C7ED586" w:rsidR="005E5934" w:rsidRDefault="000260C7" w:rsidP="00CD6383">
      <w:pPr>
        <w:ind w:firstLine="720"/>
        <w:jc w:val="both"/>
      </w:pPr>
      <w:r>
        <w:t xml:space="preserve">Northeast of Cheney Reservoir in Reno County, Kansas is the Cheney Wildlife Area, which contains pristine soil, </w:t>
      </w:r>
      <w:r w:rsidR="00AC4E15">
        <w:t xml:space="preserve">meaning </w:t>
      </w:r>
      <w:r>
        <w:t>soil that has not been converted to agriculture or urban use.</w:t>
      </w:r>
      <w:r w:rsidR="0093193C">
        <w:t xml:space="preserve"> </w:t>
      </w:r>
      <w:r w:rsidR="003D68BD">
        <w:t xml:space="preserve"> </w:t>
      </w:r>
      <w:r>
        <w:t xml:space="preserve">Eleven kilograms of soil was collected </w:t>
      </w:r>
      <w:r w:rsidR="0019621D">
        <w:t>with a stainless-steel shovel, from a 20 cm by 36 cm by 12 cm deep section, four centimeters below the surface.</w:t>
      </w:r>
      <w:r w:rsidR="00AC4E15">
        <w:t xml:space="preserve">  The soil was immediately stored in an airtight plastic container for further processing.</w:t>
      </w:r>
      <w:r w:rsidR="0093193C">
        <w:t xml:space="preserve">  A soil test was performed to determine the composition of the soil.</w:t>
      </w:r>
      <w:r w:rsidR="0019621D">
        <w:t xml:space="preserve">  </w:t>
      </w:r>
      <w:r w:rsidR="00021821">
        <w:t>Larger soil clods were broken apart my hand,</w:t>
      </w:r>
      <w:r w:rsidR="00F4141E">
        <w:t xml:space="preserve"> sifted with a 0.375” to remove large stones and vegetation</w:t>
      </w:r>
      <w:r w:rsidR="00021821">
        <w:t>,</w:t>
      </w:r>
      <w:r w:rsidR="00F4141E">
        <w:t xml:space="preserve"> then ground with a mortar and pestle.  </w:t>
      </w:r>
      <w:r w:rsidR="0019621D">
        <w:t>A U.S. Number 8 sieve was used to sift the soil once more to remove the remaining smaller pebbles and roots and then thoroughly mixed to make a homogenate soil bank to have near identical soil samples for each pH group.</w:t>
      </w:r>
      <w:r w:rsidR="00E85749">
        <w:t xml:space="preserve">  The organic matter (OM) and organic carbon (OC) were determined by the Loss-On-Ignition (LOI) method similar to </w:t>
      </w:r>
      <w:r w:rsidR="00E85749">
        <w:fldChar w:fldCharType="begin" w:fldLock="1"/>
      </w:r>
      <w:r w:rsidR="00E85749">
        <w:instrText>ADDIN CSL_CITATION {"citationItems":[{"id":"ITEM-1","itemData":{"author":[{"dropping-particle":"","family":"Nelson","given":"D. W.","non-dropping-particle":"","parse-names":false,"suffix":""},{"dropping-particle":"","family":"Sommers","given":"L. E.","non-dropping-particle":"","parse-names":false,"suffix":""}],"chapter-number":"34","container-title":"Methods of Soil Analysis: Part 3 Chemical Methods","id":"ITEM-1","issued":{"date-parts":[["1996"]]},"page":"1001-1006","publisher":"Soil Science Society of America, Inc.","publisher-place":"Madison","title":"Total Carbon, Organic Carbon, and Organic Matter","type":"chapter"},"uris":["http://www.mendeley.com/documents/?uuid=b6aec947-a506-4772-8764-2bd75c6fc1c2"]}],"mendeley":{"formattedCitation":"(Nelson &amp; Sommers, 1996)","manualFormatting":"Nelson &amp; Sommers, 1996","plainTextFormattedCitation":"(Nelson &amp; Sommers, 1996)","previouslyFormattedCitation":"(Nelson &amp; Sommers, 1996)"},"properties":{"noteIndex":0},"schema":"https://github.com/citation-style-language/schema/raw/master/csl-citation.json"}</w:instrText>
      </w:r>
      <w:r w:rsidR="00E85749">
        <w:fldChar w:fldCharType="separate"/>
      </w:r>
      <w:r w:rsidR="00E85749" w:rsidRPr="00E85749">
        <w:rPr>
          <w:noProof/>
        </w:rPr>
        <w:t>Nelson &amp; Sommers, 1996</w:t>
      </w:r>
      <w:r w:rsidR="00E85749">
        <w:fldChar w:fldCharType="end"/>
      </w:r>
      <w:r w:rsidR="00E85749">
        <w:t>. Briefly, approximately 25 grams of soil was dried completely then ignited in a muffle furnace at 385</w:t>
      </w:r>
      <w:r w:rsidR="00E85749">
        <w:rPr>
          <w:rFonts w:cs="Times New Roman"/>
        </w:rPr>
        <w:t>℃</w:t>
      </w:r>
      <w:r w:rsidR="00E85749">
        <w:t xml:space="preserve"> for 18 hours.  Once cooled, the final mass was recorded, with the difference between the initial and final masses equaling the OM, reported as % wt. loss.  The OC is calculated as 58% of the OM </w:t>
      </w:r>
      <w:r w:rsidR="00E85749">
        <w:fldChar w:fldCharType="begin" w:fldLock="1"/>
      </w:r>
      <w:r w:rsidR="00271C5E">
        <w:instrText>ADDIN CSL_CITATION {"citationItems":[{"id":"ITEM-1","itemData":{"author":[{"dropping-particle":"","family":"Nelson","given":"D. W.","non-dropping-particle":"","parse-names":false,"suffix":""},{"dropping-particle":"","family":"Sommers","given":"L. E.","non-dropping-particle":"","parse-names":false,"suffix":""}],"chapter-number":"34","container-title":"Methods of Soil Analysis: Part 3 Chemical Methods","id":"ITEM-1","issued":{"date-parts":[["1996"]]},"page":"1001-1006","publisher":"Soil Science Society of America, Inc.","publisher-place":"Madison","title":"Total Carbon, Organic Carbon, and Organic Matter","type":"chapter"},"uris":["http://www.mendeley.com/documents/?uuid=b6aec947-a506-4772-8764-2bd75c6fc1c2"]}],"mendeley":{"formattedCitation":"(Nelson &amp; Sommers, 1996)","plainTextFormattedCitation":"(Nelson &amp; Sommers, 1996)","previouslyFormattedCitation":"(Nelson &amp; Sommers, 1996)"},"properties":{"noteIndex":0},"schema":"https://github.com/citation-style-language/schema/raw/master/csl-citation.json"}</w:instrText>
      </w:r>
      <w:r w:rsidR="00E85749">
        <w:fldChar w:fldCharType="separate"/>
      </w:r>
      <w:r w:rsidR="00E85749" w:rsidRPr="00E85749">
        <w:rPr>
          <w:noProof/>
        </w:rPr>
        <w:t>(Nelson &amp; Sommers, 1996)</w:t>
      </w:r>
      <w:r w:rsidR="00E85749">
        <w:fldChar w:fldCharType="end"/>
      </w:r>
      <w:r w:rsidR="00E85749">
        <w:t>.</w:t>
      </w:r>
    </w:p>
    <w:p w14:paraId="03E42801" w14:textId="448729CE" w:rsidR="00021821" w:rsidRDefault="00FA3916" w:rsidP="00CD6383">
      <w:pPr>
        <w:ind w:firstLine="720"/>
        <w:jc w:val="both"/>
      </w:pPr>
      <w:r>
        <w:lastRenderedPageBreak/>
        <w:t>The initial pH and moisture content of the soil were determined based on the methods used by</w:t>
      </w:r>
      <w:r w:rsidR="00553C98">
        <w:t xml:space="preserve"> </w:t>
      </w:r>
      <w:r w:rsidR="00553C98">
        <w:fldChar w:fldCharType="begin" w:fldLock="1"/>
      </w:r>
      <w:r w:rsidR="00FD645B">
        <w:instrText>ADDIN CSL_CITATION {"citationItems":[{"id":"ITEM-1","itemData":{"author":[{"dropping-particle":"","family":"Carter","given":"Martin R.","non-dropping-particle":"","parse-names":false,"suffix":""}],"editor":[{"dropping-particle":"","family":"Carter","given":"Martin R.","non-dropping-particle":"","parse-names":false,"suffix":""}],"id":"ITEM-1","issued":{"date-parts":[["1993"]]},"number-of-pages":"110-112","publisher":"Lewis Publishers","title":"Soil Sampling and Methods of Analysis","type":"book"},"uris":["http://www.mendeley.com/documents/?uuid=f60b60ba-612e-4161-b4dd-2fafe66573c3"]}],"mendeley":{"formattedCitation":"(Carter, 1993)","plainTextFormattedCitation":"(Carter, 1993)","previouslyFormattedCitation":"(Carter, 1993)"},"properties":{"noteIndex":0},"schema":"https://github.com/citation-style-language/schema/raw/master/csl-citation.json"}</w:instrText>
      </w:r>
      <w:r w:rsidR="00553C98">
        <w:fldChar w:fldCharType="separate"/>
      </w:r>
      <w:r w:rsidR="00553C98" w:rsidRPr="00553C98">
        <w:rPr>
          <w:noProof/>
        </w:rPr>
        <w:t>(Carter, 1993)</w:t>
      </w:r>
      <w:r w:rsidR="00553C98">
        <w:fldChar w:fldCharType="end"/>
      </w:r>
      <w:r>
        <w:t>.  With the initial pH, approximate amounts of sulfuric acid and calcium hydroxide were calculated based on five kilograms of soil for each pH group.</w:t>
      </w:r>
      <w:r w:rsidR="00914D6A">
        <w:t xml:space="preserve">  </w:t>
      </w:r>
      <w:r w:rsidR="001B3ADE">
        <w:t>Elemental sulfur</w:t>
      </w:r>
      <w:r w:rsidR="00914D6A">
        <w:t xml:space="preserve"> </w:t>
      </w:r>
      <w:r w:rsidR="00F526EB">
        <w:t xml:space="preserve">or </w:t>
      </w:r>
      <w:r w:rsidR="00914D6A">
        <w:t xml:space="preserve">sulfuric acid </w:t>
      </w:r>
      <w:r w:rsidR="00F526EB">
        <w:t xml:space="preserve">and calcium hydroxide </w:t>
      </w:r>
      <w:r w:rsidR="00914D6A">
        <w:t xml:space="preserve">are </w:t>
      </w:r>
      <w:r w:rsidR="001B3ADE">
        <w:t xml:space="preserve">commonly used to </w:t>
      </w:r>
      <w:r w:rsidR="00F526EB">
        <w:t>alter the</w:t>
      </w:r>
      <w:r w:rsidR="001B3ADE">
        <w:t xml:space="preserve"> soil</w:t>
      </w:r>
      <w:r w:rsidR="00F526EB">
        <w:t xml:space="preserve"> pH</w:t>
      </w:r>
      <w:r w:rsidR="001B3ADE">
        <w:t xml:space="preserve"> for certain agriculture uses</w:t>
      </w:r>
      <w:r w:rsidR="007D4B0C">
        <w:t xml:space="preserve"> </w:t>
      </w:r>
      <w:r w:rsidR="00D7512D">
        <w:fldChar w:fldCharType="begin" w:fldLock="1"/>
      </w:r>
      <w:r w:rsidR="0069569F">
        <w:instrText>ADDIN CSL_CITATION {"citationItems":[{"id":"ITEM-1","itemData":{"container-title":"University of California Agriculture and Natural Resources","id":"ITEM-1","issued":{"date-parts":[["2012"]]},"page":"1-3","title":"Acidifying the Soil","type":"webpage"},"uris":["http://www.mendeley.com/documents/?uuid=44443904-b18b-44dc-9ec5-791c0c043cc4"]},{"id":"ITEM-2","itemData":{"author":[{"dropping-particle":"","family":"Crozier","given":"C.","non-dropping-particle":"","parse-names":false,"suffix":""},{"dropping-particle":"","family":"Hardy","given":"D.","non-dropping-particle":"","parse-names":false,"suffix":""}],"container-title":"NC State Extension Publications","id":"ITEM-2","issued":{"date-parts":[["2018"]]},"page":"1","title":"Soil acidity and liming: Basic information for farmers and gardeners","type":"webpage"},"uris":["http://www.mendeley.com/documents/?uuid=c05aaddf-6bd8-463d-aaa9-2822c02795f0"]}],"mendeley":{"formattedCitation":"(&lt;i&gt;Acidifying the Soil&lt;/i&gt;, 2012; Crozier &amp; Hardy, 2018)","plainTextFormattedCitation":"(Acidifying the Soil, 2012; Crozier &amp; Hardy, 2018)","previouslyFormattedCitation":"(&lt;i&gt;Acidifying the Soil&lt;/i&gt;, 2012; Crozier &amp; Hardy, 2018)"},"properties":{"noteIndex":0},"schema":"https://github.com/citation-style-language/schema/raw/master/csl-citation.json"}</w:instrText>
      </w:r>
      <w:r w:rsidR="00D7512D">
        <w:fldChar w:fldCharType="separate"/>
      </w:r>
      <w:r w:rsidR="003911A4" w:rsidRPr="003911A4">
        <w:rPr>
          <w:noProof/>
        </w:rPr>
        <w:t>(</w:t>
      </w:r>
      <w:r w:rsidR="003911A4" w:rsidRPr="003911A4">
        <w:rPr>
          <w:i/>
          <w:noProof/>
        </w:rPr>
        <w:t>Acidifying the Soil</w:t>
      </w:r>
      <w:r w:rsidR="003911A4" w:rsidRPr="003911A4">
        <w:rPr>
          <w:noProof/>
        </w:rPr>
        <w:t>, 2012; Crozier &amp; Hardy, 2018)</w:t>
      </w:r>
      <w:r w:rsidR="00D7512D">
        <w:fldChar w:fldCharType="end"/>
      </w:r>
      <w:r w:rsidR="007D4B0C">
        <w:t>.</w:t>
      </w:r>
      <w:r>
        <w:t xml:space="preserve">  To five kilograms of soil</w:t>
      </w:r>
      <w:r w:rsidR="00400818">
        <w:t xml:space="preserve"> to be made for the acidic group</w:t>
      </w:r>
      <w:r>
        <w:t xml:space="preserve">, </w:t>
      </w:r>
      <w:r w:rsidR="00400818">
        <w:t>650</w:t>
      </w:r>
      <w:r>
        <w:t xml:space="preserve"> mL of 5</w:t>
      </w:r>
      <w:r w:rsidR="00400818">
        <w:t>.1</w:t>
      </w:r>
      <w:r>
        <w:t xml:space="preserve"> M sulfuric acid </w:t>
      </w:r>
      <w:r w:rsidR="00400818">
        <w:t xml:space="preserve">and 100 mL of </w:t>
      </w:r>
      <w:r w:rsidR="005E2AD8">
        <w:t xml:space="preserve">UltraPure </w:t>
      </w:r>
      <w:r w:rsidR="00400818">
        <w:t xml:space="preserve">water </w:t>
      </w:r>
      <w:r>
        <w:t xml:space="preserve">was added incrementally while stirring the soil, reaching a final pH of </w:t>
      </w:r>
      <w:r w:rsidR="00400818">
        <w:t>4.43</w:t>
      </w:r>
      <w:r>
        <w:t>.  To the other five kilograms of soil</w:t>
      </w:r>
      <w:r w:rsidR="00400818">
        <w:t xml:space="preserve"> to be made for the basic group</w:t>
      </w:r>
      <w:r>
        <w:t xml:space="preserve">, </w:t>
      </w:r>
      <w:r w:rsidR="00400818">
        <w:t>26.2</w:t>
      </w:r>
      <w:r>
        <w:t xml:space="preserve"> grams of </w:t>
      </w:r>
      <w:r w:rsidR="00AD7F4D">
        <w:t>calcium hydroxide</w:t>
      </w:r>
      <w:r>
        <w:t xml:space="preserve"> </w:t>
      </w:r>
      <w:r w:rsidR="00400818">
        <w:t>and 600 mL of</w:t>
      </w:r>
      <w:r w:rsidR="00302324">
        <w:t xml:space="preserve"> UltraPure</w:t>
      </w:r>
      <w:r w:rsidR="00400818">
        <w:t xml:space="preserve"> water </w:t>
      </w:r>
      <w:r>
        <w:t xml:space="preserve">was added incrementally while stirring the soil, reaching a final pH of </w:t>
      </w:r>
      <w:r w:rsidR="00400818">
        <w:t>9.50</w:t>
      </w:r>
      <w:r>
        <w:t>.  The two soil groups were stored in their respective airtight plastic containers and</w:t>
      </w:r>
      <w:r w:rsidR="004B05B7">
        <w:t xml:space="preserve"> </w:t>
      </w:r>
      <w:r w:rsidR="00302324">
        <w:t>UltraPure</w:t>
      </w:r>
      <w:r w:rsidR="004B05B7">
        <w:t xml:space="preserve"> water added </w:t>
      </w:r>
      <w:r w:rsidR="00021821">
        <w:t xml:space="preserve">to the basic soil group to match the moisture content of the acidic soil after the addition of the sulfuric acid, </w:t>
      </w:r>
      <w:r w:rsidR="004B05B7">
        <w:t xml:space="preserve">for a final moisture content of </w:t>
      </w:r>
      <w:r w:rsidR="00400818">
        <w:t>17.5</w:t>
      </w:r>
      <w:r w:rsidR="004B05B7">
        <w:t>%</w:t>
      </w:r>
      <w:r w:rsidR="00021821">
        <w:t xml:space="preserve"> for both groups</w:t>
      </w:r>
      <w:r w:rsidR="004B05B7">
        <w:t>.</w:t>
      </w:r>
      <w:r w:rsidR="00021821">
        <w:t xml:space="preserve">  </w:t>
      </w:r>
    </w:p>
    <w:p w14:paraId="105B9B35" w14:textId="77777777" w:rsidR="00BD23B5" w:rsidRPr="005E5934" w:rsidRDefault="00BD23B5" w:rsidP="00CD6383">
      <w:pPr>
        <w:ind w:firstLine="720"/>
        <w:jc w:val="both"/>
      </w:pPr>
    </w:p>
    <w:p w14:paraId="2D741A76" w14:textId="6D588EEE" w:rsidR="00B0503B" w:rsidRPr="002A4ADE" w:rsidRDefault="00F84424" w:rsidP="00F84424">
      <w:pPr>
        <w:pStyle w:val="Heading3"/>
        <w:numPr>
          <w:ilvl w:val="0"/>
          <w:numId w:val="0"/>
        </w:numPr>
      </w:pPr>
      <w:bookmarkStart w:id="30" w:name="_Toc71224001"/>
      <w:r>
        <w:t>3.</w:t>
      </w:r>
      <w:r w:rsidR="00C81DD8">
        <w:t xml:space="preserve">2.2 </w:t>
      </w:r>
      <w:r w:rsidR="00B0503B" w:rsidRPr="002A4ADE">
        <w:t>Dismantling Li-ion Batteries</w:t>
      </w:r>
      <w:bookmarkEnd w:id="30"/>
    </w:p>
    <w:p w14:paraId="26EA74B9" w14:textId="5FE72149" w:rsidR="00021821" w:rsidRDefault="00E5213A" w:rsidP="00CD6383">
      <w:pPr>
        <w:pStyle w:val="ListParagraph"/>
        <w:ind w:left="0" w:firstLine="720"/>
        <w:jc w:val="both"/>
      </w:pPr>
      <w:r>
        <w:t xml:space="preserve">Samsung 25R Li-ion NMC batteries were purchased for this experiment because of the nickel manganese cobalt oxide cathode.  The </w:t>
      </w:r>
      <w:r w:rsidR="00B351C5">
        <w:t>LIB</w:t>
      </w:r>
      <w:r>
        <w:t xml:space="preserve"> </w:t>
      </w:r>
      <w:proofErr w:type="gramStart"/>
      <w:r>
        <w:t>were</w:t>
      </w:r>
      <w:proofErr w:type="gramEnd"/>
      <w:r>
        <w:t xml:space="preserve"> fully discharged</w:t>
      </w:r>
      <w:r w:rsidR="00382294">
        <w:t xml:space="preserve"> over three days</w:t>
      </w:r>
      <w:r>
        <w:t xml:space="preserve"> by connecting them to a Sylvania 7506LL vehicle taillight bulb</w:t>
      </w:r>
      <w:r w:rsidR="00B351C5">
        <w:t xml:space="preserve"> and a voltmeter confirmed zero volts</w:t>
      </w:r>
      <w:r>
        <w:t xml:space="preserve">.  This </w:t>
      </w:r>
      <w:r w:rsidR="00137901">
        <w:t>lowered the</w:t>
      </w:r>
      <w:r>
        <w:t xml:space="preserve"> risk of electric shock and thermal runaway.  </w:t>
      </w:r>
      <w:r w:rsidR="00137901">
        <w:t xml:space="preserve">The LIB </w:t>
      </w:r>
      <w:proofErr w:type="gramStart"/>
      <w:r w:rsidR="00137901">
        <w:t>were</w:t>
      </w:r>
      <w:proofErr w:type="gramEnd"/>
      <w:r w:rsidR="00137901">
        <w:t xml:space="preserve"> cut with a Dremel tool into 0.5-1.0 cm cylinders</w:t>
      </w:r>
      <w:r w:rsidR="007B1495">
        <w:t>, discarding the end pieces into a hazardous waste container</w:t>
      </w:r>
      <w:r w:rsidR="00137901">
        <w:t xml:space="preserve">.  Each LIB piece was weighed prior to </w:t>
      </w:r>
      <w:r w:rsidR="00493CF9">
        <w:t>placing into the soil sample tube.</w:t>
      </w:r>
    </w:p>
    <w:p w14:paraId="40F4E0C2" w14:textId="77777777" w:rsidR="00BD23B5" w:rsidRDefault="00BD23B5" w:rsidP="00CD6383">
      <w:pPr>
        <w:pStyle w:val="ListParagraph"/>
        <w:ind w:left="0" w:firstLine="720"/>
        <w:jc w:val="both"/>
      </w:pPr>
    </w:p>
    <w:p w14:paraId="2B0EF491" w14:textId="290F8D5B" w:rsidR="00B0503B" w:rsidRPr="002A4ADE" w:rsidRDefault="00F84424" w:rsidP="00F84424">
      <w:pPr>
        <w:pStyle w:val="Heading3"/>
        <w:numPr>
          <w:ilvl w:val="0"/>
          <w:numId w:val="0"/>
        </w:numPr>
      </w:pPr>
      <w:bookmarkStart w:id="31" w:name="_Toc71224002"/>
      <w:r>
        <w:lastRenderedPageBreak/>
        <w:t>3.</w:t>
      </w:r>
      <w:r w:rsidR="00C81DD8">
        <w:t xml:space="preserve">2.3 </w:t>
      </w:r>
      <w:r w:rsidR="00B0503B" w:rsidRPr="002A4ADE">
        <w:t>Soil Sample Timeline</w:t>
      </w:r>
      <w:bookmarkEnd w:id="31"/>
    </w:p>
    <w:p w14:paraId="02CC6CAB" w14:textId="55973522" w:rsidR="00493CF9" w:rsidRDefault="004F7475" w:rsidP="00CD6383">
      <w:pPr>
        <w:ind w:firstLine="720"/>
        <w:jc w:val="both"/>
      </w:pPr>
      <w:r>
        <w:t xml:space="preserve">The sample timeline included nine time points: 1, 2, 4, 6, 8, 12, 16, 20, and 24 weeks in </w:t>
      </w:r>
      <w:r w:rsidR="00AA389A">
        <w:t>which the LIB was embedded into the soil</w:t>
      </w:r>
      <w:r>
        <w:t>.  There were three separate samples for each soil pH group at each time point</w:t>
      </w:r>
      <w:r w:rsidR="005F1779">
        <w:t>, with soil reserved for a control group of samples for analysis</w:t>
      </w:r>
      <w:r>
        <w:t>.  For both soil groups, t</w:t>
      </w:r>
      <w:r w:rsidR="00493CF9">
        <w:t xml:space="preserve">wenty-five grams of </w:t>
      </w:r>
      <w:r>
        <w:t xml:space="preserve">the corresponding </w:t>
      </w:r>
      <w:r w:rsidR="00493CF9">
        <w:t xml:space="preserve">soil and one piece of LIB </w:t>
      </w:r>
      <w:r>
        <w:t xml:space="preserve">were added to Falcon 50 mL conical tubes. </w:t>
      </w:r>
      <w:r w:rsidR="00493CF9">
        <w:t xml:space="preserve"> </w:t>
      </w:r>
      <w:r w:rsidR="005F1779">
        <w:t xml:space="preserve">The tubes were placed onto a tissue culture rotator to spin at ten revolutions per minute to facilitate the </w:t>
      </w:r>
      <w:r w:rsidR="003B6DD8">
        <w:t>adsorption</w:t>
      </w:r>
      <w:r w:rsidR="005F1779">
        <w:t xml:space="preserve"> of the LIB into the whole soil sample.  </w:t>
      </w:r>
    </w:p>
    <w:p w14:paraId="24DE46E6" w14:textId="77777777" w:rsidR="00BD23B5" w:rsidRPr="00493CF9" w:rsidRDefault="00BD23B5" w:rsidP="00CD6383">
      <w:pPr>
        <w:ind w:firstLine="720"/>
        <w:jc w:val="both"/>
      </w:pPr>
    </w:p>
    <w:p w14:paraId="10A32DBD" w14:textId="1A3EA0DD" w:rsidR="00B0503B" w:rsidRPr="002A4ADE" w:rsidRDefault="00F84424" w:rsidP="00F84424">
      <w:pPr>
        <w:pStyle w:val="Heading3"/>
        <w:numPr>
          <w:ilvl w:val="0"/>
          <w:numId w:val="0"/>
        </w:numPr>
      </w:pPr>
      <w:bookmarkStart w:id="32" w:name="_Toc71224003"/>
      <w:r>
        <w:t>3.</w:t>
      </w:r>
      <w:r w:rsidR="00C81DD8">
        <w:t xml:space="preserve">2.4 </w:t>
      </w:r>
      <w:r w:rsidR="00B0503B" w:rsidRPr="002A4ADE">
        <w:t>Laboratory Sample Analysis</w:t>
      </w:r>
      <w:bookmarkEnd w:id="32"/>
    </w:p>
    <w:p w14:paraId="4FE83472" w14:textId="5AA4D488" w:rsidR="00063DC1" w:rsidRDefault="00334D29" w:rsidP="00382294">
      <w:pPr>
        <w:ind w:firstLine="720"/>
        <w:jc w:val="both"/>
        <w:rPr>
          <w:szCs w:val="32"/>
        </w:rPr>
      </w:pPr>
      <w:r>
        <w:t>The soil sample analysis preparation for the analysis by XRF closely followed the preparation procedure set up by</w:t>
      </w:r>
      <w:r w:rsidR="00A042E4">
        <w:fldChar w:fldCharType="begin" w:fldLock="1"/>
      </w:r>
      <w:r w:rsidR="00A042E4">
        <w:instrText>ADDIN CSL_CITATION {"citationItems":[{"id":"ITEM-1","itemData":{"DOI":"10.1016/j.chemosphere.2016.09.127","ISSN":"18791298","abstract":"Lead has been banned from automobile gasoline since 1995; however, lead is still used as an additive to aviation gasoline (avgas). Airports are now one of the greatest sources of lead air emission in the US. The objectives of this study were (1) to evaluate soil lead levels radially from three regional airports; (2) collect historical meteorological data; (3) examine the soil organic matter content and (4) develop correlation coefficients to evaluate correlations among variables. Soil samples were collected from 3 different airports in Oklahoma and the soil lead concentration was measured using x-ray fluorescence (XRF). The measured soil lead concentrations were plotted with the corresponding GPS location in ArcGIS and Inverse Distance Weight spatial analysis was used to create modeled isopleths of soil lead concentrations. One of the three airports was found to have soil lead concentrations that correlate with soil organic matter with one other showing correlation between soil lead concentration and distance from the airport. The spatial modeled isopleths showed elevated soil lead concentrations in the direction of prevailing winds with “hot spots” near the avgas fueling stations.","author":[{"dropping-particle":"","family":"McCumber","given":"Alexander","non-dropping-particle":"","parse-names":false,"suffix":""},{"dropping-particle":"","family":"Strevett","given":"K. A.","non-dropping-particle":"","parse-names":false,"suffix":""}],"container-title":"Chemosphere","id":"ITEM-1","issued":{"date-parts":[["2017"]]},"page":"62-70","publisher":"Elsevier Ltd","title":"A geospatial analysis of soil lead concentrations around regional Oklahoma airports","type":"article-journal","volume":"167"},"uris":["http://www.mendeley.com/documents/?uuid=f9b4f254-2ff2-4bdb-a30b-c5f850bebfdc"]}],"mendeley":{"formattedCitation":"(McCumber &amp; Strevett, 2017)","manualFormatting":" McCumber &amp; Strevett, 2017","plainTextFormattedCitation":"(McCumber &amp; Strevett, 2017)","previouslyFormattedCitation":"(McCumber &amp; Strevett, 2017)"},"properties":{"noteIndex":0},"schema":"https://github.com/citation-style-language/schema/raw/master/csl-citation.json"}</w:instrText>
      </w:r>
      <w:r w:rsidR="00A042E4">
        <w:fldChar w:fldCharType="separate"/>
      </w:r>
      <w:r w:rsidR="00A042E4">
        <w:rPr>
          <w:noProof/>
        </w:rPr>
        <w:t xml:space="preserve"> </w:t>
      </w:r>
      <w:r w:rsidR="00A042E4" w:rsidRPr="00A042E4">
        <w:rPr>
          <w:noProof/>
        </w:rPr>
        <w:t>McCumber &amp; Strevett, 2017</w:t>
      </w:r>
      <w:r w:rsidR="00A042E4">
        <w:fldChar w:fldCharType="end"/>
      </w:r>
      <w:r>
        <w:t xml:space="preserve">.  </w:t>
      </w:r>
      <w:r w:rsidR="001473A5">
        <w:t>When the time period for the sample ended</w:t>
      </w:r>
      <w:r w:rsidR="009D7C36">
        <w:rPr>
          <w:szCs w:val="32"/>
        </w:rPr>
        <w:t xml:space="preserve"> the LIB was discarded into a hazardous waste container</w:t>
      </w:r>
      <w:r w:rsidR="009F24D2">
        <w:rPr>
          <w:szCs w:val="32"/>
        </w:rPr>
        <w:t xml:space="preserve"> </w:t>
      </w:r>
      <w:r w:rsidR="009F24D2">
        <w:t xml:space="preserve">and the soil was air dried at 20 </w:t>
      </w:r>
      <w:r w:rsidR="009F24D2">
        <w:rPr>
          <w:rFonts w:cs="Times New Roman"/>
        </w:rPr>
        <w:t>℃</w:t>
      </w:r>
      <w:r w:rsidR="009F24D2">
        <w:t xml:space="preserve"> for two days</w:t>
      </w:r>
      <w:r w:rsidR="009D7C36">
        <w:rPr>
          <w:szCs w:val="32"/>
        </w:rPr>
        <w:t xml:space="preserve">.  The dried soil was ground with a mortar and pestle, then passed through a #60 sieve and thoroughly mixed.  The mortar and pestle were cleaned with KimWipes </w:t>
      </w:r>
      <w:r w:rsidR="001B6D58">
        <w:rPr>
          <w:szCs w:val="32"/>
        </w:rPr>
        <w:t xml:space="preserve">and the sieve was cleaned with coarse and soft brushes </w:t>
      </w:r>
      <w:r w:rsidR="009D7C36">
        <w:rPr>
          <w:szCs w:val="32"/>
        </w:rPr>
        <w:t xml:space="preserve">after every sample to minimize contamination </w:t>
      </w:r>
      <w:r w:rsidR="00C1789A">
        <w:rPr>
          <w:szCs w:val="32"/>
        </w:rPr>
        <w:t>between</w:t>
      </w:r>
      <w:r w:rsidR="009D7C36">
        <w:rPr>
          <w:szCs w:val="32"/>
        </w:rPr>
        <w:t xml:space="preserve"> soil samples.</w:t>
      </w:r>
      <w:r w:rsidR="00C1789A">
        <w:rPr>
          <w:szCs w:val="32"/>
        </w:rPr>
        <w:t xml:space="preserve">  The XRF sample cups were 32 mm in diameter and covered with 0.2 </w:t>
      </w:r>
      <w:r w:rsidR="00835102">
        <w:rPr>
          <w:szCs w:val="32"/>
        </w:rPr>
        <w:t xml:space="preserve">Mil (5 </w:t>
      </w:r>
      <w:r w:rsidR="00835102">
        <w:rPr>
          <w:rFonts w:cs="Times New Roman"/>
          <w:szCs w:val="32"/>
        </w:rPr>
        <w:t>μ</w:t>
      </w:r>
      <w:r w:rsidR="00835102">
        <w:rPr>
          <w:szCs w:val="32"/>
        </w:rPr>
        <w:t>m)</w:t>
      </w:r>
      <w:r w:rsidR="00C1789A">
        <w:rPr>
          <w:szCs w:val="32"/>
        </w:rPr>
        <w:t xml:space="preserve"> thick polypropylene X-ray film.</w:t>
      </w:r>
      <w:r w:rsidR="00187485">
        <w:rPr>
          <w:szCs w:val="32"/>
        </w:rPr>
        <w:t xml:space="preserve">  Enough soil was packed into circular XRF sample cups to cover the entire surface of the film</w:t>
      </w:r>
      <w:r w:rsidR="00C37644">
        <w:rPr>
          <w:szCs w:val="32"/>
        </w:rPr>
        <w:t>.</w:t>
      </w:r>
      <w:r w:rsidR="00187485">
        <w:rPr>
          <w:szCs w:val="32"/>
        </w:rPr>
        <w:t xml:space="preserve">  Glass wool was added to fill the remaining space in the sample cup so that the soil </w:t>
      </w:r>
      <w:r w:rsidR="00C1789A">
        <w:rPr>
          <w:szCs w:val="32"/>
        </w:rPr>
        <w:t>stayed</w:t>
      </w:r>
      <w:r w:rsidR="00187485">
        <w:rPr>
          <w:szCs w:val="32"/>
        </w:rPr>
        <w:t xml:space="preserve"> pressed against the film.</w:t>
      </w:r>
      <w:r w:rsidR="00116BD8">
        <w:rPr>
          <w:szCs w:val="32"/>
        </w:rPr>
        <w:t xml:space="preserve">  </w:t>
      </w:r>
      <w:r w:rsidR="009D6B86">
        <w:rPr>
          <w:szCs w:val="32"/>
        </w:rPr>
        <w:t xml:space="preserve">The sample cup was inserted into </w:t>
      </w:r>
      <w:r w:rsidR="003B5B1E">
        <w:rPr>
          <w:szCs w:val="32"/>
        </w:rPr>
        <w:t>a</w:t>
      </w:r>
      <w:r w:rsidR="009D6B86">
        <w:rPr>
          <w:szCs w:val="32"/>
        </w:rPr>
        <w:t xml:space="preserve"> test stand</w:t>
      </w:r>
      <w:r w:rsidR="003B5B1E">
        <w:rPr>
          <w:szCs w:val="32"/>
        </w:rPr>
        <w:t xml:space="preserve"> that secured the XRF </w:t>
      </w:r>
      <w:r w:rsidR="00E15953">
        <w:rPr>
          <w:szCs w:val="32"/>
        </w:rPr>
        <w:t>with the X-ray tube window pointing down at the sample</w:t>
      </w:r>
      <w:r w:rsidR="009D6B86">
        <w:rPr>
          <w:szCs w:val="32"/>
        </w:rPr>
        <w:t xml:space="preserve"> </w:t>
      </w:r>
      <w:r w:rsidR="00E15953">
        <w:rPr>
          <w:szCs w:val="32"/>
        </w:rPr>
        <w:t>to allow a stable</w:t>
      </w:r>
      <w:r w:rsidR="003B5B1E">
        <w:rPr>
          <w:szCs w:val="32"/>
        </w:rPr>
        <w:t xml:space="preserve"> </w:t>
      </w:r>
      <w:r w:rsidR="00E15953">
        <w:rPr>
          <w:szCs w:val="32"/>
        </w:rPr>
        <w:t xml:space="preserve">analysis.  The XRF analyzed the soil sample </w:t>
      </w:r>
      <w:r w:rsidR="003B5B1E">
        <w:rPr>
          <w:szCs w:val="32"/>
        </w:rPr>
        <w:t>with</w:t>
      </w:r>
      <w:r w:rsidR="00E15953">
        <w:rPr>
          <w:szCs w:val="32"/>
        </w:rPr>
        <w:t xml:space="preserve"> a runtime of 180 seconds</w:t>
      </w:r>
      <w:r w:rsidR="003B5B1E">
        <w:rPr>
          <w:szCs w:val="32"/>
        </w:rPr>
        <w:t xml:space="preserve">.  The range was set to </w:t>
      </w:r>
      <w:r w:rsidR="00F729C5">
        <w:rPr>
          <w:szCs w:val="32"/>
        </w:rPr>
        <w:t>mg/kg</w:t>
      </w:r>
      <w:r w:rsidR="00E15953">
        <w:rPr>
          <w:szCs w:val="32"/>
        </w:rPr>
        <w:t>.</w:t>
      </w:r>
      <w:r w:rsidR="00D844CD">
        <w:rPr>
          <w:szCs w:val="32"/>
        </w:rPr>
        <w:t xml:space="preserve">  The sample was analyzed two more times with a 60 degree rotation between scans.</w:t>
      </w:r>
      <w:r w:rsidR="00E15953">
        <w:rPr>
          <w:szCs w:val="32"/>
        </w:rPr>
        <w:t xml:space="preserve">  </w:t>
      </w:r>
      <w:r w:rsidR="002359CB">
        <w:rPr>
          <w:szCs w:val="32"/>
        </w:rPr>
        <w:t>The remaining unused soil was kept in the Falcon conical tubes in case of further analysis is warranted.</w:t>
      </w:r>
      <w:r w:rsidR="00260350">
        <w:rPr>
          <w:szCs w:val="32"/>
        </w:rPr>
        <w:t xml:space="preserve">  </w:t>
      </w:r>
      <w:r w:rsidR="00260350">
        <w:rPr>
          <w:szCs w:val="32"/>
        </w:rPr>
        <w:lastRenderedPageBreak/>
        <w:t>Statistical analyses were performed on the datasets using Microsoft Excel.  The Shapiro-Wilk test was used to determine the normality of the dataset</w:t>
      </w:r>
      <w:bookmarkStart w:id="33" w:name="OLE_LINK1"/>
      <w:r w:rsidR="000948BA">
        <w:rPr>
          <w:szCs w:val="32"/>
        </w:rPr>
        <w:t>, where a p-value greater than 0.05 passes the normality test and the data is normally distributed</w:t>
      </w:r>
      <w:bookmarkEnd w:id="33"/>
      <w:r w:rsidR="00260350">
        <w:rPr>
          <w:szCs w:val="32"/>
        </w:rPr>
        <w:t>.</w:t>
      </w:r>
      <w:r w:rsidR="008734E9">
        <w:rPr>
          <w:szCs w:val="32"/>
        </w:rPr>
        <w:t xml:space="preserve">  A </w:t>
      </w:r>
      <w:r w:rsidR="00D9224E">
        <w:rPr>
          <w:szCs w:val="32"/>
        </w:rPr>
        <w:t xml:space="preserve">Student’s </w:t>
      </w:r>
      <w:r w:rsidR="008734E9">
        <w:rPr>
          <w:szCs w:val="32"/>
        </w:rPr>
        <w:t xml:space="preserve">t-Test </w:t>
      </w:r>
      <w:r w:rsidR="00D9224E">
        <w:rPr>
          <w:szCs w:val="32"/>
        </w:rPr>
        <w:t xml:space="preserve">at 95% confidence level (p &lt; 0.05) </w:t>
      </w:r>
      <w:r w:rsidR="008734E9">
        <w:rPr>
          <w:szCs w:val="32"/>
        </w:rPr>
        <w:t>was performed between the acidic and basic samples of the same time period to determine if there is a significant difference between the two groups.</w:t>
      </w:r>
    </w:p>
    <w:p w14:paraId="063212C0" w14:textId="77777777" w:rsidR="00BD23B5" w:rsidRPr="00382294" w:rsidRDefault="00BD23B5" w:rsidP="00382294">
      <w:pPr>
        <w:ind w:firstLine="720"/>
        <w:jc w:val="both"/>
      </w:pPr>
    </w:p>
    <w:p w14:paraId="32052C58" w14:textId="0FA2A1AA" w:rsidR="007878D9" w:rsidRPr="002A4ADE" w:rsidRDefault="00F84424" w:rsidP="00F84424">
      <w:pPr>
        <w:pStyle w:val="Heading2"/>
      </w:pPr>
      <w:bookmarkStart w:id="34" w:name="_Toc71224004"/>
      <w:r>
        <w:t>3.</w:t>
      </w:r>
      <w:r w:rsidR="007878D9">
        <w:t xml:space="preserve">3 </w:t>
      </w:r>
      <w:r w:rsidR="007878D9" w:rsidRPr="002A4ADE">
        <w:t>Methods</w:t>
      </w:r>
      <w:r w:rsidR="007878D9">
        <w:t xml:space="preserve"> for Water Analysis</w:t>
      </w:r>
      <w:bookmarkEnd w:id="34"/>
    </w:p>
    <w:p w14:paraId="077625BE" w14:textId="200820E8" w:rsidR="007878D9" w:rsidRPr="002A4ADE" w:rsidRDefault="00F84424" w:rsidP="00F84424">
      <w:pPr>
        <w:pStyle w:val="Heading3"/>
        <w:numPr>
          <w:ilvl w:val="0"/>
          <w:numId w:val="0"/>
        </w:numPr>
      </w:pPr>
      <w:bookmarkStart w:id="35" w:name="_Toc71224005"/>
      <w:r>
        <w:t>3.</w:t>
      </w:r>
      <w:r w:rsidR="00ED00EF">
        <w:t>3</w:t>
      </w:r>
      <w:r w:rsidR="007878D9" w:rsidRPr="002A4ADE">
        <w:t>.1</w:t>
      </w:r>
      <w:r w:rsidR="007878D9">
        <w:t xml:space="preserve"> </w:t>
      </w:r>
      <w:r w:rsidR="007878D9" w:rsidRPr="002A4ADE">
        <w:t>Water Sample Preparation and Timeline</w:t>
      </w:r>
      <w:bookmarkEnd w:id="35"/>
    </w:p>
    <w:p w14:paraId="5A92A1B2" w14:textId="00912635" w:rsidR="007878D9" w:rsidRDefault="007878D9" w:rsidP="007878D9">
      <w:pPr>
        <w:tabs>
          <w:tab w:val="left" w:pos="540"/>
        </w:tabs>
        <w:ind w:firstLine="720"/>
        <w:jc w:val="both"/>
      </w:pPr>
      <w:r>
        <w:t xml:space="preserve">The pH of both water sample groups was amended to match the pH of the soil sample groups.  For the acidic water samples, three liters of </w:t>
      </w:r>
      <w:r w:rsidR="00302324">
        <w:t>UltraPure</w:t>
      </w:r>
      <w:r>
        <w:t xml:space="preserve"> water were prepared with an addition of</w:t>
      </w:r>
      <w:r w:rsidR="00DB3134">
        <w:t xml:space="preserve"> 0.</w:t>
      </w:r>
      <w:r>
        <w:t xml:space="preserve">25 M sulfuric acid to </w:t>
      </w:r>
      <w:r w:rsidR="00DB3134">
        <w:t xml:space="preserve">achieve </w:t>
      </w:r>
      <w:r>
        <w:t xml:space="preserve">a pH of 4.53.  For the basic water samples, three liters of </w:t>
      </w:r>
      <w:r w:rsidR="00302324">
        <w:t>UltraPure</w:t>
      </w:r>
      <w:r>
        <w:t xml:space="preserve"> water were prepared with an addition</w:t>
      </w:r>
      <w:r w:rsidR="00DB3134">
        <w:t xml:space="preserve"> o</w:t>
      </w:r>
      <w:r>
        <w:t>f calcium hydroxide to</w:t>
      </w:r>
      <w:r w:rsidR="00DB3134">
        <w:t xml:space="preserve"> achieve</w:t>
      </w:r>
      <w:r>
        <w:t xml:space="preserve"> a pH of 9.37.  The LIB </w:t>
      </w:r>
      <w:proofErr w:type="gramStart"/>
      <w:r>
        <w:t>were</w:t>
      </w:r>
      <w:proofErr w:type="gramEnd"/>
      <w:r>
        <w:t xml:space="preserve"> dismantled and weighed in the same process as the soil samples.  The sample timeline included nine time points: 1, 2, 4, 6, 8, 12, 16, 20, and 24 weeks in which the LIB was placed in the water.  For both pH groups, 40 mL of water was added to Falcon 50 mL conical tubes then the LIB piece placed inside.  The samples sat in darkness for the specified length of time until analysis.</w:t>
      </w:r>
    </w:p>
    <w:p w14:paraId="5B736311" w14:textId="77777777" w:rsidR="00BD23B5" w:rsidRPr="00AD7F4D" w:rsidRDefault="00BD23B5" w:rsidP="007878D9">
      <w:pPr>
        <w:tabs>
          <w:tab w:val="left" w:pos="540"/>
        </w:tabs>
        <w:ind w:firstLine="720"/>
        <w:jc w:val="both"/>
      </w:pPr>
    </w:p>
    <w:p w14:paraId="465201EE" w14:textId="2E5284E7" w:rsidR="007878D9" w:rsidRPr="002A4ADE" w:rsidRDefault="00F84424" w:rsidP="00F84424">
      <w:pPr>
        <w:pStyle w:val="Heading3"/>
        <w:numPr>
          <w:ilvl w:val="0"/>
          <w:numId w:val="0"/>
        </w:numPr>
      </w:pPr>
      <w:bookmarkStart w:id="36" w:name="_Toc71224006"/>
      <w:r>
        <w:t>3.</w:t>
      </w:r>
      <w:r w:rsidR="00ED00EF">
        <w:t>3</w:t>
      </w:r>
      <w:r w:rsidR="007878D9">
        <w:t>.</w:t>
      </w:r>
      <w:r w:rsidR="007878D9" w:rsidRPr="002A4ADE">
        <w:t>2</w:t>
      </w:r>
      <w:r w:rsidR="007878D9">
        <w:t xml:space="preserve"> </w:t>
      </w:r>
      <w:r w:rsidR="007878D9" w:rsidRPr="002A4ADE">
        <w:t>Laboratory Sample Analysis</w:t>
      </w:r>
      <w:bookmarkEnd w:id="36"/>
    </w:p>
    <w:p w14:paraId="5320E040" w14:textId="05834128" w:rsidR="007878D9" w:rsidRDefault="007878D9" w:rsidP="007878D9">
      <w:pPr>
        <w:ind w:firstLine="720"/>
        <w:jc w:val="both"/>
        <w:rPr>
          <w:szCs w:val="32"/>
        </w:rPr>
      </w:pPr>
      <w:r>
        <w:t xml:space="preserve">The water sample preparation for the analysis by XRF similarly followed the preparation procedures by </w:t>
      </w:r>
      <w:r>
        <w:fldChar w:fldCharType="begin" w:fldLock="1"/>
      </w:r>
      <w:r w:rsidR="003B5B1E">
        <w:instrText>ADDIN CSL_CITATION {"citationItems":[{"id":"ITEM-1","itemData":{"DOI":"10.1016/j.aca.2006.04.028","author":[{"dropping-particle":"","family":"Orescanin","given":"Visnja","non-dropping-particle":"","parse-names":false,"suffix":""},{"dropping-particle":"","family":"Mikelic","given":"Luka","non-dropping-particle":"","parse-names":false,"suffix":""},{"dropping-particle":"","family":"Roje","given":"Vibor","non-dropping-particle":"","parse-names":false,"suffix":""},{"dropping-particle":"","family":"Lulic","given":"Stipe","non-dropping-particle":"","parse-names":false,"suffix":""}],"container-title":"Analytica Chimica Acta","id":"ITEM-1","issue":"2","issued":{"date-parts":[["2006"]]},"page":"277-282","title":"Determination of lanthanides by source excited energy dispersive X-ray fluorescence (EDXRF) method after preconcentration with ammonium pyrrolidine dithiocarbamate (APDC)","type":"article-journal","volume":"570"},"uris":["http://www.mendeley.com/documents/?uuid=56b87b40-9d1a-4ea6-bdd1-1524ee1f2748"]}],"mendeley":{"formattedCitation":"(Orescanin et al., 2006)","manualFormatting":"Orescanin et al. (2006","plainTextFormattedCitation":"(Orescanin et al., 2006)","previouslyFormattedCitation":"(Orescanin et al., 2006)"},"properties":{"noteIndex":0},"schema":"https://github.com/citation-style-language/schema/raw/master/csl-citation.json"}</w:instrText>
      </w:r>
      <w:r>
        <w:fldChar w:fldCharType="separate"/>
      </w:r>
      <w:r w:rsidRPr="00766A24">
        <w:rPr>
          <w:noProof/>
        </w:rPr>
        <w:t xml:space="preserve">Orescanin et al. </w:t>
      </w:r>
      <w:r w:rsidR="003B5B1E">
        <w:rPr>
          <w:noProof/>
        </w:rPr>
        <w:t>(</w:t>
      </w:r>
      <w:r w:rsidRPr="00766A24">
        <w:rPr>
          <w:noProof/>
        </w:rPr>
        <w:t>2006</w:t>
      </w:r>
      <w:r>
        <w:fldChar w:fldCharType="end"/>
      </w:r>
      <w:r w:rsidR="003B5B1E">
        <w:t>)</w:t>
      </w:r>
      <w:r>
        <w:t xml:space="preserve"> with modification.  The sample tubes were centrifuged at 2,000 rpm for ten minutes, after which the supernatant was transferred to a new Falcon conical tube to leave behind the LIB and particulates from the water.  The centrifugation and supernatant </w:t>
      </w:r>
      <w:r>
        <w:lastRenderedPageBreak/>
        <w:t>transfer were repeated once for the removal of any remaining particulates.  Every sample’s pH was adjusted to pH 8 with either 0.025 M H</w:t>
      </w:r>
      <w:r>
        <w:rPr>
          <w:vertAlign w:val="subscript"/>
        </w:rPr>
        <w:t>2</w:t>
      </w:r>
      <w:r>
        <w:t>SO</w:t>
      </w:r>
      <w:r>
        <w:rPr>
          <w:vertAlign w:val="subscript"/>
        </w:rPr>
        <w:t>4</w:t>
      </w:r>
      <w:r>
        <w:t xml:space="preserve"> or 0.1 M NaOH.  </w:t>
      </w:r>
      <w:r w:rsidR="00A05BB9">
        <w:t>Five</w:t>
      </w:r>
      <w:r w:rsidRPr="00691E82">
        <w:t xml:space="preserve"> milliliters of </w:t>
      </w:r>
      <w:r>
        <w:t>2.</w:t>
      </w:r>
      <w:r w:rsidRPr="00691E82">
        <w:t>5%</w:t>
      </w:r>
      <w:r>
        <w:t xml:space="preserve"> (w/v) APDC was added to each tube and shaken for 30 minutes.  After shaking, the samples were passed through a 47 mm, 0.45 </w:t>
      </w:r>
      <w:r>
        <w:rPr>
          <w:rFonts w:cs="Times New Roman"/>
        </w:rPr>
        <w:t>μ</w:t>
      </w:r>
      <w:r>
        <w:t xml:space="preserve">m Osmonics Inc. MicronSep mixed cellulose ester filter under vacuum.  The filter paper was air dried prior to analysis.  The filter paper was placed into </w:t>
      </w:r>
      <w:r w:rsidR="003B5B1E">
        <w:t>a</w:t>
      </w:r>
      <w:r>
        <w:t xml:space="preserve"> test stand</w:t>
      </w:r>
      <w:r>
        <w:rPr>
          <w:szCs w:val="32"/>
        </w:rPr>
        <w:t xml:space="preserve"> and the XRF</w:t>
      </w:r>
      <w:r w:rsidR="003B5B1E">
        <w:rPr>
          <w:szCs w:val="32"/>
        </w:rPr>
        <w:t xml:space="preserve"> was locked in a stationary vertical position as described above.</w:t>
      </w:r>
      <w:r>
        <w:rPr>
          <w:szCs w:val="32"/>
        </w:rPr>
        <w:t xml:space="preserve">  The XRF </w:t>
      </w:r>
      <w:r w:rsidR="003B5B1E">
        <w:rPr>
          <w:szCs w:val="32"/>
        </w:rPr>
        <w:t>analysis time was set to</w:t>
      </w:r>
      <w:r>
        <w:rPr>
          <w:szCs w:val="32"/>
        </w:rPr>
        <w:t xml:space="preserve"> 180 seconds and </w:t>
      </w:r>
      <w:r w:rsidR="003B5B1E">
        <w:rPr>
          <w:szCs w:val="32"/>
        </w:rPr>
        <w:t>the range was set to</w:t>
      </w:r>
      <w:r>
        <w:rPr>
          <w:szCs w:val="32"/>
        </w:rPr>
        <w:t xml:space="preserve"> </w:t>
      </w:r>
      <w:r w:rsidR="00FD01B9">
        <w:rPr>
          <w:szCs w:val="32"/>
        </w:rPr>
        <w:t>ppm</w:t>
      </w:r>
      <w:r>
        <w:rPr>
          <w:szCs w:val="32"/>
        </w:rPr>
        <w:t>.</w:t>
      </w:r>
      <w:r w:rsidR="00183D24">
        <w:rPr>
          <w:szCs w:val="32"/>
        </w:rPr>
        <w:t xml:space="preserve">  The filter paper was analyzed two more times with a 60 degree rotation between scans.</w:t>
      </w:r>
      <w:r w:rsidR="00982516">
        <w:rPr>
          <w:szCs w:val="32"/>
        </w:rPr>
        <w:t xml:space="preserve">  </w:t>
      </w:r>
      <w:r w:rsidR="00FD01B9">
        <w:rPr>
          <w:szCs w:val="32"/>
        </w:rPr>
        <w:t xml:space="preserve">Linear calibration of each metal was performed to determine a relationship between the XRF ppm results of the filter paper and the actual concentration in the 40 mL sample.  A solution of </w:t>
      </w:r>
      <w:r w:rsidR="00982516">
        <w:rPr>
          <w:szCs w:val="32"/>
        </w:rPr>
        <w:t>certified calibration standard solution containing 50 mg/L each of aluminum, cobalt, copper, manganese, and nickel was used in volumes of 5 mL, 10 mL, 20 mL, and 40 mL.  Each volume was diluted to 40 mL and followed the same procedure as the samples</w:t>
      </w:r>
      <w:r w:rsidR="0065637B" w:rsidRPr="0065637B">
        <w:rPr>
          <w:szCs w:val="32"/>
        </w:rPr>
        <w:t>.</w:t>
      </w:r>
      <w:r w:rsidR="00982516" w:rsidRPr="0065637B">
        <w:rPr>
          <w:szCs w:val="32"/>
        </w:rPr>
        <w:t xml:space="preserve">  The slope of this linear relationship was used to correct the sample XRF ppm results to actual concentration of each LIB metal.</w:t>
      </w:r>
      <w:r w:rsidR="00982516">
        <w:rPr>
          <w:szCs w:val="32"/>
        </w:rPr>
        <w:t xml:space="preserve">  </w:t>
      </w:r>
      <w:r>
        <w:rPr>
          <w:szCs w:val="32"/>
        </w:rPr>
        <w:t>Statistical analyses were performed on the datasets using Microsoft Excel.  The Shapiro-Wilk test was used to determine the normality of the dataset</w:t>
      </w:r>
      <w:r w:rsidR="000948BA">
        <w:rPr>
          <w:szCs w:val="32"/>
        </w:rPr>
        <w:t>, where a p-value greater than 0.05 passes the normality test and the data is normally distributed</w:t>
      </w:r>
      <w:r>
        <w:rPr>
          <w:szCs w:val="32"/>
        </w:rPr>
        <w:t>.</w:t>
      </w:r>
      <w:r w:rsidR="008734E9">
        <w:rPr>
          <w:szCs w:val="32"/>
        </w:rPr>
        <w:t xml:space="preserve">  A </w:t>
      </w:r>
      <w:r w:rsidR="00D9224E">
        <w:rPr>
          <w:szCs w:val="32"/>
        </w:rPr>
        <w:t xml:space="preserve">Student’s </w:t>
      </w:r>
      <w:r w:rsidR="008734E9">
        <w:rPr>
          <w:szCs w:val="32"/>
        </w:rPr>
        <w:t>t-Test</w:t>
      </w:r>
      <w:r w:rsidR="00D9224E" w:rsidRPr="00D9224E">
        <w:rPr>
          <w:szCs w:val="32"/>
        </w:rPr>
        <w:t xml:space="preserve"> </w:t>
      </w:r>
      <w:r w:rsidR="00D9224E">
        <w:rPr>
          <w:szCs w:val="32"/>
        </w:rPr>
        <w:t>at 95% confidence level (p &lt; 0.05)</w:t>
      </w:r>
      <w:r w:rsidR="008734E9">
        <w:rPr>
          <w:szCs w:val="32"/>
        </w:rPr>
        <w:t xml:space="preserve"> was performed between the acidic and basic samples of the same time period to determine if there is a significant difference between the two groups.</w:t>
      </w:r>
    </w:p>
    <w:p w14:paraId="78668B62" w14:textId="77777777" w:rsidR="00BD23B5" w:rsidRPr="00260350" w:rsidRDefault="00BD23B5" w:rsidP="007878D9">
      <w:pPr>
        <w:ind w:firstLine="720"/>
        <w:jc w:val="both"/>
        <w:rPr>
          <w:szCs w:val="32"/>
        </w:rPr>
      </w:pPr>
    </w:p>
    <w:p w14:paraId="6D130810" w14:textId="7869E806" w:rsidR="00532331" w:rsidRPr="002A4ADE" w:rsidRDefault="00F84424" w:rsidP="00F84424">
      <w:pPr>
        <w:pStyle w:val="Heading2"/>
      </w:pPr>
      <w:bookmarkStart w:id="37" w:name="_Toc71224007"/>
      <w:r>
        <w:lastRenderedPageBreak/>
        <w:t>3.</w:t>
      </w:r>
      <w:r w:rsidR="00500860">
        <w:t>4</w:t>
      </w:r>
      <w:r w:rsidR="00532331">
        <w:t xml:space="preserve"> </w:t>
      </w:r>
      <w:r w:rsidR="00532331" w:rsidRPr="002A4ADE">
        <w:t>Methods</w:t>
      </w:r>
      <w:r w:rsidR="00532331">
        <w:t xml:space="preserve"> for MINEQL+ Modeling</w:t>
      </w:r>
      <w:bookmarkEnd w:id="37"/>
    </w:p>
    <w:p w14:paraId="66072899" w14:textId="4F657DD5" w:rsidR="002359CB" w:rsidRDefault="00F84424" w:rsidP="00F84424">
      <w:pPr>
        <w:pStyle w:val="Heading3"/>
        <w:numPr>
          <w:ilvl w:val="0"/>
          <w:numId w:val="0"/>
        </w:numPr>
      </w:pPr>
      <w:bookmarkStart w:id="38" w:name="_Toc71224008"/>
      <w:r>
        <w:t>3.</w:t>
      </w:r>
      <w:r w:rsidR="00500860">
        <w:t>4</w:t>
      </w:r>
      <w:r w:rsidR="00B27C0B">
        <w:t>.1 Soil Modeling</w:t>
      </w:r>
      <w:bookmarkEnd w:id="38"/>
    </w:p>
    <w:p w14:paraId="1D9C6BAB" w14:textId="27146616" w:rsidR="00B27C0B" w:rsidRDefault="009331DD" w:rsidP="005078F3">
      <w:pPr>
        <w:jc w:val="both"/>
      </w:pPr>
      <w:r>
        <w:tab/>
        <w:t xml:space="preserve">MINEQL+ Version 5.00.0 was used to model the heavy metal adsorption </w:t>
      </w:r>
      <w:r w:rsidR="009124D7">
        <w:t>onto the soil</w:t>
      </w:r>
      <w:r>
        <w:t xml:space="preserve"> between pH 4.0 and 10.0 for the LIB metals: copper, aluminum, nickel, </w:t>
      </w:r>
      <w:r w:rsidR="00B43296">
        <w:t>manganese,</w:t>
      </w:r>
      <w:r>
        <w:t xml:space="preserve"> and cobalt.  </w:t>
      </w:r>
      <w:r w:rsidR="0005503D">
        <w:t xml:space="preserve">This study </w:t>
      </w:r>
      <w:r>
        <w:t>closely follow</w:t>
      </w:r>
      <w:r w:rsidR="0005503D">
        <w:t>ed</w:t>
      </w:r>
      <w:r>
        <w:t xml:space="preserve"> the</w:t>
      </w:r>
      <w:r w:rsidR="00FC004F">
        <w:t xml:space="preserve"> “</w:t>
      </w:r>
      <w:r w:rsidR="00A463D7">
        <w:t>Two-Layer Adsorption”</w:t>
      </w:r>
      <w:r w:rsidR="003F1FAC">
        <w:t xml:space="preserve"> pro</w:t>
      </w:r>
      <w:r>
        <w:t>cedure in the MINEQL+ Manual</w:t>
      </w:r>
      <w:r w:rsidR="0005503D">
        <w:t xml:space="preserve">, with </w:t>
      </w:r>
      <w:r w:rsidR="001466B0">
        <w:t xml:space="preserve">slight </w:t>
      </w:r>
      <w:r w:rsidR="0005503D">
        <w:t>modification</w:t>
      </w:r>
      <w:r>
        <w:t xml:space="preserve"> </w:t>
      </w:r>
      <w:r>
        <w:fldChar w:fldCharType="begin" w:fldLock="1"/>
      </w:r>
      <w:r w:rsidR="0004356A">
        <w:instrText>ADDIN CSL_CITATION {"citationItems":[{"id":"ITEM-1","itemData":{"ISBN":"9788578110796","ISSN":"1098-6596","PMID":"25246403","author":[{"dropping-particle":"","family":"Schecher","given":"William D.","non-dropping-particle":"","parse-names":false,"suffix":""},{"dropping-particle":"","family":"McAvoy","given":"Drew C.","non-dropping-particle":"","parse-names":false,"suffix":""}],"container-title":"Environmental Research Software","id":"ITEM-1","issued":{"date-parts":[["2015"]]},"number-of-pages":"199-311","publisher":"Environmental Research Software","publisher-place":"Hallowell","title":"MINEQL+ Chemical Equilibrium Modeling System","type":"book","volume":"5"},"uris":["http://www.mendeley.com/documents/?uuid=e574ed66-fb35-4345-82ea-081368bb538d"]}],"mendeley":{"formattedCitation":"(Schecher &amp; McAvoy, 2015)","plainTextFormattedCitation":"(Schecher &amp; McAvoy, 2015)","previouslyFormattedCitation":"(Schecher &amp; McAvoy, 2015)"},"properties":{"noteIndex":0},"schema":"https://github.com/citation-style-language/schema/raw/master/csl-citation.json"}</w:instrText>
      </w:r>
      <w:r>
        <w:fldChar w:fldCharType="separate"/>
      </w:r>
      <w:r w:rsidRPr="00DF697F">
        <w:rPr>
          <w:noProof/>
        </w:rPr>
        <w:t>(Schecher &amp; McAvoy, 2015)</w:t>
      </w:r>
      <w:r>
        <w:fldChar w:fldCharType="end"/>
      </w:r>
      <w:r>
        <w:t xml:space="preserve">.  </w:t>
      </w:r>
      <w:r w:rsidR="0005503D">
        <w:t xml:space="preserve">Based on the findings by </w:t>
      </w:r>
      <w:r w:rsidR="0005503D">
        <w:fldChar w:fldCharType="begin" w:fldLock="1"/>
      </w:r>
      <w:r w:rsidR="00521837">
        <w:instrText>ADDIN CSL_CITATION {"citationItems":[{"id":"ITEM-1","itemData":{"container-title":"Kansas Geological Survey","id":"ITEM-1","issued":{"date-parts":[["1989"]]},"page":"1","title":"Petrology of Banzet Lithologies","type":"webpage"},"uris":["http://www.mendeley.com/documents/?uuid=01faf6ac-a1c6-4da1-87f1-67e319f7ba0c"]}],"mendeley":{"formattedCitation":"(&lt;i&gt;Petrology of Banzet Lithologies&lt;/i&gt;, 1989)","manualFormatting":"Petrology of Banzet Lithologies, 1989","plainTextFormattedCitation":"(Petrology of Banzet Lithologies, 1989)","previouslyFormattedCitation":"(&lt;i&gt;Petrology of Banzet Lithologies&lt;/i&gt;, 1989)"},"properties":{"noteIndex":0},"schema":"https://github.com/citation-style-language/schema/raw/master/csl-citation.json"}</w:instrText>
      </w:r>
      <w:r w:rsidR="0005503D">
        <w:fldChar w:fldCharType="separate"/>
      </w:r>
      <w:r w:rsidR="0005503D" w:rsidRPr="0005503D">
        <w:rPr>
          <w:i/>
          <w:noProof/>
        </w:rPr>
        <w:t xml:space="preserve">Petrology of Banzet </w:t>
      </w:r>
      <w:r w:rsidR="00757A98">
        <w:rPr>
          <w:i/>
          <w:noProof/>
        </w:rPr>
        <w:t>L</w:t>
      </w:r>
      <w:r w:rsidR="0005503D" w:rsidRPr="0005503D">
        <w:rPr>
          <w:i/>
          <w:noProof/>
        </w:rPr>
        <w:t>ithologies</w:t>
      </w:r>
      <w:r w:rsidR="0005503D" w:rsidRPr="0005503D">
        <w:rPr>
          <w:noProof/>
        </w:rPr>
        <w:t>, 198</w:t>
      </w:r>
      <w:r w:rsidR="0005503D">
        <w:rPr>
          <w:noProof/>
        </w:rPr>
        <w:t>9</w:t>
      </w:r>
      <w:r w:rsidR="0005503D">
        <w:fldChar w:fldCharType="end"/>
      </w:r>
      <w:r w:rsidR="0005503D">
        <w:t>, t</w:t>
      </w:r>
      <w:r w:rsidR="00A55A30">
        <w:t>he minerals chosen to represent the sand, silt, and clay include quart</w:t>
      </w:r>
      <w:r w:rsidR="007A48C0">
        <w:t>z</w:t>
      </w:r>
      <w:r w:rsidR="00A55A30">
        <w:t xml:space="preserve">, </w:t>
      </w:r>
      <w:r w:rsidR="0005503D">
        <w:t>K-</w:t>
      </w:r>
      <w:r w:rsidR="00A55A30">
        <w:t xml:space="preserve">feldspar, </w:t>
      </w:r>
      <w:r w:rsidR="0005503D">
        <w:t>and kaolinite</w:t>
      </w:r>
      <w:r w:rsidR="00A55A30">
        <w:t>, respectively</w:t>
      </w:r>
      <w:r w:rsidR="0004356A">
        <w:t xml:space="preserve">. </w:t>
      </w:r>
      <w:r w:rsidR="00A55A30">
        <w:t xml:space="preserve"> </w:t>
      </w:r>
      <w:r w:rsidR="00FE5D3A">
        <w:t xml:space="preserve">With the results of the soil composition from </w:t>
      </w:r>
      <w:r w:rsidR="00626E12">
        <w:t>Chapter</w:t>
      </w:r>
      <w:r w:rsidR="00FE5D3A">
        <w:t xml:space="preserve"> </w:t>
      </w:r>
      <w:r w:rsidR="009C3645">
        <w:t>3</w:t>
      </w:r>
      <w:r w:rsidR="00FE5D3A">
        <w:t>.2.1 and previous literature, a weighted average for the surface site density</w:t>
      </w:r>
      <w:r w:rsidR="006B513D">
        <w:t xml:space="preserve"> </w:t>
      </w:r>
      <w:r w:rsidR="00D7561B">
        <w:t>(0.0779 mmol/g)</w:t>
      </w:r>
      <w:r w:rsidR="00FE5D3A">
        <w:t>, specific surface area</w:t>
      </w:r>
      <w:r w:rsidR="00D7561B">
        <w:t xml:space="preserve"> (4.11 m</w:t>
      </w:r>
      <w:r w:rsidR="00D7561B">
        <w:rPr>
          <w:vertAlign w:val="superscript"/>
        </w:rPr>
        <w:t>2</w:t>
      </w:r>
      <w:r w:rsidR="00D7561B">
        <w:t>/g)</w:t>
      </w:r>
      <w:r w:rsidR="00FE5D3A">
        <w:t>,</w:t>
      </w:r>
      <w:r w:rsidR="001629DB">
        <w:t xml:space="preserve"> surface site concentration</w:t>
      </w:r>
      <w:r w:rsidR="00D7561B">
        <w:t xml:space="preserve"> (</w:t>
      </w:r>
      <w:r w:rsidR="00532E27">
        <w:t>0.0779 mM)</w:t>
      </w:r>
      <w:r w:rsidR="001629DB">
        <w:t>,</w:t>
      </w:r>
      <w:r w:rsidR="00BD0C5D">
        <w:t xml:space="preserve"> </w:t>
      </w:r>
      <w:r w:rsidR="00612B28">
        <w:t xml:space="preserve">solids concentration (1 g/L), </w:t>
      </w:r>
      <w:r w:rsidR="00FB1B46">
        <w:t xml:space="preserve">and the </w:t>
      </w:r>
      <w:r w:rsidR="009115C2">
        <w:t xml:space="preserve">initial </w:t>
      </w:r>
      <w:r w:rsidR="001C2142">
        <w:t>surface complexation constants</w:t>
      </w:r>
      <w:r w:rsidR="00FE5D3A">
        <w:t xml:space="preserve"> </w:t>
      </w:r>
      <w:r w:rsidR="00520980">
        <w:t>(LogK</w:t>
      </w:r>
      <w:r w:rsidR="00520980">
        <w:rPr>
          <w:vertAlign w:val="superscript"/>
        </w:rPr>
        <w:t>1</w:t>
      </w:r>
      <w:r w:rsidR="00520980">
        <w:t>=</w:t>
      </w:r>
      <w:r w:rsidR="009115C2">
        <w:t>4.36, LogK</w:t>
      </w:r>
      <w:r w:rsidR="009115C2">
        <w:rPr>
          <w:vertAlign w:val="superscript"/>
        </w:rPr>
        <w:t>2</w:t>
      </w:r>
      <w:r w:rsidR="009115C2">
        <w:t>=-7.94)</w:t>
      </w:r>
      <w:r w:rsidR="00BF49DF">
        <w:t xml:space="preserve"> </w:t>
      </w:r>
      <w:r w:rsidR="00BF49DF">
        <w:fldChar w:fldCharType="begin" w:fldLock="1"/>
      </w:r>
      <w:r w:rsidR="00010967">
        <w:instrText>ADDIN CSL_CITATION {"citationItems":[{"id":"ITEM-1","itemData":{"DOI":"10.1016/j.chemgeo.2010.05.017","ISSN":"00092541","abstract":"Pb adsorption is measured on hydrous ferric oxide (HFO), kaolinite and quartz as a function of pH (~2-10), ionic strength (0.001 to 0.1M NaNO3) and sorbate concentration (1 to 100μM Pb on 2g/L solid). The data are used to parameterize diffuse layer surface complexation models (DLMs) for each solid. Pb adsorption edges on HFO show little dependence on ionic strength and are described well by a DLM with Pb forming a monodentate complex on strong and weak surface sites. In contrast, Pb adsorption edges on quartz are strongly dependent on ionic strength and sorbate/sorbent ratios. A single-site DLM with a monodentate Pb complex describes Pb adsorption on quartz well over relatively restricted solution conditions, but cannot reproduce the observed dependence on ionic strength and Pb loading. As for quartz, Pb adsorption on kaolinite depends strongly on ionic strength and Pb loading. Several model approaches are tested, but none produces a good fit to the data over the full range of measured conditions. The best of the tested DLMs for kaolinite assumes Pb binding to a permanent charge (face) site and formation of a monodentate complex on a variable-charge (edge) site. A simple component additivity approach, assuming no mineral-mineral interactions and using models developed for the three pure sorbents generally produces good predictions of Pb adsorption for mixed solid systems. With the possible exception of the HFO and kaolinite system, mineral-mineral interactions between quartz, kaolinite and HFO appear to be smaller than the uncertainties associated with the pure sorbent models. © 2010 Elsevier B.V.","author":[{"dropping-particle":"","family":"Reich","given":"Thomas J.","non-dropping-particle":"","parse-names":false,"suffix":""},{"dropping-particle":"","family":"Das","given":"Soumya","non-dropping-particle":"","parse-names":false,"suffix":""},{"dropping-particle":"","family":"Koretsky","given":"Carla M.","non-dropping-particle":"","parse-names":false,"suffix":""},{"dropping-particle":"","family":"Lund","given":"Tracy J.","non-dropping-particle":"","parse-names":false,"suffix":""},{"dropping-particle":"","family":"Landry","given":"Christopher J.","non-dropping-particle":"","parse-names":false,"suffix":""}],"container-title":"Chemical Geology","id":"ITEM-1","issue":"3-4","issued":{"date-parts":[["2010"]]},"page":"262-271","publisher":"Elsevier B.V.","title":"Surface complexation modeling of Pb(II) adsorption on mixtures of hydrous ferric oxide, quartz and kaolinite","type":"article-journal","volume":"275"},"uris":["http://www.mendeley.com/documents/?uuid=ac88d895-526a-4788-9bb6-5d126891f618"]},{"id":"ITEM-2","itemData":{"author":[{"dropping-particle":"","family":"Richter","given":"Constanze","non-dropping-particle":"","parse-names":false,"suffix":""}],"id":"ITEM-2","issued":{"date-parts":[["2015"]]},"number-of-pages":"1-133","publisher":"Technischen Universitat Dresden","title":"Sorption of environmentally relevant radionuclides (U(VI), Np(V)) and lanthanides (Nd)III)) on feldspar and mica","type":"thesis"},"uris":["http://www.mendeley.com/documents/?uuid=e5eb969e-0adc-4fe8-b831-bede9aba746e"]},{"id":"ITEM-3","itemData":{"DOI":"10.1016/j.apsusc.2015.07.214","ISSN":"0169-4332","author":[{"dropping-particle":"","family":"Tang","given":"Cuihua","non-dropping-particle":"","parse-names":false,"suffix":""},{"dropping-particle":"","family":"Zhu","given":"Jianxi","non-dropping-particle":"","parse-names":false,"suffix":""},{"dropping-particle":"","family":"Li","given":"Zhaohui","non-dropping-particle":"","parse-names":false,"suffix":""},{"dropping-particle":"","family":"Zhu","given":"Runliang","non-dropping-particle":"","parse-names":false,"suffix":""},{"dropping-particle":"","family":"Zhou","given":"Qing","non-dropping-particle":"","parse-names":false,"suffix":""}],"container-title":"Applied Surface Science","id":"ITEM-3","issued":{"date-parts":[["2015"]]},"page":"1161-1167","publisher":"Elsevier B.V.","title":"Applied Surface Science Surface chemistry and reactivity of SiO2 polymorphs: A comparative study on alpha-quartz and alpha-cristobalite","type":"article-journal","volume":"355"},"uris":["http://www.mendeley.com/documents/?uuid=9c3390f1-727e-46eb-884c-046bad0f1ffe"]},{"id":"ITEM-4","itemData":{"author":[{"dropping-particle":"","family":"Stillings","given":"Lisa L","non-dropping-particle":"","parse-names":false,"suffix":""},{"dropping-particle":"","family":"Susan","given":"L","non-dropping-particle":"","parse-names":false,"suffix":""}],"container-title":"Geochimica et Cosmochimica Acta","id":"ITEM-4","issue":"8","issued":{"date-parts":[["1995"]]},"page":"1483-1496","title":"Feldspar dissolution at 25°C and pH 3: Reaction stoichiometry and the effect of cations","type":"article-journal","volume":"59"},"uris":["http://www.mendeley.com/documents/?uuid=427d4388-6cc0-4fe9-94a3-bbb55a1d3307"]},{"id":"ITEM-5","itemData":{"author":[{"dropping-particle":"","family":"Fan","given":"Q.","non-dropping-particle":"","parse-names":false,"suffix":""},{"dropping-particle":"","family":"Li","given":"P.","non-dropping-particle":"","parse-names":false,"suffix":""},{"dropping-particle":"","family":"Pan","given":"D.","non-dropping-particle":"","parse-names":false,"suffix":""}],"container-title":"Interface Science and Technology","id":"ITEM-5","issued":{"date-parts":[["2019"]]},"page":"1-38","title":"Radionuclides sorption on typical clay minerals: Modeling and spectroscopies","type":"article-journal","volume":"29"},"uris":["http://www.mendeley.com/documents/?uuid=780177cb-56e6-4da7-9ee3-39a997e50b43"]},{"id":"ITEM-6","itemData":{"author":[{"dropping-particle":"","family":"Beckingham","given":"Lauren E","non-dropping-particle":"","parse-names":false,"suffix":""},{"dropping-particle":"","family":"Mitnick","given":"Elizabeth H","non-dropping-particle":"","parse-names":false,"suffix":""},{"dropping-particle":"","family":"Steefel","given":"Carl I","non-dropping-particle":"","parse-names":false,"suffix":""},{"dropping-particle":"","family":"Zhang","given":"Shuo","non-dropping-particle":"","parse-names":false,"suffix":""},{"dropping-particle":"","family":"Voltolini","given":"Marco","non-dropping-particle":"","parse-names":false,"suffix":""},{"dropping-particle":"","family":"Alexander","given":"M","non-dropping-particle":"","parse-names":false,"suffix":""},{"dropping-particle":"","family":"Yang","given":"Li","non-dropping-particle":"","parse-names":false,"suffix":""},{"dropping-particle":"","family":"Cole","given":"David R","non-dropping-particle":"","parse-names":false,"suffix":""},{"dropping-particle":"","family":"Sheets","given":"Julia M","non-dropping-particle":"","parse-names":false,"suffix":""},{"dropping-particle":"","family":"Ajo-franklin","given":"Jonathan B","non-dropping-particle":"","parse-names":false,"suffix":""},{"dropping-particle":"","family":"Depaolo","given":"Donald J","non-dropping-particle":"","parse-names":false,"suffix":""},{"dropping-particle":"","family":"Mito","given":"Saeko","non-dropping-particle":"","parse-names":false,"suffix":""}],"container-title":"Geochimica et Cosmochimica Acta","id":"ITEM-6","issued":{"date-parts":[["2016"]]},"page":"310-329","title":"Evaluation of mineral reactive surface area estimates for prediction of reactivity of a multi-mineral sediment","type":"article-journal","volume":"188"},"uris":["http://www.mendeley.com/documents/?uuid=ea3e6a10-aee9-4e94-8897-6f4d6a3c9df6"]}],"mendeley":{"formattedCitation":"(Beckingham et al., 2016; Fan et al., 2019; Reich et al., 2010; Richter, 2015; Stillings &amp; Susan, 1995; Tang et al., 2015)","plainTextFormattedCitation":"(Beckingham et al., 2016; Fan et al., 2019; Reich et al., 2010; Richter, 2015; Stillings &amp; Susan, 1995; Tang et al., 2015)","previouslyFormattedCitation":"(Beckingham et al., 2016; Fan et al., 2019; Reich et al., 2010; Richter, 2015; Stillings &amp; Susan, 1995; Tang et al., 2015)"},"properties":{"noteIndex":0},"schema":"https://github.com/citation-style-language/schema/raw/master/csl-citation.json"}</w:instrText>
      </w:r>
      <w:r w:rsidR="00BF49DF">
        <w:fldChar w:fldCharType="separate"/>
      </w:r>
      <w:r w:rsidR="00BF49DF" w:rsidRPr="00BF49DF">
        <w:rPr>
          <w:noProof/>
        </w:rPr>
        <w:t>(Beckingham et al., 2016; Fan et al., 2019; Reich et al., 2010; Richter, 2015; Stillings &amp; Susan, 1995; Tang et al., 2015)</w:t>
      </w:r>
      <w:r w:rsidR="00BF49DF">
        <w:fldChar w:fldCharType="end"/>
      </w:r>
      <w:r w:rsidR="00BF49DF">
        <w:t>.</w:t>
      </w:r>
      <w:r w:rsidR="00FE5D3A">
        <w:t xml:space="preserve">  Previous literature </w:t>
      </w:r>
      <w:r w:rsidR="004556EC">
        <w:t xml:space="preserve">carries a range </w:t>
      </w:r>
      <w:r w:rsidR="005F6C3C">
        <w:t xml:space="preserve">of surface complexation constants for the three chosen minerals, thus, </w:t>
      </w:r>
      <w:r w:rsidR="006E74B7">
        <w:t xml:space="preserve">iterations of slight changes to the </w:t>
      </w:r>
      <w:r w:rsidR="009115C2">
        <w:t xml:space="preserve">initial </w:t>
      </w:r>
      <w:r w:rsidR="006E74B7">
        <w:t xml:space="preserve">values were performed </w:t>
      </w:r>
      <w:r w:rsidR="0014148E">
        <w:t>to match the experimental soil results.</w:t>
      </w:r>
      <w:r w:rsidR="00FE5D3A">
        <w:t xml:space="preserve"> </w:t>
      </w:r>
      <w:r w:rsidR="00FE5D3A" w:rsidRPr="00FE5D3A">
        <w:t xml:space="preserve"> </w:t>
      </w:r>
      <w:r w:rsidR="00A7324F">
        <w:t xml:space="preserve">Equations </w:t>
      </w:r>
      <w:r w:rsidR="00ED00EF">
        <w:t>3</w:t>
      </w:r>
      <w:r w:rsidR="00A7324F">
        <w:t xml:space="preserve">.1 </w:t>
      </w:r>
      <w:r w:rsidR="0014148E">
        <w:t>and 3.2</w:t>
      </w:r>
      <w:r w:rsidR="00A7324F">
        <w:t xml:space="preserve"> were used for the general reactions required in this model, with S as the</w:t>
      </w:r>
      <w:r w:rsidR="00A81F20">
        <w:t xml:space="preserve"> mineral’s </w:t>
      </w:r>
      <w:r w:rsidR="00A7324F">
        <w:t>surface, and M</w:t>
      </w:r>
      <w:r w:rsidR="00A7324F">
        <w:rPr>
          <w:vertAlign w:val="superscript"/>
        </w:rPr>
        <w:t>2+</w:t>
      </w:r>
      <w:r w:rsidR="00A7324F">
        <w:t xml:space="preserve"> as the adsorbing metal </w:t>
      </w:r>
      <w:r w:rsidR="00A7324F">
        <w:fldChar w:fldCharType="begin" w:fldLock="1"/>
      </w:r>
      <w:r w:rsidR="00341EE0">
        <w:instrText>ADDIN CSL_CITATION {"citationItems":[{"id":"ITEM-1","itemData":{"ISBN":"9788578110796","ISSN":"1098-6596","PMID":"25246403","author":[{"dropping-particle":"","family":"Schecher","given":"William D.","non-dropping-particle":"","parse-names":false,"suffix":""},{"dropping-particle":"","family":"McAvoy","given":"Drew C.","non-dropping-particle":"","parse-names":false,"suffix":""}],"container-title":"Environmental Research Software","id":"ITEM-1","issued":{"date-parts":[["2015"]]},"number-of-pages":"199-311","publisher":"Environmental Research Software","publisher-place":"Hallowell","title":"MINEQL+ Chemical Equilibrium Modeling System","type":"book","volume":"5"},"uris":["http://www.mendeley.com/documents/?uuid=e574ed66-fb35-4345-82ea-081368bb538d"]},{"id":"ITEM-2","itemData":{"author":[{"dropping-particle":"","family":"Walker","given":"J","non-dropping-particle":"","parse-names":false,"suffix":""},{"dropping-particle":"","family":"Cronan","given":"S","non-dropping-particle":"","parse-names":false,"suffix":""},{"dropping-particle":"","family":"Patterson","given":"H","non-dropping-particle":"","parse-names":false,"suffix":""}],"container-title":"Geochimica et Cosmochimica Acta","id":"ITEM-2","issue":"1988","issued":{"date-parts":[["1988"]]},"page":"55-62","title":"A kinetic study of aluminum adsorption by aluminosilicate clay minerals","type":"article-journal","volume":"52"},"uris":["http://www.mendeley.com/documents/?uuid=a33f582b-3dea-4a85-9391-2814be2f5e1d"]},{"id":"ITEM-3","itemData":{"ISBN":"9516520359","author":[{"dropping-particle":"","family":"Olin","given":"Markus","non-dropping-particle":"","parse-names":false,"suffix":""},{"dropping-particle":"","family":"Lehikoinen","given":"Jarmo","non-dropping-particle":"","parse-names":false,"suffix":""}],"id":"ITEM-3","issued":{"date-parts":[["1997"]]},"number-of-pages":"1-23","publisher-place":"Helsinki","title":"Application of surface complexation modelling :","type":"report"},"uris":["http://www.mendeley.com/documents/?uuid=88f3494a-88e7-40da-8a59-df0c3dcfeba6"]}],"mendeley":{"formattedCitation":"(Olin &amp; Lehikoinen, 1997; Schecher &amp; McAvoy, 2015; Walker et al., 1988)","plainTextFormattedCitation":"(Olin &amp; Lehikoinen, 1997; Schecher &amp; McAvoy, 2015; Walker et al., 1988)","previouslyFormattedCitation":"(Olin &amp; Lehikoinen, 1997; Schecher &amp; McAvoy, 2015; Walker et al., 1988)"},"properties":{"noteIndex":0},"schema":"https://github.com/citation-style-language/schema/raw/master/csl-citation.json"}</w:instrText>
      </w:r>
      <w:r w:rsidR="00A7324F">
        <w:fldChar w:fldCharType="separate"/>
      </w:r>
      <w:r w:rsidR="0069687D" w:rsidRPr="0069687D">
        <w:rPr>
          <w:noProof/>
        </w:rPr>
        <w:t>(Olin &amp; Lehikoinen, 1997; Schecher &amp; McAvoy, 2015; Walker et al., 1988)</w:t>
      </w:r>
      <w:r w:rsidR="00A7324F">
        <w:fldChar w:fldCharType="end"/>
      </w:r>
      <w:r w:rsidR="00A7324F">
        <w:t>.</w:t>
      </w:r>
      <w:r w:rsidR="00341EE0">
        <w:t xml:space="preserve"> </w:t>
      </w:r>
    </w:p>
    <w:p w14:paraId="0407500F" w14:textId="77777777" w:rsidR="006B513D" w:rsidRDefault="006B513D" w:rsidP="005078F3">
      <w:pPr>
        <w:jc w:val="both"/>
      </w:pPr>
    </w:p>
    <w:p w14:paraId="56B4D23E" w14:textId="6ECAE851" w:rsidR="00341EE0" w:rsidRPr="00C2233A" w:rsidRDefault="00341EE0" w:rsidP="001538DA">
      <w:pPr>
        <w:tabs>
          <w:tab w:val="center" w:pos="4320"/>
          <w:tab w:val="left" w:pos="6480"/>
          <w:tab w:val="right" w:pos="8640"/>
        </w:tabs>
        <w:rPr>
          <w:rFonts w:eastAsiaTheme="minorEastAsia" w:cs="Times New Roman"/>
        </w:rPr>
      </w:pPr>
      <w:r w:rsidRPr="00C2233A">
        <w:rPr>
          <w:rFonts w:eastAsiaTheme="minorEastAsia" w:cs="Times New Roman"/>
        </w:rPr>
        <w:tab/>
      </w:r>
      <m:oMath>
        <m:r>
          <w:rPr>
            <w:rFonts w:ascii="Cambria Math" w:eastAsiaTheme="minorEastAsia" w:hAnsi="Cambria Math" w:cs="Times New Roman"/>
          </w:rPr>
          <m:t>SOH+</m:t>
        </m:r>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sup>
            <m:r>
              <w:rPr>
                <w:rFonts w:ascii="Cambria Math" w:eastAsiaTheme="minorEastAsia" w:hAnsi="Cambria Math" w:cs="Times New Roman"/>
              </w:rPr>
              <m:t>2+</m:t>
            </m:r>
          </m:sup>
        </m:sSubSup>
        <m:box>
          <m:boxPr>
            <m:opEmu m:val="1"/>
            <m:ctrlPr>
              <w:rPr>
                <w:rFonts w:ascii="Cambria Math" w:eastAsiaTheme="minorEastAsia" w:hAnsi="Cambria Math" w:cs="Times New Roman"/>
                <w:i/>
              </w:rPr>
            </m:ctrlPr>
          </m:boxPr>
          <m:e>
            <m:groupChr>
              <m:groupChrPr>
                <m:chr m:val="→"/>
                <m:pos m:val="top"/>
                <m:ctrlPr>
                  <w:rPr>
                    <w:rFonts w:ascii="Cambria Math" w:eastAsiaTheme="minorEastAsia" w:hAnsi="Cambria Math" w:cs="Times New Roman"/>
                    <w:i/>
                  </w:rPr>
                </m:ctrlPr>
              </m:groupChrPr>
              <m:e/>
            </m:groupChr>
          </m:e>
        </m:box>
        <m:r>
          <w:rPr>
            <w:rFonts w:ascii="Cambria Math" w:eastAsiaTheme="minorEastAsia" w:hAnsi="Cambria Math" w:cs="Times New Roman"/>
          </w:rPr>
          <m:t>SOH</m:t>
        </m:r>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sup>
            <m:r>
              <w:rPr>
                <w:rFonts w:ascii="Cambria Math" w:eastAsiaTheme="minorEastAsia" w:hAnsi="Cambria Math" w:cs="Times New Roman"/>
              </w:rPr>
              <m:t>2+</m:t>
            </m:r>
          </m:sup>
        </m:sSubSup>
      </m:oMath>
      <w:r w:rsidRPr="00C2233A">
        <w:rPr>
          <w:rFonts w:eastAsiaTheme="minorEastAsia" w:cs="Times New Roman"/>
        </w:rPr>
        <w:tab/>
      </w:r>
      <w:r w:rsidR="00050AD2">
        <w:rPr>
          <w:rFonts w:eastAsiaTheme="minorEastAsia" w:cs="Times New Roman"/>
        </w:rPr>
        <w:t>LogK</w:t>
      </w:r>
      <w:r w:rsidR="00050AD2">
        <w:rPr>
          <w:rFonts w:eastAsiaTheme="minorEastAsia" w:cs="Times New Roman"/>
          <w:vertAlign w:val="superscript"/>
        </w:rPr>
        <w:t>1</w:t>
      </w:r>
      <w:r w:rsidR="00050AD2">
        <w:rPr>
          <w:rFonts w:eastAsiaTheme="minorEastAsia" w:cs="Times New Roman"/>
        </w:rPr>
        <w:tab/>
      </w:r>
      <w:r w:rsidRPr="00C2233A">
        <w:rPr>
          <w:rFonts w:eastAsiaTheme="minorEastAsia" w:cs="Times New Roman"/>
          <w:b/>
          <w:bCs/>
        </w:rPr>
        <w:t xml:space="preserve">Eq. </w:t>
      </w:r>
      <w:r w:rsidR="00ED00EF">
        <w:rPr>
          <w:rFonts w:eastAsiaTheme="minorEastAsia" w:cs="Times New Roman"/>
          <w:b/>
          <w:bCs/>
        </w:rPr>
        <w:t>3</w:t>
      </w:r>
      <w:r w:rsidRPr="00C2233A">
        <w:rPr>
          <w:rFonts w:eastAsiaTheme="minorEastAsia" w:cs="Times New Roman"/>
          <w:b/>
          <w:bCs/>
        </w:rPr>
        <w:t>.1</w:t>
      </w:r>
    </w:p>
    <w:p w14:paraId="71F27A59" w14:textId="439B2EDE" w:rsidR="00341EE0" w:rsidRPr="00C2233A" w:rsidRDefault="00341EE0" w:rsidP="001538DA">
      <w:pPr>
        <w:tabs>
          <w:tab w:val="center" w:pos="4320"/>
          <w:tab w:val="left" w:pos="6480"/>
          <w:tab w:val="right" w:pos="8640"/>
        </w:tabs>
        <w:rPr>
          <w:rFonts w:eastAsiaTheme="minorEastAsia" w:cs="Times New Roman"/>
        </w:rPr>
      </w:pPr>
      <w:r w:rsidRPr="00C2233A">
        <w:rPr>
          <w:rFonts w:eastAsiaTheme="minorEastAsia" w:cs="Times New Roman"/>
        </w:rPr>
        <w:tab/>
      </w:r>
      <m:oMath>
        <m:r>
          <w:rPr>
            <w:rFonts w:ascii="Cambria Math" w:eastAsiaTheme="minorEastAsia" w:hAnsi="Cambria Math" w:cs="Times New Roman"/>
          </w:rPr>
          <m:t>SO</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m:t>
            </m:r>
          </m:sup>
        </m:sSup>
        <m:box>
          <m:boxPr>
            <m:opEmu m:val="1"/>
            <m:ctrlPr>
              <w:rPr>
                <w:rFonts w:ascii="Cambria Math" w:eastAsiaTheme="minorEastAsia" w:hAnsi="Cambria Math" w:cs="Times New Roman"/>
                <w:i/>
              </w:rPr>
            </m:ctrlPr>
          </m:boxPr>
          <m:e>
            <m:groupChr>
              <m:groupChrPr>
                <m:chr m:val="→"/>
                <m:pos m:val="top"/>
                <m:ctrlPr>
                  <w:rPr>
                    <w:rFonts w:ascii="Cambria Math" w:eastAsiaTheme="minorEastAsia" w:hAnsi="Cambria Math" w:cs="Times New Roman"/>
                    <w:i/>
                  </w:rPr>
                </m:ctrlPr>
              </m:groupChrPr>
              <m:e/>
            </m:groupChr>
          </m:e>
        </m:box>
        <m:r>
          <w:rPr>
            <w:rFonts w:ascii="Cambria Math" w:eastAsiaTheme="minorEastAsia" w:hAnsi="Cambria Math" w:cs="Times New Roman"/>
          </w:rPr>
          <m:t>S</m:t>
        </m:r>
        <m:sSup>
          <m:sSupPr>
            <m:ctrlPr>
              <w:rPr>
                <w:rFonts w:ascii="Cambria Math" w:eastAsiaTheme="minorEastAsia" w:hAnsi="Cambria Math" w:cs="Times New Roman"/>
                <w:i/>
              </w:rPr>
            </m:ctrlPr>
          </m:sSupPr>
          <m:e>
            <m:r>
              <w:rPr>
                <w:rFonts w:ascii="Cambria Math" w:eastAsiaTheme="minorEastAsia" w:hAnsi="Cambria Math" w:cs="Times New Roman"/>
              </w:rPr>
              <m:t>O</m:t>
            </m:r>
          </m:e>
          <m:sup>
            <m:r>
              <w:rPr>
                <w:rFonts w:ascii="Cambria Math" w:eastAsiaTheme="minorEastAsia" w:hAnsi="Cambria Math" w:cs="Times New Roman"/>
              </w:rPr>
              <m:t>-</m:t>
            </m:r>
          </m:sup>
        </m:sSup>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sup>
            <m:r>
              <w:rPr>
                <w:rFonts w:ascii="Cambria Math" w:eastAsiaTheme="minorEastAsia" w:hAnsi="Cambria Math" w:cs="Times New Roman"/>
              </w:rPr>
              <m:t>2+</m:t>
            </m:r>
          </m:sup>
        </m:sSubSup>
      </m:oMath>
      <w:r w:rsidRPr="00C2233A">
        <w:rPr>
          <w:rFonts w:eastAsiaTheme="minorEastAsia" w:cs="Times New Roman"/>
        </w:rPr>
        <w:tab/>
      </w:r>
      <w:r w:rsidR="00050AD2">
        <w:rPr>
          <w:rFonts w:eastAsiaTheme="minorEastAsia" w:cs="Times New Roman"/>
        </w:rPr>
        <w:t>LogK</w:t>
      </w:r>
      <w:r w:rsidR="00050AD2">
        <w:rPr>
          <w:rFonts w:eastAsiaTheme="minorEastAsia" w:cs="Times New Roman"/>
          <w:vertAlign w:val="superscript"/>
        </w:rPr>
        <w:t>2</w:t>
      </w:r>
      <w:r w:rsidR="00050AD2">
        <w:rPr>
          <w:rFonts w:eastAsiaTheme="minorEastAsia" w:cs="Times New Roman"/>
        </w:rPr>
        <w:tab/>
      </w:r>
      <w:r w:rsidRPr="00C2233A">
        <w:rPr>
          <w:rFonts w:eastAsiaTheme="minorEastAsia" w:cs="Times New Roman"/>
          <w:b/>
          <w:bCs/>
        </w:rPr>
        <w:t xml:space="preserve">Eq. </w:t>
      </w:r>
      <w:r w:rsidR="00ED00EF">
        <w:rPr>
          <w:rFonts w:eastAsiaTheme="minorEastAsia" w:cs="Times New Roman"/>
          <w:b/>
          <w:bCs/>
        </w:rPr>
        <w:t>3</w:t>
      </w:r>
      <w:r w:rsidRPr="00C2233A">
        <w:rPr>
          <w:rFonts w:eastAsiaTheme="minorEastAsia" w:cs="Times New Roman"/>
          <w:b/>
          <w:bCs/>
        </w:rPr>
        <w:t>.2</w:t>
      </w:r>
    </w:p>
    <w:p w14:paraId="5CEB52BF" w14:textId="77777777" w:rsidR="006B513D" w:rsidRDefault="006B513D" w:rsidP="00C32390">
      <w:pPr>
        <w:jc w:val="both"/>
      </w:pPr>
    </w:p>
    <w:p w14:paraId="7FB51B23" w14:textId="392321F3" w:rsidR="00BB2295" w:rsidRDefault="00A7324F" w:rsidP="00C32390">
      <w:pPr>
        <w:jc w:val="both"/>
      </w:pPr>
      <w:r>
        <w:tab/>
      </w:r>
      <w:r w:rsidR="0069687D">
        <w:t>Into MINEQL+, the LIB metals were</w:t>
      </w:r>
      <w:r w:rsidR="00D47F48">
        <w:t xml:space="preserve"> individually</w:t>
      </w:r>
      <w:r w:rsidR="0069687D">
        <w:t xml:space="preserve"> selected</w:t>
      </w:r>
      <w:r w:rsidR="0093193C">
        <w:t xml:space="preserve"> from the list of components and the </w:t>
      </w:r>
      <w:r w:rsidR="00D47F48">
        <w:t>Two-</w:t>
      </w:r>
      <w:r w:rsidR="0093193C">
        <w:t>Layer Model</w:t>
      </w:r>
      <w:r w:rsidR="00D47F48">
        <w:t xml:space="preserve"> with </w:t>
      </w:r>
      <w:r w:rsidR="00151C8D">
        <w:t>strong binding sites</w:t>
      </w:r>
      <w:r w:rsidR="0093193C">
        <w:t xml:space="preserve"> was chosen under the </w:t>
      </w:r>
      <w:r w:rsidR="0093193C" w:rsidRPr="006A123B">
        <w:rPr>
          <w:i/>
          <w:iCs/>
        </w:rPr>
        <w:t>Surface Opts</w:t>
      </w:r>
      <w:r w:rsidR="0093193C">
        <w:t xml:space="preserve">.  </w:t>
      </w:r>
      <w:r w:rsidR="00341EE0">
        <w:t xml:space="preserve">Listed in </w:t>
      </w:r>
      <w:r w:rsidR="00341EE0">
        <w:lastRenderedPageBreak/>
        <w:t xml:space="preserve">Table </w:t>
      </w:r>
      <w:r w:rsidR="00ED00EF">
        <w:t>3</w:t>
      </w:r>
      <w:r w:rsidR="00341EE0">
        <w:t>.</w:t>
      </w:r>
      <w:r w:rsidR="00C65E80">
        <w:t>1</w:t>
      </w:r>
      <w:r w:rsidR="00341EE0">
        <w:t xml:space="preserve">, </w:t>
      </w:r>
      <w:r w:rsidR="00FA47A0">
        <w:t>two</w:t>
      </w:r>
      <w:r w:rsidR="00341EE0">
        <w:t xml:space="preserve"> new aqueous species were inserted into the </w:t>
      </w:r>
      <w:r w:rsidR="00341EE0" w:rsidRPr="006A123B">
        <w:rPr>
          <w:i/>
          <w:iCs/>
        </w:rPr>
        <w:t>Aqueous Species</w:t>
      </w:r>
      <w:r w:rsidR="00341EE0">
        <w:t xml:space="preserve"> Tableau with their respective LogK and stoichiometric coefficients.  The total concentration of each component was added to the tableau, with the LIB metals at </w:t>
      </w:r>
      <w:r w:rsidR="00931CCF">
        <w:t>0.00</w:t>
      </w:r>
      <w:r w:rsidR="00341EE0">
        <w:t xml:space="preserve">1 M.  Within the </w:t>
      </w:r>
      <w:r w:rsidR="00341EE0" w:rsidRPr="00341EE0">
        <w:rPr>
          <w:i/>
          <w:iCs/>
        </w:rPr>
        <w:t>RunTime Manager</w:t>
      </w:r>
      <w:r w:rsidR="00341EE0">
        <w:t>, the Ionic Strength Correction was fixed at 0.0</w:t>
      </w:r>
      <w:r w:rsidR="003C7BA1">
        <w:t>1</w:t>
      </w:r>
      <w:r w:rsidR="00341EE0">
        <w:t xml:space="preserve"> M</w:t>
      </w:r>
      <w:r w:rsidR="00542B0F">
        <w:t>,</w:t>
      </w:r>
      <w:r w:rsidR="00341EE0">
        <w:t xml:space="preserve"> based on the soil ionic strength determined by previous literature</w:t>
      </w:r>
      <w:r w:rsidR="00542B0F">
        <w:t xml:space="preserve">, and the </w:t>
      </w:r>
      <w:r w:rsidR="002630EB">
        <w:t xml:space="preserve">solids concentration and </w:t>
      </w:r>
      <w:r w:rsidR="00542B0F">
        <w:t>specific surface area of the soil w</w:t>
      </w:r>
      <w:r w:rsidR="005D5448">
        <w:t>ere</w:t>
      </w:r>
      <w:r w:rsidR="00542B0F">
        <w:t xml:space="preserve"> entered into the </w:t>
      </w:r>
      <w:r w:rsidR="00542B0F" w:rsidRPr="00542B0F">
        <w:rPr>
          <w:i/>
          <w:iCs/>
        </w:rPr>
        <w:t>Adsorption Model</w:t>
      </w:r>
      <w:r w:rsidR="00542B0F">
        <w:t xml:space="preserve"> group</w:t>
      </w:r>
      <w:r w:rsidR="00341EE0">
        <w:t xml:space="preserve"> </w:t>
      </w:r>
      <w:r w:rsidR="00341EE0">
        <w:fldChar w:fldCharType="begin" w:fldLock="1"/>
      </w:r>
      <w:r w:rsidR="003317B6">
        <w:instrText>ADDIN CSL_CITATION {"citationItems":[{"id":"ITEM-1","itemData":{"author":[{"dropping-particle":"","family":"Survey","given":"National Cooperative Soil","non-dropping-particle":"","parse-names":false,"suffix":""}],"id":"ITEM-1","issued":{"date-parts":[["2003"]]},"page":"1","title":"Official Soil Series Description Query Facility","type":"webpage"},"uris":["http://www.mendeley.com/documents/?uuid=e5a992e3-4f8a-44cf-8453-d94b39f3d90d"]},{"id":"ITEM-2","itemData":{"author":[{"dropping-particle":"","family":"Foxboro","given":"","non-dropping-particle":"","parse-names":false,"suffix":""}],"id":"ITEM-2","issued":{"date-parts":[["1999"]]},"page":"1-2","title":"Conductivity ordering guide","type":"article"},"uris":["http://www.mendeley.com/documents/?uuid=8c6e5e85-1a7c-4ae5-8be9-4ee1b607052d"]}],"mendeley":{"formattedCitation":"(Foxboro, 1999; Survey, 2003)","plainTextFormattedCitation":"(Foxboro, 1999; Survey, 2003)","previouslyFormattedCitation":"(Foxboro, 1999; Survey, 2003)"},"properties":{"noteIndex":0},"schema":"https://github.com/citation-style-language/schema/raw/master/csl-citation.json"}</w:instrText>
      </w:r>
      <w:r w:rsidR="00341EE0">
        <w:fldChar w:fldCharType="separate"/>
      </w:r>
      <w:r w:rsidR="00341EE0" w:rsidRPr="00341EE0">
        <w:rPr>
          <w:noProof/>
        </w:rPr>
        <w:t>(Foxboro, 1999; Survey, 2003)</w:t>
      </w:r>
      <w:r w:rsidR="00341EE0">
        <w:fldChar w:fldCharType="end"/>
      </w:r>
      <w:r w:rsidR="00341EE0">
        <w:t xml:space="preserve">.  </w:t>
      </w:r>
    </w:p>
    <w:p w14:paraId="32E742B9" w14:textId="77777777" w:rsidR="00BB2295" w:rsidRDefault="00BB2295" w:rsidP="00C32390">
      <w:pPr>
        <w:jc w:val="both"/>
      </w:pPr>
    </w:p>
    <w:p w14:paraId="58B2777F" w14:textId="1B3A5B42" w:rsidR="00341EE0" w:rsidRDefault="004F5094" w:rsidP="001650CC">
      <w:pPr>
        <w:pStyle w:val="Caption"/>
        <w:spacing w:after="0" w:line="480" w:lineRule="auto"/>
      </w:pPr>
      <w:bookmarkStart w:id="39" w:name="_Toc69352369"/>
      <w:bookmarkStart w:id="40" w:name="_Toc69352430"/>
      <w:bookmarkStart w:id="41" w:name="_Toc69412272"/>
      <w:bookmarkStart w:id="42" w:name="_Toc71224030"/>
      <w:r w:rsidRPr="004F5094">
        <w:rPr>
          <w:b/>
          <w:bCs/>
        </w:rPr>
        <w:t>Table 3.</w:t>
      </w:r>
      <w:r w:rsidR="001650CC">
        <w:rPr>
          <w:b/>
          <w:bCs/>
        </w:rPr>
        <w:fldChar w:fldCharType="begin"/>
      </w:r>
      <w:r w:rsidR="001650CC">
        <w:rPr>
          <w:b/>
          <w:bCs/>
        </w:rPr>
        <w:instrText xml:space="preserve"> SEQ __ \* ARABIC \s 1 </w:instrText>
      </w:r>
      <w:r w:rsidR="001650CC">
        <w:rPr>
          <w:b/>
          <w:bCs/>
        </w:rPr>
        <w:fldChar w:fldCharType="separate"/>
      </w:r>
      <w:r w:rsidR="007712B4">
        <w:rPr>
          <w:b/>
          <w:bCs/>
          <w:noProof/>
        </w:rPr>
        <w:t>1</w:t>
      </w:r>
      <w:r w:rsidR="001650CC">
        <w:rPr>
          <w:b/>
          <w:bCs/>
        </w:rPr>
        <w:fldChar w:fldCharType="end"/>
      </w:r>
      <w:r w:rsidR="00341EE0" w:rsidRPr="004F5094">
        <w:rPr>
          <w:b/>
          <w:bCs/>
        </w:rPr>
        <w:t>:</w:t>
      </w:r>
      <w:r w:rsidR="00341EE0">
        <w:t xml:space="preserve"> Aqueous Species with the respective LogK and stoichiometric coefficients inserted into MINEQL+</w:t>
      </w:r>
      <w:r w:rsidR="00542B0F">
        <w:t>.</w:t>
      </w:r>
      <w:bookmarkEnd w:id="39"/>
      <w:bookmarkEnd w:id="40"/>
      <w:bookmarkEnd w:id="41"/>
      <w:bookmarkEnd w:id="42"/>
    </w:p>
    <w:tbl>
      <w:tblPr>
        <w:tblW w:w="6959" w:type="dxa"/>
        <w:jc w:val="center"/>
        <w:tblLook w:val="04A0" w:firstRow="1" w:lastRow="0" w:firstColumn="1" w:lastColumn="0" w:noHBand="0" w:noVBand="1"/>
      </w:tblPr>
      <w:tblGrid>
        <w:gridCol w:w="1440"/>
        <w:gridCol w:w="719"/>
        <w:gridCol w:w="960"/>
        <w:gridCol w:w="960"/>
        <w:gridCol w:w="960"/>
        <w:gridCol w:w="960"/>
        <w:gridCol w:w="960"/>
      </w:tblGrid>
      <w:tr w:rsidR="00CE79AA" w:rsidRPr="00CE79AA" w14:paraId="0850578B" w14:textId="77777777" w:rsidTr="00CE79AA">
        <w:trPr>
          <w:trHeight w:val="360"/>
          <w:jc w:val="center"/>
        </w:trPr>
        <w:tc>
          <w:tcPr>
            <w:tcW w:w="1440" w:type="dxa"/>
            <w:tcBorders>
              <w:top w:val="nil"/>
              <w:left w:val="nil"/>
              <w:bottom w:val="single" w:sz="4" w:space="0" w:color="auto"/>
              <w:right w:val="single" w:sz="4" w:space="0" w:color="auto"/>
            </w:tcBorders>
            <w:shd w:val="clear" w:color="auto" w:fill="auto"/>
            <w:noWrap/>
            <w:vAlign w:val="center"/>
            <w:hideMark/>
          </w:tcPr>
          <w:p w14:paraId="7373ECCA"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Species</w:t>
            </w:r>
          </w:p>
        </w:tc>
        <w:tc>
          <w:tcPr>
            <w:tcW w:w="719" w:type="dxa"/>
            <w:tcBorders>
              <w:top w:val="nil"/>
              <w:left w:val="nil"/>
              <w:bottom w:val="single" w:sz="4" w:space="0" w:color="auto"/>
              <w:right w:val="nil"/>
            </w:tcBorders>
            <w:shd w:val="clear" w:color="auto" w:fill="auto"/>
            <w:noWrap/>
            <w:vAlign w:val="center"/>
            <w:hideMark/>
          </w:tcPr>
          <w:p w14:paraId="414FE4F6"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H</w:t>
            </w:r>
            <w:r w:rsidRPr="00CE79AA">
              <w:rPr>
                <w:rFonts w:eastAsia="Times New Roman" w:cs="Times New Roman"/>
                <w:b/>
                <w:bCs/>
                <w:color w:val="000000"/>
                <w:szCs w:val="24"/>
                <w:vertAlign w:val="subscript"/>
              </w:rPr>
              <w:t>2</w:t>
            </w:r>
            <w:r w:rsidRPr="00CE79AA">
              <w:rPr>
                <w:rFonts w:eastAsia="Times New Roman" w:cs="Times New Roman"/>
                <w:b/>
                <w:bCs/>
                <w:color w:val="000000"/>
                <w:szCs w:val="24"/>
              </w:rPr>
              <w:t>O</w:t>
            </w:r>
          </w:p>
        </w:tc>
        <w:tc>
          <w:tcPr>
            <w:tcW w:w="960" w:type="dxa"/>
            <w:tcBorders>
              <w:top w:val="nil"/>
              <w:left w:val="nil"/>
              <w:bottom w:val="single" w:sz="4" w:space="0" w:color="auto"/>
              <w:right w:val="nil"/>
            </w:tcBorders>
            <w:shd w:val="clear" w:color="auto" w:fill="auto"/>
            <w:noWrap/>
            <w:vAlign w:val="center"/>
            <w:hideMark/>
          </w:tcPr>
          <w:p w14:paraId="310F9AA5"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H</w:t>
            </w:r>
            <w:r w:rsidRPr="00CE79AA">
              <w:rPr>
                <w:rFonts w:eastAsia="Times New Roman" w:cs="Times New Roman"/>
                <w:b/>
                <w:bCs/>
                <w:color w:val="000000"/>
                <w:szCs w:val="24"/>
                <w:vertAlign w:val="superscript"/>
              </w:rPr>
              <w:t>+</w:t>
            </w:r>
          </w:p>
        </w:tc>
        <w:tc>
          <w:tcPr>
            <w:tcW w:w="960" w:type="dxa"/>
            <w:tcBorders>
              <w:top w:val="nil"/>
              <w:left w:val="nil"/>
              <w:bottom w:val="single" w:sz="4" w:space="0" w:color="auto"/>
              <w:right w:val="nil"/>
            </w:tcBorders>
            <w:shd w:val="clear" w:color="auto" w:fill="auto"/>
            <w:noWrap/>
            <w:vAlign w:val="center"/>
            <w:hideMark/>
          </w:tcPr>
          <w:p w14:paraId="3EAC6749"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Coul.</w:t>
            </w:r>
          </w:p>
        </w:tc>
        <w:tc>
          <w:tcPr>
            <w:tcW w:w="960" w:type="dxa"/>
            <w:tcBorders>
              <w:top w:val="nil"/>
              <w:left w:val="nil"/>
              <w:bottom w:val="single" w:sz="4" w:space="0" w:color="auto"/>
              <w:right w:val="nil"/>
            </w:tcBorders>
            <w:shd w:val="clear" w:color="auto" w:fill="auto"/>
            <w:noWrap/>
            <w:vAlign w:val="center"/>
            <w:hideMark/>
          </w:tcPr>
          <w:p w14:paraId="77032FF6"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M</w:t>
            </w:r>
            <w:r w:rsidRPr="00CE79AA">
              <w:rPr>
                <w:rFonts w:eastAsia="Times New Roman" w:cs="Times New Roman"/>
                <w:b/>
                <w:bCs/>
                <w:color w:val="000000"/>
                <w:szCs w:val="24"/>
                <w:vertAlign w:val="superscript"/>
              </w:rPr>
              <w:t>2+</w:t>
            </w:r>
          </w:p>
        </w:tc>
        <w:tc>
          <w:tcPr>
            <w:tcW w:w="960" w:type="dxa"/>
            <w:tcBorders>
              <w:top w:val="nil"/>
              <w:left w:val="nil"/>
              <w:bottom w:val="single" w:sz="4" w:space="0" w:color="auto"/>
              <w:right w:val="nil"/>
            </w:tcBorders>
            <w:shd w:val="clear" w:color="auto" w:fill="auto"/>
            <w:noWrap/>
            <w:vAlign w:val="center"/>
            <w:hideMark/>
          </w:tcPr>
          <w:p w14:paraId="5053E568"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S</w:t>
            </w:r>
            <w:r w:rsidRPr="00CE79AA">
              <w:rPr>
                <w:rFonts w:eastAsia="Times New Roman" w:cs="Times New Roman"/>
                <w:b/>
                <w:bCs/>
                <w:color w:val="000000"/>
                <w:szCs w:val="24"/>
                <w:vertAlign w:val="subscript"/>
              </w:rPr>
              <w:t>(s)</w:t>
            </w:r>
            <w:r w:rsidRPr="00CE79AA">
              <w:rPr>
                <w:rFonts w:eastAsia="Times New Roman" w:cs="Times New Roman"/>
                <w:b/>
                <w:bCs/>
                <w:color w:val="000000"/>
                <w:szCs w:val="24"/>
              </w:rPr>
              <w:t>OH</w:t>
            </w:r>
          </w:p>
        </w:tc>
        <w:tc>
          <w:tcPr>
            <w:tcW w:w="960" w:type="dxa"/>
            <w:tcBorders>
              <w:top w:val="nil"/>
              <w:left w:val="nil"/>
              <w:bottom w:val="single" w:sz="4" w:space="0" w:color="auto"/>
              <w:right w:val="nil"/>
            </w:tcBorders>
            <w:shd w:val="clear" w:color="auto" w:fill="auto"/>
            <w:noWrap/>
            <w:vAlign w:val="center"/>
            <w:hideMark/>
          </w:tcPr>
          <w:p w14:paraId="3D949621" w14:textId="77777777"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Log K</w:t>
            </w:r>
          </w:p>
        </w:tc>
      </w:tr>
      <w:tr w:rsidR="00CE79AA" w:rsidRPr="00CE79AA" w14:paraId="1636C1A6" w14:textId="77777777" w:rsidTr="00CE79AA">
        <w:trPr>
          <w:trHeight w:val="360"/>
          <w:jc w:val="center"/>
        </w:trPr>
        <w:tc>
          <w:tcPr>
            <w:tcW w:w="1440" w:type="dxa"/>
            <w:tcBorders>
              <w:top w:val="nil"/>
              <w:left w:val="nil"/>
              <w:bottom w:val="nil"/>
              <w:right w:val="single" w:sz="4" w:space="0" w:color="auto"/>
            </w:tcBorders>
            <w:shd w:val="clear" w:color="auto" w:fill="auto"/>
            <w:noWrap/>
            <w:vAlign w:val="center"/>
            <w:hideMark/>
          </w:tcPr>
          <w:p w14:paraId="0D3B2406" w14:textId="3993FF68"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SOHM</w:t>
            </w:r>
          </w:p>
        </w:tc>
        <w:tc>
          <w:tcPr>
            <w:tcW w:w="719" w:type="dxa"/>
            <w:tcBorders>
              <w:top w:val="nil"/>
              <w:left w:val="nil"/>
              <w:bottom w:val="nil"/>
              <w:right w:val="nil"/>
            </w:tcBorders>
            <w:shd w:val="clear" w:color="auto" w:fill="auto"/>
            <w:noWrap/>
            <w:vAlign w:val="center"/>
            <w:hideMark/>
          </w:tcPr>
          <w:p w14:paraId="30E1BA52"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0</w:t>
            </w:r>
          </w:p>
        </w:tc>
        <w:tc>
          <w:tcPr>
            <w:tcW w:w="960" w:type="dxa"/>
            <w:tcBorders>
              <w:top w:val="nil"/>
              <w:left w:val="nil"/>
              <w:bottom w:val="nil"/>
              <w:right w:val="nil"/>
            </w:tcBorders>
            <w:shd w:val="clear" w:color="auto" w:fill="auto"/>
            <w:noWrap/>
            <w:vAlign w:val="center"/>
            <w:hideMark/>
          </w:tcPr>
          <w:p w14:paraId="5EB5A1D8"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0</w:t>
            </w:r>
          </w:p>
        </w:tc>
        <w:tc>
          <w:tcPr>
            <w:tcW w:w="960" w:type="dxa"/>
            <w:tcBorders>
              <w:top w:val="nil"/>
              <w:left w:val="nil"/>
              <w:bottom w:val="nil"/>
              <w:right w:val="nil"/>
            </w:tcBorders>
            <w:shd w:val="clear" w:color="auto" w:fill="auto"/>
            <w:noWrap/>
            <w:vAlign w:val="center"/>
            <w:hideMark/>
          </w:tcPr>
          <w:p w14:paraId="790ED54D"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1</w:t>
            </w:r>
          </w:p>
        </w:tc>
        <w:tc>
          <w:tcPr>
            <w:tcW w:w="960" w:type="dxa"/>
            <w:tcBorders>
              <w:top w:val="nil"/>
              <w:left w:val="nil"/>
              <w:bottom w:val="nil"/>
              <w:right w:val="nil"/>
            </w:tcBorders>
            <w:shd w:val="clear" w:color="auto" w:fill="auto"/>
            <w:noWrap/>
            <w:vAlign w:val="center"/>
            <w:hideMark/>
          </w:tcPr>
          <w:p w14:paraId="4919D226"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1</w:t>
            </w:r>
          </w:p>
        </w:tc>
        <w:tc>
          <w:tcPr>
            <w:tcW w:w="960" w:type="dxa"/>
            <w:tcBorders>
              <w:top w:val="nil"/>
              <w:left w:val="nil"/>
              <w:bottom w:val="nil"/>
              <w:right w:val="nil"/>
            </w:tcBorders>
            <w:shd w:val="clear" w:color="auto" w:fill="auto"/>
            <w:noWrap/>
            <w:vAlign w:val="center"/>
            <w:hideMark/>
          </w:tcPr>
          <w:p w14:paraId="7E9FDA49"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1</w:t>
            </w:r>
          </w:p>
        </w:tc>
        <w:tc>
          <w:tcPr>
            <w:tcW w:w="960" w:type="dxa"/>
            <w:tcBorders>
              <w:top w:val="nil"/>
              <w:left w:val="nil"/>
              <w:bottom w:val="nil"/>
              <w:right w:val="nil"/>
            </w:tcBorders>
            <w:shd w:val="clear" w:color="auto" w:fill="auto"/>
            <w:noWrap/>
            <w:vAlign w:val="center"/>
            <w:hideMark/>
          </w:tcPr>
          <w:p w14:paraId="55862498"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4.36</w:t>
            </w:r>
          </w:p>
        </w:tc>
      </w:tr>
      <w:tr w:rsidR="00CE79AA" w:rsidRPr="00CE79AA" w14:paraId="4F67F8C3" w14:textId="77777777" w:rsidTr="00CE79AA">
        <w:trPr>
          <w:trHeight w:val="360"/>
          <w:jc w:val="center"/>
        </w:trPr>
        <w:tc>
          <w:tcPr>
            <w:tcW w:w="1440" w:type="dxa"/>
            <w:tcBorders>
              <w:top w:val="nil"/>
              <w:left w:val="nil"/>
              <w:bottom w:val="nil"/>
              <w:right w:val="single" w:sz="4" w:space="0" w:color="auto"/>
            </w:tcBorders>
            <w:shd w:val="clear" w:color="auto" w:fill="auto"/>
            <w:noWrap/>
            <w:vAlign w:val="center"/>
            <w:hideMark/>
          </w:tcPr>
          <w:p w14:paraId="4DAFBC65" w14:textId="205949EB" w:rsidR="00CE79AA" w:rsidRPr="00CE79AA" w:rsidRDefault="00CE79AA" w:rsidP="00CE79AA">
            <w:pPr>
              <w:spacing w:line="240" w:lineRule="auto"/>
              <w:jc w:val="center"/>
              <w:rPr>
                <w:rFonts w:eastAsia="Times New Roman" w:cs="Times New Roman"/>
                <w:b/>
                <w:bCs/>
                <w:color w:val="000000"/>
                <w:szCs w:val="24"/>
              </w:rPr>
            </w:pPr>
            <w:r w:rsidRPr="00CE79AA">
              <w:rPr>
                <w:rFonts w:eastAsia="Times New Roman" w:cs="Times New Roman"/>
                <w:b/>
                <w:bCs/>
                <w:color w:val="000000"/>
                <w:szCs w:val="24"/>
              </w:rPr>
              <w:t>SO</w:t>
            </w:r>
            <w:r w:rsidR="000F1404">
              <w:rPr>
                <w:rFonts w:eastAsia="Times New Roman" w:cs="Times New Roman"/>
                <w:b/>
                <w:bCs/>
                <w:color w:val="000000"/>
                <w:szCs w:val="24"/>
              </w:rPr>
              <w:t>H</w:t>
            </w:r>
            <w:r w:rsidRPr="00CE79AA">
              <w:rPr>
                <w:rFonts w:eastAsia="Times New Roman" w:cs="Times New Roman"/>
                <w:b/>
                <w:bCs/>
                <w:color w:val="000000"/>
                <w:szCs w:val="24"/>
              </w:rPr>
              <w:t>M-1</w:t>
            </w:r>
          </w:p>
        </w:tc>
        <w:tc>
          <w:tcPr>
            <w:tcW w:w="719" w:type="dxa"/>
            <w:tcBorders>
              <w:top w:val="nil"/>
              <w:left w:val="nil"/>
              <w:bottom w:val="nil"/>
              <w:right w:val="nil"/>
            </w:tcBorders>
            <w:shd w:val="clear" w:color="auto" w:fill="auto"/>
            <w:noWrap/>
            <w:vAlign w:val="center"/>
            <w:hideMark/>
          </w:tcPr>
          <w:p w14:paraId="69DB4648"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0</w:t>
            </w:r>
          </w:p>
        </w:tc>
        <w:tc>
          <w:tcPr>
            <w:tcW w:w="960" w:type="dxa"/>
            <w:tcBorders>
              <w:top w:val="nil"/>
              <w:left w:val="nil"/>
              <w:bottom w:val="nil"/>
              <w:right w:val="nil"/>
            </w:tcBorders>
            <w:shd w:val="clear" w:color="auto" w:fill="auto"/>
            <w:noWrap/>
            <w:vAlign w:val="center"/>
            <w:hideMark/>
          </w:tcPr>
          <w:p w14:paraId="1C241EF6"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0</w:t>
            </w:r>
          </w:p>
        </w:tc>
        <w:tc>
          <w:tcPr>
            <w:tcW w:w="960" w:type="dxa"/>
            <w:tcBorders>
              <w:top w:val="nil"/>
              <w:left w:val="nil"/>
              <w:bottom w:val="nil"/>
              <w:right w:val="nil"/>
            </w:tcBorders>
            <w:shd w:val="clear" w:color="auto" w:fill="auto"/>
            <w:noWrap/>
            <w:vAlign w:val="center"/>
            <w:hideMark/>
          </w:tcPr>
          <w:p w14:paraId="30C47EF0"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-1</w:t>
            </w:r>
          </w:p>
        </w:tc>
        <w:tc>
          <w:tcPr>
            <w:tcW w:w="960" w:type="dxa"/>
            <w:tcBorders>
              <w:top w:val="nil"/>
              <w:left w:val="nil"/>
              <w:bottom w:val="nil"/>
              <w:right w:val="nil"/>
            </w:tcBorders>
            <w:shd w:val="clear" w:color="auto" w:fill="auto"/>
            <w:noWrap/>
            <w:vAlign w:val="center"/>
            <w:hideMark/>
          </w:tcPr>
          <w:p w14:paraId="7D46802C"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-1</w:t>
            </w:r>
          </w:p>
        </w:tc>
        <w:tc>
          <w:tcPr>
            <w:tcW w:w="960" w:type="dxa"/>
            <w:tcBorders>
              <w:top w:val="nil"/>
              <w:left w:val="nil"/>
              <w:bottom w:val="nil"/>
              <w:right w:val="nil"/>
            </w:tcBorders>
            <w:shd w:val="clear" w:color="auto" w:fill="auto"/>
            <w:noWrap/>
            <w:vAlign w:val="center"/>
            <w:hideMark/>
          </w:tcPr>
          <w:p w14:paraId="14B000AA"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1</w:t>
            </w:r>
          </w:p>
        </w:tc>
        <w:tc>
          <w:tcPr>
            <w:tcW w:w="960" w:type="dxa"/>
            <w:tcBorders>
              <w:top w:val="nil"/>
              <w:left w:val="nil"/>
              <w:bottom w:val="nil"/>
              <w:right w:val="nil"/>
            </w:tcBorders>
            <w:shd w:val="clear" w:color="auto" w:fill="auto"/>
            <w:noWrap/>
            <w:vAlign w:val="center"/>
            <w:hideMark/>
          </w:tcPr>
          <w:p w14:paraId="3F1623CB" w14:textId="77777777" w:rsidR="00CE79AA" w:rsidRPr="00CE79AA" w:rsidRDefault="00CE79AA" w:rsidP="00CE79AA">
            <w:pPr>
              <w:spacing w:line="240" w:lineRule="auto"/>
              <w:jc w:val="center"/>
              <w:rPr>
                <w:rFonts w:eastAsia="Times New Roman" w:cs="Times New Roman"/>
                <w:color w:val="000000"/>
                <w:szCs w:val="24"/>
              </w:rPr>
            </w:pPr>
            <w:r w:rsidRPr="00CE79AA">
              <w:rPr>
                <w:rFonts w:eastAsia="Times New Roman" w:cs="Times New Roman"/>
                <w:color w:val="000000"/>
                <w:szCs w:val="24"/>
              </w:rPr>
              <w:t>-7.94</w:t>
            </w:r>
          </w:p>
        </w:tc>
      </w:tr>
    </w:tbl>
    <w:p w14:paraId="01BEF4B1" w14:textId="77777777" w:rsidR="00B02B62" w:rsidRDefault="00B02B62" w:rsidP="00B02B62">
      <w:pPr>
        <w:jc w:val="center"/>
      </w:pPr>
    </w:p>
    <w:p w14:paraId="5FC51720" w14:textId="487358DA" w:rsidR="00341EE0" w:rsidRDefault="00341EE0" w:rsidP="005078F3">
      <w:pPr>
        <w:jc w:val="both"/>
      </w:pPr>
      <w:r>
        <w:tab/>
        <w:t xml:space="preserve">The model </w:t>
      </w:r>
      <w:r w:rsidR="00542B0F">
        <w:t xml:space="preserve">utilized the titration calculation using pH as the fixed ion choice, starting at pH 4, ending at pH 10, with </w:t>
      </w:r>
      <w:r w:rsidR="00763EFF">
        <w:t>2</w:t>
      </w:r>
      <w:r w:rsidR="00542B0F">
        <w:t xml:space="preserve">0 points.  A </w:t>
      </w:r>
      <w:r w:rsidR="00FD19E1">
        <w:t xml:space="preserve">pC – </w:t>
      </w:r>
      <w:r w:rsidR="00542B0F">
        <w:t>pH</w:t>
      </w:r>
      <w:r w:rsidR="005D5448">
        <w:t xml:space="preserve"> adsorption</w:t>
      </w:r>
      <w:r w:rsidR="00542B0F">
        <w:t xml:space="preserve"> diagram was developed for each metal with the total metal a</w:t>
      </w:r>
      <w:r w:rsidR="00A3723A">
        <w:t>d</w:t>
      </w:r>
      <w:r w:rsidR="00542B0F">
        <w:t>sorbed over the pH range.  The results were compared to the soil experimental results</w:t>
      </w:r>
      <w:r w:rsidR="00A3723A">
        <w:t>, then</w:t>
      </w:r>
      <w:r w:rsidR="00542B0F">
        <w:t xml:space="preserve"> adjusted the LogK values for </w:t>
      </w:r>
      <w:r w:rsidR="00F5022A">
        <w:t>SOHM and SOHM-1 species</w:t>
      </w:r>
      <w:r w:rsidR="00542B0F">
        <w:t xml:space="preserve"> until the model and experimental results matched. </w:t>
      </w:r>
    </w:p>
    <w:p w14:paraId="44B29CB6" w14:textId="77777777" w:rsidR="00BD23B5" w:rsidRPr="00341EE0" w:rsidRDefault="00BD23B5" w:rsidP="005078F3">
      <w:pPr>
        <w:jc w:val="both"/>
      </w:pPr>
    </w:p>
    <w:p w14:paraId="42C9A820" w14:textId="28077B13" w:rsidR="00B27C0B" w:rsidRDefault="00F84424" w:rsidP="00F84424">
      <w:pPr>
        <w:pStyle w:val="Heading3"/>
        <w:numPr>
          <w:ilvl w:val="0"/>
          <w:numId w:val="0"/>
        </w:numPr>
      </w:pPr>
      <w:bookmarkStart w:id="43" w:name="_Toc71224009"/>
      <w:r>
        <w:t>3.</w:t>
      </w:r>
      <w:r w:rsidR="00500860">
        <w:t>4</w:t>
      </w:r>
      <w:r w:rsidR="00B27C0B">
        <w:t>.2 Water Modeling</w:t>
      </w:r>
      <w:bookmarkEnd w:id="43"/>
    </w:p>
    <w:p w14:paraId="41296624" w14:textId="263002EB" w:rsidR="0005503D" w:rsidRPr="00B27C0B" w:rsidRDefault="00B27C0B" w:rsidP="001B7D2B">
      <w:pPr>
        <w:jc w:val="both"/>
      </w:pPr>
      <w:r>
        <w:tab/>
        <w:t>MINEQL+ Version 5.00.0 was used to model the heavy metal solubility</w:t>
      </w:r>
      <w:r w:rsidR="00255239">
        <w:t xml:space="preserve"> in water</w:t>
      </w:r>
      <w:r>
        <w:t xml:space="preserve"> between pH 4.0 and 10.0 for the LIB metals:</w:t>
      </w:r>
      <w:r w:rsidR="005E397A">
        <w:t xml:space="preserve"> </w:t>
      </w:r>
      <w:r>
        <w:t xml:space="preserve">copper, aluminum, nickel, </w:t>
      </w:r>
      <w:proofErr w:type="gramStart"/>
      <w:r>
        <w:t>manganese</w:t>
      </w:r>
      <w:proofErr w:type="gramEnd"/>
      <w:r>
        <w:t xml:space="preserve"> and cobalt.</w:t>
      </w:r>
      <w:r w:rsidR="00DF697F">
        <w:t xml:space="preserve">  The procedure for this model closely follows the “</w:t>
      </w:r>
      <w:r w:rsidR="009124D7">
        <w:t>Calculating the Solubility of Pb and Cu</w:t>
      </w:r>
      <w:r w:rsidR="00DF697F">
        <w:t xml:space="preserve">” procedure in the MINEQL+ Manual </w:t>
      </w:r>
      <w:r w:rsidR="00DF697F">
        <w:fldChar w:fldCharType="begin" w:fldLock="1"/>
      </w:r>
      <w:r w:rsidR="0004356A">
        <w:instrText>ADDIN CSL_CITATION {"citationItems":[{"id":"ITEM-1","itemData":{"ISBN":"9788578110796","ISSN":"1098-6596","PMID":"25246403","author":[{"dropping-particle":"","family":"Schecher","given":"William D.","non-dropping-particle":"","parse-names":false,"suffix":""},{"dropping-particle":"","family":"McAvoy","given":"Drew C.","non-dropping-particle":"","parse-names":false,"suffix":""}],"container-title":"Environmental Research Software","id":"ITEM-1","issued":{"date-parts":[["2015"]]},"number-of-pages":"199-311","publisher":"Environmental Research Software","publisher-place":"Hallowell","title":"MINEQL+ Chemical Equilibrium Modeling System","type":"book","volume":"5"},"uris":["http://www.mendeley.com/documents/?uuid=e574ed66-fb35-4345-82ea-081368bb538d"]}],"mendeley":{"formattedCitation":"(Schecher &amp; McAvoy, 2015)","plainTextFormattedCitation":"(Schecher &amp; McAvoy, 2015)","previouslyFormattedCitation":"(Schecher &amp; McAvoy, 2015)"},"properties":{"noteIndex":0},"schema":"https://github.com/citation-style-language/schema/raw/master/csl-citation.json"}</w:instrText>
      </w:r>
      <w:r w:rsidR="00DF697F">
        <w:fldChar w:fldCharType="separate"/>
      </w:r>
      <w:r w:rsidR="00DF697F" w:rsidRPr="00DF697F">
        <w:rPr>
          <w:noProof/>
        </w:rPr>
        <w:t>(Schecher &amp; McAvoy, 2015)</w:t>
      </w:r>
      <w:r w:rsidR="00DF697F">
        <w:fldChar w:fldCharType="end"/>
      </w:r>
      <w:r w:rsidR="00DF697F">
        <w:t>.</w:t>
      </w:r>
      <w:r w:rsidR="00875A11">
        <w:t xml:space="preserve">  T</w:t>
      </w:r>
      <w:r w:rsidR="0005503D">
        <w:t xml:space="preserve">he </w:t>
      </w:r>
      <w:r w:rsidR="001D6E4C">
        <w:t xml:space="preserve">nickel, manganese, and cobalt </w:t>
      </w:r>
      <w:r w:rsidR="0005503D">
        <w:t>metal</w:t>
      </w:r>
      <w:r w:rsidR="006D4380">
        <w:t xml:space="preserve"> </w:t>
      </w:r>
      <w:r w:rsidR="006D4380">
        <w:lastRenderedPageBreak/>
        <w:t>ions</w:t>
      </w:r>
      <w:r w:rsidR="0005503D">
        <w:t xml:space="preserve"> with a 0 M </w:t>
      </w:r>
      <w:r w:rsidR="006D4380">
        <w:t xml:space="preserve">starting </w:t>
      </w:r>
      <w:r w:rsidR="0005503D">
        <w:t>concentration</w:t>
      </w:r>
      <w:r w:rsidR="006D4380">
        <w:t xml:space="preserve"> and fixing the</w:t>
      </w:r>
      <w:r w:rsidR="001542EE">
        <w:t xml:space="preserve"> </w:t>
      </w:r>
      <w:r w:rsidR="006D4380">
        <w:t xml:space="preserve">metal oxide </w:t>
      </w:r>
      <w:r w:rsidR="00FD19E1">
        <w:t>in the Solids Mover</w:t>
      </w:r>
      <w:r w:rsidR="0005503D">
        <w:t>,</w:t>
      </w:r>
      <w:r w:rsidR="00875A11">
        <w:t xml:space="preserve"> while copper and aluminum </w:t>
      </w:r>
      <w:r w:rsidR="0052130E">
        <w:t xml:space="preserve">metal ions </w:t>
      </w:r>
      <w:r w:rsidR="00875A11">
        <w:t>were set to 1 M</w:t>
      </w:r>
      <w:r w:rsidR="0052130E">
        <w:t xml:space="preserve"> starting concentration because these metals </w:t>
      </w:r>
      <w:r w:rsidR="00CA352F">
        <w:t xml:space="preserve">are in </w:t>
      </w:r>
      <w:r w:rsidR="00F108EC">
        <w:t xml:space="preserve">the </w:t>
      </w:r>
      <w:r w:rsidR="005733ED">
        <w:t>base metal state.</w:t>
      </w:r>
      <w:r w:rsidR="0052130E">
        <w:t xml:space="preserve"> </w:t>
      </w:r>
      <w:r w:rsidR="0005503D">
        <w:t xml:space="preserve"> Ca</w:t>
      </w:r>
      <w:r w:rsidR="0005503D">
        <w:rPr>
          <w:vertAlign w:val="superscript"/>
        </w:rPr>
        <w:t>2+</w:t>
      </w:r>
      <w:r w:rsidR="0005503D">
        <w:t xml:space="preserve"> and SO</w:t>
      </w:r>
      <w:r w:rsidR="0005503D">
        <w:rPr>
          <w:vertAlign w:val="subscript"/>
        </w:rPr>
        <w:t>4</w:t>
      </w:r>
      <w:r w:rsidR="0005503D">
        <w:rPr>
          <w:vertAlign w:val="superscript"/>
        </w:rPr>
        <w:t>2-</w:t>
      </w:r>
      <w:r w:rsidR="0005503D">
        <w:t xml:space="preserve"> were included with a 10</w:t>
      </w:r>
      <w:r w:rsidR="0005503D">
        <w:rPr>
          <w:vertAlign w:val="superscript"/>
        </w:rPr>
        <w:t>-3</w:t>
      </w:r>
      <w:r w:rsidR="0005503D">
        <w:t xml:space="preserve"> M </w:t>
      </w:r>
      <w:r w:rsidR="00FD19E1">
        <w:t xml:space="preserve">starting </w:t>
      </w:r>
      <w:r w:rsidR="0005503D">
        <w:t xml:space="preserve">concentration to </w:t>
      </w:r>
      <w:r w:rsidR="00542B0F">
        <w:t>consider</w:t>
      </w:r>
      <w:r w:rsidR="0005503D">
        <w:t xml:space="preserve"> the calcium hydroxide and sulfuric acid used to amend the pH. </w:t>
      </w:r>
      <w:r w:rsidR="005E397A">
        <w:t xml:space="preserve"> </w:t>
      </w:r>
      <w:r w:rsidR="00DF697F">
        <w:t xml:space="preserve">The ionic strength </w:t>
      </w:r>
      <w:r w:rsidR="006908FA">
        <w:t>correction</w:t>
      </w:r>
      <w:r w:rsidR="009A5C38">
        <w:t xml:space="preserve"> </w:t>
      </w:r>
      <w:r w:rsidR="0005503D">
        <w:t>entered was 10</w:t>
      </w:r>
      <w:r w:rsidR="0005503D">
        <w:rPr>
          <w:vertAlign w:val="superscript"/>
        </w:rPr>
        <w:t>-3</w:t>
      </w:r>
      <w:r w:rsidR="0005503D">
        <w:t xml:space="preserve"> M</w:t>
      </w:r>
      <w:r w:rsidR="009124D7">
        <w:t xml:space="preserve"> and </w:t>
      </w:r>
      <w:r w:rsidR="00542B0F">
        <w:t xml:space="preserve">utilized the titration calculation using pH as the fixed ion choice, starting at pH 4, ending at pH 10, with </w:t>
      </w:r>
      <w:r w:rsidR="00763EFF">
        <w:t>2</w:t>
      </w:r>
      <w:r w:rsidR="00542B0F">
        <w:t xml:space="preserve">0 points.  </w:t>
      </w:r>
      <w:r w:rsidR="0005503D">
        <w:t>A pC</w:t>
      </w:r>
      <w:r w:rsidR="00FD19E1">
        <w:t xml:space="preserve"> – </w:t>
      </w:r>
      <w:r w:rsidR="00500860">
        <w:t xml:space="preserve">pH </w:t>
      </w:r>
      <w:r w:rsidR="0005503D">
        <w:t>diagram was</w:t>
      </w:r>
      <w:r w:rsidR="00500860">
        <w:t xml:space="preserve"> developed for each metal</w:t>
      </w:r>
      <w:r w:rsidR="0005503D">
        <w:t xml:space="preserve"> with its dominant species and respective concentrations over the pH range</w:t>
      </w:r>
      <w:r w:rsidR="00500860">
        <w:t>.  These results were compared to the water experimental results</w:t>
      </w:r>
      <w:r w:rsidR="003B5B1E">
        <w:t xml:space="preserve"> of this study</w:t>
      </w:r>
      <w:r w:rsidR="00500860">
        <w:t>.</w:t>
      </w:r>
    </w:p>
    <w:p w14:paraId="2CCDA8FA" w14:textId="77777777" w:rsidR="00E755A5" w:rsidRDefault="00E755A5">
      <w:pPr>
        <w:rPr>
          <w:b/>
          <w:bCs/>
        </w:rPr>
      </w:pPr>
      <w:r>
        <w:rPr>
          <w:b/>
          <w:bCs/>
        </w:rPr>
        <w:br w:type="page"/>
      </w:r>
    </w:p>
    <w:p w14:paraId="016DBC3A" w14:textId="687E7709" w:rsidR="00872503" w:rsidRPr="002A4ADE" w:rsidRDefault="00F84424" w:rsidP="008F23B0">
      <w:pPr>
        <w:pStyle w:val="Heading1"/>
      </w:pPr>
      <w:bookmarkStart w:id="44" w:name="_Toc71224010"/>
      <w:r>
        <w:lastRenderedPageBreak/>
        <w:t xml:space="preserve">Chapter </w:t>
      </w:r>
      <w:r w:rsidR="00872503" w:rsidRPr="002A4ADE">
        <w:t>I</w:t>
      </w:r>
      <w:r w:rsidR="00ED00EF">
        <w:t>V</w:t>
      </w:r>
      <w:r w:rsidR="00872503" w:rsidRPr="002A4ADE">
        <w:t xml:space="preserve">: </w:t>
      </w:r>
      <w:r w:rsidR="00DB3134">
        <w:t>Results</w:t>
      </w:r>
      <w:bookmarkEnd w:id="44"/>
    </w:p>
    <w:p w14:paraId="69D4A1AE" w14:textId="1C2E0BA6" w:rsidR="00444F4A" w:rsidRDefault="00F84424" w:rsidP="00F84424">
      <w:pPr>
        <w:pStyle w:val="Heading2"/>
        <w:numPr>
          <w:ilvl w:val="0"/>
          <w:numId w:val="0"/>
        </w:numPr>
      </w:pPr>
      <w:bookmarkStart w:id="45" w:name="_Toc71224011"/>
      <w:r>
        <w:t>4.</w:t>
      </w:r>
      <w:r w:rsidR="00AD7F4D" w:rsidRPr="002A4ADE">
        <w:t>1</w:t>
      </w:r>
      <w:r w:rsidR="00C81DD8">
        <w:t xml:space="preserve"> </w:t>
      </w:r>
      <w:r w:rsidR="00DB3134">
        <w:t>Soil Analysis Results</w:t>
      </w:r>
      <w:bookmarkEnd w:id="45"/>
    </w:p>
    <w:p w14:paraId="2EB6DED9" w14:textId="22DA66EB" w:rsidR="0005503D" w:rsidRDefault="00BB51F3" w:rsidP="001C25E9">
      <w:pPr>
        <w:jc w:val="both"/>
      </w:pPr>
      <w:r>
        <w:tab/>
      </w:r>
      <w:r w:rsidR="0005503D">
        <w:t xml:space="preserve">The </w:t>
      </w:r>
      <w:r w:rsidR="003B5B1E">
        <w:t xml:space="preserve">soil composition </w:t>
      </w:r>
      <w:r w:rsidR="0005503D">
        <w:t xml:space="preserve">was determined to be 30.4% clay, 63.2% silt, and 6.4% sand, classified as silty clay loam by the </w:t>
      </w:r>
      <w:r w:rsidR="0005503D">
        <w:rPr>
          <w:i/>
          <w:iCs/>
        </w:rPr>
        <w:t>Soil Conservation Service State Soil Geographic Database.</w:t>
      </w:r>
      <w:r w:rsidR="0005503D">
        <w:t xml:space="preserve">  The initial soil pH was 8.38 with a moisture content of 12.8%, to which the calcium hydroxide, sulfuric acid, and </w:t>
      </w:r>
      <w:r w:rsidR="00302324">
        <w:t>UltraPure</w:t>
      </w:r>
      <w:r w:rsidR="0005503D">
        <w:t xml:space="preserve"> water were added to the respective soil group to achieve an acidic soil pH of 4.43, a basic soil pH of 9.5 and a moisture content of 17.5%.  </w:t>
      </w:r>
      <w:r w:rsidR="00E85749">
        <w:t xml:space="preserve">The determination of </w:t>
      </w:r>
      <w:r w:rsidR="00457F06">
        <w:t>OM and OC</w:t>
      </w:r>
      <w:r w:rsidR="00E85749">
        <w:t xml:space="preserve"> from the LOI method resulted in an </w:t>
      </w:r>
      <w:r w:rsidR="00457F06">
        <w:t xml:space="preserve">OM of </w:t>
      </w:r>
      <w:r w:rsidR="00271C5E">
        <w:t>6.14</w:t>
      </w:r>
      <w:r w:rsidR="00457F06">
        <w:t xml:space="preserve">% and OC of </w:t>
      </w:r>
      <w:r w:rsidR="00271C5E">
        <w:t>3.56</w:t>
      </w:r>
      <w:r w:rsidR="00457F06">
        <w:t>%.</w:t>
      </w:r>
    </w:p>
    <w:p w14:paraId="3182E8D2" w14:textId="1C3D0BF8" w:rsidR="00BD1351" w:rsidRPr="003F2960" w:rsidRDefault="001C25E9" w:rsidP="00F21F24">
      <w:pPr>
        <w:ind w:firstLine="720"/>
        <w:jc w:val="both"/>
      </w:pPr>
      <w:r>
        <w:t xml:space="preserve">Out of the five LIB metals of interest, copper, manganese, nickel, and aluminum were measured </w:t>
      </w:r>
      <w:r w:rsidR="00CF1D4A">
        <w:t xml:space="preserve">above the detectable limit </w:t>
      </w:r>
      <w:r>
        <w:t>in both soil pH types along the 24 week timeline, with cobalt below the for the XRF for all samples.</w:t>
      </w:r>
      <w:r w:rsidR="008B135E">
        <w:t xml:space="preserve">  To confirm that cobalt was below the detection limit in the soil samples and not an instrument defect, LIB powder </w:t>
      </w:r>
      <w:r w:rsidR="005641E9">
        <w:t>was analyzed with the XRF</w:t>
      </w:r>
      <w:r w:rsidR="00512539">
        <w:t>, detecting cobalt</w:t>
      </w:r>
      <w:r w:rsidR="008B135E">
        <w:t>,</w:t>
      </w:r>
      <w:r w:rsidR="00512539">
        <w:t xml:space="preserve"> with the</w:t>
      </w:r>
      <w:r w:rsidR="008B135E">
        <w:t xml:space="preserve"> results in Table A.1.  </w:t>
      </w:r>
      <w:r>
        <w:t xml:space="preserve">In the control soils, copper and nickel levels were below the detection limit while manganese and aluminum were measured.  To best represent the magnitude of LIB metal </w:t>
      </w:r>
      <w:r w:rsidR="00A40B11">
        <w:t>adsorbing onto</w:t>
      </w:r>
      <w:r>
        <w:t xml:space="preserve"> the soil, the XRF results were normalized to the control base values</w:t>
      </w:r>
      <w:r w:rsidR="00086569">
        <w:t xml:space="preserve"> by subtracting out the control base value from the sample results</w:t>
      </w:r>
      <w:r w:rsidR="004B359E">
        <w:t>, with the</w:t>
      </w:r>
      <w:r w:rsidR="00086569">
        <w:t xml:space="preserve"> control</w:t>
      </w:r>
      <w:r w:rsidR="004B359E">
        <w:t xml:space="preserve"> base values shown in Table A.2</w:t>
      </w:r>
      <w:r>
        <w:t xml:space="preserve">.  Figures </w:t>
      </w:r>
      <w:r w:rsidR="00ED00EF">
        <w:t>4</w:t>
      </w:r>
      <w:r>
        <w:t>.1</w:t>
      </w:r>
      <w:r w:rsidR="008037A0">
        <w:t xml:space="preserve"> through</w:t>
      </w:r>
      <w:r>
        <w:t xml:space="preserve"> </w:t>
      </w:r>
      <w:r w:rsidR="00ED00EF">
        <w:t>4</w:t>
      </w:r>
      <w:r>
        <w:t>.4 show the normalized concentration for copper, manganese, nickel, and aluminum, respectively.</w:t>
      </w:r>
      <w:r w:rsidR="00E11956">
        <w:t xml:space="preserve">  The vertical axis, </w:t>
      </w:r>
      <w:r w:rsidR="00E11956">
        <w:rPr>
          <w:rFonts w:cs="Times New Roman"/>
        </w:rPr>
        <w:t>Δ</w:t>
      </w:r>
      <w:r w:rsidR="00E11956">
        <w:t>C, is the concentration in soil corrected from the control.</w:t>
      </w:r>
      <w:r w:rsidR="00086569">
        <w:t xml:space="preserve">  The line of best fit (solid line) is derived from the first order reaction rate equation, Equation 4.1,</w:t>
      </w:r>
      <w:r w:rsidR="009F0467">
        <w:t xml:space="preserve"> where C is the concentration of the metal, k is the rate constant, </w:t>
      </w:r>
      <w:proofErr w:type="spellStart"/>
      <w:r w:rsidR="009F0467">
        <w:t>t</w:t>
      </w:r>
      <w:proofErr w:type="spellEnd"/>
      <w:r w:rsidR="009F0467">
        <w:t xml:space="preserve"> is time, and</w:t>
      </w:r>
      <w:r w:rsidR="00293F63">
        <w:t xml:space="preserve"> C</w:t>
      </w:r>
      <w:r w:rsidR="00293F63">
        <w:rPr>
          <w:vertAlign w:val="superscript"/>
        </w:rPr>
        <w:t>*</w:t>
      </w:r>
      <w:r w:rsidR="009F0467">
        <w:t xml:space="preserve"> is the adsorption capacity</w:t>
      </w:r>
      <w:r w:rsidR="008037A0">
        <w:t>.</w:t>
      </w:r>
      <w:r w:rsidR="004D488E">
        <w:t xml:space="preserve">  The reaction rate constant for both pH groups was 0.217, which was used in calculating the adsorption capacity of each metal.</w:t>
      </w:r>
      <w:r w:rsidR="008037A0">
        <w:t xml:space="preserve"> </w:t>
      </w:r>
      <w:r w:rsidR="002D1143">
        <w:t xml:space="preserve"> A 95% confidence level for the adsorption capacity was calculated via linear regression. </w:t>
      </w:r>
      <w:r w:rsidR="00086569">
        <w:t xml:space="preserve"> </w:t>
      </w:r>
      <w:r w:rsidR="009F0467">
        <w:t xml:space="preserve">The values for </w:t>
      </w:r>
      <w:r w:rsidR="004F736C">
        <w:t>k,</w:t>
      </w:r>
      <w:r w:rsidR="00086569">
        <w:t xml:space="preserve"> adsorption</w:t>
      </w:r>
      <w:r w:rsidR="004F736C">
        <w:t xml:space="preserve"> capacity, </w:t>
      </w:r>
      <w:r w:rsidR="004F736C">
        <w:lastRenderedPageBreak/>
        <w:t>and 95% confidence level</w:t>
      </w:r>
      <w:r w:rsidR="00086569">
        <w:t xml:space="preserve"> for each sample group</w:t>
      </w:r>
      <w:r w:rsidR="009F0467">
        <w:t xml:space="preserve"> were determined, listed in Table 4.1.</w:t>
      </w:r>
      <w:r w:rsidR="00A81753">
        <w:t xml:space="preserve">  Non-normalized </w:t>
      </w:r>
      <w:r w:rsidR="003E7AE1">
        <w:t>results are presented in the appendix</w:t>
      </w:r>
      <w:r w:rsidR="0066596C">
        <w:t>,</w:t>
      </w:r>
      <w:r w:rsidR="00ED1F36">
        <w:t xml:space="preserve"> figures</w:t>
      </w:r>
      <w:r w:rsidR="0066596C">
        <w:t xml:space="preserve"> A</w:t>
      </w:r>
      <w:r w:rsidR="00560105">
        <w:t>.</w:t>
      </w:r>
      <w:r w:rsidR="00F61129">
        <w:t>1</w:t>
      </w:r>
      <w:r w:rsidR="0066596C">
        <w:t xml:space="preserve"> through A</w:t>
      </w:r>
      <w:r w:rsidR="00560105">
        <w:t>.</w:t>
      </w:r>
      <w:r w:rsidR="00F61129">
        <w:t>4</w:t>
      </w:r>
      <w:r w:rsidR="003E7AE1">
        <w:t>.</w:t>
      </w:r>
    </w:p>
    <w:p w14:paraId="5FAEBD34" w14:textId="1CB97CE0" w:rsidR="00BD1351" w:rsidRDefault="004D488E" w:rsidP="00F21F24">
      <w:pPr>
        <w:jc w:val="center"/>
        <w:rPr>
          <w:b/>
          <w:bCs/>
          <w:i/>
          <w:iCs/>
        </w:rPr>
      </w:pPr>
      <w:r>
        <w:rPr>
          <w:b/>
          <w:bCs/>
          <w:i/>
          <w:iCs/>
          <w:noProof/>
        </w:rPr>
        <w:drawing>
          <wp:inline distT="0" distB="0" distL="0" distR="0" wp14:anchorId="3DEF2EE3" wp14:editId="5925DDC4">
            <wp:extent cx="4761230" cy="2719070"/>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230" cy="2719070"/>
                    </a:xfrm>
                    <a:prstGeom prst="rect">
                      <a:avLst/>
                    </a:prstGeom>
                    <a:noFill/>
                  </pic:spPr>
                </pic:pic>
              </a:graphicData>
            </a:graphic>
          </wp:inline>
        </w:drawing>
      </w:r>
    </w:p>
    <w:p w14:paraId="7D311C51" w14:textId="7B879D1B" w:rsidR="00F21F24" w:rsidRDefault="000F20E4" w:rsidP="009A56D3">
      <w:pPr>
        <w:pStyle w:val="Caption"/>
        <w:spacing w:after="0" w:line="480" w:lineRule="auto"/>
      </w:pPr>
      <w:bookmarkStart w:id="46" w:name="_Toc68726273"/>
      <w:bookmarkStart w:id="47" w:name="_Toc69291554"/>
      <w:bookmarkStart w:id="48" w:name="_Toc69352339"/>
      <w:bookmarkStart w:id="49" w:name="_Toc69352521"/>
      <w:bookmarkStart w:id="50" w:name="_Toc71224045"/>
      <w:bookmarkStart w:id="51" w:name="_Toc68724981"/>
      <w:bookmarkStart w:id="52" w:name="_Toc68725182"/>
      <w:r w:rsidRPr="000F20E4">
        <w:rPr>
          <w:b/>
          <w:bCs/>
        </w:rPr>
        <w:t>Figure 4</w:t>
      </w:r>
      <w:r>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w:t>
      </w:r>
      <w:r w:rsidR="0065637B">
        <w:rPr>
          <w:b/>
          <w:bCs/>
        </w:rPr>
        <w:fldChar w:fldCharType="end"/>
      </w:r>
      <w:r w:rsidR="008B135E" w:rsidRPr="008B135E">
        <w:rPr>
          <w:b/>
          <w:bCs/>
        </w:rPr>
        <w:t>:</w:t>
      </w:r>
      <w:r w:rsidR="008B135E">
        <w:t xml:space="preserve"> Comparison of copper concentration in soil normalized to control</w:t>
      </w:r>
      <w:r w:rsidR="00B975F6">
        <w:t>s</w:t>
      </w:r>
      <w:r w:rsidR="008B135E">
        <w:t>.</w:t>
      </w:r>
      <w:bookmarkEnd w:id="46"/>
      <w:bookmarkEnd w:id="47"/>
      <w:bookmarkEnd w:id="48"/>
      <w:bookmarkEnd w:id="49"/>
      <w:bookmarkEnd w:id="50"/>
    </w:p>
    <w:p w14:paraId="0A5968E3" w14:textId="77777777" w:rsidR="009F2B85" w:rsidRPr="009F2B85" w:rsidRDefault="009F2B85" w:rsidP="009A56D3"/>
    <w:bookmarkEnd w:id="51"/>
    <w:bookmarkEnd w:id="52"/>
    <w:p w14:paraId="4943FA0B" w14:textId="303F2E5C" w:rsidR="00D9224E" w:rsidRDefault="004D488E" w:rsidP="009A56D3">
      <w:pPr>
        <w:tabs>
          <w:tab w:val="left" w:pos="4980"/>
        </w:tabs>
        <w:jc w:val="center"/>
      </w:pPr>
      <w:r>
        <w:rPr>
          <w:noProof/>
        </w:rPr>
        <w:drawing>
          <wp:inline distT="0" distB="0" distL="0" distR="0" wp14:anchorId="34464491" wp14:editId="6209E265">
            <wp:extent cx="4712335" cy="2707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2335" cy="2707005"/>
                    </a:xfrm>
                    <a:prstGeom prst="rect">
                      <a:avLst/>
                    </a:prstGeom>
                    <a:noFill/>
                  </pic:spPr>
                </pic:pic>
              </a:graphicData>
            </a:graphic>
          </wp:inline>
        </w:drawing>
      </w:r>
    </w:p>
    <w:p w14:paraId="46EE517F" w14:textId="28A8CAB5" w:rsidR="008B135E" w:rsidRDefault="000F20E4" w:rsidP="009A56D3">
      <w:pPr>
        <w:pStyle w:val="Caption"/>
        <w:spacing w:after="0" w:line="480" w:lineRule="auto"/>
        <w:rPr>
          <w:b/>
          <w:bCs/>
          <w:i w:val="0"/>
          <w:iCs w:val="0"/>
        </w:rPr>
      </w:pPr>
      <w:bookmarkStart w:id="53" w:name="_Toc68726274"/>
      <w:bookmarkStart w:id="54" w:name="_Toc69291555"/>
      <w:bookmarkStart w:id="55" w:name="_Toc69352340"/>
      <w:bookmarkStart w:id="56" w:name="_Toc69352522"/>
      <w:bookmarkStart w:id="57" w:name="_Toc71224046"/>
      <w:bookmarkStart w:id="58" w:name="_Toc68724982"/>
      <w:bookmarkStart w:id="59" w:name="_Toc68725183"/>
      <w:r>
        <w:rPr>
          <w:b/>
          <w:bCs/>
        </w:rPr>
        <w:t>Figure 4.</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2</w:t>
      </w:r>
      <w:r w:rsidR="0065637B">
        <w:rPr>
          <w:b/>
          <w:bCs/>
        </w:rPr>
        <w:fldChar w:fldCharType="end"/>
      </w:r>
      <w:r w:rsidR="008B135E" w:rsidRPr="008B135E">
        <w:rPr>
          <w:b/>
          <w:bCs/>
        </w:rPr>
        <w:t>:</w:t>
      </w:r>
      <w:r w:rsidR="008B135E">
        <w:t xml:space="preserve"> Comparison of manganese concentration in soil normalized to control</w:t>
      </w:r>
      <w:r w:rsidR="00B975F6">
        <w:t>s</w:t>
      </w:r>
      <w:r w:rsidR="008B135E">
        <w:t>.</w:t>
      </w:r>
      <w:bookmarkEnd w:id="53"/>
      <w:bookmarkEnd w:id="54"/>
      <w:bookmarkEnd w:id="55"/>
      <w:bookmarkEnd w:id="56"/>
      <w:bookmarkEnd w:id="57"/>
    </w:p>
    <w:bookmarkEnd w:id="58"/>
    <w:bookmarkEnd w:id="59"/>
    <w:p w14:paraId="1438B52F" w14:textId="4C3AF51F" w:rsidR="00D9224E" w:rsidRDefault="004D488E" w:rsidP="009A56D3">
      <w:pPr>
        <w:tabs>
          <w:tab w:val="left" w:pos="4980"/>
        </w:tabs>
        <w:jc w:val="center"/>
      </w:pPr>
      <w:r>
        <w:rPr>
          <w:noProof/>
        </w:rPr>
        <w:lastRenderedPageBreak/>
        <w:drawing>
          <wp:inline distT="0" distB="0" distL="0" distR="0" wp14:anchorId="6A984447" wp14:editId="60C6F892">
            <wp:extent cx="4749165" cy="2707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9165" cy="2707005"/>
                    </a:xfrm>
                    <a:prstGeom prst="rect">
                      <a:avLst/>
                    </a:prstGeom>
                    <a:noFill/>
                  </pic:spPr>
                </pic:pic>
              </a:graphicData>
            </a:graphic>
          </wp:inline>
        </w:drawing>
      </w:r>
    </w:p>
    <w:p w14:paraId="166469B4" w14:textId="2EBEAACB" w:rsidR="008B135E" w:rsidRDefault="000F20E4" w:rsidP="009A56D3">
      <w:pPr>
        <w:pStyle w:val="Caption"/>
        <w:spacing w:after="0" w:line="480" w:lineRule="auto"/>
      </w:pPr>
      <w:bookmarkStart w:id="60" w:name="_Toc68726275"/>
      <w:bookmarkStart w:id="61" w:name="_Toc69291556"/>
      <w:bookmarkStart w:id="62" w:name="_Toc69352341"/>
      <w:bookmarkStart w:id="63" w:name="_Toc69352523"/>
      <w:bookmarkStart w:id="64" w:name="_Toc71224047"/>
      <w:bookmarkStart w:id="65" w:name="_Toc68724983"/>
      <w:bookmarkStart w:id="66" w:name="_Toc68725184"/>
      <w:r>
        <w:rPr>
          <w:b/>
          <w:bCs/>
        </w:rPr>
        <w:t>Figure 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3</w:t>
      </w:r>
      <w:r w:rsidR="0065637B">
        <w:rPr>
          <w:b/>
          <w:bCs/>
        </w:rPr>
        <w:fldChar w:fldCharType="end"/>
      </w:r>
      <w:r w:rsidR="008B135E" w:rsidRPr="008B135E">
        <w:rPr>
          <w:b/>
          <w:bCs/>
        </w:rPr>
        <w:t>:</w:t>
      </w:r>
      <w:r w:rsidR="008B135E">
        <w:t xml:space="preserve"> Comparison of nickel concentration in soil normalized to control</w:t>
      </w:r>
      <w:r w:rsidR="00B975F6">
        <w:t>s</w:t>
      </w:r>
      <w:r w:rsidR="008B135E">
        <w:t>.</w:t>
      </w:r>
      <w:bookmarkEnd w:id="60"/>
      <w:bookmarkEnd w:id="61"/>
      <w:bookmarkEnd w:id="62"/>
      <w:bookmarkEnd w:id="63"/>
      <w:bookmarkEnd w:id="64"/>
    </w:p>
    <w:p w14:paraId="1DB6DC34" w14:textId="77777777" w:rsidR="00F21F24" w:rsidRPr="00F21F24" w:rsidRDefault="00F21F24" w:rsidP="009A56D3"/>
    <w:bookmarkEnd w:id="65"/>
    <w:bookmarkEnd w:id="66"/>
    <w:p w14:paraId="584D121B" w14:textId="04CC8956" w:rsidR="00D9224E" w:rsidRDefault="004D488E" w:rsidP="009A56D3">
      <w:pPr>
        <w:tabs>
          <w:tab w:val="left" w:pos="4980"/>
        </w:tabs>
        <w:jc w:val="center"/>
      </w:pPr>
      <w:r>
        <w:rPr>
          <w:noProof/>
        </w:rPr>
        <w:drawing>
          <wp:inline distT="0" distB="0" distL="0" distR="0" wp14:anchorId="338FBA4F" wp14:editId="6F5E0401">
            <wp:extent cx="4742815" cy="27127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2815" cy="2712720"/>
                    </a:xfrm>
                    <a:prstGeom prst="rect">
                      <a:avLst/>
                    </a:prstGeom>
                    <a:noFill/>
                  </pic:spPr>
                </pic:pic>
              </a:graphicData>
            </a:graphic>
          </wp:inline>
        </w:drawing>
      </w:r>
    </w:p>
    <w:p w14:paraId="33747748" w14:textId="6C4CED41" w:rsidR="008B135E" w:rsidRDefault="000F20E4" w:rsidP="009A56D3">
      <w:pPr>
        <w:pStyle w:val="Caption"/>
        <w:spacing w:after="0" w:line="480" w:lineRule="auto"/>
        <w:rPr>
          <w:b/>
          <w:bCs/>
          <w:i w:val="0"/>
          <w:iCs w:val="0"/>
        </w:rPr>
      </w:pPr>
      <w:bookmarkStart w:id="67" w:name="_Toc68726276"/>
      <w:bookmarkStart w:id="68" w:name="_Toc69291557"/>
      <w:bookmarkStart w:id="69" w:name="_Toc69352342"/>
      <w:bookmarkStart w:id="70" w:name="_Toc69352524"/>
      <w:bookmarkStart w:id="71" w:name="_Toc71224048"/>
      <w:bookmarkStart w:id="72" w:name="_Toc68724984"/>
      <w:bookmarkStart w:id="73" w:name="_Toc68725185"/>
      <w:r>
        <w:rPr>
          <w:b/>
          <w:bCs/>
        </w:rPr>
        <w:t>Figure 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4</w:t>
      </w:r>
      <w:r w:rsidR="0065637B">
        <w:rPr>
          <w:b/>
          <w:bCs/>
        </w:rPr>
        <w:fldChar w:fldCharType="end"/>
      </w:r>
      <w:r w:rsidR="008B135E" w:rsidRPr="008B135E">
        <w:rPr>
          <w:b/>
          <w:bCs/>
        </w:rPr>
        <w:t>:</w:t>
      </w:r>
      <w:r w:rsidR="008B135E">
        <w:t xml:space="preserve"> Comparison of aluminum concentration in soil normalized to control</w:t>
      </w:r>
      <w:r w:rsidR="00B975F6">
        <w:t>s</w:t>
      </w:r>
      <w:r w:rsidR="008B135E">
        <w:t>.</w:t>
      </w:r>
      <w:bookmarkEnd w:id="67"/>
      <w:bookmarkEnd w:id="68"/>
      <w:bookmarkEnd w:id="69"/>
      <w:bookmarkEnd w:id="70"/>
      <w:bookmarkEnd w:id="71"/>
    </w:p>
    <w:bookmarkEnd w:id="72"/>
    <w:bookmarkEnd w:id="73"/>
    <w:p w14:paraId="223C0B4B" w14:textId="77777777" w:rsidR="00084CF6" w:rsidRPr="00084CF6" w:rsidRDefault="00084CF6" w:rsidP="009F0467"/>
    <w:p w14:paraId="741EB221" w14:textId="35E6B511" w:rsidR="00086569" w:rsidRDefault="00086569" w:rsidP="00086569">
      <w:pPr>
        <w:tabs>
          <w:tab w:val="center" w:pos="4320"/>
          <w:tab w:val="right" w:pos="9360"/>
        </w:tabs>
        <w:rPr>
          <w:rFonts w:eastAsiaTheme="minorEastAsia" w:cs="Times New Roman"/>
          <w:b/>
          <w:bCs/>
        </w:rPr>
      </w:pPr>
      <w:r w:rsidRPr="00C2233A">
        <w:rPr>
          <w:rFonts w:eastAsiaTheme="minorEastAsia" w:cs="Times New Roman"/>
        </w:rPr>
        <w:tab/>
      </w:r>
      <m:oMath>
        <m:r>
          <w:rPr>
            <w:rFonts w:ascii="Cambria Math" w:eastAsiaTheme="minorEastAsia" w:hAnsi="Cambria Math" w:cs="Times New Roman"/>
          </w:rPr>
          <m:t>C=</m:t>
        </m:r>
        <m:sSup>
          <m:sSupPr>
            <m:ctrlPr>
              <w:rPr>
                <w:rFonts w:ascii="Cambria Math" w:eastAsiaTheme="minorEastAsia" w:hAnsi="Cambria Math" w:cs="Times New Roman"/>
                <w:i/>
              </w:rPr>
            </m:ctrlPr>
          </m:sSupPr>
          <m:e>
            <m:r>
              <w:rPr>
                <w:rFonts w:ascii="Cambria Math" w:eastAsiaTheme="minorEastAsia" w:hAnsi="Cambria Math" w:cs="Times New Roman"/>
              </w:rPr>
              <m:t>C</m:t>
            </m:r>
          </m:e>
          <m:sup>
            <m:r>
              <w:rPr>
                <w:rFonts w:ascii="Cambria Math" w:eastAsiaTheme="minorEastAsia" w:hAnsi="Cambria Math" w:cs="Times New Roman"/>
              </w:rPr>
              <m:t>*</m:t>
            </m:r>
          </m:sup>
        </m:sSup>
        <m:r>
          <w:rPr>
            <w:rFonts w:ascii="Cambria Math" w:eastAsiaTheme="minorEastAsia" w:hAnsi="Cambria Math" w:cs="Times New Roman"/>
          </w:rPr>
          <m:t>∙(1-</m:t>
        </m:r>
        <m:sSup>
          <m:sSupPr>
            <m:ctrlPr>
              <w:rPr>
                <w:rFonts w:ascii="Cambria Math" w:eastAsiaTheme="minorEastAsia" w:hAnsi="Cambria Math" w:cs="Times New Roman"/>
                <w:i/>
              </w:rPr>
            </m:ctrlPr>
          </m:sSupPr>
          <m:e>
            <m:r>
              <w:rPr>
                <w:rFonts w:ascii="Cambria Math" w:hAnsi="Cambria Math" w:cs="Times New Roman"/>
              </w:rPr>
              <m:t>e</m:t>
            </m:r>
          </m:e>
          <m:sup>
            <m:r>
              <w:rPr>
                <w:rFonts w:ascii="Cambria Math" w:hAnsi="Cambria Math" w:cs="Times New Roman"/>
              </w:rPr>
              <m:t>-kt</m:t>
            </m:r>
          </m:sup>
        </m:sSup>
        <m:r>
          <w:rPr>
            <w:rFonts w:ascii="Cambria Math" w:eastAsiaTheme="minorEastAsia" w:hAnsi="Cambria Math" w:cs="Times New Roman"/>
          </w:rPr>
          <m:t>)</m:t>
        </m:r>
      </m:oMath>
      <w:r>
        <w:rPr>
          <w:rFonts w:eastAsiaTheme="minorEastAsia" w:cs="Times New Roman"/>
        </w:rPr>
        <w:tab/>
      </w:r>
      <w:r w:rsidR="008037A0" w:rsidRPr="008037A0">
        <w:rPr>
          <w:rFonts w:eastAsiaTheme="minorEastAsia" w:cs="Times New Roman"/>
          <w:b/>
          <w:bCs/>
        </w:rPr>
        <w:t xml:space="preserve">Eq. </w:t>
      </w:r>
      <w:r>
        <w:rPr>
          <w:rFonts w:eastAsiaTheme="minorEastAsia" w:cs="Times New Roman"/>
          <w:b/>
          <w:bCs/>
        </w:rPr>
        <w:t>4</w:t>
      </w:r>
      <w:r w:rsidRPr="00C2233A">
        <w:rPr>
          <w:rFonts w:eastAsiaTheme="minorEastAsia" w:cs="Times New Roman"/>
          <w:b/>
          <w:bCs/>
        </w:rPr>
        <w:t>.</w:t>
      </w:r>
      <w:r>
        <w:rPr>
          <w:rFonts w:eastAsiaTheme="minorEastAsia" w:cs="Times New Roman"/>
          <w:b/>
          <w:bCs/>
        </w:rPr>
        <w:t>1</w:t>
      </w:r>
    </w:p>
    <w:p w14:paraId="49DE5587" w14:textId="7183F428" w:rsidR="009F0467" w:rsidRDefault="009F0467" w:rsidP="009F0467">
      <w:pPr>
        <w:pStyle w:val="Caption"/>
        <w:spacing w:after="0" w:line="480" w:lineRule="auto"/>
        <w:rPr>
          <w:b/>
          <w:bCs/>
        </w:rPr>
      </w:pPr>
      <w:bookmarkStart w:id="74" w:name="_Toc69351124"/>
      <w:bookmarkStart w:id="75" w:name="_Toc69352374"/>
      <w:bookmarkStart w:id="76" w:name="_Toc69352441"/>
      <w:bookmarkStart w:id="77" w:name="_Toc69412277"/>
    </w:p>
    <w:p w14:paraId="6E3A93BF" w14:textId="77777777" w:rsidR="009F0467" w:rsidRPr="009F0467" w:rsidRDefault="009F0467" w:rsidP="009F0467"/>
    <w:p w14:paraId="22E4BBE7" w14:textId="3D21E8BC" w:rsidR="009F0467" w:rsidRDefault="009F0467" w:rsidP="009F0467">
      <w:pPr>
        <w:pStyle w:val="Caption"/>
        <w:spacing w:after="0" w:line="480" w:lineRule="auto"/>
      </w:pPr>
      <w:bookmarkStart w:id="78" w:name="_Toc71224031"/>
      <w:r w:rsidRPr="0017134B">
        <w:rPr>
          <w:b/>
          <w:bCs/>
        </w:rPr>
        <w:lastRenderedPageBreak/>
        <w:t xml:space="preserve">Table </w:t>
      </w:r>
      <w:r>
        <w:rPr>
          <w:b/>
          <w:bCs/>
        </w:rPr>
        <w:t>4.</w:t>
      </w:r>
      <w:r>
        <w:rPr>
          <w:b/>
          <w:bCs/>
        </w:rPr>
        <w:fldChar w:fldCharType="begin"/>
      </w:r>
      <w:r>
        <w:rPr>
          <w:b/>
          <w:bCs/>
        </w:rPr>
        <w:instrText xml:space="preserve"> SEQ __ \* ARABIC \s 1 </w:instrText>
      </w:r>
      <w:r>
        <w:rPr>
          <w:b/>
          <w:bCs/>
        </w:rPr>
        <w:fldChar w:fldCharType="separate"/>
      </w:r>
      <w:r w:rsidR="007712B4">
        <w:rPr>
          <w:b/>
          <w:bCs/>
          <w:noProof/>
        </w:rPr>
        <w:t>1</w:t>
      </w:r>
      <w:r>
        <w:rPr>
          <w:b/>
          <w:bCs/>
        </w:rPr>
        <w:fldChar w:fldCharType="end"/>
      </w:r>
      <w:r w:rsidRPr="0017134B">
        <w:rPr>
          <w:b/>
          <w:bCs/>
        </w:rPr>
        <w:t>:</w:t>
      </w:r>
      <w:r>
        <w:t xml:space="preserve"> First-order rate constant, k, and adsorption capacity</w:t>
      </w:r>
      <w:r w:rsidR="008037A0">
        <w:t>,</w:t>
      </w:r>
      <w:r w:rsidR="00293F63">
        <w:t xml:space="preserve"> </w:t>
      </w:r>
      <w:r w:rsidR="00293F63" w:rsidRPr="00293F63">
        <w:rPr>
          <w:color w:val="000000"/>
        </w:rPr>
        <w:t>C</w:t>
      </w:r>
      <w:r w:rsidR="00293F63" w:rsidRPr="00293F63">
        <w:rPr>
          <w:color w:val="000000"/>
          <w:vertAlign w:val="superscript"/>
        </w:rPr>
        <w:t>*</w:t>
      </w:r>
      <w:r w:rsidR="008037A0">
        <w:t>,</w:t>
      </w:r>
      <w:r>
        <w:t xml:space="preserve"> of LIB metals into acidic and basic soil.</w:t>
      </w:r>
      <w:bookmarkEnd w:id="74"/>
      <w:bookmarkEnd w:id="75"/>
      <w:bookmarkEnd w:id="76"/>
      <w:bookmarkEnd w:id="77"/>
      <w:bookmarkEnd w:id="78"/>
    </w:p>
    <w:tbl>
      <w:tblPr>
        <w:tblW w:w="7740" w:type="dxa"/>
        <w:jc w:val="center"/>
        <w:tblLook w:val="04A0" w:firstRow="1" w:lastRow="0" w:firstColumn="1" w:lastColumn="0" w:noHBand="0" w:noVBand="1"/>
      </w:tblPr>
      <w:tblGrid>
        <w:gridCol w:w="2666"/>
        <w:gridCol w:w="1069"/>
        <w:gridCol w:w="910"/>
        <w:gridCol w:w="1583"/>
        <w:gridCol w:w="1512"/>
      </w:tblGrid>
      <w:tr w:rsidR="00E54F32" w:rsidRPr="00E54F32" w14:paraId="304FA108" w14:textId="77777777" w:rsidTr="00E54F32">
        <w:trPr>
          <w:trHeight w:val="312"/>
          <w:jc w:val="center"/>
        </w:trPr>
        <w:tc>
          <w:tcPr>
            <w:tcW w:w="7740" w:type="dxa"/>
            <w:gridSpan w:val="5"/>
            <w:tcBorders>
              <w:top w:val="nil"/>
              <w:left w:val="nil"/>
              <w:bottom w:val="single" w:sz="4" w:space="0" w:color="auto"/>
              <w:right w:val="nil"/>
            </w:tcBorders>
            <w:shd w:val="clear" w:color="auto" w:fill="auto"/>
            <w:noWrap/>
            <w:vAlign w:val="center"/>
            <w:hideMark/>
          </w:tcPr>
          <w:p w14:paraId="174795EF" w14:textId="361AFAD3" w:rsidR="00E54F32" w:rsidRPr="00293F63" w:rsidRDefault="00E54F32" w:rsidP="00E54F32">
            <w:pPr>
              <w:spacing w:line="240" w:lineRule="auto"/>
              <w:jc w:val="center"/>
              <w:rPr>
                <w:rFonts w:eastAsia="Times New Roman" w:cs="Times New Roman"/>
                <w:b/>
                <w:bCs/>
                <w:color w:val="000000"/>
                <w:szCs w:val="24"/>
              </w:rPr>
            </w:pPr>
            <w:bookmarkStart w:id="79" w:name="_Hlk70263274"/>
            <w:r w:rsidRPr="00E54F32">
              <w:rPr>
                <w:rFonts w:eastAsia="Times New Roman" w:cs="Times New Roman"/>
                <w:b/>
                <w:bCs/>
                <w:color w:val="000000"/>
                <w:szCs w:val="24"/>
              </w:rPr>
              <w:t>Rate Constant (k)</w:t>
            </w:r>
            <w:r w:rsidR="000F6E8F">
              <w:rPr>
                <w:rFonts w:eastAsia="Times New Roman" w:cs="Times New Roman"/>
                <w:b/>
                <w:bCs/>
                <w:color w:val="000000"/>
                <w:szCs w:val="24"/>
              </w:rPr>
              <w:t>,</w:t>
            </w:r>
            <w:r w:rsidRPr="00E54F32">
              <w:rPr>
                <w:rFonts w:eastAsia="Times New Roman" w:cs="Times New Roman"/>
                <w:b/>
                <w:bCs/>
                <w:color w:val="000000"/>
                <w:szCs w:val="24"/>
              </w:rPr>
              <w:t xml:space="preserve"> Adsorption Capacity (</w:t>
            </w:r>
            <w:r w:rsidR="00293F63">
              <w:rPr>
                <w:rFonts w:eastAsia="Times New Roman" w:cs="Times New Roman"/>
                <w:b/>
                <w:bCs/>
                <w:color w:val="000000"/>
                <w:szCs w:val="24"/>
              </w:rPr>
              <w:t>C</w:t>
            </w:r>
            <w:r w:rsidR="00293F63">
              <w:rPr>
                <w:rFonts w:eastAsia="Times New Roman" w:cs="Times New Roman"/>
                <w:b/>
                <w:bCs/>
                <w:color w:val="000000"/>
                <w:szCs w:val="24"/>
                <w:vertAlign w:val="superscript"/>
              </w:rPr>
              <w:t>*</w:t>
            </w:r>
            <w:r w:rsidR="00293F63">
              <w:rPr>
                <w:rFonts w:eastAsia="Times New Roman" w:cs="Times New Roman"/>
                <w:b/>
                <w:bCs/>
                <w:color w:val="000000"/>
                <w:szCs w:val="24"/>
              </w:rPr>
              <w:t>)</w:t>
            </w:r>
            <w:r w:rsidR="000F6E8F">
              <w:rPr>
                <w:rFonts w:eastAsia="Times New Roman" w:cs="Times New Roman"/>
                <w:b/>
                <w:bCs/>
                <w:color w:val="000000"/>
                <w:szCs w:val="24"/>
              </w:rPr>
              <w:t>, and 95% Confidence Level (C.L)</w:t>
            </w:r>
          </w:p>
        </w:tc>
      </w:tr>
      <w:tr w:rsidR="00E54F32" w:rsidRPr="00E54F32" w14:paraId="45398071" w14:textId="77777777" w:rsidTr="00E54F32">
        <w:trPr>
          <w:trHeight w:val="312"/>
          <w:jc w:val="center"/>
        </w:trPr>
        <w:tc>
          <w:tcPr>
            <w:tcW w:w="2666" w:type="dxa"/>
            <w:tcBorders>
              <w:top w:val="nil"/>
              <w:left w:val="nil"/>
              <w:bottom w:val="single" w:sz="4" w:space="0" w:color="auto"/>
              <w:right w:val="single" w:sz="4" w:space="0" w:color="auto"/>
            </w:tcBorders>
            <w:shd w:val="clear" w:color="auto" w:fill="auto"/>
            <w:noWrap/>
            <w:vAlign w:val="center"/>
            <w:hideMark/>
          </w:tcPr>
          <w:p w14:paraId="79E18B04" w14:textId="77777777"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 </w:t>
            </w:r>
          </w:p>
        </w:tc>
        <w:tc>
          <w:tcPr>
            <w:tcW w:w="1069" w:type="dxa"/>
            <w:tcBorders>
              <w:top w:val="nil"/>
              <w:left w:val="nil"/>
              <w:bottom w:val="single" w:sz="4" w:space="0" w:color="auto"/>
              <w:right w:val="nil"/>
            </w:tcBorders>
            <w:shd w:val="clear" w:color="auto" w:fill="auto"/>
            <w:noWrap/>
            <w:vAlign w:val="center"/>
            <w:hideMark/>
          </w:tcPr>
          <w:p w14:paraId="5C9F13DC" w14:textId="77777777"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Copper</w:t>
            </w:r>
          </w:p>
        </w:tc>
        <w:tc>
          <w:tcPr>
            <w:tcW w:w="910" w:type="dxa"/>
            <w:tcBorders>
              <w:top w:val="nil"/>
              <w:left w:val="nil"/>
              <w:bottom w:val="single" w:sz="4" w:space="0" w:color="auto"/>
              <w:right w:val="nil"/>
            </w:tcBorders>
            <w:shd w:val="clear" w:color="auto" w:fill="auto"/>
            <w:noWrap/>
            <w:vAlign w:val="center"/>
            <w:hideMark/>
          </w:tcPr>
          <w:p w14:paraId="5DC9BF0E" w14:textId="77777777"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Nickel</w:t>
            </w:r>
          </w:p>
        </w:tc>
        <w:tc>
          <w:tcPr>
            <w:tcW w:w="1583" w:type="dxa"/>
            <w:tcBorders>
              <w:top w:val="nil"/>
              <w:left w:val="nil"/>
              <w:bottom w:val="single" w:sz="4" w:space="0" w:color="auto"/>
              <w:right w:val="nil"/>
            </w:tcBorders>
            <w:shd w:val="clear" w:color="auto" w:fill="auto"/>
            <w:noWrap/>
            <w:vAlign w:val="center"/>
            <w:hideMark/>
          </w:tcPr>
          <w:p w14:paraId="1FB357A7" w14:textId="77777777"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Manganese</w:t>
            </w:r>
          </w:p>
        </w:tc>
        <w:tc>
          <w:tcPr>
            <w:tcW w:w="1512" w:type="dxa"/>
            <w:tcBorders>
              <w:top w:val="nil"/>
              <w:left w:val="nil"/>
              <w:bottom w:val="single" w:sz="4" w:space="0" w:color="auto"/>
              <w:right w:val="nil"/>
            </w:tcBorders>
            <w:shd w:val="clear" w:color="auto" w:fill="auto"/>
            <w:noWrap/>
            <w:vAlign w:val="center"/>
            <w:hideMark/>
          </w:tcPr>
          <w:p w14:paraId="3E3653CC" w14:textId="77777777"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Aluminum</w:t>
            </w:r>
          </w:p>
        </w:tc>
      </w:tr>
      <w:tr w:rsidR="00E54F32" w:rsidRPr="00E54F32" w14:paraId="71116BD3" w14:textId="77777777" w:rsidTr="00E54F32">
        <w:trPr>
          <w:trHeight w:val="312"/>
          <w:jc w:val="center"/>
        </w:trPr>
        <w:tc>
          <w:tcPr>
            <w:tcW w:w="2666" w:type="dxa"/>
            <w:tcBorders>
              <w:top w:val="nil"/>
              <w:left w:val="nil"/>
              <w:bottom w:val="nil"/>
              <w:right w:val="single" w:sz="4" w:space="0" w:color="auto"/>
            </w:tcBorders>
            <w:shd w:val="clear" w:color="auto" w:fill="auto"/>
            <w:noWrap/>
            <w:vAlign w:val="center"/>
            <w:hideMark/>
          </w:tcPr>
          <w:p w14:paraId="4A0145E4" w14:textId="77777777"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k</w:t>
            </w:r>
          </w:p>
        </w:tc>
        <w:tc>
          <w:tcPr>
            <w:tcW w:w="1069" w:type="dxa"/>
            <w:tcBorders>
              <w:top w:val="nil"/>
              <w:left w:val="nil"/>
              <w:bottom w:val="nil"/>
              <w:right w:val="nil"/>
            </w:tcBorders>
            <w:shd w:val="clear" w:color="auto" w:fill="auto"/>
            <w:noWrap/>
            <w:vAlign w:val="center"/>
            <w:hideMark/>
          </w:tcPr>
          <w:p w14:paraId="2DE329AD" w14:textId="482BB718" w:rsidR="00E54F32" w:rsidRPr="00E54F32" w:rsidRDefault="00940B4F" w:rsidP="00E54F32">
            <w:pPr>
              <w:spacing w:line="240" w:lineRule="auto"/>
              <w:jc w:val="center"/>
              <w:rPr>
                <w:rFonts w:eastAsia="Times New Roman" w:cs="Times New Roman"/>
                <w:color w:val="000000"/>
                <w:szCs w:val="24"/>
              </w:rPr>
            </w:pPr>
            <w:r>
              <w:rPr>
                <w:rFonts w:eastAsia="Times New Roman" w:cs="Times New Roman"/>
                <w:color w:val="000000"/>
                <w:szCs w:val="24"/>
              </w:rPr>
              <w:t>0.217</w:t>
            </w:r>
          </w:p>
        </w:tc>
        <w:tc>
          <w:tcPr>
            <w:tcW w:w="910" w:type="dxa"/>
            <w:tcBorders>
              <w:top w:val="nil"/>
              <w:left w:val="nil"/>
              <w:bottom w:val="nil"/>
              <w:right w:val="nil"/>
            </w:tcBorders>
            <w:shd w:val="clear" w:color="auto" w:fill="auto"/>
            <w:noWrap/>
            <w:vAlign w:val="center"/>
            <w:hideMark/>
          </w:tcPr>
          <w:p w14:paraId="7EC29042" w14:textId="7BEF4C04"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0.2</w:t>
            </w:r>
            <w:r w:rsidR="00940B4F">
              <w:rPr>
                <w:rFonts w:eastAsia="Times New Roman" w:cs="Times New Roman"/>
                <w:color w:val="000000"/>
                <w:szCs w:val="24"/>
              </w:rPr>
              <w:t>17</w:t>
            </w:r>
          </w:p>
        </w:tc>
        <w:tc>
          <w:tcPr>
            <w:tcW w:w="1583" w:type="dxa"/>
            <w:tcBorders>
              <w:top w:val="nil"/>
              <w:left w:val="nil"/>
              <w:bottom w:val="nil"/>
              <w:right w:val="nil"/>
            </w:tcBorders>
            <w:shd w:val="clear" w:color="auto" w:fill="auto"/>
            <w:noWrap/>
            <w:vAlign w:val="center"/>
            <w:hideMark/>
          </w:tcPr>
          <w:p w14:paraId="09253FF2" w14:textId="23C59A85"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0.2</w:t>
            </w:r>
            <w:r w:rsidR="00940B4F">
              <w:rPr>
                <w:rFonts w:eastAsia="Times New Roman" w:cs="Times New Roman"/>
                <w:color w:val="000000"/>
                <w:szCs w:val="24"/>
              </w:rPr>
              <w:t>17</w:t>
            </w:r>
          </w:p>
        </w:tc>
        <w:tc>
          <w:tcPr>
            <w:tcW w:w="1512" w:type="dxa"/>
            <w:tcBorders>
              <w:top w:val="nil"/>
              <w:left w:val="nil"/>
              <w:bottom w:val="nil"/>
              <w:right w:val="nil"/>
            </w:tcBorders>
            <w:shd w:val="clear" w:color="auto" w:fill="auto"/>
            <w:noWrap/>
            <w:vAlign w:val="center"/>
            <w:hideMark/>
          </w:tcPr>
          <w:p w14:paraId="7512E613" w14:textId="26F5FA18"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0.</w:t>
            </w:r>
            <w:r w:rsidR="00940B4F">
              <w:rPr>
                <w:rFonts w:eastAsia="Times New Roman" w:cs="Times New Roman"/>
                <w:color w:val="000000"/>
                <w:szCs w:val="24"/>
              </w:rPr>
              <w:t>217</w:t>
            </w:r>
          </w:p>
        </w:tc>
      </w:tr>
      <w:tr w:rsidR="00E54F32" w:rsidRPr="00E54F32" w14:paraId="50DBB0CB" w14:textId="77777777" w:rsidTr="00E54F32">
        <w:trPr>
          <w:trHeight w:val="369"/>
          <w:jc w:val="center"/>
        </w:trPr>
        <w:tc>
          <w:tcPr>
            <w:tcW w:w="2666" w:type="dxa"/>
            <w:tcBorders>
              <w:top w:val="nil"/>
              <w:left w:val="nil"/>
              <w:bottom w:val="nil"/>
              <w:right w:val="single" w:sz="4" w:space="0" w:color="auto"/>
            </w:tcBorders>
            <w:shd w:val="clear" w:color="auto" w:fill="auto"/>
            <w:noWrap/>
            <w:vAlign w:val="center"/>
            <w:hideMark/>
          </w:tcPr>
          <w:p w14:paraId="4462607C" w14:textId="077EB2FF"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 xml:space="preserve">Acidic </w:t>
            </w:r>
            <w:r w:rsidR="00293F63">
              <w:rPr>
                <w:rFonts w:eastAsia="Times New Roman" w:cs="Times New Roman"/>
                <w:b/>
                <w:bCs/>
                <w:color w:val="000000"/>
                <w:szCs w:val="24"/>
              </w:rPr>
              <w:t>C</w:t>
            </w:r>
            <w:r w:rsidR="00293F63">
              <w:rPr>
                <w:rFonts w:eastAsia="Times New Roman" w:cs="Times New Roman"/>
                <w:b/>
                <w:bCs/>
                <w:color w:val="000000"/>
                <w:szCs w:val="24"/>
                <w:vertAlign w:val="superscript"/>
              </w:rPr>
              <w:t>*</w:t>
            </w:r>
            <w:r w:rsidRPr="00E54F32">
              <w:rPr>
                <w:rFonts w:eastAsia="Times New Roman" w:cs="Times New Roman"/>
                <w:b/>
                <w:bCs/>
                <w:color w:val="000000"/>
                <w:szCs w:val="24"/>
              </w:rPr>
              <w:t xml:space="preserve"> (mg/kg)</w:t>
            </w:r>
          </w:p>
        </w:tc>
        <w:tc>
          <w:tcPr>
            <w:tcW w:w="1069" w:type="dxa"/>
            <w:tcBorders>
              <w:top w:val="nil"/>
              <w:left w:val="nil"/>
              <w:bottom w:val="nil"/>
              <w:right w:val="nil"/>
            </w:tcBorders>
            <w:shd w:val="clear" w:color="auto" w:fill="auto"/>
            <w:noWrap/>
            <w:vAlign w:val="center"/>
            <w:hideMark/>
          </w:tcPr>
          <w:p w14:paraId="0D1C3F01" w14:textId="11E47B45"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11</w:t>
            </w:r>
            <w:r w:rsidR="004D488E">
              <w:rPr>
                <w:rFonts w:eastAsia="Times New Roman" w:cs="Times New Roman"/>
                <w:color w:val="000000"/>
                <w:szCs w:val="24"/>
              </w:rPr>
              <w:t>2.73</w:t>
            </w:r>
          </w:p>
        </w:tc>
        <w:tc>
          <w:tcPr>
            <w:tcW w:w="910" w:type="dxa"/>
            <w:tcBorders>
              <w:top w:val="nil"/>
              <w:left w:val="nil"/>
              <w:bottom w:val="nil"/>
              <w:right w:val="nil"/>
            </w:tcBorders>
            <w:shd w:val="clear" w:color="auto" w:fill="auto"/>
            <w:noWrap/>
            <w:vAlign w:val="center"/>
            <w:hideMark/>
          </w:tcPr>
          <w:p w14:paraId="0FA9C78F" w14:textId="4551B4B3"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7</w:t>
            </w:r>
            <w:r w:rsidR="004D488E">
              <w:rPr>
                <w:rFonts w:eastAsia="Times New Roman" w:cs="Times New Roman"/>
                <w:color w:val="000000"/>
                <w:szCs w:val="24"/>
              </w:rPr>
              <w:t>1.29</w:t>
            </w:r>
          </w:p>
        </w:tc>
        <w:tc>
          <w:tcPr>
            <w:tcW w:w="1583" w:type="dxa"/>
            <w:tcBorders>
              <w:top w:val="nil"/>
              <w:left w:val="nil"/>
              <w:bottom w:val="nil"/>
              <w:right w:val="nil"/>
            </w:tcBorders>
            <w:shd w:val="clear" w:color="auto" w:fill="auto"/>
            <w:noWrap/>
            <w:vAlign w:val="center"/>
            <w:hideMark/>
          </w:tcPr>
          <w:p w14:paraId="7F596348" w14:textId="2649BDD9"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4</w:t>
            </w:r>
            <w:r w:rsidR="004D488E">
              <w:rPr>
                <w:rFonts w:eastAsia="Times New Roman" w:cs="Times New Roman"/>
                <w:color w:val="000000"/>
                <w:szCs w:val="24"/>
              </w:rPr>
              <w:t>6.51</w:t>
            </w:r>
          </w:p>
        </w:tc>
        <w:tc>
          <w:tcPr>
            <w:tcW w:w="1512" w:type="dxa"/>
            <w:tcBorders>
              <w:top w:val="nil"/>
              <w:left w:val="nil"/>
              <w:bottom w:val="nil"/>
              <w:right w:val="nil"/>
            </w:tcBorders>
            <w:shd w:val="clear" w:color="auto" w:fill="auto"/>
            <w:noWrap/>
            <w:vAlign w:val="center"/>
            <w:hideMark/>
          </w:tcPr>
          <w:p w14:paraId="2342B30D" w14:textId="5C211AE4" w:rsidR="00E54F32" w:rsidRPr="00E54F32" w:rsidRDefault="004D488E" w:rsidP="00E54F32">
            <w:pPr>
              <w:spacing w:line="240" w:lineRule="auto"/>
              <w:jc w:val="center"/>
              <w:rPr>
                <w:rFonts w:eastAsia="Times New Roman" w:cs="Times New Roman"/>
                <w:color w:val="000000"/>
                <w:szCs w:val="24"/>
              </w:rPr>
            </w:pPr>
            <w:r>
              <w:rPr>
                <w:rFonts w:eastAsia="Times New Roman" w:cs="Times New Roman"/>
                <w:color w:val="000000"/>
                <w:szCs w:val="24"/>
              </w:rPr>
              <w:t>4,001.31</w:t>
            </w:r>
          </w:p>
        </w:tc>
      </w:tr>
      <w:tr w:rsidR="00E54F32" w:rsidRPr="00E54F32" w14:paraId="416369A4" w14:textId="77777777" w:rsidTr="00E54F32">
        <w:trPr>
          <w:trHeight w:val="324"/>
          <w:jc w:val="center"/>
        </w:trPr>
        <w:tc>
          <w:tcPr>
            <w:tcW w:w="2666" w:type="dxa"/>
            <w:tcBorders>
              <w:top w:val="nil"/>
              <w:left w:val="nil"/>
              <w:bottom w:val="nil"/>
              <w:right w:val="single" w:sz="4" w:space="0" w:color="auto"/>
            </w:tcBorders>
            <w:shd w:val="clear" w:color="auto" w:fill="auto"/>
            <w:noWrap/>
            <w:vAlign w:val="center"/>
            <w:hideMark/>
          </w:tcPr>
          <w:p w14:paraId="171A48FF" w14:textId="40D0128B" w:rsidR="00E54F32" w:rsidRPr="00E54F32" w:rsidRDefault="00E54F32" w:rsidP="00E54F32">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 xml:space="preserve">Basic </w:t>
            </w:r>
            <w:r w:rsidR="00293F63">
              <w:rPr>
                <w:rFonts w:eastAsia="Times New Roman" w:cs="Times New Roman"/>
                <w:b/>
                <w:bCs/>
                <w:color w:val="000000"/>
                <w:szCs w:val="24"/>
              </w:rPr>
              <w:t>C</w:t>
            </w:r>
            <w:r w:rsidR="00293F63">
              <w:rPr>
                <w:rFonts w:eastAsia="Times New Roman" w:cs="Times New Roman"/>
                <w:b/>
                <w:bCs/>
                <w:color w:val="000000"/>
                <w:szCs w:val="24"/>
                <w:vertAlign w:val="superscript"/>
              </w:rPr>
              <w:t>*</w:t>
            </w:r>
            <w:r w:rsidRPr="00E54F32">
              <w:rPr>
                <w:rFonts w:eastAsia="Times New Roman" w:cs="Times New Roman"/>
                <w:b/>
                <w:bCs/>
                <w:color w:val="000000"/>
                <w:szCs w:val="24"/>
              </w:rPr>
              <w:t xml:space="preserve"> (mg/kg)</w:t>
            </w:r>
          </w:p>
        </w:tc>
        <w:tc>
          <w:tcPr>
            <w:tcW w:w="1069" w:type="dxa"/>
            <w:tcBorders>
              <w:top w:val="nil"/>
              <w:left w:val="nil"/>
              <w:bottom w:val="nil"/>
              <w:right w:val="nil"/>
            </w:tcBorders>
            <w:shd w:val="clear" w:color="auto" w:fill="auto"/>
            <w:noWrap/>
            <w:vAlign w:val="center"/>
            <w:hideMark/>
          </w:tcPr>
          <w:p w14:paraId="666F0BAB" w14:textId="50644F57"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2</w:t>
            </w:r>
            <w:r w:rsidR="004D488E">
              <w:rPr>
                <w:rFonts w:eastAsia="Times New Roman" w:cs="Times New Roman"/>
                <w:color w:val="000000"/>
                <w:szCs w:val="24"/>
              </w:rPr>
              <w:t>04.01</w:t>
            </w:r>
          </w:p>
        </w:tc>
        <w:tc>
          <w:tcPr>
            <w:tcW w:w="910" w:type="dxa"/>
            <w:tcBorders>
              <w:top w:val="nil"/>
              <w:left w:val="nil"/>
              <w:bottom w:val="nil"/>
              <w:right w:val="nil"/>
            </w:tcBorders>
            <w:shd w:val="clear" w:color="auto" w:fill="auto"/>
            <w:noWrap/>
            <w:vAlign w:val="center"/>
            <w:hideMark/>
          </w:tcPr>
          <w:p w14:paraId="4D1F7F54" w14:textId="41CF6FB9"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8</w:t>
            </w:r>
            <w:r w:rsidR="004D488E">
              <w:rPr>
                <w:rFonts w:eastAsia="Times New Roman" w:cs="Times New Roman"/>
                <w:color w:val="000000"/>
                <w:szCs w:val="24"/>
              </w:rPr>
              <w:t>8.91</w:t>
            </w:r>
          </w:p>
        </w:tc>
        <w:tc>
          <w:tcPr>
            <w:tcW w:w="1583" w:type="dxa"/>
            <w:tcBorders>
              <w:top w:val="nil"/>
              <w:left w:val="nil"/>
              <w:bottom w:val="nil"/>
              <w:right w:val="nil"/>
            </w:tcBorders>
            <w:shd w:val="clear" w:color="auto" w:fill="auto"/>
            <w:noWrap/>
            <w:vAlign w:val="center"/>
            <w:hideMark/>
          </w:tcPr>
          <w:p w14:paraId="4C649C0C" w14:textId="7E8E3A4A" w:rsidR="00E54F32" w:rsidRPr="00E54F32" w:rsidRDefault="00E54F32" w:rsidP="00E54F32">
            <w:pPr>
              <w:spacing w:line="240" w:lineRule="auto"/>
              <w:jc w:val="center"/>
              <w:rPr>
                <w:rFonts w:eastAsia="Times New Roman" w:cs="Times New Roman"/>
                <w:color w:val="000000"/>
                <w:szCs w:val="24"/>
              </w:rPr>
            </w:pPr>
            <w:r w:rsidRPr="00E54F32">
              <w:rPr>
                <w:rFonts w:eastAsia="Times New Roman" w:cs="Times New Roman"/>
                <w:color w:val="000000"/>
                <w:szCs w:val="24"/>
              </w:rPr>
              <w:t>7</w:t>
            </w:r>
            <w:r w:rsidR="004D488E">
              <w:rPr>
                <w:rFonts w:eastAsia="Times New Roman" w:cs="Times New Roman"/>
                <w:color w:val="000000"/>
                <w:szCs w:val="24"/>
              </w:rPr>
              <w:t>2.39</w:t>
            </w:r>
          </w:p>
        </w:tc>
        <w:tc>
          <w:tcPr>
            <w:tcW w:w="1512" w:type="dxa"/>
            <w:tcBorders>
              <w:top w:val="nil"/>
              <w:left w:val="nil"/>
              <w:bottom w:val="nil"/>
              <w:right w:val="nil"/>
            </w:tcBorders>
            <w:shd w:val="clear" w:color="auto" w:fill="auto"/>
            <w:noWrap/>
            <w:vAlign w:val="center"/>
            <w:hideMark/>
          </w:tcPr>
          <w:p w14:paraId="4AC34CBA" w14:textId="1FA24811" w:rsidR="00E54F32" w:rsidRPr="00E54F32" w:rsidRDefault="004D488E" w:rsidP="00E54F32">
            <w:pPr>
              <w:spacing w:line="240" w:lineRule="auto"/>
              <w:jc w:val="center"/>
              <w:rPr>
                <w:rFonts w:eastAsia="Times New Roman" w:cs="Times New Roman"/>
                <w:color w:val="000000"/>
                <w:szCs w:val="24"/>
              </w:rPr>
            </w:pPr>
            <w:r>
              <w:rPr>
                <w:rFonts w:eastAsia="Times New Roman" w:cs="Times New Roman"/>
                <w:color w:val="000000"/>
                <w:szCs w:val="24"/>
              </w:rPr>
              <w:t>4,944.96</w:t>
            </w:r>
          </w:p>
        </w:tc>
      </w:tr>
      <w:tr w:rsidR="000F6E8F" w:rsidRPr="00E54F32" w14:paraId="3EC6C89F" w14:textId="77777777" w:rsidTr="00E54F32">
        <w:trPr>
          <w:trHeight w:val="324"/>
          <w:jc w:val="center"/>
        </w:trPr>
        <w:tc>
          <w:tcPr>
            <w:tcW w:w="2666" w:type="dxa"/>
            <w:tcBorders>
              <w:top w:val="nil"/>
              <w:left w:val="nil"/>
              <w:bottom w:val="nil"/>
              <w:right w:val="single" w:sz="4" w:space="0" w:color="auto"/>
            </w:tcBorders>
            <w:shd w:val="clear" w:color="auto" w:fill="auto"/>
            <w:noWrap/>
            <w:vAlign w:val="center"/>
          </w:tcPr>
          <w:p w14:paraId="798CCF14" w14:textId="24140D2E" w:rsidR="000F6E8F" w:rsidRPr="00E54F32" w:rsidRDefault="000F6E8F" w:rsidP="000F6E8F">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 xml:space="preserve">Acidic </w:t>
            </w:r>
            <w:r>
              <w:rPr>
                <w:rFonts w:eastAsia="Times New Roman" w:cs="Times New Roman"/>
                <w:b/>
                <w:bCs/>
                <w:color w:val="000000"/>
                <w:szCs w:val="24"/>
              </w:rPr>
              <w:t>C</w:t>
            </w:r>
            <w:r>
              <w:rPr>
                <w:rFonts w:eastAsia="Times New Roman" w:cs="Times New Roman"/>
                <w:b/>
                <w:bCs/>
                <w:color w:val="000000"/>
                <w:szCs w:val="24"/>
                <w:vertAlign w:val="superscript"/>
              </w:rPr>
              <w:t>*</w:t>
            </w:r>
            <w:r w:rsidRPr="00E54F32">
              <w:rPr>
                <w:rFonts w:eastAsia="Times New Roman" w:cs="Times New Roman"/>
                <w:b/>
                <w:bCs/>
                <w:color w:val="000000"/>
                <w:szCs w:val="24"/>
              </w:rPr>
              <w:t xml:space="preserve"> </w:t>
            </w:r>
            <w:r>
              <w:rPr>
                <w:rFonts w:eastAsia="Times New Roman" w:cs="Times New Roman"/>
                <w:b/>
                <w:bCs/>
                <w:color w:val="000000"/>
                <w:szCs w:val="24"/>
              </w:rPr>
              <w:t>C.L.</w:t>
            </w:r>
          </w:p>
        </w:tc>
        <w:tc>
          <w:tcPr>
            <w:tcW w:w="1069" w:type="dxa"/>
            <w:tcBorders>
              <w:top w:val="nil"/>
              <w:left w:val="nil"/>
              <w:bottom w:val="nil"/>
              <w:right w:val="nil"/>
            </w:tcBorders>
            <w:shd w:val="clear" w:color="auto" w:fill="auto"/>
            <w:noWrap/>
            <w:vAlign w:val="center"/>
          </w:tcPr>
          <w:p w14:paraId="29F11FBD" w14:textId="0F1AD8B3" w:rsidR="000F6E8F" w:rsidRPr="00E54F32" w:rsidRDefault="000F6E8F" w:rsidP="000F6E8F">
            <w:pPr>
              <w:spacing w:line="240" w:lineRule="auto"/>
              <w:jc w:val="center"/>
              <w:rPr>
                <w:rFonts w:eastAsia="Times New Roman" w:cs="Times New Roman"/>
                <w:color w:val="000000"/>
                <w:szCs w:val="24"/>
              </w:rPr>
            </w:pPr>
            <w:r>
              <w:rPr>
                <w:rFonts w:eastAsia="Times New Roman" w:cs="Times New Roman"/>
                <w:color w:val="000000"/>
                <w:szCs w:val="24"/>
              </w:rPr>
              <w:t>6.64</w:t>
            </w:r>
          </w:p>
        </w:tc>
        <w:tc>
          <w:tcPr>
            <w:tcW w:w="910" w:type="dxa"/>
            <w:tcBorders>
              <w:top w:val="nil"/>
              <w:left w:val="nil"/>
              <w:bottom w:val="nil"/>
              <w:right w:val="nil"/>
            </w:tcBorders>
            <w:shd w:val="clear" w:color="auto" w:fill="auto"/>
            <w:noWrap/>
            <w:vAlign w:val="center"/>
          </w:tcPr>
          <w:p w14:paraId="225B57AD" w14:textId="3ABB4B7E" w:rsidR="000F6E8F" w:rsidRPr="00E54F32" w:rsidRDefault="000F6E8F" w:rsidP="000F6E8F">
            <w:pPr>
              <w:spacing w:line="240" w:lineRule="auto"/>
              <w:jc w:val="center"/>
              <w:rPr>
                <w:rFonts w:eastAsia="Times New Roman" w:cs="Times New Roman"/>
                <w:color w:val="000000"/>
                <w:szCs w:val="24"/>
              </w:rPr>
            </w:pPr>
            <w:r>
              <w:rPr>
                <w:rFonts w:eastAsia="Times New Roman" w:cs="Times New Roman"/>
                <w:color w:val="000000"/>
                <w:szCs w:val="24"/>
              </w:rPr>
              <w:t>9.42</w:t>
            </w:r>
          </w:p>
        </w:tc>
        <w:tc>
          <w:tcPr>
            <w:tcW w:w="1583" w:type="dxa"/>
            <w:tcBorders>
              <w:top w:val="nil"/>
              <w:left w:val="nil"/>
              <w:bottom w:val="nil"/>
              <w:right w:val="nil"/>
            </w:tcBorders>
            <w:shd w:val="clear" w:color="auto" w:fill="auto"/>
            <w:noWrap/>
            <w:vAlign w:val="center"/>
          </w:tcPr>
          <w:p w14:paraId="253F3C4D" w14:textId="634C794B" w:rsidR="000F6E8F" w:rsidRPr="00E54F32" w:rsidRDefault="000F6E8F" w:rsidP="000F6E8F">
            <w:pPr>
              <w:spacing w:line="240" w:lineRule="auto"/>
              <w:jc w:val="center"/>
              <w:rPr>
                <w:rFonts w:eastAsia="Times New Roman" w:cs="Times New Roman"/>
                <w:color w:val="000000"/>
                <w:szCs w:val="24"/>
              </w:rPr>
            </w:pPr>
            <w:r>
              <w:rPr>
                <w:rFonts w:eastAsia="Times New Roman" w:cs="Times New Roman"/>
                <w:color w:val="000000"/>
                <w:szCs w:val="24"/>
              </w:rPr>
              <w:t>4.48</w:t>
            </w:r>
          </w:p>
        </w:tc>
        <w:tc>
          <w:tcPr>
            <w:tcW w:w="1512" w:type="dxa"/>
            <w:tcBorders>
              <w:top w:val="nil"/>
              <w:left w:val="nil"/>
              <w:bottom w:val="nil"/>
              <w:right w:val="nil"/>
            </w:tcBorders>
            <w:shd w:val="clear" w:color="auto" w:fill="auto"/>
            <w:noWrap/>
            <w:vAlign w:val="center"/>
          </w:tcPr>
          <w:p w14:paraId="05F90F26" w14:textId="6815E8D5" w:rsidR="000F6E8F" w:rsidRPr="00E54F32" w:rsidRDefault="004D488E" w:rsidP="000F6E8F">
            <w:pPr>
              <w:spacing w:line="240" w:lineRule="auto"/>
              <w:jc w:val="center"/>
              <w:rPr>
                <w:rFonts w:eastAsia="Times New Roman" w:cs="Times New Roman"/>
                <w:color w:val="000000"/>
                <w:szCs w:val="24"/>
              </w:rPr>
            </w:pPr>
            <w:r>
              <w:rPr>
                <w:rFonts w:eastAsia="Times New Roman" w:cs="Times New Roman"/>
                <w:color w:val="000000"/>
                <w:szCs w:val="24"/>
              </w:rPr>
              <w:t>964.12</w:t>
            </w:r>
          </w:p>
        </w:tc>
      </w:tr>
      <w:tr w:rsidR="000F6E8F" w:rsidRPr="00E54F32" w14:paraId="27ED4A73" w14:textId="77777777" w:rsidTr="00E54F32">
        <w:trPr>
          <w:trHeight w:val="324"/>
          <w:jc w:val="center"/>
        </w:trPr>
        <w:tc>
          <w:tcPr>
            <w:tcW w:w="2666" w:type="dxa"/>
            <w:tcBorders>
              <w:top w:val="nil"/>
              <w:left w:val="nil"/>
              <w:bottom w:val="nil"/>
              <w:right w:val="single" w:sz="4" w:space="0" w:color="auto"/>
            </w:tcBorders>
            <w:shd w:val="clear" w:color="auto" w:fill="auto"/>
            <w:noWrap/>
            <w:vAlign w:val="center"/>
          </w:tcPr>
          <w:p w14:paraId="1E6FC6FF" w14:textId="4C8B5AF4" w:rsidR="000F6E8F" w:rsidRPr="00E54F32" w:rsidRDefault="000F6E8F" w:rsidP="000F6E8F">
            <w:pPr>
              <w:spacing w:line="240" w:lineRule="auto"/>
              <w:jc w:val="center"/>
              <w:rPr>
                <w:rFonts w:eastAsia="Times New Roman" w:cs="Times New Roman"/>
                <w:b/>
                <w:bCs/>
                <w:color w:val="000000"/>
                <w:szCs w:val="24"/>
              </w:rPr>
            </w:pPr>
            <w:r w:rsidRPr="00E54F32">
              <w:rPr>
                <w:rFonts w:eastAsia="Times New Roman" w:cs="Times New Roman"/>
                <w:b/>
                <w:bCs/>
                <w:color w:val="000000"/>
                <w:szCs w:val="24"/>
              </w:rPr>
              <w:t xml:space="preserve">Basic </w:t>
            </w:r>
            <w:r>
              <w:rPr>
                <w:rFonts w:eastAsia="Times New Roman" w:cs="Times New Roman"/>
                <w:b/>
                <w:bCs/>
                <w:color w:val="000000"/>
                <w:szCs w:val="24"/>
              </w:rPr>
              <w:t>C</w:t>
            </w:r>
            <w:r>
              <w:rPr>
                <w:rFonts w:eastAsia="Times New Roman" w:cs="Times New Roman"/>
                <w:b/>
                <w:bCs/>
                <w:color w:val="000000"/>
                <w:szCs w:val="24"/>
                <w:vertAlign w:val="superscript"/>
              </w:rPr>
              <w:t>*</w:t>
            </w:r>
            <w:r w:rsidRPr="00E54F32">
              <w:rPr>
                <w:rFonts w:eastAsia="Times New Roman" w:cs="Times New Roman"/>
                <w:b/>
                <w:bCs/>
                <w:color w:val="000000"/>
                <w:szCs w:val="24"/>
              </w:rPr>
              <w:t xml:space="preserve"> </w:t>
            </w:r>
            <w:r>
              <w:rPr>
                <w:rFonts w:eastAsia="Times New Roman" w:cs="Times New Roman"/>
                <w:b/>
                <w:bCs/>
                <w:color w:val="000000"/>
                <w:szCs w:val="24"/>
              </w:rPr>
              <w:t>C.L.</w:t>
            </w:r>
          </w:p>
        </w:tc>
        <w:tc>
          <w:tcPr>
            <w:tcW w:w="1069" w:type="dxa"/>
            <w:tcBorders>
              <w:top w:val="nil"/>
              <w:left w:val="nil"/>
              <w:bottom w:val="nil"/>
              <w:right w:val="nil"/>
            </w:tcBorders>
            <w:shd w:val="clear" w:color="auto" w:fill="auto"/>
            <w:noWrap/>
            <w:vAlign w:val="center"/>
          </w:tcPr>
          <w:p w14:paraId="4131F662" w14:textId="6CCEC823" w:rsidR="000F6E8F" w:rsidRPr="00E54F32" w:rsidRDefault="000F6E8F" w:rsidP="000F6E8F">
            <w:pPr>
              <w:spacing w:line="240" w:lineRule="auto"/>
              <w:jc w:val="center"/>
              <w:rPr>
                <w:rFonts w:eastAsia="Times New Roman" w:cs="Times New Roman"/>
                <w:color w:val="000000"/>
                <w:szCs w:val="24"/>
              </w:rPr>
            </w:pPr>
            <w:r>
              <w:rPr>
                <w:rFonts w:eastAsia="Times New Roman" w:cs="Times New Roman"/>
                <w:color w:val="000000"/>
                <w:szCs w:val="24"/>
              </w:rPr>
              <w:t>14.77</w:t>
            </w:r>
          </w:p>
        </w:tc>
        <w:tc>
          <w:tcPr>
            <w:tcW w:w="910" w:type="dxa"/>
            <w:tcBorders>
              <w:top w:val="nil"/>
              <w:left w:val="nil"/>
              <w:bottom w:val="nil"/>
              <w:right w:val="nil"/>
            </w:tcBorders>
            <w:shd w:val="clear" w:color="auto" w:fill="auto"/>
            <w:noWrap/>
            <w:vAlign w:val="center"/>
          </w:tcPr>
          <w:p w14:paraId="34C5EDF6" w14:textId="5FE7135A" w:rsidR="000F6E8F" w:rsidRPr="00E54F32" w:rsidRDefault="000F6E8F" w:rsidP="000F6E8F">
            <w:pPr>
              <w:spacing w:line="240" w:lineRule="auto"/>
              <w:jc w:val="center"/>
              <w:rPr>
                <w:rFonts w:eastAsia="Times New Roman" w:cs="Times New Roman"/>
                <w:color w:val="000000"/>
                <w:szCs w:val="24"/>
              </w:rPr>
            </w:pPr>
            <w:r>
              <w:rPr>
                <w:rFonts w:eastAsia="Times New Roman" w:cs="Times New Roman"/>
                <w:color w:val="000000"/>
                <w:szCs w:val="24"/>
              </w:rPr>
              <w:t>13.51</w:t>
            </w:r>
          </w:p>
        </w:tc>
        <w:tc>
          <w:tcPr>
            <w:tcW w:w="1583" w:type="dxa"/>
            <w:tcBorders>
              <w:top w:val="nil"/>
              <w:left w:val="nil"/>
              <w:bottom w:val="nil"/>
              <w:right w:val="nil"/>
            </w:tcBorders>
            <w:shd w:val="clear" w:color="auto" w:fill="auto"/>
            <w:noWrap/>
            <w:vAlign w:val="center"/>
          </w:tcPr>
          <w:p w14:paraId="2846C079" w14:textId="349C8C7A" w:rsidR="000F6E8F" w:rsidRPr="00E54F32" w:rsidRDefault="000F6E8F" w:rsidP="000F6E8F">
            <w:pPr>
              <w:spacing w:line="240" w:lineRule="auto"/>
              <w:jc w:val="center"/>
              <w:rPr>
                <w:rFonts w:eastAsia="Times New Roman" w:cs="Times New Roman"/>
                <w:color w:val="000000"/>
                <w:szCs w:val="24"/>
              </w:rPr>
            </w:pPr>
            <w:r>
              <w:rPr>
                <w:rFonts w:eastAsia="Times New Roman" w:cs="Times New Roman"/>
                <w:color w:val="000000"/>
                <w:szCs w:val="24"/>
              </w:rPr>
              <w:t>7.00</w:t>
            </w:r>
          </w:p>
        </w:tc>
        <w:tc>
          <w:tcPr>
            <w:tcW w:w="1512" w:type="dxa"/>
            <w:tcBorders>
              <w:top w:val="nil"/>
              <w:left w:val="nil"/>
              <w:bottom w:val="nil"/>
              <w:right w:val="nil"/>
            </w:tcBorders>
            <w:shd w:val="clear" w:color="auto" w:fill="auto"/>
            <w:noWrap/>
            <w:vAlign w:val="center"/>
          </w:tcPr>
          <w:p w14:paraId="3D52AE16" w14:textId="0B1C00BF" w:rsidR="000F6E8F" w:rsidRPr="00E54F32" w:rsidRDefault="004D488E" w:rsidP="000F6E8F">
            <w:pPr>
              <w:spacing w:line="240" w:lineRule="auto"/>
              <w:jc w:val="center"/>
              <w:rPr>
                <w:rFonts w:eastAsia="Times New Roman" w:cs="Times New Roman"/>
                <w:color w:val="000000"/>
                <w:szCs w:val="24"/>
              </w:rPr>
            </w:pPr>
            <w:r>
              <w:rPr>
                <w:rFonts w:eastAsia="Times New Roman" w:cs="Times New Roman"/>
                <w:color w:val="000000"/>
                <w:szCs w:val="24"/>
              </w:rPr>
              <w:t>973.34</w:t>
            </w:r>
          </w:p>
        </w:tc>
      </w:tr>
      <w:bookmarkEnd w:id="79"/>
    </w:tbl>
    <w:p w14:paraId="1B47444C" w14:textId="77777777" w:rsidR="009F0467" w:rsidRPr="00086569" w:rsidRDefault="009F0467" w:rsidP="00086569">
      <w:pPr>
        <w:tabs>
          <w:tab w:val="center" w:pos="4320"/>
          <w:tab w:val="right" w:pos="9360"/>
        </w:tabs>
        <w:rPr>
          <w:rFonts w:eastAsiaTheme="minorEastAsia" w:cs="Times New Roman"/>
        </w:rPr>
      </w:pPr>
    </w:p>
    <w:p w14:paraId="38AE3329" w14:textId="60E60A1C" w:rsidR="001C25E9" w:rsidRDefault="001C25E9" w:rsidP="00F21F24">
      <w:pPr>
        <w:ind w:firstLine="720"/>
        <w:jc w:val="both"/>
      </w:pPr>
      <w:r>
        <w:t xml:space="preserve">The Shapiro-Wilk Test </w:t>
      </w:r>
      <w:r w:rsidR="00A40B11">
        <w:t xml:space="preserve">for normality results for  copper, nickel, manganese, and aluminum in acidic soil and basic soil are in Tables </w:t>
      </w:r>
      <w:r w:rsidR="00ED00EF">
        <w:t>4</w:t>
      </w:r>
      <w:r w:rsidR="00A40B11">
        <w:t>.</w:t>
      </w:r>
      <w:r w:rsidR="007A0CAC">
        <w:t>2</w:t>
      </w:r>
      <w:r w:rsidR="00A40B11">
        <w:t xml:space="preserve"> and </w:t>
      </w:r>
      <w:r w:rsidR="00ED00EF">
        <w:t>4</w:t>
      </w:r>
      <w:r w:rsidR="00A40B11">
        <w:t>.</w:t>
      </w:r>
      <w:r w:rsidR="007A0CAC">
        <w:t>3</w:t>
      </w:r>
      <w:r w:rsidR="00A40B11">
        <w:t>, respectively</w:t>
      </w:r>
      <w:r>
        <w:t xml:space="preserve">.  A sample p-value greater than 0.05 retains the null hypothesis that the sample group is normally distributed.  A sample p-value less than 0.05 rejects the null hypothesis that the sample group is normally distributed.  </w:t>
      </w:r>
    </w:p>
    <w:p w14:paraId="0033EA9B" w14:textId="77777777" w:rsidR="001B7D6D" w:rsidRDefault="001B7D6D" w:rsidP="00F21F24">
      <w:pPr>
        <w:ind w:firstLine="720"/>
        <w:jc w:val="both"/>
      </w:pPr>
    </w:p>
    <w:p w14:paraId="23A16B4C" w14:textId="712255AA" w:rsidR="00D9224E" w:rsidRDefault="008B135E" w:rsidP="001650CC">
      <w:pPr>
        <w:pStyle w:val="Caption"/>
        <w:spacing w:after="0" w:line="480" w:lineRule="auto"/>
      </w:pPr>
      <w:bookmarkStart w:id="80" w:name="_Toc69351125"/>
      <w:bookmarkStart w:id="81" w:name="_Toc69352375"/>
      <w:bookmarkStart w:id="82" w:name="_Toc69352442"/>
      <w:bookmarkStart w:id="83" w:name="_Toc69412278"/>
      <w:bookmarkStart w:id="84" w:name="_Toc71224032"/>
      <w:r w:rsidRPr="008B135E">
        <w:rPr>
          <w:b/>
          <w:bCs/>
        </w:rPr>
        <w:t xml:space="preserve">Table </w:t>
      </w:r>
      <w:r w:rsidR="00ED00EF">
        <w:rPr>
          <w:b/>
          <w:bCs/>
        </w:rPr>
        <w:t>4</w:t>
      </w:r>
      <w:r w:rsidRPr="008B135E">
        <w:rPr>
          <w:b/>
          <w:bCs/>
        </w:rPr>
        <w:t>.</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2</w:t>
      </w:r>
      <w:r w:rsidR="001650CC" w:rsidRPr="001650CC">
        <w:rPr>
          <w:b/>
          <w:bCs/>
        </w:rPr>
        <w:fldChar w:fldCharType="end"/>
      </w:r>
      <w:r w:rsidRPr="008B135E">
        <w:rPr>
          <w:b/>
          <w:bCs/>
        </w:rPr>
        <w:t>:</w:t>
      </w:r>
      <w:r w:rsidR="00AC5A33">
        <w:t xml:space="preserve"> Shapiro-Wilk Test for </w:t>
      </w:r>
      <w:r w:rsidR="00DF427B">
        <w:t>each metal</w:t>
      </w:r>
      <w:r w:rsidR="00AC5A33">
        <w:t xml:space="preserve"> in acidic soil</w:t>
      </w:r>
      <w:r w:rsidR="007254DE">
        <w:t xml:space="preserve"> over 24 weeks</w:t>
      </w:r>
      <w:r w:rsidR="00AC5A33">
        <w:t>, p &gt; 0.05</w:t>
      </w:r>
      <w:r w:rsidR="00667997">
        <w:t xml:space="preserve"> for all sample groups</w:t>
      </w:r>
      <w:bookmarkEnd w:id="80"/>
      <w:bookmarkEnd w:id="81"/>
      <w:bookmarkEnd w:id="82"/>
      <w:bookmarkEnd w:id="83"/>
      <w:bookmarkEnd w:id="84"/>
    </w:p>
    <w:tbl>
      <w:tblPr>
        <w:tblW w:w="6400" w:type="dxa"/>
        <w:jc w:val="center"/>
        <w:tblLook w:val="04A0" w:firstRow="1" w:lastRow="0" w:firstColumn="1" w:lastColumn="0" w:noHBand="0" w:noVBand="1"/>
      </w:tblPr>
      <w:tblGrid>
        <w:gridCol w:w="891"/>
        <w:gridCol w:w="1161"/>
        <w:gridCol w:w="988"/>
        <w:gridCol w:w="1718"/>
        <w:gridCol w:w="1642"/>
      </w:tblGrid>
      <w:tr w:rsidR="00BB51F3" w:rsidRPr="00BB51F3" w14:paraId="4206AAAE" w14:textId="77777777" w:rsidTr="00BB51F3">
        <w:trPr>
          <w:trHeight w:val="312"/>
          <w:jc w:val="center"/>
        </w:trPr>
        <w:tc>
          <w:tcPr>
            <w:tcW w:w="6400" w:type="dxa"/>
            <w:gridSpan w:val="5"/>
            <w:tcBorders>
              <w:top w:val="nil"/>
              <w:left w:val="nil"/>
              <w:bottom w:val="single" w:sz="4" w:space="0" w:color="auto"/>
              <w:right w:val="nil"/>
            </w:tcBorders>
            <w:shd w:val="clear" w:color="auto" w:fill="auto"/>
            <w:noWrap/>
            <w:vAlign w:val="center"/>
            <w:hideMark/>
          </w:tcPr>
          <w:p w14:paraId="6D7BD0D0" w14:textId="33FFE39D" w:rsidR="00BB51F3" w:rsidRPr="00BB51F3" w:rsidRDefault="00A40B11" w:rsidP="00BB51F3">
            <w:pPr>
              <w:spacing w:line="240" w:lineRule="auto"/>
              <w:jc w:val="center"/>
              <w:rPr>
                <w:rFonts w:eastAsia="Times New Roman" w:cs="Times New Roman"/>
                <w:b/>
                <w:bCs/>
                <w:color w:val="000000"/>
                <w:szCs w:val="24"/>
              </w:rPr>
            </w:pPr>
            <w:r>
              <w:rPr>
                <w:rFonts w:eastAsia="Times New Roman" w:cs="Times New Roman"/>
                <w:b/>
                <w:bCs/>
                <w:color w:val="000000"/>
                <w:szCs w:val="24"/>
              </w:rPr>
              <w:t xml:space="preserve">Acidic Soil </w:t>
            </w:r>
            <w:r w:rsidR="00BB51F3" w:rsidRPr="00BB51F3">
              <w:rPr>
                <w:rFonts w:eastAsia="Times New Roman" w:cs="Times New Roman"/>
                <w:b/>
                <w:bCs/>
                <w:color w:val="000000"/>
                <w:szCs w:val="24"/>
              </w:rPr>
              <w:t>Shapiro</w:t>
            </w:r>
            <w:r w:rsidR="00252F78">
              <w:rPr>
                <w:rFonts w:eastAsia="Times New Roman" w:cs="Times New Roman"/>
                <w:b/>
                <w:bCs/>
                <w:color w:val="000000"/>
                <w:szCs w:val="24"/>
              </w:rPr>
              <w:t>-</w:t>
            </w:r>
            <w:r w:rsidR="00BB51F3" w:rsidRPr="00BB51F3">
              <w:rPr>
                <w:rFonts w:eastAsia="Times New Roman" w:cs="Times New Roman"/>
                <w:b/>
                <w:bCs/>
                <w:color w:val="000000"/>
                <w:szCs w:val="24"/>
              </w:rPr>
              <w:t>Wilk Test, p</w:t>
            </w:r>
            <w:r w:rsidR="0065371A">
              <w:rPr>
                <w:rFonts w:eastAsia="Times New Roman" w:cs="Times New Roman"/>
                <w:b/>
                <w:bCs/>
                <w:color w:val="000000"/>
                <w:szCs w:val="24"/>
              </w:rPr>
              <w:t>-values</w:t>
            </w:r>
          </w:p>
        </w:tc>
      </w:tr>
      <w:tr w:rsidR="00BB51F3" w:rsidRPr="00BB51F3" w14:paraId="7DC9BE13" w14:textId="77777777" w:rsidTr="00BB51F3">
        <w:trPr>
          <w:trHeight w:val="312"/>
          <w:jc w:val="center"/>
        </w:trPr>
        <w:tc>
          <w:tcPr>
            <w:tcW w:w="891" w:type="dxa"/>
            <w:tcBorders>
              <w:top w:val="nil"/>
              <w:left w:val="nil"/>
              <w:bottom w:val="single" w:sz="4" w:space="0" w:color="auto"/>
              <w:right w:val="single" w:sz="4" w:space="0" w:color="auto"/>
            </w:tcBorders>
            <w:shd w:val="clear" w:color="auto" w:fill="auto"/>
            <w:noWrap/>
            <w:vAlign w:val="center"/>
            <w:hideMark/>
          </w:tcPr>
          <w:p w14:paraId="14CEBD70"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Week</w:t>
            </w:r>
          </w:p>
        </w:tc>
        <w:tc>
          <w:tcPr>
            <w:tcW w:w="1161" w:type="dxa"/>
            <w:tcBorders>
              <w:top w:val="nil"/>
              <w:left w:val="nil"/>
              <w:bottom w:val="single" w:sz="4" w:space="0" w:color="auto"/>
              <w:right w:val="nil"/>
            </w:tcBorders>
            <w:shd w:val="clear" w:color="auto" w:fill="auto"/>
            <w:noWrap/>
            <w:vAlign w:val="center"/>
            <w:hideMark/>
          </w:tcPr>
          <w:p w14:paraId="5A463E90"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Copper</w:t>
            </w:r>
          </w:p>
        </w:tc>
        <w:tc>
          <w:tcPr>
            <w:tcW w:w="988" w:type="dxa"/>
            <w:tcBorders>
              <w:top w:val="nil"/>
              <w:left w:val="nil"/>
              <w:bottom w:val="single" w:sz="4" w:space="0" w:color="auto"/>
              <w:right w:val="nil"/>
            </w:tcBorders>
            <w:shd w:val="clear" w:color="auto" w:fill="auto"/>
            <w:noWrap/>
            <w:vAlign w:val="center"/>
            <w:hideMark/>
          </w:tcPr>
          <w:p w14:paraId="53DB0216"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Nickel</w:t>
            </w:r>
          </w:p>
        </w:tc>
        <w:tc>
          <w:tcPr>
            <w:tcW w:w="1718" w:type="dxa"/>
            <w:tcBorders>
              <w:top w:val="nil"/>
              <w:left w:val="nil"/>
              <w:bottom w:val="single" w:sz="4" w:space="0" w:color="auto"/>
              <w:right w:val="nil"/>
            </w:tcBorders>
            <w:shd w:val="clear" w:color="auto" w:fill="auto"/>
            <w:noWrap/>
            <w:vAlign w:val="center"/>
            <w:hideMark/>
          </w:tcPr>
          <w:p w14:paraId="13EBF5CA"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Manganese</w:t>
            </w:r>
          </w:p>
        </w:tc>
        <w:tc>
          <w:tcPr>
            <w:tcW w:w="1642" w:type="dxa"/>
            <w:tcBorders>
              <w:top w:val="nil"/>
              <w:left w:val="nil"/>
              <w:bottom w:val="single" w:sz="4" w:space="0" w:color="auto"/>
              <w:right w:val="nil"/>
            </w:tcBorders>
            <w:shd w:val="clear" w:color="auto" w:fill="auto"/>
            <w:noWrap/>
            <w:vAlign w:val="center"/>
            <w:hideMark/>
          </w:tcPr>
          <w:p w14:paraId="5E40FA28"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Aluminum</w:t>
            </w:r>
          </w:p>
        </w:tc>
      </w:tr>
      <w:tr w:rsidR="00BB51F3" w:rsidRPr="00BB51F3" w14:paraId="7F3F1B83"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3F8DCE2C"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1</w:t>
            </w:r>
          </w:p>
        </w:tc>
        <w:tc>
          <w:tcPr>
            <w:tcW w:w="1161" w:type="dxa"/>
            <w:tcBorders>
              <w:top w:val="nil"/>
              <w:left w:val="nil"/>
              <w:bottom w:val="nil"/>
              <w:right w:val="nil"/>
            </w:tcBorders>
            <w:shd w:val="clear" w:color="auto" w:fill="auto"/>
            <w:noWrap/>
            <w:vAlign w:val="center"/>
            <w:hideMark/>
          </w:tcPr>
          <w:p w14:paraId="3E2B3DC9"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0.290</w:t>
            </w:r>
          </w:p>
        </w:tc>
        <w:tc>
          <w:tcPr>
            <w:tcW w:w="988" w:type="dxa"/>
            <w:tcBorders>
              <w:top w:val="nil"/>
              <w:left w:val="nil"/>
              <w:bottom w:val="nil"/>
              <w:right w:val="nil"/>
            </w:tcBorders>
            <w:shd w:val="clear" w:color="auto" w:fill="auto"/>
            <w:noWrap/>
            <w:vAlign w:val="center"/>
            <w:hideMark/>
          </w:tcPr>
          <w:p w14:paraId="1BEE0CA8"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0.078</w:t>
            </w:r>
          </w:p>
        </w:tc>
        <w:tc>
          <w:tcPr>
            <w:tcW w:w="1718" w:type="dxa"/>
            <w:tcBorders>
              <w:top w:val="nil"/>
              <w:left w:val="nil"/>
              <w:bottom w:val="nil"/>
              <w:right w:val="nil"/>
            </w:tcBorders>
            <w:shd w:val="clear" w:color="auto" w:fill="auto"/>
            <w:noWrap/>
            <w:vAlign w:val="center"/>
            <w:hideMark/>
          </w:tcPr>
          <w:p w14:paraId="16684B32"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0.973</w:t>
            </w:r>
          </w:p>
        </w:tc>
        <w:tc>
          <w:tcPr>
            <w:tcW w:w="1642" w:type="dxa"/>
            <w:tcBorders>
              <w:top w:val="nil"/>
              <w:left w:val="nil"/>
              <w:bottom w:val="nil"/>
              <w:right w:val="nil"/>
            </w:tcBorders>
            <w:shd w:val="clear" w:color="auto" w:fill="auto"/>
            <w:noWrap/>
            <w:vAlign w:val="center"/>
            <w:hideMark/>
          </w:tcPr>
          <w:p w14:paraId="3A197F8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0.975</w:t>
            </w:r>
          </w:p>
        </w:tc>
      </w:tr>
      <w:tr w:rsidR="00BB51F3" w:rsidRPr="00BB51F3" w14:paraId="43854657"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330F61E2"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2</w:t>
            </w:r>
          </w:p>
        </w:tc>
        <w:tc>
          <w:tcPr>
            <w:tcW w:w="1161" w:type="dxa"/>
            <w:tcBorders>
              <w:top w:val="nil"/>
              <w:left w:val="nil"/>
              <w:bottom w:val="nil"/>
              <w:right w:val="nil"/>
            </w:tcBorders>
            <w:shd w:val="clear" w:color="auto" w:fill="auto"/>
            <w:noWrap/>
            <w:vAlign w:val="center"/>
            <w:hideMark/>
          </w:tcPr>
          <w:p w14:paraId="702AE727"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0.416</w:t>
            </w:r>
          </w:p>
        </w:tc>
        <w:tc>
          <w:tcPr>
            <w:tcW w:w="988" w:type="dxa"/>
            <w:tcBorders>
              <w:top w:val="nil"/>
              <w:left w:val="nil"/>
              <w:bottom w:val="nil"/>
              <w:right w:val="nil"/>
            </w:tcBorders>
            <w:shd w:val="clear" w:color="auto" w:fill="auto"/>
            <w:noWrap/>
            <w:vAlign w:val="center"/>
            <w:hideMark/>
          </w:tcPr>
          <w:p w14:paraId="38F2AB05"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0.703</w:t>
            </w:r>
          </w:p>
        </w:tc>
        <w:tc>
          <w:tcPr>
            <w:tcW w:w="1718" w:type="dxa"/>
            <w:tcBorders>
              <w:top w:val="nil"/>
              <w:left w:val="nil"/>
              <w:bottom w:val="nil"/>
              <w:right w:val="nil"/>
            </w:tcBorders>
            <w:shd w:val="clear" w:color="auto" w:fill="auto"/>
            <w:noWrap/>
            <w:vAlign w:val="center"/>
            <w:hideMark/>
          </w:tcPr>
          <w:p w14:paraId="5097AF5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0.239</w:t>
            </w:r>
          </w:p>
        </w:tc>
        <w:tc>
          <w:tcPr>
            <w:tcW w:w="1642" w:type="dxa"/>
            <w:tcBorders>
              <w:top w:val="nil"/>
              <w:left w:val="nil"/>
              <w:bottom w:val="nil"/>
              <w:right w:val="nil"/>
            </w:tcBorders>
            <w:shd w:val="clear" w:color="auto" w:fill="auto"/>
            <w:noWrap/>
            <w:vAlign w:val="center"/>
            <w:hideMark/>
          </w:tcPr>
          <w:p w14:paraId="662F66B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0.999</w:t>
            </w:r>
          </w:p>
        </w:tc>
      </w:tr>
      <w:tr w:rsidR="00BB51F3" w:rsidRPr="00BB51F3" w14:paraId="61FE6718"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6AE83DBC"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4</w:t>
            </w:r>
          </w:p>
        </w:tc>
        <w:tc>
          <w:tcPr>
            <w:tcW w:w="1161" w:type="dxa"/>
            <w:tcBorders>
              <w:top w:val="nil"/>
              <w:left w:val="nil"/>
              <w:bottom w:val="nil"/>
              <w:right w:val="nil"/>
            </w:tcBorders>
            <w:shd w:val="clear" w:color="auto" w:fill="auto"/>
            <w:noWrap/>
            <w:vAlign w:val="center"/>
            <w:hideMark/>
          </w:tcPr>
          <w:p w14:paraId="6A955619"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0.987</w:t>
            </w:r>
          </w:p>
        </w:tc>
        <w:tc>
          <w:tcPr>
            <w:tcW w:w="988" w:type="dxa"/>
            <w:tcBorders>
              <w:top w:val="nil"/>
              <w:left w:val="nil"/>
              <w:bottom w:val="nil"/>
              <w:right w:val="nil"/>
            </w:tcBorders>
            <w:shd w:val="clear" w:color="auto" w:fill="auto"/>
            <w:noWrap/>
            <w:vAlign w:val="center"/>
            <w:hideMark/>
          </w:tcPr>
          <w:p w14:paraId="7E14E035"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0.155</w:t>
            </w:r>
          </w:p>
        </w:tc>
        <w:tc>
          <w:tcPr>
            <w:tcW w:w="1718" w:type="dxa"/>
            <w:tcBorders>
              <w:top w:val="nil"/>
              <w:left w:val="nil"/>
              <w:bottom w:val="nil"/>
              <w:right w:val="nil"/>
            </w:tcBorders>
            <w:shd w:val="clear" w:color="auto" w:fill="auto"/>
            <w:noWrap/>
            <w:vAlign w:val="center"/>
            <w:hideMark/>
          </w:tcPr>
          <w:p w14:paraId="01EA5D60"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0.559</w:t>
            </w:r>
          </w:p>
        </w:tc>
        <w:tc>
          <w:tcPr>
            <w:tcW w:w="1642" w:type="dxa"/>
            <w:tcBorders>
              <w:top w:val="nil"/>
              <w:left w:val="nil"/>
              <w:bottom w:val="nil"/>
              <w:right w:val="nil"/>
            </w:tcBorders>
            <w:shd w:val="clear" w:color="auto" w:fill="auto"/>
            <w:noWrap/>
            <w:vAlign w:val="center"/>
            <w:hideMark/>
          </w:tcPr>
          <w:p w14:paraId="170CD2C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0.065</w:t>
            </w:r>
          </w:p>
        </w:tc>
      </w:tr>
      <w:tr w:rsidR="00BB51F3" w:rsidRPr="00BB51F3" w14:paraId="6349935F"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77C5F5E8"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6</w:t>
            </w:r>
          </w:p>
        </w:tc>
        <w:tc>
          <w:tcPr>
            <w:tcW w:w="1161" w:type="dxa"/>
            <w:tcBorders>
              <w:top w:val="nil"/>
              <w:left w:val="nil"/>
              <w:bottom w:val="nil"/>
              <w:right w:val="nil"/>
            </w:tcBorders>
            <w:shd w:val="clear" w:color="auto" w:fill="auto"/>
            <w:noWrap/>
            <w:vAlign w:val="center"/>
            <w:hideMark/>
          </w:tcPr>
          <w:p w14:paraId="0077BE98"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0.287</w:t>
            </w:r>
          </w:p>
        </w:tc>
        <w:tc>
          <w:tcPr>
            <w:tcW w:w="988" w:type="dxa"/>
            <w:tcBorders>
              <w:top w:val="nil"/>
              <w:left w:val="nil"/>
              <w:bottom w:val="nil"/>
              <w:right w:val="nil"/>
            </w:tcBorders>
            <w:shd w:val="clear" w:color="auto" w:fill="auto"/>
            <w:noWrap/>
            <w:vAlign w:val="center"/>
            <w:hideMark/>
          </w:tcPr>
          <w:p w14:paraId="0CD783B2"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0.205</w:t>
            </w:r>
          </w:p>
        </w:tc>
        <w:tc>
          <w:tcPr>
            <w:tcW w:w="1718" w:type="dxa"/>
            <w:tcBorders>
              <w:top w:val="nil"/>
              <w:left w:val="nil"/>
              <w:bottom w:val="nil"/>
              <w:right w:val="nil"/>
            </w:tcBorders>
            <w:shd w:val="clear" w:color="auto" w:fill="auto"/>
            <w:noWrap/>
            <w:vAlign w:val="center"/>
            <w:hideMark/>
          </w:tcPr>
          <w:p w14:paraId="42E3F92A"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0.980</w:t>
            </w:r>
          </w:p>
        </w:tc>
        <w:tc>
          <w:tcPr>
            <w:tcW w:w="1642" w:type="dxa"/>
            <w:tcBorders>
              <w:top w:val="nil"/>
              <w:left w:val="nil"/>
              <w:bottom w:val="nil"/>
              <w:right w:val="nil"/>
            </w:tcBorders>
            <w:shd w:val="clear" w:color="auto" w:fill="auto"/>
            <w:noWrap/>
            <w:vAlign w:val="center"/>
            <w:hideMark/>
          </w:tcPr>
          <w:p w14:paraId="3EDA99C3"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0.590</w:t>
            </w:r>
          </w:p>
        </w:tc>
      </w:tr>
      <w:tr w:rsidR="00BB51F3" w:rsidRPr="00BB51F3" w14:paraId="1EF6C846"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18A792EF"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8</w:t>
            </w:r>
          </w:p>
        </w:tc>
        <w:tc>
          <w:tcPr>
            <w:tcW w:w="1161" w:type="dxa"/>
            <w:tcBorders>
              <w:top w:val="nil"/>
              <w:left w:val="nil"/>
              <w:bottom w:val="nil"/>
              <w:right w:val="nil"/>
            </w:tcBorders>
            <w:shd w:val="clear" w:color="auto" w:fill="auto"/>
            <w:noWrap/>
            <w:vAlign w:val="center"/>
            <w:hideMark/>
          </w:tcPr>
          <w:p w14:paraId="6FBC921E"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0.074</w:t>
            </w:r>
          </w:p>
        </w:tc>
        <w:tc>
          <w:tcPr>
            <w:tcW w:w="988" w:type="dxa"/>
            <w:tcBorders>
              <w:top w:val="nil"/>
              <w:left w:val="nil"/>
              <w:bottom w:val="nil"/>
              <w:right w:val="nil"/>
            </w:tcBorders>
            <w:shd w:val="clear" w:color="auto" w:fill="auto"/>
            <w:noWrap/>
            <w:vAlign w:val="center"/>
            <w:hideMark/>
          </w:tcPr>
          <w:p w14:paraId="303E8B0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0.053</w:t>
            </w:r>
          </w:p>
        </w:tc>
        <w:tc>
          <w:tcPr>
            <w:tcW w:w="1718" w:type="dxa"/>
            <w:tcBorders>
              <w:top w:val="nil"/>
              <w:left w:val="nil"/>
              <w:bottom w:val="nil"/>
              <w:right w:val="nil"/>
            </w:tcBorders>
            <w:shd w:val="clear" w:color="auto" w:fill="auto"/>
            <w:noWrap/>
            <w:vAlign w:val="center"/>
            <w:hideMark/>
          </w:tcPr>
          <w:p w14:paraId="6A6938D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0.976</w:t>
            </w:r>
          </w:p>
        </w:tc>
        <w:tc>
          <w:tcPr>
            <w:tcW w:w="1642" w:type="dxa"/>
            <w:tcBorders>
              <w:top w:val="nil"/>
              <w:left w:val="nil"/>
              <w:bottom w:val="nil"/>
              <w:right w:val="nil"/>
            </w:tcBorders>
            <w:shd w:val="clear" w:color="auto" w:fill="auto"/>
            <w:noWrap/>
            <w:vAlign w:val="center"/>
            <w:hideMark/>
          </w:tcPr>
          <w:p w14:paraId="61B60550"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0.892</w:t>
            </w:r>
          </w:p>
        </w:tc>
      </w:tr>
      <w:tr w:rsidR="00BB51F3" w:rsidRPr="00BB51F3" w14:paraId="1FA8B0CF"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7C6DE2B8"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12</w:t>
            </w:r>
          </w:p>
        </w:tc>
        <w:tc>
          <w:tcPr>
            <w:tcW w:w="1161" w:type="dxa"/>
            <w:tcBorders>
              <w:top w:val="nil"/>
              <w:left w:val="nil"/>
              <w:bottom w:val="nil"/>
              <w:right w:val="nil"/>
            </w:tcBorders>
            <w:shd w:val="clear" w:color="auto" w:fill="auto"/>
            <w:noWrap/>
            <w:vAlign w:val="center"/>
            <w:hideMark/>
          </w:tcPr>
          <w:p w14:paraId="1E9F9D0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0.277</w:t>
            </w:r>
          </w:p>
        </w:tc>
        <w:tc>
          <w:tcPr>
            <w:tcW w:w="988" w:type="dxa"/>
            <w:tcBorders>
              <w:top w:val="nil"/>
              <w:left w:val="nil"/>
              <w:bottom w:val="nil"/>
              <w:right w:val="nil"/>
            </w:tcBorders>
            <w:shd w:val="clear" w:color="auto" w:fill="auto"/>
            <w:noWrap/>
            <w:vAlign w:val="center"/>
            <w:hideMark/>
          </w:tcPr>
          <w:p w14:paraId="6C5752C8"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0.534</w:t>
            </w:r>
          </w:p>
        </w:tc>
        <w:tc>
          <w:tcPr>
            <w:tcW w:w="1718" w:type="dxa"/>
            <w:tcBorders>
              <w:top w:val="nil"/>
              <w:left w:val="nil"/>
              <w:bottom w:val="nil"/>
              <w:right w:val="nil"/>
            </w:tcBorders>
            <w:shd w:val="clear" w:color="auto" w:fill="auto"/>
            <w:noWrap/>
            <w:vAlign w:val="center"/>
            <w:hideMark/>
          </w:tcPr>
          <w:p w14:paraId="6D0FA290"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0.837</w:t>
            </w:r>
          </w:p>
        </w:tc>
        <w:tc>
          <w:tcPr>
            <w:tcW w:w="1642" w:type="dxa"/>
            <w:tcBorders>
              <w:top w:val="nil"/>
              <w:left w:val="nil"/>
              <w:bottom w:val="nil"/>
              <w:right w:val="nil"/>
            </w:tcBorders>
            <w:shd w:val="clear" w:color="auto" w:fill="auto"/>
            <w:noWrap/>
            <w:vAlign w:val="center"/>
            <w:hideMark/>
          </w:tcPr>
          <w:p w14:paraId="0BDC5B5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0.306</w:t>
            </w:r>
          </w:p>
        </w:tc>
      </w:tr>
      <w:tr w:rsidR="00BB51F3" w:rsidRPr="00BB51F3" w14:paraId="2A87CE3A"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2593C261"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16</w:t>
            </w:r>
          </w:p>
        </w:tc>
        <w:tc>
          <w:tcPr>
            <w:tcW w:w="1161" w:type="dxa"/>
            <w:tcBorders>
              <w:top w:val="nil"/>
              <w:left w:val="nil"/>
              <w:bottom w:val="nil"/>
              <w:right w:val="nil"/>
            </w:tcBorders>
            <w:shd w:val="clear" w:color="auto" w:fill="auto"/>
            <w:noWrap/>
            <w:vAlign w:val="center"/>
            <w:hideMark/>
          </w:tcPr>
          <w:p w14:paraId="3094BA29"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0.085</w:t>
            </w:r>
          </w:p>
        </w:tc>
        <w:tc>
          <w:tcPr>
            <w:tcW w:w="988" w:type="dxa"/>
            <w:tcBorders>
              <w:top w:val="nil"/>
              <w:left w:val="nil"/>
              <w:bottom w:val="nil"/>
              <w:right w:val="nil"/>
            </w:tcBorders>
            <w:shd w:val="clear" w:color="auto" w:fill="auto"/>
            <w:noWrap/>
            <w:vAlign w:val="center"/>
            <w:hideMark/>
          </w:tcPr>
          <w:p w14:paraId="54B6963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0.484</w:t>
            </w:r>
          </w:p>
        </w:tc>
        <w:tc>
          <w:tcPr>
            <w:tcW w:w="1718" w:type="dxa"/>
            <w:tcBorders>
              <w:top w:val="nil"/>
              <w:left w:val="nil"/>
              <w:bottom w:val="nil"/>
              <w:right w:val="nil"/>
            </w:tcBorders>
            <w:shd w:val="clear" w:color="auto" w:fill="auto"/>
            <w:noWrap/>
            <w:vAlign w:val="center"/>
            <w:hideMark/>
          </w:tcPr>
          <w:p w14:paraId="7BAD248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0.493</w:t>
            </w:r>
          </w:p>
        </w:tc>
        <w:tc>
          <w:tcPr>
            <w:tcW w:w="1642" w:type="dxa"/>
            <w:tcBorders>
              <w:top w:val="nil"/>
              <w:left w:val="nil"/>
              <w:bottom w:val="nil"/>
              <w:right w:val="nil"/>
            </w:tcBorders>
            <w:shd w:val="clear" w:color="auto" w:fill="auto"/>
            <w:noWrap/>
            <w:vAlign w:val="center"/>
            <w:hideMark/>
          </w:tcPr>
          <w:p w14:paraId="3C5F2E81"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0.825</w:t>
            </w:r>
          </w:p>
        </w:tc>
      </w:tr>
      <w:tr w:rsidR="00BB51F3" w:rsidRPr="00BB51F3" w14:paraId="421D6F7D"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36FF45DC"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20</w:t>
            </w:r>
          </w:p>
        </w:tc>
        <w:tc>
          <w:tcPr>
            <w:tcW w:w="1161" w:type="dxa"/>
            <w:tcBorders>
              <w:top w:val="nil"/>
              <w:left w:val="nil"/>
              <w:bottom w:val="nil"/>
              <w:right w:val="nil"/>
            </w:tcBorders>
            <w:shd w:val="clear" w:color="auto" w:fill="auto"/>
            <w:noWrap/>
            <w:vAlign w:val="center"/>
            <w:hideMark/>
          </w:tcPr>
          <w:p w14:paraId="7A27EB00"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0.383</w:t>
            </w:r>
          </w:p>
        </w:tc>
        <w:tc>
          <w:tcPr>
            <w:tcW w:w="988" w:type="dxa"/>
            <w:tcBorders>
              <w:top w:val="nil"/>
              <w:left w:val="nil"/>
              <w:bottom w:val="nil"/>
              <w:right w:val="nil"/>
            </w:tcBorders>
            <w:shd w:val="clear" w:color="auto" w:fill="auto"/>
            <w:noWrap/>
            <w:vAlign w:val="center"/>
            <w:hideMark/>
          </w:tcPr>
          <w:p w14:paraId="686F5649"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0.919</w:t>
            </w:r>
          </w:p>
        </w:tc>
        <w:tc>
          <w:tcPr>
            <w:tcW w:w="1718" w:type="dxa"/>
            <w:tcBorders>
              <w:top w:val="nil"/>
              <w:left w:val="nil"/>
              <w:bottom w:val="nil"/>
              <w:right w:val="nil"/>
            </w:tcBorders>
            <w:shd w:val="clear" w:color="auto" w:fill="auto"/>
            <w:noWrap/>
            <w:vAlign w:val="center"/>
            <w:hideMark/>
          </w:tcPr>
          <w:p w14:paraId="124E0EF5"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0.843</w:t>
            </w:r>
          </w:p>
        </w:tc>
        <w:tc>
          <w:tcPr>
            <w:tcW w:w="1642" w:type="dxa"/>
            <w:tcBorders>
              <w:top w:val="nil"/>
              <w:left w:val="nil"/>
              <w:bottom w:val="nil"/>
              <w:right w:val="nil"/>
            </w:tcBorders>
            <w:shd w:val="clear" w:color="auto" w:fill="auto"/>
            <w:noWrap/>
            <w:vAlign w:val="center"/>
            <w:hideMark/>
          </w:tcPr>
          <w:p w14:paraId="57A077B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0.369</w:t>
            </w:r>
          </w:p>
        </w:tc>
      </w:tr>
      <w:tr w:rsidR="00BB51F3" w:rsidRPr="00BB51F3" w14:paraId="3762F4B2"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7E4AD73D"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24</w:t>
            </w:r>
          </w:p>
        </w:tc>
        <w:tc>
          <w:tcPr>
            <w:tcW w:w="1161" w:type="dxa"/>
            <w:tcBorders>
              <w:top w:val="nil"/>
              <w:left w:val="nil"/>
              <w:bottom w:val="nil"/>
              <w:right w:val="nil"/>
            </w:tcBorders>
            <w:shd w:val="clear" w:color="auto" w:fill="auto"/>
            <w:noWrap/>
            <w:vAlign w:val="center"/>
            <w:hideMark/>
          </w:tcPr>
          <w:p w14:paraId="18302E48"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0.082</w:t>
            </w:r>
          </w:p>
        </w:tc>
        <w:tc>
          <w:tcPr>
            <w:tcW w:w="988" w:type="dxa"/>
            <w:tcBorders>
              <w:top w:val="nil"/>
              <w:left w:val="nil"/>
              <w:bottom w:val="nil"/>
              <w:right w:val="nil"/>
            </w:tcBorders>
            <w:shd w:val="clear" w:color="auto" w:fill="auto"/>
            <w:noWrap/>
            <w:vAlign w:val="center"/>
            <w:hideMark/>
          </w:tcPr>
          <w:p w14:paraId="0B6C420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0.368</w:t>
            </w:r>
          </w:p>
        </w:tc>
        <w:tc>
          <w:tcPr>
            <w:tcW w:w="1718" w:type="dxa"/>
            <w:tcBorders>
              <w:top w:val="nil"/>
              <w:left w:val="nil"/>
              <w:bottom w:val="nil"/>
              <w:right w:val="nil"/>
            </w:tcBorders>
            <w:shd w:val="clear" w:color="auto" w:fill="auto"/>
            <w:noWrap/>
            <w:vAlign w:val="center"/>
            <w:hideMark/>
          </w:tcPr>
          <w:p w14:paraId="532D86B1"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0.605</w:t>
            </w:r>
          </w:p>
        </w:tc>
        <w:tc>
          <w:tcPr>
            <w:tcW w:w="1642" w:type="dxa"/>
            <w:tcBorders>
              <w:top w:val="nil"/>
              <w:left w:val="nil"/>
              <w:bottom w:val="nil"/>
              <w:right w:val="nil"/>
            </w:tcBorders>
            <w:shd w:val="clear" w:color="auto" w:fill="auto"/>
            <w:noWrap/>
            <w:vAlign w:val="center"/>
            <w:hideMark/>
          </w:tcPr>
          <w:p w14:paraId="14951C1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0.100</w:t>
            </w:r>
          </w:p>
        </w:tc>
      </w:tr>
    </w:tbl>
    <w:p w14:paraId="132B1A88" w14:textId="77777777" w:rsidR="001C44E5" w:rsidRDefault="001C44E5" w:rsidP="001650CC">
      <w:pPr>
        <w:pStyle w:val="Caption"/>
        <w:spacing w:after="0" w:line="480" w:lineRule="auto"/>
        <w:rPr>
          <w:b/>
          <w:bCs/>
        </w:rPr>
      </w:pPr>
      <w:bookmarkStart w:id="85" w:name="_Toc69351126"/>
      <w:bookmarkStart w:id="86" w:name="_Toc69352376"/>
      <w:bookmarkStart w:id="87" w:name="_Toc69352443"/>
      <w:bookmarkStart w:id="88" w:name="_Toc69412279"/>
    </w:p>
    <w:p w14:paraId="12352AE2" w14:textId="1CBAD574" w:rsidR="008037A0" w:rsidRDefault="008037A0" w:rsidP="008037A0"/>
    <w:p w14:paraId="469B8334" w14:textId="77777777" w:rsidR="008037A0" w:rsidRPr="008037A0" w:rsidRDefault="008037A0" w:rsidP="008037A0"/>
    <w:p w14:paraId="336F27C3" w14:textId="396F23BE" w:rsidR="00AC5A33" w:rsidRDefault="008B135E" w:rsidP="001650CC">
      <w:pPr>
        <w:pStyle w:val="Caption"/>
        <w:spacing w:after="0" w:line="480" w:lineRule="auto"/>
      </w:pPr>
      <w:bookmarkStart w:id="89" w:name="_Toc71224033"/>
      <w:r w:rsidRPr="008B135E">
        <w:rPr>
          <w:b/>
          <w:bCs/>
        </w:rPr>
        <w:lastRenderedPageBreak/>
        <w:t xml:space="preserve">Table </w:t>
      </w:r>
      <w:r w:rsidR="00ED00EF">
        <w:rPr>
          <w:b/>
          <w:bCs/>
        </w:rPr>
        <w:t>4</w:t>
      </w:r>
      <w:r w:rsidRPr="008B135E">
        <w:rPr>
          <w:b/>
          <w:bCs/>
        </w:rPr>
        <w:t>.</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3</w:t>
      </w:r>
      <w:r w:rsidR="001650CC" w:rsidRPr="001650CC">
        <w:rPr>
          <w:b/>
          <w:bCs/>
        </w:rPr>
        <w:fldChar w:fldCharType="end"/>
      </w:r>
      <w:r w:rsidRPr="008B135E">
        <w:rPr>
          <w:b/>
          <w:bCs/>
        </w:rPr>
        <w:t>:</w:t>
      </w:r>
      <w:r>
        <w:t xml:space="preserve"> Shapiro-Wilk Test for </w:t>
      </w:r>
      <w:r w:rsidR="00DF427B">
        <w:t>each metal</w:t>
      </w:r>
      <w:r>
        <w:t xml:space="preserve"> in basic soil</w:t>
      </w:r>
      <w:r w:rsidR="007254DE">
        <w:t xml:space="preserve"> over 24 weeks</w:t>
      </w:r>
      <w:r>
        <w:t>, p &gt; 0.05 for all sample groups.</w:t>
      </w:r>
      <w:bookmarkEnd w:id="85"/>
      <w:bookmarkEnd w:id="86"/>
      <w:bookmarkEnd w:id="87"/>
      <w:bookmarkEnd w:id="88"/>
      <w:bookmarkEnd w:id="89"/>
    </w:p>
    <w:tbl>
      <w:tblPr>
        <w:tblW w:w="6400" w:type="dxa"/>
        <w:jc w:val="center"/>
        <w:tblLook w:val="04A0" w:firstRow="1" w:lastRow="0" w:firstColumn="1" w:lastColumn="0" w:noHBand="0" w:noVBand="1"/>
      </w:tblPr>
      <w:tblGrid>
        <w:gridCol w:w="891"/>
        <w:gridCol w:w="1161"/>
        <w:gridCol w:w="988"/>
        <w:gridCol w:w="1718"/>
        <w:gridCol w:w="1642"/>
      </w:tblGrid>
      <w:tr w:rsidR="00BB51F3" w:rsidRPr="00BB51F3" w14:paraId="5D2FBB84" w14:textId="77777777" w:rsidTr="00BB51F3">
        <w:trPr>
          <w:trHeight w:val="312"/>
          <w:jc w:val="center"/>
        </w:trPr>
        <w:tc>
          <w:tcPr>
            <w:tcW w:w="6400" w:type="dxa"/>
            <w:gridSpan w:val="5"/>
            <w:tcBorders>
              <w:top w:val="nil"/>
              <w:left w:val="nil"/>
              <w:bottom w:val="nil"/>
              <w:right w:val="nil"/>
            </w:tcBorders>
            <w:shd w:val="clear" w:color="auto" w:fill="auto"/>
            <w:noWrap/>
            <w:vAlign w:val="center"/>
            <w:hideMark/>
          </w:tcPr>
          <w:p w14:paraId="53EA4396" w14:textId="559758EE" w:rsidR="00BB51F3" w:rsidRPr="00BB51F3" w:rsidRDefault="00A40B11" w:rsidP="00BB51F3">
            <w:pPr>
              <w:spacing w:line="240" w:lineRule="auto"/>
              <w:jc w:val="center"/>
              <w:rPr>
                <w:rFonts w:eastAsia="Times New Roman" w:cs="Times New Roman"/>
                <w:b/>
                <w:bCs/>
                <w:color w:val="000000"/>
                <w:szCs w:val="24"/>
              </w:rPr>
            </w:pPr>
            <w:r>
              <w:rPr>
                <w:rFonts w:eastAsia="Times New Roman" w:cs="Times New Roman"/>
                <w:b/>
                <w:bCs/>
                <w:color w:val="000000"/>
                <w:szCs w:val="24"/>
              </w:rPr>
              <w:t xml:space="preserve">Basic Soil </w:t>
            </w:r>
            <w:r w:rsidR="00BB51F3" w:rsidRPr="00BB51F3">
              <w:rPr>
                <w:rFonts w:eastAsia="Times New Roman" w:cs="Times New Roman"/>
                <w:b/>
                <w:bCs/>
                <w:color w:val="000000"/>
                <w:szCs w:val="24"/>
              </w:rPr>
              <w:t>Shapiro</w:t>
            </w:r>
            <w:r w:rsidR="00252F78">
              <w:rPr>
                <w:rFonts w:eastAsia="Times New Roman" w:cs="Times New Roman"/>
                <w:b/>
                <w:bCs/>
                <w:color w:val="000000"/>
                <w:szCs w:val="24"/>
              </w:rPr>
              <w:t>-</w:t>
            </w:r>
            <w:r w:rsidR="00BB51F3" w:rsidRPr="00BB51F3">
              <w:rPr>
                <w:rFonts w:eastAsia="Times New Roman" w:cs="Times New Roman"/>
                <w:b/>
                <w:bCs/>
                <w:color w:val="000000"/>
                <w:szCs w:val="24"/>
              </w:rPr>
              <w:t>Wilk Test, p</w:t>
            </w:r>
            <w:r w:rsidR="0065371A">
              <w:rPr>
                <w:rFonts w:eastAsia="Times New Roman" w:cs="Times New Roman"/>
                <w:b/>
                <w:bCs/>
                <w:color w:val="000000"/>
                <w:szCs w:val="24"/>
              </w:rPr>
              <w:t>-values</w:t>
            </w:r>
          </w:p>
        </w:tc>
      </w:tr>
      <w:tr w:rsidR="00BB51F3" w:rsidRPr="00BB51F3" w14:paraId="195AF4E9" w14:textId="77777777" w:rsidTr="00BB51F3">
        <w:trPr>
          <w:trHeight w:val="312"/>
          <w:jc w:val="center"/>
        </w:trPr>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0B39919F"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Week</w:t>
            </w:r>
          </w:p>
        </w:tc>
        <w:tc>
          <w:tcPr>
            <w:tcW w:w="1161" w:type="dxa"/>
            <w:tcBorders>
              <w:top w:val="single" w:sz="4" w:space="0" w:color="auto"/>
              <w:left w:val="nil"/>
              <w:bottom w:val="single" w:sz="4" w:space="0" w:color="auto"/>
              <w:right w:val="nil"/>
            </w:tcBorders>
            <w:shd w:val="clear" w:color="auto" w:fill="auto"/>
            <w:noWrap/>
            <w:vAlign w:val="center"/>
            <w:hideMark/>
          </w:tcPr>
          <w:p w14:paraId="3A942BFF"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Copper</w:t>
            </w:r>
          </w:p>
        </w:tc>
        <w:tc>
          <w:tcPr>
            <w:tcW w:w="988" w:type="dxa"/>
            <w:tcBorders>
              <w:top w:val="single" w:sz="4" w:space="0" w:color="auto"/>
              <w:left w:val="nil"/>
              <w:bottom w:val="single" w:sz="4" w:space="0" w:color="auto"/>
              <w:right w:val="nil"/>
            </w:tcBorders>
            <w:shd w:val="clear" w:color="auto" w:fill="auto"/>
            <w:noWrap/>
            <w:vAlign w:val="center"/>
            <w:hideMark/>
          </w:tcPr>
          <w:p w14:paraId="6168A80E"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Nickel</w:t>
            </w:r>
          </w:p>
        </w:tc>
        <w:tc>
          <w:tcPr>
            <w:tcW w:w="1718" w:type="dxa"/>
            <w:tcBorders>
              <w:top w:val="single" w:sz="4" w:space="0" w:color="auto"/>
              <w:left w:val="nil"/>
              <w:bottom w:val="single" w:sz="4" w:space="0" w:color="auto"/>
              <w:right w:val="nil"/>
            </w:tcBorders>
            <w:shd w:val="clear" w:color="auto" w:fill="auto"/>
            <w:noWrap/>
            <w:vAlign w:val="center"/>
            <w:hideMark/>
          </w:tcPr>
          <w:p w14:paraId="070419CD"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Manganese</w:t>
            </w:r>
          </w:p>
        </w:tc>
        <w:tc>
          <w:tcPr>
            <w:tcW w:w="1642" w:type="dxa"/>
            <w:tcBorders>
              <w:top w:val="single" w:sz="4" w:space="0" w:color="auto"/>
              <w:left w:val="nil"/>
              <w:bottom w:val="single" w:sz="4" w:space="0" w:color="auto"/>
              <w:right w:val="nil"/>
            </w:tcBorders>
            <w:shd w:val="clear" w:color="auto" w:fill="auto"/>
            <w:noWrap/>
            <w:vAlign w:val="center"/>
            <w:hideMark/>
          </w:tcPr>
          <w:p w14:paraId="435E727D"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Aluminum</w:t>
            </w:r>
          </w:p>
        </w:tc>
      </w:tr>
      <w:tr w:rsidR="00BB51F3" w:rsidRPr="00BB51F3" w14:paraId="582A602E"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51725DC5"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1</w:t>
            </w:r>
          </w:p>
        </w:tc>
        <w:tc>
          <w:tcPr>
            <w:tcW w:w="1161" w:type="dxa"/>
            <w:tcBorders>
              <w:top w:val="nil"/>
              <w:left w:val="nil"/>
              <w:bottom w:val="nil"/>
              <w:right w:val="nil"/>
            </w:tcBorders>
            <w:shd w:val="clear" w:color="auto" w:fill="auto"/>
            <w:noWrap/>
            <w:vAlign w:val="center"/>
            <w:hideMark/>
          </w:tcPr>
          <w:p w14:paraId="2B842137"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0.189</w:t>
            </w:r>
          </w:p>
        </w:tc>
        <w:tc>
          <w:tcPr>
            <w:tcW w:w="988" w:type="dxa"/>
            <w:tcBorders>
              <w:top w:val="nil"/>
              <w:left w:val="nil"/>
              <w:bottom w:val="nil"/>
              <w:right w:val="nil"/>
            </w:tcBorders>
            <w:shd w:val="clear" w:color="auto" w:fill="auto"/>
            <w:noWrap/>
            <w:vAlign w:val="center"/>
            <w:hideMark/>
          </w:tcPr>
          <w:p w14:paraId="06FAFBDF"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0.884</w:t>
            </w:r>
          </w:p>
        </w:tc>
        <w:tc>
          <w:tcPr>
            <w:tcW w:w="1718" w:type="dxa"/>
            <w:tcBorders>
              <w:top w:val="nil"/>
              <w:left w:val="nil"/>
              <w:bottom w:val="nil"/>
              <w:right w:val="nil"/>
            </w:tcBorders>
            <w:shd w:val="clear" w:color="auto" w:fill="auto"/>
            <w:noWrap/>
            <w:vAlign w:val="center"/>
            <w:hideMark/>
          </w:tcPr>
          <w:p w14:paraId="659D590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0.167</w:t>
            </w:r>
          </w:p>
        </w:tc>
        <w:tc>
          <w:tcPr>
            <w:tcW w:w="1642" w:type="dxa"/>
            <w:tcBorders>
              <w:top w:val="nil"/>
              <w:left w:val="nil"/>
              <w:bottom w:val="nil"/>
              <w:right w:val="nil"/>
            </w:tcBorders>
            <w:shd w:val="clear" w:color="auto" w:fill="auto"/>
            <w:noWrap/>
            <w:vAlign w:val="center"/>
            <w:hideMark/>
          </w:tcPr>
          <w:p w14:paraId="606D322A"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0.237</w:t>
            </w:r>
          </w:p>
        </w:tc>
      </w:tr>
      <w:tr w:rsidR="00BB51F3" w:rsidRPr="00BB51F3" w14:paraId="516FFD67"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6CB8A644"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2</w:t>
            </w:r>
          </w:p>
        </w:tc>
        <w:tc>
          <w:tcPr>
            <w:tcW w:w="1161" w:type="dxa"/>
            <w:tcBorders>
              <w:top w:val="nil"/>
              <w:left w:val="nil"/>
              <w:bottom w:val="nil"/>
              <w:right w:val="nil"/>
            </w:tcBorders>
            <w:shd w:val="clear" w:color="auto" w:fill="auto"/>
            <w:noWrap/>
            <w:vAlign w:val="center"/>
            <w:hideMark/>
          </w:tcPr>
          <w:p w14:paraId="02CF6B9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0.416</w:t>
            </w:r>
          </w:p>
        </w:tc>
        <w:tc>
          <w:tcPr>
            <w:tcW w:w="988" w:type="dxa"/>
            <w:tcBorders>
              <w:top w:val="nil"/>
              <w:left w:val="nil"/>
              <w:bottom w:val="nil"/>
              <w:right w:val="nil"/>
            </w:tcBorders>
            <w:shd w:val="clear" w:color="auto" w:fill="auto"/>
            <w:noWrap/>
            <w:vAlign w:val="center"/>
            <w:hideMark/>
          </w:tcPr>
          <w:p w14:paraId="6A5EBD6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0.803</w:t>
            </w:r>
          </w:p>
        </w:tc>
        <w:tc>
          <w:tcPr>
            <w:tcW w:w="1718" w:type="dxa"/>
            <w:tcBorders>
              <w:top w:val="nil"/>
              <w:left w:val="nil"/>
              <w:bottom w:val="nil"/>
              <w:right w:val="nil"/>
            </w:tcBorders>
            <w:shd w:val="clear" w:color="auto" w:fill="auto"/>
            <w:noWrap/>
            <w:vAlign w:val="center"/>
            <w:hideMark/>
          </w:tcPr>
          <w:p w14:paraId="4F94A11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0.428</w:t>
            </w:r>
          </w:p>
        </w:tc>
        <w:tc>
          <w:tcPr>
            <w:tcW w:w="1642" w:type="dxa"/>
            <w:tcBorders>
              <w:top w:val="nil"/>
              <w:left w:val="nil"/>
              <w:bottom w:val="nil"/>
              <w:right w:val="nil"/>
            </w:tcBorders>
            <w:shd w:val="clear" w:color="auto" w:fill="auto"/>
            <w:noWrap/>
            <w:vAlign w:val="center"/>
            <w:hideMark/>
          </w:tcPr>
          <w:p w14:paraId="13F5A2B7"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0.495</w:t>
            </w:r>
          </w:p>
        </w:tc>
      </w:tr>
      <w:tr w:rsidR="00BB51F3" w:rsidRPr="00BB51F3" w14:paraId="50DD13C7"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505937BA"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4</w:t>
            </w:r>
          </w:p>
        </w:tc>
        <w:tc>
          <w:tcPr>
            <w:tcW w:w="1161" w:type="dxa"/>
            <w:tcBorders>
              <w:top w:val="nil"/>
              <w:left w:val="nil"/>
              <w:bottom w:val="nil"/>
              <w:right w:val="nil"/>
            </w:tcBorders>
            <w:shd w:val="clear" w:color="auto" w:fill="auto"/>
            <w:noWrap/>
            <w:vAlign w:val="center"/>
            <w:hideMark/>
          </w:tcPr>
          <w:p w14:paraId="09BBB63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0.546</w:t>
            </w:r>
          </w:p>
        </w:tc>
        <w:tc>
          <w:tcPr>
            <w:tcW w:w="988" w:type="dxa"/>
            <w:tcBorders>
              <w:top w:val="nil"/>
              <w:left w:val="nil"/>
              <w:bottom w:val="nil"/>
              <w:right w:val="nil"/>
            </w:tcBorders>
            <w:shd w:val="clear" w:color="auto" w:fill="auto"/>
            <w:noWrap/>
            <w:vAlign w:val="center"/>
            <w:hideMark/>
          </w:tcPr>
          <w:p w14:paraId="0149EEB7"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0.587</w:t>
            </w:r>
          </w:p>
        </w:tc>
        <w:tc>
          <w:tcPr>
            <w:tcW w:w="1718" w:type="dxa"/>
            <w:tcBorders>
              <w:top w:val="nil"/>
              <w:left w:val="nil"/>
              <w:bottom w:val="nil"/>
              <w:right w:val="nil"/>
            </w:tcBorders>
            <w:shd w:val="clear" w:color="auto" w:fill="auto"/>
            <w:noWrap/>
            <w:vAlign w:val="center"/>
            <w:hideMark/>
          </w:tcPr>
          <w:p w14:paraId="0C57A5B2"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0.734</w:t>
            </w:r>
          </w:p>
        </w:tc>
        <w:tc>
          <w:tcPr>
            <w:tcW w:w="1642" w:type="dxa"/>
            <w:tcBorders>
              <w:top w:val="nil"/>
              <w:left w:val="nil"/>
              <w:bottom w:val="nil"/>
              <w:right w:val="nil"/>
            </w:tcBorders>
            <w:shd w:val="clear" w:color="auto" w:fill="auto"/>
            <w:noWrap/>
            <w:vAlign w:val="center"/>
            <w:hideMark/>
          </w:tcPr>
          <w:p w14:paraId="197C4E85"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0.162</w:t>
            </w:r>
          </w:p>
        </w:tc>
      </w:tr>
      <w:tr w:rsidR="00BB51F3" w:rsidRPr="00BB51F3" w14:paraId="2AA91914"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4C4C981D"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6</w:t>
            </w:r>
          </w:p>
        </w:tc>
        <w:tc>
          <w:tcPr>
            <w:tcW w:w="1161" w:type="dxa"/>
            <w:tcBorders>
              <w:top w:val="nil"/>
              <w:left w:val="nil"/>
              <w:bottom w:val="nil"/>
              <w:right w:val="nil"/>
            </w:tcBorders>
            <w:shd w:val="clear" w:color="auto" w:fill="auto"/>
            <w:noWrap/>
            <w:vAlign w:val="center"/>
            <w:hideMark/>
          </w:tcPr>
          <w:p w14:paraId="31747863"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0.757</w:t>
            </w:r>
          </w:p>
        </w:tc>
        <w:tc>
          <w:tcPr>
            <w:tcW w:w="988" w:type="dxa"/>
            <w:tcBorders>
              <w:top w:val="nil"/>
              <w:left w:val="nil"/>
              <w:bottom w:val="nil"/>
              <w:right w:val="nil"/>
            </w:tcBorders>
            <w:shd w:val="clear" w:color="auto" w:fill="auto"/>
            <w:noWrap/>
            <w:vAlign w:val="center"/>
            <w:hideMark/>
          </w:tcPr>
          <w:p w14:paraId="5C3B3E5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0.656</w:t>
            </w:r>
          </w:p>
        </w:tc>
        <w:tc>
          <w:tcPr>
            <w:tcW w:w="1718" w:type="dxa"/>
            <w:tcBorders>
              <w:top w:val="nil"/>
              <w:left w:val="nil"/>
              <w:bottom w:val="nil"/>
              <w:right w:val="nil"/>
            </w:tcBorders>
            <w:shd w:val="clear" w:color="auto" w:fill="auto"/>
            <w:noWrap/>
            <w:vAlign w:val="center"/>
            <w:hideMark/>
          </w:tcPr>
          <w:p w14:paraId="67D44BC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0.342</w:t>
            </w:r>
          </w:p>
        </w:tc>
        <w:tc>
          <w:tcPr>
            <w:tcW w:w="1642" w:type="dxa"/>
            <w:tcBorders>
              <w:top w:val="nil"/>
              <w:left w:val="nil"/>
              <w:bottom w:val="nil"/>
              <w:right w:val="nil"/>
            </w:tcBorders>
            <w:shd w:val="clear" w:color="auto" w:fill="auto"/>
            <w:noWrap/>
            <w:vAlign w:val="center"/>
            <w:hideMark/>
          </w:tcPr>
          <w:p w14:paraId="566CE56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0.343</w:t>
            </w:r>
          </w:p>
        </w:tc>
      </w:tr>
      <w:tr w:rsidR="00BB51F3" w:rsidRPr="00BB51F3" w14:paraId="11DE105D"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3433CF63"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8</w:t>
            </w:r>
          </w:p>
        </w:tc>
        <w:tc>
          <w:tcPr>
            <w:tcW w:w="1161" w:type="dxa"/>
            <w:tcBorders>
              <w:top w:val="nil"/>
              <w:left w:val="nil"/>
              <w:bottom w:val="nil"/>
              <w:right w:val="nil"/>
            </w:tcBorders>
            <w:shd w:val="clear" w:color="auto" w:fill="auto"/>
            <w:noWrap/>
            <w:vAlign w:val="center"/>
            <w:hideMark/>
          </w:tcPr>
          <w:p w14:paraId="42A7C881"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0.463</w:t>
            </w:r>
          </w:p>
        </w:tc>
        <w:tc>
          <w:tcPr>
            <w:tcW w:w="988" w:type="dxa"/>
            <w:tcBorders>
              <w:top w:val="nil"/>
              <w:left w:val="nil"/>
              <w:bottom w:val="nil"/>
              <w:right w:val="nil"/>
            </w:tcBorders>
            <w:shd w:val="clear" w:color="auto" w:fill="auto"/>
            <w:noWrap/>
            <w:vAlign w:val="center"/>
            <w:hideMark/>
          </w:tcPr>
          <w:p w14:paraId="39C3D7E7"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0.912</w:t>
            </w:r>
          </w:p>
        </w:tc>
        <w:tc>
          <w:tcPr>
            <w:tcW w:w="1718" w:type="dxa"/>
            <w:tcBorders>
              <w:top w:val="nil"/>
              <w:left w:val="nil"/>
              <w:bottom w:val="nil"/>
              <w:right w:val="nil"/>
            </w:tcBorders>
            <w:shd w:val="clear" w:color="auto" w:fill="auto"/>
            <w:noWrap/>
            <w:vAlign w:val="center"/>
            <w:hideMark/>
          </w:tcPr>
          <w:p w14:paraId="293E86FF"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0.146</w:t>
            </w:r>
          </w:p>
        </w:tc>
        <w:tc>
          <w:tcPr>
            <w:tcW w:w="1642" w:type="dxa"/>
            <w:tcBorders>
              <w:top w:val="nil"/>
              <w:left w:val="nil"/>
              <w:bottom w:val="nil"/>
              <w:right w:val="nil"/>
            </w:tcBorders>
            <w:shd w:val="clear" w:color="auto" w:fill="auto"/>
            <w:noWrap/>
            <w:vAlign w:val="center"/>
            <w:hideMark/>
          </w:tcPr>
          <w:p w14:paraId="5ECDA273"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0.179</w:t>
            </w:r>
          </w:p>
        </w:tc>
      </w:tr>
      <w:tr w:rsidR="00BB51F3" w:rsidRPr="00BB51F3" w14:paraId="3CB1D22C"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0F26798F"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12</w:t>
            </w:r>
          </w:p>
        </w:tc>
        <w:tc>
          <w:tcPr>
            <w:tcW w:w="1161" w:type="dxa"/>
            <w:tcBorders>
              <w:top w:val="nil"/>
              <w:left w:val="nil"/>
              <w:bottom w:val="nil"/>
              <w:right w:val="nil"/>
            </w:tcBorders>
            <w:shd w:val="clear" w:color="auto" w:fill="auto"/>
            <w:noWrap/>
            <w:vAlign w:val="center"/>
            <w:hideMark/>
          </w:tcPr>
          <w:p w14:paraId="52121826"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0.850</w:t>
            </w:r>
          </w:p>
        </w:tc>
        <w:tc>
          <w:tcPr>
            <w:tcW w:w="988" w:type="dxa"/>
            <w:tcBorders>
              <w:top w:val="nil"/>
              <w:left w:val="nil"/>
              <w:bottom w:val="nil"/>
              <w:right w:val="nil"/>
            </w:tcBorders>
            <w:shd w:val="clear" w:color="auto" w:fill="auto"/>
            <w:noWrap/>
            <w:vAlign w:val="center"/>
            <w:hideMark/>
          </w:tcPr>
          <w:p w14:paraId="1B35424C"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0.037</w:t>
            </w:r>
          </w:p>
        </w:tc>
        <w:tc>
          <w:tcPr>
            <w:tcW w:w="1718" w:type="dxa"/>
            <w:tcBorders>
              <w:top w:val="nil"/>
              <w:left w:val="nil"/>
              <w:bottom w:val="nil"/>
              <w:right w:val="nil"/>
            </w:tcBorders>
            <w:shd w:val="clear" w:color="auto" w:fill="auto"/>
            <w:noWrap/>
            <w:vAlign w:val="center"/>
            <w:hideMark/>
          </w:tcPr>
          <w:p w14:paraId="653D24F0"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0.777</w:t>
            </w:r>
          </w:p>
        </w:tc>
        <w:tc>
          <w:tcPr>
            <w:tcW w:w="1642" w:type="dxa"/>
            <w:tcBorders>
              <w:top w:val="nil"/>
              <w:left w:val="nil"/>
              <w:bottom w:val="nil"/>
              <w:right w:val="nil"/>
            </w:tcBorders>
            <w:shd w:val="clear" w:color="auto" w:fill="auto"/>
            <w:noWrap/>
            <w:vAlign w:val="center"/>
            <w:hideMark/>
          </w:tcPr>
          <w:p w14:paraId="75BF086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0.793</w:t>
            </w:r>
          </w:p>
        </w:tc>
      </w:tr>
      <w:tr w:rsidR="00BB51F3" w:rsidRPr="00BB51F3" w14:paraId="71C2C342"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0CD8C6EB"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16</w:t>
            </w:r>
          </w:p>
        </w:tc>
        <w:tc>
          <w:tcPr>
            <w:tcW w:w="1161" w:type="dxa"/>
            <w:tcBorders>
              <w:top w:val="nil"/>
              <w:left w:val="nil"/>
              <w:bottom w:val="nil"/>
              <w:right w:val="nil"/>
            </w:tcBorders>
            <w:shd w:val="clear" w:color="auto" w:fill="auto"/>
            <w:noWrap/>
            <w:vAlign w:val="center"/>
            <w:hideMark/>
          </w:tcPr>
          <w:p w14:paraId="7353CC2E"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0.296</w:t>
            </w:r>
          </w:p>
        </w:tc>
        <w:tc>
          <w:tcPr>
            <w:tcW w:w="988" w:type="dxa"/>
            <w:tcBorders>
              <w:top w:val="nil"/>
              <w:left w:val="nil"/>
              <w:bottom w:val="nil"/>
              <w:right w:val="nil"/>
            </w:tcBorders>
            <w:shd w:val="clear" w:color="auto" w:fill="auto"/>
            <w:noWrap/>
            <w:vAlign w:val="center"/>
            <w:hideMark/>
          </w:tcPr>
          <w:p w14:paraId="70CD045B"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0.123</w:t>
            </w:r>
          </w:p>
        </w:tc>
        <w:tc>
          <w:tcPr>
            <w:tcW w:w="1718" w:type="dxa"/>
            <w:tcBorders>
              <w:top w:val="nil"/>
              <w:left w:val="nil"/>
              <w:bottom w:val="nil"/>
              <w:right w:val="nil"/>
            </w:tcBorders>
            <w:shd w:val="clear" w:color="auto" w:fill="auto"/>
            <w:noWrap/>
            <w:vAlign w:val="center"/>
            <w:hideMark/>
          </w:tcPr>
          <w:p w14:paraId="042D1CCF"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0.314</w:t>
            </w:r>
          </w:p>
        </w:tc>
        <w:tc>
          <w:tcPr>
            <w:tcW w:w="1642" w:type="dxa"/>
            <w:tcBorders>
              <w:top w:val="nil"/>
              <w:left w:val="nil"/>
              <w:bottom w:val="nil"/>
              <w:right w:val="nil"/>
            </w:tcBorders>
            <w:shd w:val="clear" w:color="auto" w:fill="auto"/>
            <w:noWrap/>
            <w:vAlign w:val="center"/>
            <w:hideMark/>
          </w:tcPr>
          <w:p w14:paraId="51B6ED84"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0.329</w:t>
            </w:r>
          </w:p>
        </w:tc>
      </w:tr>
      <w:tr w:rsidR="00BB51F3" w:rsidRPr="00BB51F3" w14:paraId="0669B2D4"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57C9A0CE"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20</w:t>
            </w:r>
          </w:p>
        </w:tc>
        <w:tc>
          <w:tcPr>
            <w:tcW w:w="1161" w:type="dxa"/>
            <w:tcBorders>
              <w:top w:val="nil"/>
              <w:left w:val="nil"/>
              <w:bottom w:val="nil"/>
              <w:right w:val="nil"/>
            </w:tcBorders>
            <w:shd w:val="clear" w:color="auto" w:fill="auto"/>
            <w:noWrap/>
            <w:vAlign w:val="center"/>
            <w:hideMark/>
          </w:tcPr>
          <w:p w14:paraId="6D2AD2FA"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0.418</w:t>
            </w:r>
          </w:p>
        </w:tc>
        <w:tc>
          <w:tcPr>
            <w:tcW w:w="988" w:type="dxa"/>
            <w:tcBorders>
              <w:top w:val="nil"/>
              <w:left w:val="nil"/>
              <w:bottom w:val="nil"/>
              <w:right w:val="nil"/>
            </w:tcBorders>
            <w:shd w:val="clear" w:color="auto" w:fill="auto"/>
            <w:noWrap/>
            <w:vAlign w:val="center"/>
            <w:hideMark/>
          </w:tcPr>
          <w:p w14:paraId="1EECC05A"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0.173</w:t>
            </w:r>
          </w:p>
        </w:tc>
        <w:tc>
          <w:tcPr>
            <w:tcW w:w="1718" w:type="dxa"/>
            <w:tcBorders>
              <w:top w:val="nil"/>
              <w:left w:val="nil"/>
              <w:bottom w:val="nil"/>
              <w:right w:val="nil"/>
            </w:tcBorders>
            <w:shd w:val="clear" w:color="auto" w:fill="auto"/>
            <w:noWrap/>
            <w:vAlign w:val="center"/>
            <w:hideMark/>
          </w:tcPr>
          <w:p w14:paraId="7B9BF629"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0.492</w:t>
            </w:r>
          </w:p>
        </w:tc>
        <w:tc>
          <w:tcPr>
            <w:tcW w:w="1642" w:type="dxa"/>
            <w:tcBorders>
              <w:top w:val="nil"/>
              <w:left w:val="nil"/>
              <w:bottom w:val="nil"/>
              <w:right w:val="nil"/>
            </w:tcBorders>
            <w:shd w:val="clear" w:color="auto" w:fill="auto"/>
            <w:noWrap/>
            <w:vAlign w:val="center"/>
            <w:hideMark/>
          </w:tcPr>
          <w:p w14:paraId="293F8F50"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0.479</w:t>
            </w:r>
          </w:p>
        </w:tc>
      </w:tr>
      <w:tr w:rsidR="00BB51F3" w:rsidRPr="00BB51F3" w14:paraId="243F403C" w14:textId="77777777" w:rsidTr="00BB51F3">
        <w:trPr>
          <w:trHeight w:val="312"/>
          <w:jc w:val="center"/>
        </w:trPr>
        <w:tc>
          <w:tcPr>
            <w:tcW w:w="891" w:type="dxa"/>
            <w:tcBorders>
              <w:top w:val="nil"/>
              <w:left w:val="nil"/>
              <w:bottom w:val="nil"/>
              <w:right w:val="single" w:sz="4" w:space="0" w:color="auto"/>
            </w:tcBorders>
            <w:shd w:val="clear" w:color="auto" w:fill="auto"/>
            <w:noWrap/>
            <w:vAlign w:val="center"/>
            <w:hideMark/>
          </w:tcPr>
          <w:p w14:paraId="1FFE1C6D" w14:textId="77777777" w:rsidR="00BB51F3" w:rsidRPr="00BB51F3" w:rsidRDefault="00BB51F3" w:rsidP="00BB51F3">
            <w:pPr>
              <w:spacing w:line="240" w:lineRule="auto"/>
              <w:jc w:val="center"/>
              <w:rPr>
                <w:rFonts w:eastAsia="Times New Roman" w:cs="Times New Roman"/>
                <w:b/>
                <w:bCs/>
                <w:color w:val="000000"/>
                <w:szCs w:val="24"/>
              </w:rPr>
            </w:pPr>
            <w:r w:rsidRPr="00BB51F3">
              <w:rPr>
                <w:rFonts w:eastAsia="Times New Roman" w:cs="Times New Roman"/>
                <w:b/>
                <w:bCs/>
                <w:color w:val="000000"/>
                <w:szCs w:val="24"/>
              </w:rPr>
              <w:t>24</w:t>
            </w:r>
          </w:p>
        </w:tc>
        <w:tc>
          <w:tcPr>
            <w:tcW w:w="1161" w:type="dxa"/>
            <w:tcBorders>
              <w:top w:val="nil"/>
              <w:left w:val="nil"/>
              <w:bottom w:val="nil"/>
              <w:right w:val="nil"/>
            </w:tcBorders>
            <w:shd w:val="clear" w:color="auto" w:fill="auto"/>
            <w:noWrap/>
            <w:vAlign w:val="center"/>
            <w:hideMark/>
          </w:tcPr>
          <w:p w14:paraId="729537EB"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0.341</w:t>
            </w:r>
          </w:p>
        </w:tc>
        <w:tc>
          <w:tcPr>
            <w:tcW w:w="988" w:type="dxa"/>
            <w:tcBorders>
              <w:top w:val="nil"/>
              <w:left w:val="nil"/>
              <w:bottom w:val="nil"/>
              <w:right w:val="nil"/>
            </w:tcBorders>
            <w:shd w:val="clear" w:color="auto" w:fill="auto"/>
            <w:noWrap/>
            <w:vAlign w:val="center"/>
            <w:hideMark/>
          </w:tcPr>
          <w:p w14:paraId="618F26A8"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0.113</w:t>
            </w:r>
          </w:p>
        </w:tc>
        <w:tc>
          <w:tcPr>
            <w:tcW w:w="1718" w:type="dxa"/>
            <w:tcBorders>
              <w:top w:val="nil"/>
              <w:left w:val="nil"/>
              <w:bottom w:val="nil"/>
              <w:right w:val="nil"/>
            </w:tcBorders>
            <w:shd w:val="clear" w:color="auto" w:fill="auto"/>
            <w:noWrap/>
            <w:vAlign w:val="center"/>
            <w:hideMark/>
          </w:tcPr>
          <w:p w14:paraId="4BCAF7A3"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0.706</w:t>
            </w:r>
          </w:p>
        </w:tc>
        <w:tc>
          <w:tcPr>
            <w:tcW w:w="1642" w:type="dxa"/>
            <w:tcBorders>
              <w:top w:val="nil"/>
              <w:left w:val="nil"/>
              <w:bottom w:val="nil"/>
              <w:right w:val="nil"/>
            </w:tcBorders>
            <w:shd w:val="clear" w:color="auto" w:fill="auto"/>
            <w:noWrap/>
            <w:vAlign w:val="center"/>
            <w:hideMark/>
          </w:tcPr>
          <w:p w14:paraId="448B04AD" w14:textId="77777777" w:rsidR="00BB51F3" w:rsidRPr="00BB51F3" w:rsidRDefault="00BB51F3" w:rsidP="00BB51F3">
            <w:pPr>
              <w:spacing w:line="240" w:lineRule="auto"/>
              <w:jc w:val="center"/>
              <w:rPr>
                <w:rFonts w:eastAsia="Times New Roman" w:cs="Times New Roman"/>
                <w:color w:val="000000"/>
                <w:szCs w:val="24"/>
              </w:rPr>
            </w:pPr>
            <w:r w:rsidRPr="00BB51F3">
              <w:rPr>
                <w:rFonts w:eastAsia="Times New Roman" w:cs="Times New Roman"/>
                <w:color w:val="000000"/>
                <w:szCs w:val="24"/>
              </w:rPr>
              <w:t>0.325</w:t>
            </w:r>
          </w:p>
        </w:tc>
      </w:tr>
    </w:tbl>
    <w:p w14:paraId="30D5A2E0" w14:textId="0ED64691" w:rsidR="0065371A" w:rsidRDefault="0065371A" w:rsidP="00AC5A33">
      <w:pPr>
        <w:jc w:val="center"/>
      </w:pPr>
    </w:p>
    <w:p w14:paraId="4D5DDE53" w14:textId="2D093EC0" w:rsidR="0065371A" w:rsidRDefault="0065371A" w:rsidP="0065371A">
      <w:pPr>
        <w:jc w:val="both"/>
      </w:pPr>
      <w:r>
        <w:tab/>
        <w:t>A Student’s t-Test was performed for the LIB metals in each time period between the acidic and basic soil groups.</w:t>
      </w:r>
      <w:r w:rsidR="00BD1351" w:rsidRPr="00BD1351">
        <w:t xml:space="preserve"> </w:t>
      </w:r>
      <w:r w:rsidR="00BD1351">
        <w:t xml:space="preserve"> </w:t>
      </w:r>
      <w:r>
        <w:t xml:space="preserve">A p-value less than 0.05 rejects the null hypothesis of no difference, confirming a significant difference between the metal concentrations in the two soil groups at the respective time period.  A p-value greater than 0.05 cannot reject the null hypothesis, confirming no significant difference between the metal concentrations in the two soil groups at the respective time period.  Table </w:t>
      </w:r>
      <w:r w:rsidR="00ED00EF">
        <w:t>4</w:t>
      </w:r>
      <w:r>
        <w:t>.</w:t>
      </w:r>
      <w:r w:rsidR="007A0CAC">
        <w:t>4</w:t>
      </w:r>
      <w:r>
        <w:t xml:space="preserve"> is the result of the Student’s t-Test for the soil groups, where </w:t>
      </w:r>
      <w:r w:rsidR="00376DA9">
        <w:t xml:space="preserve">aluminum at all time periods and </w:t>
      </w:r>
      <w:r>
        <w:t xml:space="preserve">nickel at </w:t>
      </w:r>
      <w:r w:rsidR="00376DA9">
        <w:t xml:space="preserve">the </w:t>
      </w:r>
      <w:r>
        <w:t>six week</w:t>
      </w:r>
      <w:r w:rsidR="00376DA9">
        <w:t xml:space="preserve"> time period</w:t>
      </w:r>
      <w:r>
        <w:t xml:space="preserve"> ha</w:t>
      </w:r>
      <w:r w:rsidR="00376DA9">
        <w:t>ve</w:t>
      </w:r>
      <w:r>
        <w:t xml:space="preserve"> a p-value greater than 0.05.</w:t>
      </w:r>
    </w:p>
    <w:p w14:paraId="21226C33" w14:textId="5947FD7D" w:rsidR="001B7D6D" w:rsidRDefault="001B7D6D" w:rsidP="001B7D6D"/>
    <w:p w14:paraId="39D4940E" w14:textId="2B40A94A" w:rsidR="00C334CD" w:rsidRDefault="00C334CD" w:rsidP="001B7D6D"/>
    <w:p w14:paraId="6AAB4B4E" w14:textId="4F89E407" w:rsidR="00C334CD" w:rsidRDefault="00C334CD" w:rsidP="001B7D6D"/>
    <w:p w14:paraId="77FDC971" w14:textId="35724824" w:rsidR="00C334CD" w:rsidRDefault="00C334CD" w:rsidP="001B7D6D"/>
    <w:p w14:paraId="7C4669E9" w14:textId="1F981E0B" w:rsidR="00C334CD" w:rsidRDefault="00C334CD" w:rsidP="001B7D6D"/>
    <w:p w14:paraId="29C55C3F" w14:textId="2FD14ED4" w:rsidR="00C334CD" w:rsidRDefault="00C334CD" w:rsidP="001B7D6D"/>
    <w:p w14:paraId="0BC9DD2E" w14:textId="77777777" w:rsidR="00C334CD" w:rsidRPr="001B7D6D" w:rsidRDefault="00C334CD" w:rsidP="001B7D6D"/>
    <w:p w14:paraId="21E76FCE" w14:textId="02006760" w:rsidR="0065371A" w:rsidRPr="0065371A" w:rsidRDefault="008B135E" w:rsidP="001650CC">
      <w:pPr>
        <w:pStyle w:val="Caption"/>
        <w:spacing w:after="0" w:line="480" w:lineRule="auto"/>
      </w:pPr>
      <w:bookmarkStart w:id="90" w:name="_Toc69351127"/>
      <w:bookmarkStart w:id="91" w:name="_Toc69352377"/>
      <w:bookmarkStart w:id="92" w:name="_Toc69352444"/>
      <w:bookmarkStart w:id="93" w:name="_Toc69412280"/>
      <w:bookmarkStart w:id="94" w:name="_Toc71224034"/>
      <w:r w:rsidRPr="008B135E">
        <w:rPr>
          <w:b/>
          <w:bCs/>
        </w:rPr>
        <w:lastRenderedPageBreak/>
        <w:t xml:space="preserve">Table </w:t>
      </w:r>
      <w:r w:rsidR="00ED00EF">
        <w:rPr>
          <w:b/>
          <w:bCs/>
        </w:rPr>
        <w:t>4</w:t>
      </w:r>
      <w:r w:rsidRPr="008B135E">
        <w:rPr>
          <w:b/>
          <w:bCs/>
        </w:rPr>
        <w:t>.</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4</w:t>
      </w:r>
      <w:r w:rsidR="001650CC" w:rsidRPr="001650CC">
        <w:rPr>
          <w:b/>
          <w:bCs/>
        </w:rPr>
        <w:fldChar w:fldCharType="end"/>
      </w:r>
      <w:r w:rsidRPr="008B135E">
        <w:rPr>
          <w:b/>
          <w:bCs/>
        </w:rPr>
        <w:t>:</w:t>
      </w:r>
      <w:r>
        <w:t xml:space="preserve"> Student’s t-Test for </w:t>
      </w:r>
      <w:r w:rsidR="00DF427B">
        <w:t>each metal</w:t>
      </w:r>
      <w:r>
        <w:t xml:space="preserve"> between acidic and basic soil groups, bolded p-value is a rejection of the null hypothesis.</w:t>
      </w:r>
      <w:bookmarkEnd w:id="90"/>
      <w:bookmarkEnd w:id="91"/>
      <w:bookmarkEnd w:id="92"/>
      <w:bookmarkEnd w:id="93"/>
      <w:bookmarkEnd w:id="94"/>
    </w:p>
    <w:tbl>
      <w:tblPr>
        <w:tblW w:w="6400" w:type="dxa"/>
        <w:jc w:val="center"/>
        <w:tblLook w:val="04A0" w:firstRow="1" w:lastRow="0" w:firstColumn="1" w:lastColumn="0" w:noHBand="0" w:noVBand="1"/>
      </w:tblPr>
      <w:tblGrid>
        <w:gridCol w:w="877"/>
        <w:gridCol w:w="1143"/>
        <w:gridCol w:w="1071"/>
        <w:gridCol w:w="1692"/>
        <w:gridCol w:w="1617"/>
      </w:tblGrid>
      <w:tr w:rsidR="00376DA9" w:rsidRPr="00376DA9" w14:paraId="75EA6A85" w14:textId="77777777" w:rsidTr="00376DA9">
        <w:trPr>
          <w:trHeight w:val="312"/>
          <w:jc w:val="center"/>
        </w:trPr>
        <w:tc>
          <w:tcPr>
            <w:tcW w:w="6400" w:type="dxa"/>
            <w:gridSpan w:val="5"/>
            <w:tcBorders>
              <w:top w:val="nil"/>
              <w:left w:val="nil"/>
              <w:bottom w:val="single" w:sz="4" w:space="0" w:color="auto"/>
              <w:right w:val="nil"/>
            </w:tcBorders>
            <w:shd w:val="clear" w:color="auto" w:fill="auto"/>
            <w:noWrap/>
            <w:vAlign w:val="center"/>
            <w:hideMark/>
          </w:tcPr>
          <w:p w14:paraId="6EDED6FC"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Student's t-Test, p &lt; 0.05</w:t>
            </w:r>
          </w:p>
        </w:tc>
      </w:tr>
      <w:tr w:rsidR="00376DA9" w:rsidRPr="00376DA9" w14:paraId="65CC1E63" w14:textId="77777777" w:rsidTr="00376DA9">
        <w:trPr>
          <w:trHeight w:val="312"/>
          <w:jc w:val="center"/>
        </w:trPr>
        <w:tc>
          <w:tcPr>
            <w:tcW w:w="877" w:type="dxa"/>
            <w:tcBorders>
              <w:top w:val="nil"/>
              <w:left w:val="nil"/>
              <w:bottom w:val="single" w:sz="4" w:space="0" w:color="auto"/>
              <w:right w:val="single" w:sz="4" w:space="0" w:color="auto"/>
            </w:tcBorders>
            <w:shd w:val="clear" w:color="auto" w:fill="auto"/>
            <w:noWrap/>
            <w:vAlign w:val="center"/>
            <w:hideMark/>
          </w:tcPr>
          <w:p w14:paraId="3D055C97"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Week</w:t>
            </w:r>
          </w:p>
        </w:tc>
        <w:tc>
          <w:tcPr>
            <w:tcW w:w="1143" w:type="dxa"/>
            <w:tcBorders>
              <w:top w:val="nil"/>
              <w:left w:val="nil"/>
              <w:bottom w:val="single" w:sz="4" w:space="0" w:color="auto"/>
              <w:right w:val="nil"/>
            </w:tcBorders>
            <w:shd w:val="clear" w:color="auto" w:fill="auto"/>
            <w:noWrap/>
            <w:vAlign w:val="center"/>
            <w:hideMark/>
          </w:tcPr>
          <w:p w14:paraId="11BDD278"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Copper</w:t>
            </w:r>
          </w:p>
        </w:tc>
        <w:tc>
          <w:tcPr>
            <w:tcW w:w="1071" w:type="dxa"/>
            <w:tcBorders>
              <w:top w:val="nil"/>
              <w:left w:val="nil"/>
              <w:bottom w:val="single" w:sz="4" w:space="0" w:color="auto"/>
              <w:right w:val="nil"/>
            </w:tcBorders>
            <w:shd w:val="clear" w:color="auto" w:fill="auto"/>
            <w:noWrap/>
            <w:vAlign w:val="center"/>
            <w:hideMark/>
          </w:tcPr>
          <w:p w14:paraId="3A3FEF41"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Nickel</w:t>
            </w:r>
          </w:p>
        </w:tc>
        <w:tc>
          <w:tcPr>
            <w:tcW w:w="1692" w:type="dxa"/>
            <w:tcBorders>
              <w:top w:val="nil"/>
              <w:left w:val="nil"/>
              <w:bottom w:val="single" w:sz="4" w:space="0" w:color="auto"/>
              <w:right w:val="nil"/>
            </w:tcBorders>
            <w:shd w:val="clear" w:color="auto" w:fill="auto"/>
            <w:noWrap/>
            <w:vAlign w:val="center"/>
            <w:hideMark/>
          </w:tcPr>
          <w:p w14:paraId="41CA6A27"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Manganese</w:t>
            </w:r>
          </w:p>
        </w:tc>
        <w:tc>
          <w:tcPr>
            <w:tcW w:w="1617" w:type="dxa"/>
            <w:tcBorders>
              <w:top w:val="nil"/>
              <w:left w:val="nil"/>
              <w:bottom w:val="single" w:sz="4" w:space="0" w:color="auto"/>
              <w:right w:val="nil"/>
            </w:tcBorders>
            <w:shd w:val="clear" w:color="auto" w:fill="auto"/>
            <w:noWrap/>
            <w:vAlign w:val="center"/>
            <w:hideMark/>
          </w:tcPr>
          <w:p w14:paraId="0D573655"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Aluminum</w:t>
            </w:r>
          </w:p>
        </w:tc>
      </w:tr>
      <w:tr w:rsidR="00376DA9" w:rsidRPr="00376DA9" w14:paraId="450A0030"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62B6AF0E"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1</w:t>
            </w:r>
          </w:p>
        </w:tc>
        <w:tc>
          <w:tcPr>
            <w:tcW w:w="1143" w:type="dxa"/>
            <w:tcBorders>
              <w:top w:val="nil"/>
              <w:left w:val="nil"/>
              <w:bottom w:val="nil"/>
              <w:right w:val="nil"/>
            </w:tcBorders>
            <w:shd w:val="clear" w:color="auto" w:fill="auto"/>
            <w:noWrap/>
            <w:vAlign w:val="bottom"/>
            <w:hideMark/>
          </w:tcPr>
          <w:p w14:paraId="156685EE"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192CA6C6"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692" w:type="dxa"/>
            <w:tcBorders>
              <w:top w:val="nil"/>
              <w:left w:val="nil"/>
              <w:bottom w:val="nil"/>
              <w:right w:val="nil"/>
            </w:tcBorders>
            <w:shd w:val="clear" w:color="auto" w:fill="auto"/>
            <w:noWrap/>
            <w:vAlign w:val="bottom"/>
            <w:hideMark/>
          </w:tcPr>
          <w:p w14:paraId="6106ACF4"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0.013</w:t>
            </w:r>
          </w:p>
        </w:tc>
        <w:tc>
          <w:tcPr>
            <w:tcW w:w="1617" w:type="dxa"/>
            <w:tcBorders>
              <w:top w:val="nil"/>
              <w:left w:val="nil"/>
              <w:bottom w:val="nil"/>
              <w:right w:val="nil"/>
            </w:tcBorders>
            <w:shd w:val="clear" w:color="auto" w:fill="auto"/>
            <w:noWrap/>
            <w:vAlign w:val="bottom"/>
            <w:hideMark/>
          </w:tcPr>
          <w:p w14:paraId="5826013A"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0.527</w:t>
            </w:r>
          </w:p>
        </w:tc>
      </w:tr>
      <w:tr w:rsidR="00376DA9" w:rsidRPr="00376DA9" w14:paraId="6488300B"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2BB5FD6B"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2</w:t>
            </w:r>
          </w:p>
        </w:tc>
        <w:tc>
          <w:tcPr>
            <w:tcW w:w="1143" w:type="dxa"/>
            <w:tcBorders>
              <w:top w:val="nil"/>
              <w:left w:val="nil"/>
              <w:bottom w:val="nil"/>
              <w:right w:val="nil"/>
            </w:tcBorders>
            <w:shd w:val="clear" w:color="auto" w:fill="auto"/>
            <w:noWrap/>
            <w:vAlign w:val="bottom"/>
            <w:hideMark/>
          </w:tcPr>
          <w:p w14:paraId="7FC7AC63"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2A2D4CD9"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692" w:type="dxa"/>
            <w:tcBorders>
              <w:top w:val="nil"/>
              <w:left w:val="nil"/>
              <w:bottom w:val="nil"/>
              <w:right w:val="nil"/>
            </w:tcBorders>
            <w:shd w:val="clear" w:color="auto" w:fill="auto"/>
            <w:noWrap/>
            <w:vAlign w:val="bottom"/>
            <w:hideMark/>
          </w:tcPr>
          <w:p w14:paraId="26E9F67A"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0.003</w:t>
            </w:r>
          </w:p>
        </w:tc>
        <w:tc>
          <w:tcPr>
            <w:tcW w:w="1617" w:type="dxa"/>
            <w:tcBorders>
              <w:top w:val="nil"/>
              <w:left w:val="nil"/>
              <w:bottom w:val="nil"/>
              <w:right w:val="nil"/>
            </w:tcBorders>
            <w:shd w:val="clear" w:color="auto" w:fill="auto"/>
            <w:noWrap/>
            <w:vAlign w:val="bottom"/>
            <w:hideMark/>
          </w:tcPr>
          <w:p w14:paraId="78A17165"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0.285</w:t>
            </w:r>
          </w:p>
        </w:tc>
      </w:tr>
      <w:tr w:rsidR="00376DA9" w:rsidRPr="00376DA9" w14:paraId="409288E6"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57A7F5AE"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4</w:t>
            </w:r>
          </w:p>
        </w:tc>
        <w:tc>
          <w:tcPr>
            <w:tcW w:w="1143" w:type="dxa"/>
            <w:tcBorders>
              <w:top w:val="nil"/>
              <w:left w:val="nil"/>
              <w:bottom w:val="nil"/>
              <w:right w:val="nil"/>
            </w:tcBorders>
            <w:shd w:val="clear" w:color="auto" w:fill="auto"/>
            <w:noWrap/>
            <w:vAlign w:val="bottom"/>
            <w:hideMark/>
          </w:tcPr>
          <w:p w14:paraId="6188EC53"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5CDF1D5E"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0.001</w:t>
            </w:r>
          </w:p>
        </w:tc>
        <w:tc>
          <w:tcPr>
            <w:tcW w:w="1692" w:type="dxa"/>
            <w:tcBorders>
              <w:top w:val="nil"/>
              <w:left w:val="nil"/>
              <w:bottom w:val="nil"/>
              <w:right w:val="nil"/>
            </w:tcBorders>
            <w:shd w:val="clear" w:color="auto" w:fill="auto"/>
            <w:noWrap/>
            <w:vAlign w:val="bottom"/>
            <w:hideMark/>
          </w:tcPr>
          <w:p w14:paraId="76768A98"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0.0001</w:t>
            </w:r>
          </w:p>
        </w:tc>
        <w:tc>
          <w:tcPr>
            <w:tcW w:w="1617" w:type="dxa"/>
            <w:tcBorders>
              <w:top w:val="nil"/>
              <w:left w:val="nil"/>
              <w:bottom w:val="nil"/>
              <w:right w:val="nil"/>
            </w:tcBorders>
            <w:shd w:val="clear" w:color="auto" w:fill="auto"/>
            <w:noWrap/>
            <w:vAlign w:val="bottom"/>
            <w:hideMark/>
          </w:tcPr>
          <w:p w14:paraId="3CAFD531"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0.074</w:t>
            </w:r>
          </w:p>
        </w:tc>
      </w:tr>
      <w:tr w:rsidR="00376DA9" w:rsidRPr="00376DA9" w14:paraId="6FF5E620"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509AC010"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6</w:t>
            </w:r>
          </w:p>
        </w:tc>
        <w:tc>
          <w:tcPr>
            <w:tcW w:w="1143" w:type="dxa"/>
            <w:tcBorders>
              <w:top w:val="nil"/>
              <w:left w:val="nil"/>
              <w:bottom w:val="nil"/>
              <w:right w:val="nil"/>
            </w:tcBorders>
            <w:shd w:val="clear" w:color="auto" w:fill="auto"/>
            <w:noWrap/>
            <w:vAlign w:val="bottom"/>
            <w:hideMark/>
          </w:tcPr>
          <w:p w14:paraId="5BC6FDDA"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7C057E71"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0.054</w:t>
            </w:r>
          </w:p>
        </w:tc>
        <w:tc>
          <w:tcPr>
            <w:tcW w:w="1692" w:type="dxa"/>
            <w:tcBorders>
              <w:top w:val="nil"/>
              <w:left w:val="nil"/>
              <w:bottom w:val="nil"/>
              <w:right w:val="nil"/>
            </w:tcBorders>
            <w:shd w:val="clear" w:color="auto" w:fill="auto"/>
            <w:noWrap/>
            <w:vAlign w:val="bottom"/>
            <w:hideMark/>
          </w:tcPr>
          <w:p w14:paraId="79D0A49E"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0.007</w:t>
            </w:r>
          </w:p>
        </w:tc>
        <w:tc>
          <w:tcPr>
            <w:tcW w:w="1617" w:type="dxa"/>
            <w:tcBorders>
              <w:top w:val="nil"/>
              <w:left w:val="nil"/>
              <w:bottom w:val="nil"/>
              <w:right w:val="nil"/>
            </w:tcBorders>
            <w:shd w:val="clear" w:color="auto" w:fill="auto"/>
            <w:noWrap/>
            <w:vAlign w:val="bottom"/>
            <w:hideMark/>
          </w:tcPr>
          <w:p w14:paraId="54482D12"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0.254</w:t>
            </w:r>
          </w:p>
        </w:tc>
      </w:tr>
      <w:tr w:rsidR="00376DA9" w:rsidRPr="00376DA9" w14:paraId="2B69C044"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478A4A9E"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8</w:t>
            </w:r>
          </w:p>
        </w:tc>
        <w:tc>
          <w:tcPr>
            <w:tcW w:w="1143" w:type="dxa"/>
            <w:tcBorders>
              <w:top w:val="nil"/>
              <w:left w:val="nil"/>
              <w:bottom w:val="nil"/>
              <w:right w:val="nil"/>
            </w:tcBorders>
            <w:shd w:val="clear" w:color="auto" w:fill="auto"/>
            <w:noWrap/>
            <w:vAlign w:val="bottom"/>
            <w:hideMark/>
          </w:tcPr>
          <w:p w14:paraId="1F5D65F1"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5D1CA085"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0.0003</w:t>
            </w:r>
          </w:p>
        </w:tc>
        <w:tc>
          <w:tcPr>
            <w:tcW w:w="1692" w:type="dxa"/>
            <w:tcBorders>
              <w:top w:val="nil"/>
              <w:left w:val="nil"/>
              <w:bottom w:val="nil"/>
              <w:right w:val="nil"/>
            </w:tcBorders>
            <w:shd w:val="clear" w:color="auto" w:fill="auto"/>
            <w:noWrap/>
            <w:vAlign w:val="bottom"/>
            <w:hideMark/>
          </w:tcPr>
          <w:p w14:paraId="2E470395"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0.0003</w:t>
            </w:r>
          </w:p>
        </w:tc>
        <w:tc>
          <w:tcPr>
            <w:tcW w:w="1617" w:type="dxa"/>
            <w:tcBorders>
              <w:top w:val="nil"/>
              <w:left w:val="nil"/>
              <w:bottom w:val="nil"/>
              <w:right w:val="nil"/>
            </w:tcBorders>
            <w:shd w:val="clear" w:color="auto" w:fill="auto"/>
            <w:noWrap/>
            <w:vAlign w:val="bottom"/>
            <w:hideMark/>
          </w:tcPr>
          <w:p w14:paraId="756128DE"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0.178</w:t>
            </w:r>
          </w:p>
        </w:tc>
      </w:tr>
      <w:tr w:rsidR="00376DA9" w:rsidRPr="00376DA9" w14:paraId="07A3527F"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1301AEAC"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12</w:t>
            </w:r>
          </w:p>
        </w:tc>
        <w:tc>
          <w:tcPr>
            <w:tcW w:w="1143" w:type="dxa"/>
            <w:tcBorders>
              <w:top w:val="nil"/>
              <w:left w:val="nil"/>
              <w:bottom w:val="nil"/>
              <w:right w:val="nil"/>
            </w:tcBorders>
            <w:shd w:val="clear" w:color="auto" w:fill="auto"/>
            <w:noWrap/>
            <w:vAlign w:val="bottom"/>
            <w:hideMark/>
          </w:tcPr>
          <w:p w14:paraId="4296B847"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2B2853AF"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692" w:type="dxa"/>
            <w:tcBorders>
              <w:top w:val="nil"/>
              <w:left w:val="nil"/>
              <w:bottom w:val="nil"/>
              <w:right w:val="nil"/>
            </w:tcBorders>
            <w:shd w:val="clear" w:color="auto" w:fill="auto"/>
            <w:noWrap/>
            <w:vAlign w:val="bottom"/>
            <w:hideMark/>
          </w:tcPr>
          <w:p w14:paraId="451F3CE3"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0.0002</w:t>
            </w:r>
          </w:p>
        </w:tc>
        <w:tc>
          <w:tcPr>
            <w:tcW w:w="1617" w:type="dxa"/>
            <w:tcBorders>
              <w:top w:val="nil"/>
              <w:left w:val="nil"/>
              <w:bottom w:val="nil"/>
              <w:right w:val="nil"/>
            </w:tcBorders>
            <w:shd w:val="clear" w:color="auto" w:fill="auto"/>
            <w:noWrap/>
            <w:vAlign w:val="bottom"/>
            <w:hideMark/>
          </w:tcPr>
          <w:p w14:paraId="5A6FA1E9"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0.817</w:t>
            </w:r>
          </w:p>
        </w:tc>
      </w:tr>
      <w:tr w:rsidR="00376DA9" w:rsidRPr="00376DA9" w14:paraId="7711FA74"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1FA0865D"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16</w:t>
            </w:r>
          </w:p>
        </w:tc>
        <w:tc>
          <w:tcPr>
            <w:tcW w:w="1143" w:type="dxa"/>
            <w:tcBorders>
              <w:top w:val="nil"/>
              <w:left w:val="nil"/>
              <w:bottom w:val="nil"/>
              <w:right w:val="nil"/>
            </w:tcBorders>
            <w:shd w:val="clear" w:color="auto" w:fill="auto"/>
            <w:noWrap/>
            <w:vAlign w:val="bottom"/>
            <w:hideMark/>
          </w:tcPr>
          <w:p w14:paraId="6C4F6869"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3D65810D"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692" w:type="dxa"/>
            <w:tcBorders>
              <w:top w:val="nil"/>
              <w:left w:val="nil"/>
              <w:bottom w:val="nil"/>
              <w:right w:val="nil"/>
            </w:tcBorders>
            <w:shd w:val="clear" w:color="auto" w:fill="auto"/>
            <w:noWrap/>
            <w:vAlign w:val="bottom"/>
            <w:hideMark/>
          </w:tcPr>
          <w:p w14:paraId="7A14A1C4"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0.009</w:t>
            </w:r>
          </w:p>
        </w:tc>
        <w:tc>
          <w:tcPr>
            <w:tcW w:w="1617" w:type="dxa"/>
            <w:tcBorders>
              <w:top w:val="nil"/>
              <w:left w:val="nil"/>
              <w:bottom w:val="nil"/>
              <w:right w:val="nil"/>
            </w:tcBorders>
            <w:shd w:val="clear" w:color="auto" w:fill="auto"/>
            <w:noWrap/>
            <w:vAlign w:val="bottom"/>
            <w:hideMark/>
          </w:tcPr>
          <w:p w14:paraId="048ED870"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0.854</w:t>
            </w:r>
          </w:p>
        </w:tc>
      </w:tr>
      <w:tr w:rsidR="00376DA9" w:rsidRPr="00376DA9" w14:paraId="24DB9BEF"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07C23612"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20</w:t>
            </w:r>
          </w:p>
        </w:tc>
        <w:tc>
          <w:tcPr>
            <w:tcW w:w="1143" w:type="dxa"/>
            <w:tcBorders>
              <w:top w:val="nil"/>
              <w:left w:val="nil"/>
              <w:bottom w:val="nil"/>
              <w:right w:val="nil"/>
            </w:tcBorders>
            <w:shd w:val="clear" w:color="auto" w:fill="auto"/>
            <w:noWrap/>
            <w:vAlign w:val="bottom"/>
            <w:hideMark/>
          </w:tcPr>
          <w:p w14:paraId="40A102D1"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7BF5E131"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0.001</w:t>
            </w:r>
          </w:p>
        </w:tc>
        <w:tc>
          <w:tcPr>
            <w:tcW w:w="1692" w:type="dxa"/>
            <w:tcBorders>
              <w:top w:val="nil"/>
              <w:left w:val="nil"/>
              <w:bottom w:val="nil"/>
              <w:right w:val="nil"/>
            </w:tcBorders>
            <w:shd w:val="clear" w:color="auto" w:fill="auto"/>
            <w:noWrap/>
            <w:vAlign w:val="bottom"/>
            <w:hideMark/>
          </w:tcPr>
          <w:p w14:paraId="22CD09C4"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0.002</w:t>
            </w:r>
          </w:p>
        </w:tc>
        <w:tc>
          <w:tcPr>
            <w:tcW w:w="1617" w:type="dxa"/>
            <w:tcBorders>
              <w:top w:val="nil"/>
              <w:left w:val="nil"/>
              <w:bottom w:val="nil"/>
              <w:right w:val="nil"/>
            </w:tcBorders>
            <w:shd w:val="clear" w:color="auto" w:fill="auto"/>
            <w:noWrap/>
            <w:vAlign w:val="bottom"/>
            <w:hideMark/>
          </w:tcPr>
          <w:p w14:paraId="2EFC6C83"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0.935</w:t>
            </w:r>
          </w:p>
        </w:tc>
      </w:tr>
      <w:tr w:rsidR="00376DA9" w:rsidRPr="00376DA9" w14:paraId="4BB7D94D" w14:textId="77777777" w:rsidTr="00376DA9">
        <w:trPr>
          <w:trHeight w:val="312"/>
          <w:jc w:val="center"/>
        </w:trPr>
        <w:tc>
          <w:tcPr>
            <w:tcW w:w="877" w:type="dxa"/>
            <w:tcBorders>
              <w:top w:val="nil"/>
              <w:left w:val="nil"/>
              <w:bottom w:val="nil"/>
              <w:right w:val="single" w:sz="4" w:space="0" w:color="auto"/>
            </w:tcBorders>
            <w:shd w:val="clear" w:color="auto" w:fill="auto"/>
            <w:noWrap/>
            <w:vAlign w:val="center"/>
            <w:hideMark/>
          </w:tcPr>
          <w:p w14:paraId="17F9D819" w14:textId="77777777" w:rsidR="00376DA9" w:rsidRPr="009F2B85" w:rsidRDefault="00376DA9" w:rsidP="00376DA9">
            <w:pPr>
              <w:spacing w:line="240" w:lineRule="auto"/>
              <w:jc w:val="center"/>
              <w:rPr>
                <w:rFonts w:eastAsia="Times New Roman" w:cs="Times New Roman"/>
                <w:b/>
                <w:bCs/>
                <w:color w:val="000000"/>
                <w:szCs w:val="24"/>
              </w:rPr>
            </w:pPr>
            <w:r w:rsidRPr="009F2B85">
              <w:rPr>
                <w:rFonts w:eastAsia="Times New Roman" w:cs="Times New Roman"/>
                <w:b/>
                <w:bCs/>
                <w:color w:val="000000"/>
                <w:szCs w:val="24"/>
              </w:rPr>
              <w:t>24</w:t>
            </w:r>
          </w:p>
        </w:tc>
        <w:tc>
          <w:tcPr>
            <w:tcW w:w="1143" w:type="dxa"/>
            <w:tcBorders>
              <w:top w:val="nil"/>
              <w:left w:val="nil"/>
              <w:bottom w:val="nil"/>
              <w:right w:val="nil"/>
            </w:tcBorders>
            <w:shd w:val="clear" w:color="auto" w:fill="auto"/>
            <w:noWrap/>
            <w:vAlign w:val="bottom"/>
            <w:hideMark/>
          </w:tcPr>
          <w:p w14:paraId="66E3FA5E"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071" w:type="dxa"/>
            <w:tcBorders>
              <w:top w:val="nil"/>
              <w:left w:val="nil"/>
              <w:bottom w:val="nil"/>
              <w:right w:val="nil"/>
            </w:tcBorders>
            <w:shd w:val="clear" w:color="auto" w:fill="auto"/>
            <w:noWrap/>
            <w:vAlign w:val="bottom"/>
            <w:hideMark/>
          </w:tcPr>
          <w:p w14:paraId="5308C655"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&lt;0.0001</w:t>
            </w:r>
          </w:p>
        </w:tc>
        <w:tc>
          <w:tcPr>
            <w:tcW w:w="1692" w:type="dxa"/>
            <w:tcBorders>
              <w:top w:val="nil"/>
              <w:left w:val="nil"/>
              <w:bottom w:val="nil"/>
              <w:right w:val="nil"/>
            </w:tcBorders>
            <w:shd w:val="clear" w:color="auto" w:fill="auto"/>
            <w:noWrap/>
            <w:vAlign w:val="bottom"/>
            <w:hideMark/>
          </w:tcPr>
          <w:p w14:paraId="12AD9116" w14:textId="77777777" w:rsidR="00376DA9" w:rsidRPr="009F2B85" w:rsidRDefault="00376DA9" w:rsidP="00376DA9">
            <w:pPr>
              <w:spacing w:line="240" w:lineRule="auto"/>
              <w:jc w:val="right"/>
              <w:rPr>
                <w:rFonts w:eastAsia="Times New Roman" w:cs="Times New Roman"/>
                <w:color w:val="000000"/>
                <w:szCs w:val="24"/>
              </w:rPr>
            </w:pPr>
            <w:r w:rsidRPr="009F2B85">
              <w:rPr>
                <w:rFonts w:eastAsia="Times New Roman" w:cs="Times New Roman"/>
                <w:color w:val="000000"/>
                <w:szCs w:val="24"/>
              </w:rPr>
              <w:t>0.014</w:t>
            </w:r>
          </w:p>
        </w:tc>
        <w:tc>
          <w:tcPr>
            <w:tcW w:w="1617" w:type="dxa"/>
            <w:tcBorders>
              <w:top w:val="nil"/>
              <w:left w:val="nil"/>
              <w:bottom w:val="nil"/>
              <w:right w:val="nil"/>
            </w:tcBorders>
            <w:shd w:val="clear" w:color="auto" w:fill="auto"/>
            <w:noWrap/>
            <w:vAlign w:val="bottom"/>
            <w:hideMark/>
          </w:tcPr>
          <w:p w14:paraId="27A3A32E" w14:textId="77777777" w:rsidR="00376DA9" w:rsidRPr="009F2B85" w:rsidRDefault="00376DA9" w:rsidP="00376DA9">
            <w:pPr>
              <w:spacing w:line="240" w:lineRule="auto"/>
              <w:jc w:val="right"/>
              <w:rPr>
                <w:rFonts w:eastAsia="Times New Roman" w:cs="Times New Roman"/>
                <w:b/>
                <w:bCs/>
                <w:color w:val="000000"/>
                <w:szCs w:val="24"/>
              </w:rPr>
            </w:pPr>
            <w:r w:rsidRPr="009F2B85">
              <w:rPr>
                <w:rFonts w:eastAsia="Times New Roman" w:cs="Times New Roman"/>
                <w:b/>
                <w:bCs/>
                <w:color w:val="000000"/>
                <w:szCs w:val="24"/>
              </w:rPr>
              <w:t>0.964</w:t>
            </w:r>
          </w:p>
        </w:tc>
      </w:tr>
    </w:tbl>
    <w:p w14:paraId="7F21C02A" w14:textId="77777777" w:rsidR="00CE0588" w:rsidRDefault="00CE0588" w:rsidP="009A56D3">
      <w:pPr>
        <w:jc w:val="both"/>
      </w:pPr>
    </w:p>
    <w:p w14:paraId="4865F5C4" w14:textId="59086D9D" w:rsidR="001C25E9" w:rsidRDefault="001C25E9" w:rsidP="009A56D3">
      <w:pPr>
        <w:jc w:val="both"/>
      </w:pPr>
      <w:r>
        <w:tab/>
      </w:r>
      <w:r w:rsidR="00F9669F">
        <w:t>The comparison between acidic and basic soil groups for each time period with the respective standard deviations are in Figure</w:t>
      </w:r>
      <w:r w:rsidR="00F45BE5">
        <w:t>s</w:t>
      </w:r>
      <w:r w:rsidR="00F9669F">
        <w:t xml:space="preserve"> </w:t>
      </w:r>
      <w:r w:rsidR="00ED00EF">
        <w:t>4</w:t>
      </w:r>
      <w:r w:rsidR="00F9669F">
        <w:t>.5</w:t>
      </w:r>
      <w:r w:rsidR="00F7779E">
        <w:t xml:space="preserve"> through</w:t>
      </w:r>
      <w:r w:rsidR="00F45BE5">
        <w:t xml:space="preserve"> 4.8</w:t>
      </w:r>
      <w:r w:rsidR="00F9669F">
        <w:t>.</w:t>
      </w:r>
      <w:r w:rsidR="00A35B9F">
        <w:t xml:space="preserve"> The p-value refers to the Student’s t-Test for significant differences between the acidic and basic soils.</w:t>
      </w:r>
    </w:p>
    <w:p w14:paraId="37D17F2F" w14:textId="77777777" w:rsidR="00CF1D4A" w:rsidRDefault="00CF1D4A" w:rsidP="009A56D3">
      <w:pPr>
        <w:jc w:val="both"/>
      </w:pPr>
    </w:p>
    <w:p w14:paraId="31FCA231" w14:textId="12FF17FC" w:rsidR="00D9224E" w:rsidRDefault="00F45BE5" w:rsidP="009A56D3">
      <w:pPr>
        <w:jc w:val="center"/>
      </w:pPr>
      <w:r>
        <w:rPr>
          <w:noProof/>
        </w:rPr>
        <w:drawing>
          <wp:inline distT="0" distB="0" distL="0" distR="0" wp14:anchorId="46563A2D" wp14:editId="137BE4A4">
            <wp:extent cx="4584700" cy="2755900"/>
            <wp:effectExtent l="0" t="0" r="635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9717028" w14:textId="29B664FE" w:rsidR="009C7657" w:rsidRDefault="000F20E4" w:rsidP="00BD23B5">
      <w:pPr>
        <w:pStyle w:val="Caption"/>
        <w:spacing w:after="0" w:line="480" w:lineRule="auto"/>
      </w:pPr>
      <w:bookmarkStart w:id="95" w:name="_Toc68724985"/>
      <w:bookmarkStart w:id="96" w:name="_Toc68725186"/>
      <w:bookmarkStart w:id="97" w:name="_Toc68726277"/>
      <w:bookmarkStart w:id="98" w:name="_Toc69291558"/>
      <w:bookmarkStart w:id="99" w:name="_Toc69352343"/>
      <w:bookmarkStart w:id="100" w:name="_Toc69352525"/>
      <w:bookmarkStart w:id="101" w:name="_Toc71224049"/>
      <w:r>
        <w:rPr>
          <w:b/>
          <w:bCs/>
        </w:rPr>
        <w:t>Figure 4.</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5</w:t>
      </w:r>
      <w:r w:rsidR="0065637B">
        <w:rPr>
          <w:b/>
          <w:bCs/>
        </w:rPr>
        <w:fldChar w:fldCharType="end"/>
      </w:r>
      <w:r w:rsidR="008B135E" w:rsidRPr="008B135E">
        <w:rPr>
          <w:b/>
          <w:bCs/>
        </w:rPr>
        <w:t>:</w:t>
      </w:r>
      <w:r w:rsidR="008B135E">
        <w:t xml:space="preserve"> </w:t>
      </w:r>
      <w:r w:rsidR="00F45BE5">
        <w:t>Copper</w:t>
      </w:r>
      <w:r w:rsidR="008B135E">
        <w:t xml:space="preserve"> concentration comparison between acidic and basic soil</w:t>
      </w:r>
      <w:bookmarkEnd w:id="95"/>
      <w:bookmarkEnd w:id="96"/>
      <w:bookmarkEnd w:id="97"/>
      <w:bookmarkEnd w:id="98"/>
      <w:r w:rsidR="007A1CAE">
        <w:t>, including standard deviation and Student’s t-Test outliers.</w:t>
      </w:r>
      <w:bookmarkEnd w:id="99"/>
      <w:bookmarkEnd w:id="100"/>
      <w:bookmarkEnd w:id="101"/>
    </w:p>
    <w:p w14:paraId="65B64412" w14:textId="20C3D488" w:rsidR="00F45BE5" w:rsidRPr="00F45BE5" w:rsidRDefault="00F45BE5" w:rsidP="00F45BE5">
      <w:pPr>
        <w:jc w:val="center"/>
      </w:pPr>
      <w:r>
        <w:rPr>
          <w:noProof/>
        </w:rPr>
        <w:lastRenderedPageBreak/>
        <w:drawing>
          <wp:inline distT="0" distB="0" distL="0" distR="0" wp14:anchorId="63452B59" wp14:editId="244C5E21">
            <wp:extent cx="4584700" cy="2755900"/>
            <wp:effectExtent l="0" t="0" r="635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713B406" w14:textId="126BD32D" w:rsidR="00F45BE5" w:rsidRDefault="00F45BE5" w:rsidP="00F45BE5">
      <w:pPr>
        <w:pStyle w:val="Caption"/>
        <w:spacing w:after="0" w:line="480" w:lineRule="auto"/>
      </w:pPr>
      <w:bookmarkStart w:id="102" w:name="_Toc71224050"/>
      <w:r>
        <w:rPr>
          <w:b/>
          <w:bCs/>
        </w:rPr>
        <w:t>Figure 4.</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6</w:t>
      </w:r>
      <w:r w:rsidR="0065637B">
        <w:rPr>
          <w:b/>
          <w:bCs/>
        </w:rPr>
        <w:fldChar w:fldCharType="end"/>
      </w:r>
      <w:r w:rsidRPr="008B135E">
        <w:rPr>
          <w:b/>
          <w:bCs/>
        </w:rPr>
        <w:t>:</w:t>
      </w:r>
      <w:r>
        <w:t xml:space="preserve"> Manganese concentration comparison between acidic and basic soil, including standard deviation and Student’s t-Test outliers.</w:t>
      </w:r>
      <w:bookmarkEnd w:id="102"/>
    </w:p>
    <w:p w14:paraId="3C751DC0" w14:textId="77777777" w:rsidR="00CF1D4A" w:rsidRPr="00CF1D4A" w:rsidRDefault="00CF1D4A" w:rsidP="00CF1D4A"/>
    <w:p w14:paraId="49A563FE" w14:textId="429067A9" w:rsidR="00F45BE5" w:rsidRPr="00F45BE5" w:rsidRDefault="00CF1D4A" w:rsidP="00F45BE5">
      <w:pPr>
        <w:jc w:val="center"/>
      </w:pPr>
      <w:r>
        <w:rPr>
          <w:noProof/>
        </w:rPr>
        <w:drawing>
          <wp:inline distT="0" distB="0" distL="0" distR="0" wp14:anchorId="29C28C96" wp14:editId="267DC8E3">
            <wp:extent cx="4584700" cy="2761615"/>
            <wp:effectExtent l="0" t="0" r="6350"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39EE16D5" w14:textId="2F8CFCFC" w:rsidR="00F45BE5" w:rsidRDefault="00F45BE5" w:rsidP="00F45BE5">
      <w:pPr>
        <w:pStyle w:val="Caption"/>
        <w:spacing w:after="0" w:line="480" w:lineRule="auto"/>
      </w:pPr>
      <w:bookmarkStart w:id="103" w:name="_Toc71224051"/>
      <w:r>
        <w:rPr>
          <w:b/>
          <w:bCs/>
        </w:rPr>
        <w:t>Figure 4.</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7</w:t>
      </w:r>
      <w:r w:rsidR="0065637B">
        <w:rPr>
          <w:b/>
          <w:bCs/>
        </w:rPr>
        <w:fldChar w:fldCharType="end"/>
      </w:r>
      <w:r w:rsidRPr="008B135E">
        <w:rPr>
          <w:b/>
          <w:bCs/>
        </w:rPr>
        <w:t>:</w:t>
      </w:r>
      <w:r>
        <w:t xml:space="preserve"> Nickel concentration comparison between acidic and basic soil, including standard deviation and Student’s t-Test outliers.</w:t>
      </w:r>
      <w:bookmarkEnd w:id="103"/>
    </w:p>
    <w:p w14:paraId="52F0A1B8" w14:textId="03B2A0EA" w:rsidR="00F45BE5" w:rsidRPr="00F45BE5" w:rsidRDefault="00CF1D4A" w:rsidP="00F45BE5">
      <w:pPr>
        <w:jc w:val="center"/>
      </w:pPr>
      <w:r>
        <w:rPr>
          <w:noProof/>
        </w:rPr>
        <w:lastRenderedPageBreak/>
        <w:drawing>
          <wp:inline distT="0" distB="0" distL="0" distR="0" wp14:anchorId="582868D5" wp14:editId="4DE27516">
            <wp:extent cx="4584700" cy="2767965"/>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67965"/>
                    </a:xfrm>
                    <a:prstGeom prst="rect">
                      <a:avLst/>
                    </a:prstGeom>
                    <a:noFill/>
                  </pic:spPr>
                </pic:pic>
              </a:graphicData>
            </a:graphic>
          </wp:inline>
        </w:drawing>
      </w:r>
    </w:p>
    <w:p w14:paraId="7DEEBC3F" w14:textId="473C932B" w:rsidR="00F45BE5" w:rsidRDefault="00F45BE5" w:rsidP="00F45BE5">
      <w:pPr>
        <w:pStyle w:val="Caption"/>
        <w:spacing w:after="0" w:line="480" w:lineRule="auto"/>
      </w:pPr>
      <w:bookmarkStart w:id="104" w:name="_Toc71224052"/>
      <w:r>
        <w:rPr>
          <w:b/>
          <w:bCs/>
        </w:rPr>
        <w:t>Figure 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8</w:t>
      </w:r>
      <w:r w:rsidR="0065637B">
        <w:rPr>
          <w:b/>
          <w:bCs/>
        </w:rPr>
        <w:fldChar w:fldCharType="end"/>
      </w:r>
      <w:r w:rsidRPr="008B135E">
        <w:rPr>
          <w:b/>
          <w:bCs/>
        </w:rPr>
        <w:t>:</w:t>
      </w:r>
      <w:r>
        <w:t xml:space="preserve"> Aluminum concentration comparison between acidic and basic soil, including standard deviation and Student’s t-Test outliers.</w:t>
      </w:r>
      <w:bookmarkEnd w:id="104"/>
    </w:p>
    <w:p w14:paraId="393E5370" w14:textId="77777777" w:rsidR="00F45BE5" w:rsidRPr="00F45BE5" w:rsidRDefault="00F45BE5" w:rsidP="00F45BE5"/>
    <w:p w14:paraId="0CA913CF" w14:textId="25741FCC" w:rsidR="00AD7F4D" w:rsidRDefault="00F84424" w:rsidP="009A56D3">
      <w:pPr>
        <w:pStyle w:val="Heading2"/>
        <w:numPr>
          <w:ilvl w:val="0"/>
          <w:numId w:val="0"/>
        </w:numPr>
      </w:pPr>
      <w:bookmarkStart w:id="105" w:name="_Toc71224012"/>
      <w:r>
        <w:t>4.</w:t>
      </w:r>
      <w:r w:rsidR="00DB3134">
        <w:t>2</w:t>
      </w:r>
      <w:r w:rsidR="00C81DD8">
        <w:t xml:space="preserve"> </w:t>
      </w:r>
      <w:r w:rsidR="00DB3134">
        <w:t xml:space="preserve">Water Analysis </w:t>
      </w:r>
      <w:r w:rsidR="00AD7F4D" w:rsidRPr="002A4ADE">
        <w:t>Results</w:t>
      </w:r>
      <w:bookmarkEnd w:id="105"/>
    </w:p>
    <w:p w14:paraId="15961C22" w14:textId="11CBEA7A" w:rsidR="00F21F24" w:rsidRDefault="00903FA2" w:rsidP="009A56D3">
      <w:pPr>
        <w:jc w:val="both"/>
      </w:pPr>
      <w:r>
        <w:tab/>
        <w:t xml:space="preserve">Out of the five LIB metals of interest, copper, manganese, nickel, and aluminum were measured </w:t>
      </w:r>
      <w:r w:rsidR="00CF1D4A">
        <w:t xml:space="preserve">above the detectable limit </w:t>
      </w:r>
      <w:r>
        <w:t xml:space="preserve">in both water pH groups along the 24 week timeline, with cobalt below the detection limit for the XRF for all samples. </w:t>
      </w:r>
      <w:r w:rsidR="00EA7C2A">
        <w:t xml:space="preserve"> </w:t>
      </w:r>
      <w:r w:rsidR="008B135E">
        <w:t xml:space="preserve">To confirm that cobalt was below the detection limit in the water samples and not an instrument defect, </w:t>
      </w:r>
      <w:r w:rsidR="00E16D94">
        <w:t>LIB powder was analyzed with the XRF, detecting cobalt, with the results in Table A.1</w:t>
      </w:r>
      <w:r w:rsidR="008B135E">
        <w:t>.</w:t>
      </w:r>
      <w:r w:rsidR="00F61129">
        <w:t xml:space="preserve">  </w:t>
      </w:r>
      <w:r w:rsidR="00F61129" w:rsidRPr="0065637B">
        <w:rPr>
          <w:szCs w:val="32"/>
        </w:rPr>
        <w:t>A linear relationship was created from the</w:t>
      </w:r>
      <w:r w:rsidR="00F61129">
        <w:rPr>
          <w:szCs w:val="32"/>
        </w:rPr>
        <w:t xml:space="preserve"> certified</w:t>
      </w:r>
      <w:r w:rsidR="00F61129" w:rsidRPr="0065637B">
        <w:rPr>
          <w:szCs w:val="32"/>
        </w:rPr>
        <w:t xml:space="preserve"> standards</w:t>
      </w:r>
      <w:r w:rsidR="00F61129">
        <w:rPr>
          <w:szCs w:val="32"/>
        </w:rPr>
        <w:t xml:space="preserve"> to correct the XRF results to actual concentrations</w:t>
      </w:r>
      <w:r w:rsidR="00F61129" w:rsidRPr="0065637B">
        <w:rPr>
          <w:szCs w:val="32"/>
        </w:rPr>
        <w:t>, shown in Figure A.</w:t>
      </w:r>
      <w:r w:rsidR="00F61129">
        <w:rPr>
          <w:szCs w:val="32"/>
        </w:rPr>
        <w:t>5</w:t>
      </w:r>
      <w:r w:rsidR="00072840">
        <w:rPr>
          <w:szCs w:val="32"/>
        </w:rPr>
        <w:t xml:space="preserve"> and Table A.3</w:t>
      </w:r>
      <w:r w:rsidR="00F61129">
        <w:rPr>
          <w:szCs w:val="32"/>
        </w:rPr>
        <w:t>.</w:t>
      </w:r>
      <w:r w:rsidR="008B135E">
        <w:t xml:space="preserve">  </w:t>
      </w:r>
      <w:r w:rsidR="008037A0">
        <w:t xml:space="preserve">To best represent the magnitude of LIB metal </w:t>
      </w:r>
      <w:r w:rsidR="00E52740">
        <w:t>leaching into the water</w:t>
      </w:r>
      <w:r w:rsidR="008037A0">
        <w:t>, the XRF results were normalized to the control base values by subtracting out the control base value from the sample results, with the control base values shown in Table A.</w:t>
      </w:r>
      <w:r w:rsidR="00072840">
        <w:t>4</w:t>
      </w:r>
      <w:r w:rsidR="008037A0">
        <w:t xml:space="preserve">.  Figures 4.9 through 4.12 show the normalized concentration for copper, manganese, nickel, and aluminum, respectively.  The line of best fit (solid line) is derived from the </w:t>
      </w:r>
      <w:r w:rsidR="00EF7109">
        <w:t>logistic growth</w:t>
      </w:r>
      <w:r w:rsidR="008037A0">
        <w:t xml:space="preserve"> rate equation, Equation 4.</w:t>
      </w:r>
      <w:r w:rsidR="00E52740">
        <w:t>2</w:t>
      </w:r>
      <w:r w:rsidR="008037A0">
        <w:t xml:space="preserve">, </w:t>
      </w:r>
      <w:r w:rsidR="008037A0">
        <w:lastRenderedPageBreak/>
        <w:t xml:space="preserve">where C is the concentration of the metal, k is the rate constant, </w:t>
      </w:r>
      <w:proofErr w:type="spellStart"/>
      <w:r w:rsidR="008037A0">
        <w:t>t</w:t>
      </w:r>
      <w:proofErr w:type="spellEnd"/>
      <w:r w:rsidR="008037A0">
        <w:t xml:space="preserve"> is time,</w:t>
      </w:r>
      <w:r w:rsidR="00EF7109">
        <w:t xml:space="preserve"> b is the midway point,</w:t>
      </w:r>
      <w:r w:rsidR="008037A0">
        <w:t xml:space="preserve"> and </w:t>
      </w:r>
      <w:r w:rsidR="00E52740">
        <w:t>S</w:t>
      </w:r>
      <w:r w:rsidR="008037A0">
        <w:t xml:space="preserve"> is the </w:t>
      </w:r>
      <w:r w:rsidR="00E52740">
        <w:t>solubility</w:t>
      </w:r>
      <w:r w:rsidR="008037A0">
        <w:t xml:space="preserve"> </w:t>
      </w:r>
      <w:r w:rsidR="0026192E">
        <w:t>limi</w:t>
      </w:r>
      <w:r w:rsidR="00EF7109">
        <w:t>t</w:t>
      </w:r>
      <w:r w:rsidR="00F7779E">
        <w:t>.</w:t>
      </w:r>
      <w:r w:rsidR="002D1143">
        <w:t xml:space="preserve">  A 95% confidence level for the solubility limit was calculated via linear regression.</w:t>
      </w:r>
      <w:r w:rsidR="00F7779E">
        <w:t xml:space="preserve"> </w:t>
      </w:r>
      <w:r w:rsidR="008037A0">
        <w:t xml:space="preserve"> The values for k</w:t>
      </w:r>
      <w:r w:rsidR="004F736C">
        <w:t xml:space="preserve">, </w:t>
      </w:r>
      <w:r w:rsidR="00E52740">
        <w:t>solubility</w:t>
      </w:r>
      <w:r w:rsidR="004F736C">
        <w:t xml:space="preserve"> limit</w:t>
      </w:r>
      <w:r w:rsidR="00B07A19">
        <w:t>, midway point</w:t>
      </w:r>
      <w:r w:rsidR="004F736C">
        <w:t xml:space="preserve">, and 95% confidence level </w:t>
      </w:r>
      <w:r w:rsidR="008037A0">
        <w:t>for each sample group were determined, listed in Table 4.5</w:t>
      </w:r>
      <w:r w:rsidR="003E7AE1">
        <w:t xml:space="preserve">  Non-normalized results are presented in the appendix</w:t>
      </w:r>
      <w:r w:rsidR="0066596C">
        <w:t xml:space="preserve">, </w:t>
      </w:r>
      <w:r w:rsidR="00F61129">
        <w:t xml:space="preserve">figures </w:t>
      </w:r>
      <w:r w:rsidR="0066596C">
        <w:t>A</w:t>
      </w:r>
      <w:r w:rsidR="00560105">
        <w:t>.</w:t>
      </w:r>
      <w:r w:rsidR="00F61129">
        <w:t>6</w:t>
      </w:r>
      <w:r w:rsidR="0066596C">
        <w:t xml:space="preserve"> through A</w:t>
      </w:r>
      <w:r w:rsidR="00560105">
        <w:t>.</w:t>
      </w:r>
      <w:r w:rsidR="00F61129">
        <w:t>9</w:t>
      </w:r>
      <w:r w:rsidR="003E7AE1">
        <w:t>.</w:t>
      </w:r>
      <w:r w:rsidR="00EA7C2A">
        <w:t xml:space="preserve">  The pH of the acidic group increased from the starting pH of 4.53 to approximately a pH of 6 for the time points 20 and 24 weeks.  The pH of the basic group was consistent throughout the entire sample group.</w:t>
      </w:r>
    </w:p>
    <w:p w14:paraId="3B07E9D2" w14:textId="77777777" w:rsidR="00DC358C" w:rsidRPr="003F2960" w:rsidRDefault="00DC358C" w:rsidP="009A56D3">
      <w:pPr>
        <w:jc w:val="both"/>
      </w:pPr>
    </w:p>
    <w:p w14:paraId="1DFC7079" w14:textId="256DC3A8" w:rsidR="002E6851" w:rsidRDefault="00362E98" w:rsidP="009A56D3">
      <w:pPr>
        <w:jc w:val="center"/>
        <w:rPr>
          <w:b/>
          <w:bCs/>
          <w:i/>
          <w:iCs/>
        </w:rPr>
      </w:pPr>
      <w:r>
        <w:rPr>
          <w:b/>
          <w:bCs/>
          <w:i/>
          <w:iCs/>
          <w:noProof/>
        </w:rPr>
        <w:drawing>
          <wp:inline distT="0" distB="0" distL="0" distR="0" wp14:anchorId="15C21A60" wp14:editId="56E7E3CB">
            <wp:extent cx="4572000" cy="274826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pic:spPr>
                </pic:pic>
              </a:graphicData>
            </a:graphic>
          </wp:inline>
        </w:drawing>
      </w:r>
    </w:p>
    <w:p w14:paraId="78738521" w14:textId="626B0716" w:rsidR="002E6851" w:rsidRPr="00E9426A" w:rsidRDefault="000F20E4" w:rsidP="009A56D3">
      <w:pPr>
        <w:pStyle w:val="Caption"/>
        <w:spacing w:after="0" w:line="480" w:lineRule="auto"/>
      </w:pPr>
      <w:bookmarkStart w:id="106" w:name="_Toc69291559"/>
      <w:bookmarkStart w:id="107" w:name="_Toc69352344"/>
      <w:bookmarkStart w:id="108" w:name="_Toc69352526"/>
      <w:bookmarkStart w:id="109" w:name="_Toc71224053"/>
      <w:r w:rsidRPr="00E9426A">
        <w:rPr>
          <w:b/>
          <w:bCs/>
        </w:rPr>
        <w:t>Figure 4</w:t>
      </w:r>
      <w:r w:rsidR="0065637B" w:rsidRPr="00E9426A">
        <w:rPr>
          <w:b/>
          <w:bCs/>
        </w:rPr>
        <w:t>.</w:t>
      </w:r>
      <w:r w:rsidR="0065637B" w:rsidRPr="00E9426A">
        <w:rPr>
          <w:b/>
          <w:bCs/>
        </w:rPr>
        <w:fldChar w:fldCharType="begin"/>
      </w:r>
      <w:r w:rsidR="0065637B" w:rsidRPr="00E9426A">
        <w:rPr>
          <w:b/>
          <w:bCs/>
        </w:rPr>
        <w:instrText xml:space="preserve"> SEQ _ \* ARABIC \s 1 </w:instrText>
      </w:r>
      <w:r w:rsidR="0065637B" w:rsidRPr="00E9426A">
        <w:rPr>
          <w:b/>
          <w:bCs/>
        </w:rPr>
        <w:fldChar w:fldCharType="separate"/>
      </w:r>
      <w:r w:rsidR="007712B4">
        <w:rPr>
          <w:b/>
          <w:bCs/>
          <w:noProof/>
        </w:rPr>
        <w:t>9</w:t>
      </w:r>
      <w:r w:rsidR="0065637B" w:rsidRPr="00E9426A">
        <w:rPr>
          <w:b/>
          <w:bCs/>
        </w:rPr>
        <w:fldChar w:fldCharType="end"/>
      </w:r>
      <w:r w:rsidR="002E6851" w:rsidRPr="00E9426A">
        <w:rPr>
          <w:b/>
          <w:bCs/>
        </w:rPr>
        <w:t>:</w:t>
      </w:r>
      <w:r w:rsidR="002E6851" w:rsidRPr="00E9426A">
        <w:t xml:space="preserve"> Comparison of copper concentration </w:t>
      </w:r>
      <w:r w:rsidR="00541CAB" w:rsidRPr="00E9426A">
        <w:t xml:space="preserve">in water </w:t>
      </w:r>
      <w:r w:rsidR="002E6851" w:rsidRPr="00E9426A">
        <w:t>normalized t</w:t>
      </w:r>
      <w:r w:rsidR="00B975F6" w:rsidRPr="00E9426A">
        <w:t>o</w:t>
      </w:r>
      <w:r w:rsidR="00903FA2" w:rsidRPr="00E9426A">
        <w:t xml:space="preserve"> controls</w:t>
      </w:r>
      <w:r w:rsidR="002E6851" w:rsidRPr="00E9426A">
        <w:t>.</w:t>
      </w:r>
      <w:bookmarkEnd w:id="106"/>
      <w:bookmarkEnd w:id="107"/>
      <w:bookmarkEnd w:id="108"/>
      <w:bookmarkEnd w:id="109"/>
    </w:p>
    <w:p w14:paraId="01BCB020" w14:textId="77777777" w:rsidR="009C7657" w:rsidRPr="00E9426A" w:rsidRDefault="009C7657" w:rsidP="009A56D3"/>
    <w:p w14:paraId="02C74584" w14:textId="1C3CB65D" w:rsidR="002E6851" w:rsidRPr="00E9426A" w:rsidRDefault="00362E98" w:rsidP="009A56D3">
      <w:pPr>
        <w:tabs>
          <w:tab w:val="left" w:pos="4980"/>
        </w:tabs>
        <w:jc w:val="center"/>
      </w:pPr>
      <w:r w:rsidRPr="00E9426A">
        <w:rPr>
          <w:noProof/>
        </w:rPr>
        <w:lastRenderedPageBreak/>
        <w:drawing>
          <wp:inline distT="0" distB="0" distL="0" distR="0" wp14:anchorId="025E6FD9" wp14:editId="788832DA">
            <wp:extent cx="4572000" cy="27482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pic:spPr>
                </pic:pic>
              </a:graphicData>
            </a:graphic>
          </wp:inline>
        </w:drawing>
      </w:r>
    </w:p>
    <w:p w14:paraId="31C29C9D" w14:textId="1A67CC10" w:rsidR="002E6851" w:rsidRDefault="002E6851" w:rsidP="009A56D3">
      <w:pPr>
        <w:pStyle w:val="Caption"/>
        <w:spacing w:after="0" w:line="480" w:lineRule="auto"/>
      </w:pPr>
      <w:bookmarkStart w:id="110" w:name="_Toc69291560"/>
      <w:bookmarkStart w:id="111" w:name="_Toc69352345"/>
      <w:bookmarkStart w:id="112" w:name="_Toc69352527"/>
      <w:bookmarkStart w:id="113" w:name="_Toc71224054"/>
      <w:r w:rsidRPr="00E9426A">
        <w:rPr>
          <w:b/>
          <w:bCs/>
        </w:rPr>
        <w:t xml:space="preserve">Figure </w:t>
      </w:r>
      <w:r w:rsidR="00ED00EF" w:rsidRPr="00E9426A">
        <w:rPr>
          <w:b/>
          <w:bCs/>
        </w:rPr>
        <w:t>4</w:t>
      </w:r>
      <w:r w:rsidR="0065637B" w:rsidRPr="00E9426A">
        <w:rPr>
          <w:b/>
          <w:bCs/>
        </w:rPr>
        <w:t>.</w:t>
      </w:r>
      <w:r w:rsidR="0065637B" w:rsidRPr="00E9426A">
        <w:rPr>
          <w:b/>
          <w:bCs/>
        </w:rPr>
        <w:fldChar w:fldCharType="begin"/>
      </w:r>
      <w:r w:rsidR="0065637B" w:rsidRPr="00E9426A">
        <w:rPr>
          <w:b/>
          <w:bCs/>
        </w:rPr>
        <w:instrText xml:space="preserve"> SEQ _ \* ARABIC \s 1 </w:instrText>
      </w:r>
      <w:r w:rsidR="0065637B" w:rsidRPr="00E9426A">
        <w:rPr>
          <w:b/>
          <w:bCs/>
        </w:rPr>
        <w:fldChar w:fldCharType="separate"/>
      </w:r>
      <w:r w:rsidR="007712B4">
        <w:rPr>
          <w:b/>
          <w:bCs/>
          <w:noProof/>
        </w:rPr>
        <w:t>10</w:t>
      </w:r>
      <w:r w:rsidR="0065637B" w:rsidRPr="00E9426A">
        <w:rPr>
          <w:b/>
          <w:bCs/>
        </w:rPr>
        <w:fldChar w:fldCharType="end"/>
      </w:r>
      <w:r w:rsidR="000F20E4" w:rsidRPr="00E9426A">
        <w:rPr>
          <w:b/>
          <w:bCs/>
        </w:rPr>
        <w:t>:</w:t>
      </w:r>
      <w:r w:rsidR="000F20E4" w:rsidRPr="00E9426A">
        <w:t xml:space="preserve"> </w:t>
      </w:r>
      <w:r w:rsidRPr="00E9426A">
        <w:t xml:space="preserve">Comparison of manganese concentration in </w:t>
      </w:r>
      <w:r w:rsidR="00541CAB" w:rsidRPr="00E9426A">
        <w:t xml:space="preserve">water </w:t>
      </w:r>
      <w:r w:rsidRPr="00E9426A">
        <w:t>normalized to</w:t>
      </w:r>
      <w:r w:rsidR="00903FA2" w:rsidRPr="00E9426A">
        <w:t xml:space="preserve"> controls</w:t>
      </w:r>
      <w:r w:rsidRPr="00E9426A">
        <w:t>.</w:t>
      </w:r>
      <w:bookmarkEnd w:id="110"/>
      <w:bookmarkEnd w:id="111"/>
      <w:bookmarkEnd w:id="112"/>
      <w:bookmarkEnd w:id="113"/>
    </w:p>
    <w:p w14:paraId="640F79E3" w14:textId="77777777" w:rsidR="00C334CD" w:rsidRPr="00C334CD" w:rsidRDefault="00C334CD" w:rsidP="00C334CD"/>
    <w:p w14:paraId="11FF0DB4" w14:textId="383FD522" w:rsidR="002E6851" w:rsidRPr="00E9426A" w:rsidRDefault="00362E98" w:rsidP="00EF7109">
      <w:pPr>
        <w:jc w:val="center"/>
      </w:pPr>
      <w:r w:rsidRPr="00E9426A">
        <w:rPr>
          <w:noProof/>
        </w:rPr>
        <w:drawing>
          <wp:inline distT="0" distB="0" distL="0" distR="0" wp14:anchorId="32889BC9" wp14:editId="74B82831">
            <wp:extent cx="4572000" cy="274826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pic:spPr>
                </pic:pic>
              </a:graphicData>
            </a:graphic>
          </wp:inline>
        </w:drawing>
      </w:r>
    </w:p>
    <w:p w14:paraId="00BD74A2" w14:textId="566117E8" w:rsidR="002E6851" w:rsidRPr="00E9426A" w:rsidRDefault="002E6851" w:rsidP="009A56D3">
      <w:pPr>
        <w:pStyle w:val="Caption"/>
        <w:spacing w:after="0" w:line="480" w:lineRule="auto"/>
      </w:pPr>
      <w:bookmarkStart w:id="114" w:name="_Toc69291561"/>
      <w:bookmarkStart w:id="115" w:name="_Toc69352346"/>
      <w:bookmarkStart w:id="116" w:name="_Toc69352528"/>
      <w:bookmarkStart w:id="117" w:name="_Toc71224055"/>
      <w:r w:rsidRPr="00E9426A">
        <w:rPr>
          <w:b/>
          <w:bCs/>
        </w:rPr>
        <w:t xml:space="preserve">Figure </w:t>
      </w:r>
      <w:r w:rsidR="00ED00EF" w:rsidRPr="00E9426A">
        <w:rPr>
          <w:b/>
          <w:bCs/>
        </w:rPr>
        <w:t>4</w:t>
      </w:r>
      <w:r w:rsidR="0065637B" w:rsidRPr="00E9426A">
        <w:rPr>
          <w:b/>
          <w:bCs/>
        </w:rPr>
        <w:t>.</w:t>
      </w:r>
      <w:r w:rsidR="0065637B" w:rsidRPr="00E9426A">
        <w:rPr>
          <w:b/>
          <w:bCs/>
        </w:rPr>
        <w:fldChar w:fldCharType="begin"/>
      </w:r>
      <w:r w:rsidR="0065637B" w:rsidRPr="00E9426A">
        <w:rPr>
          <w:b/>
          <w:bCs/>
        </w:rPr>
        <w:instrText xml:space="preserve"> SEQ _ \* ARABIC \s 1 </w:instrText>
      </w:r>
      <w:r w:rsidR="0065637B" w:rsidRPr="00E9426A">
        <w:rPr>
          <w:b/>
          <w:bCs/>
        </w:rPr>
        <w:fldChar w:fldCharType="separate"/>
      </w:r>
      <w:r w:rsidR="007712B4">
        <w:rPr>
          <w:b/>
          <w:bCs/>
          <w:noProof/>
        </w:rPr>
        <w:t>11</w:t>
      </w:r>
      <w:r w:rsidR="0065637B" w:rsidRPr="00E9426A">
        <w:rPr>
          <w:b/>
          <w:bCs/>
        </w:rPr>
        <w:fldChar w:fldCharType="end"/>
      </w:r>
      <w:r w:rsidRPr="00E9426A">
        <w:rPr>
          <w:b/>
          <w:bCs/>
        </w:rPr>
        <w:t>:</w:t>
      </w:r>
      <w:r w:rsidRPr="00E9426A">
        <w:t xml:space="preserve"> Comparison of nickel concentration </w:t>
      </w:r>
      <w:r w:rsidR="00541CAB" w:rsidRPr="00E9426A">
        <w:t xml:space="preserve">in water </w:t>
      </w:r>
      <w:r w:rsidRPr="00E9426A">
        <w:t>normalized to control</w:t>
      </w:r>
      <w:r w:rsidR="00903FA2" w:rsidRPr="00E9426A">
        <w:t>s</w:t>
      </w:r>
      <w:r w:rsidRPr="00E9426A">
        <w:t>.</w:t>
      </w:r>
      <w:bookmarkEnd w:id="114"/>
      <w:bookmarkEnd w:id="115"/>
      <w:bookmarkEnd w:id="116"/>
      <w:bookmarkEnd w:id="117"/>
    </w:p>
    <w:p w14:paraId="3977EBEF" w14:textId="77777777" w:rsidR="00BB2295" w:rsidRPr="00E9426A" w:rsidRDefault="00BB2295" w:rsidP="00BB2295"/>
    <w:p w14:paraId="7F300DD7" w14:textId="3BF3B3E1" w:rsidR="002E6851" w:rsidRPr="00E9426A" w:rsidRDefault="00362E98" w:rsidP="009A56D3">
      <w:pPr>
        <w:tabs>
          <w:tab w:val="left" w:pos="4980"/>
        </w:tabs>
        <w:jc w:val="center"/>
      </w:pPr>
      <w:r w:rsidRPr="00E9426A">
        <w:rPr>
          <w:noProof/>
        </w:rPr>
        <w:lastRenderedPageBreak/>
        <w:drawing>
          <wp:inline distT="0" distB="0" distL="0" distR="0" wp14:anchorId="4E746107" wp14:editId="2407E874">
            <wp:extent cx="4572000" cy="274826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pic:spPr>
                </pic:pic>
              </a:graphicData>
            </a:graphic>
          </wp:inline>
        </w:drawing>
      </w:r>
    </w:p>
    <w:p w14:paraId="586A2DA0" w14:textId="52A72095" w:rsidR="00082D26" w:rsidRDefault="002E6851" w:rsidP="009A56D3">
      <w:pPr>
        <w:pStyle w:val="Caption"/>
        <w:spacing w:after="0" w:line="480" w:lineRule="auto"/>
      </w:pPr>
      <w:bookmarkStart w:id="118" w:name="_Toc69291562"/>
      <w:bookmarkStart w:id="119" w:name="_Toc69352347"/>
      <w:bookmarkStart w:id="120" w:name="_Toc69352529"/>
      <w:bookmarkStart w:id="121" w:name="_Toc71224056"/>
      <w:r w:rsidRPr="00E9426A">
        <w:rPr>
          <w:b/>
          <w:bCs/>
        </w:rPr>
        <w:t xml:space="preserve">Figure </w:t>
      </w:r>
      <w:r w:rsidR="00ED00EF" w:rsidRPr="00E9426A">
        <w:rPr>
          <w:b/>
          <w:bCs/>
        </w:rPr>
        <w:t>4</w:t>
      </w:r>
      <w:r w:rsidR="0065637B" w:rsidRPr="00E9426A">
        <w:rPr>
          <w:b/>
          <w:bCs/>
        </w:rPr>
        <w:t>.</w:t>
      </w:r>
      <w:r w:rsidR="0065637B" w:rsidRPr="00E9426A">
        <w:rPr>
          <w:b/>
          <w:bCs/>
        </w:rPr>
        <w:fldChar w:fldCharType="begin"/>
      </w:r>
      <w:r w:rsidR="0065637B" w:rsidRPr="00E9426A">
        <w:rPr>
          <w:b/>
          <w:bCs/>
        </w:rPr>
        <w:instrText xml:space="preserve"> SEQ _ \* ARABIC \s 1 </w:instrText>
      </w:r>
      <w:r w:rsidR="0065637B" w:rsidRPr="00E9426A">
        <w:rPr>
          <w:b/>
          <w:bCs/>
        </w:rPr>
        <w:fldChar w:fldCharType="separate"/>
      </w:r>
      <w:r w:rsidR="007712B4">
        <w:rPr>
          <w:b/>
          <w:bCs/>
          <w:noProof/>
        </w:rPr>
        <w:t>12</w:t>
      </w:r>
      <w:r w:rsidR="0065637B" w:rsidRPr="00E9426A">
        <w:rPr>
          <w:b/>
          <w:bCs/>
        </w:rPr>
        <w:fldChar w:fldCharType="end"/>
      </w:r>
      <w:r w:rsidR="000F20E4" w:rsidRPr="00E9426A">
        <w:rPr>
          <w:b/>
          <w:bCs/>
        </w:rPr>
        <w:t>:</w:t>
      </w:r>
      <w:r w:rsidRPr="00E9426A">
        <w:t xml:space="preserve"> Comparison of aluminum concentration</w:t>
      </w:r>
      <w:r w:rsidR="00541CAB" w:rsidRPr="00E9426A">
        <w:t xml:space="preserve"> in water</w:t>
      </w:r>
      <w:r w:rsidRPr="00E9426A">
        <w:t xml:space="preserve"> normalized </w:t>
      </w:r>
      <w:r w:rsidR="00483B3B" w:rsidRPr="00E9426A">
        <w:t xml:space="preserve">to </w:t>
      </w:r>
      <w:r w:rsidR="00903FA2" w:rsidRPr="00E9426A">
        <w:t>controls</w:t>
      </w:r>
      <w:r w:rsidRPr="00E9426A">
        <w:t>.</w:t>
      </w:r>
      <w:bookmarkEnd w:id="118"/>
      <w:bookmarkEnd w:id="119"/>
      <w:bookmarkEnd w:id="120"/>
      <w:bookmarkEnd w:id="121"/>
    </w:p>
    <w:p w14:paraId="28541A28" w14:textId="67FCC819" w:rsidR="004F129F" w:rsidRDefault="004F129F" w:rsidP="003F021F"/>
    <w:p w14:paraId="288CE86F" w14:textId="435B2A1B" w:rsidR="00E52740" w:rsidRPr="00EF7109" w:rsidRDefault="00E52740" w:rsidP="00E52740">
      <w:pPr>
        <w:tabs>
          <w:tab w:val="center" w:pos="4320"/>
          <w:tab w:val="right" w:pos="9360"/>
        </w:tabs>
        <w:rPr>
          <w:rFonts w:eastAsiaTheme="minorEastAsia" w:cs="Times New Roman"/>
        </w:rPr>
      </w:pPr>
      <w:r w:rsidRPr="00C2233A">
        <w:rPr>
          <w:rFonts w:eastAsiaTheme="minorEastAsia" w:cs="Times New Roman"/>
        </w:rPr>
        <w:tab/>
      </w:r>
      <m:oMath>
        <m:r>
          <w:rPr>
            <w:rFonts w:ascii="Cambria Math" w:eastAsiaTheme="minorEastAsia" w:hAnsi="Cambria Math" w:cs="Times New Roman"/>
          </w:rPr>
          <m:t>C=</m:t>
        </m:r>
        <m:f>
          <m:fPr>
            <m:ctrlPr>
              <w:rPr>
                <w:rFonts w:ascii="Cambria Math" w:eastAsiaTheme="minorEastAsia" w:hAnsi="Cambria Math" w:cs="Times New Roman"/>
                <w:i/>
              </w:rPr>
            </m:ctrlPr>
          </m:fPr>
          <m:num>
            <m:r>
              <w:rPr>
                <w:rFonts w:ascii="Cambria Math" w:eastAsiaTheme="minorEastAsia" w:hAnsi="Cambria Math" w:cs="Times New Roman"/>
              </w:rPr>
              <m:t>S</m:t>
            </m:r>
          </m:num>
          <m:den>
            <m:r>
              <w:rPr>
                <w:rFonts w:ascii="Cambria Math" w:eastAsiaTheme="minorEastAsia" w:hAnsi="Cambria Math" w:cs="Times New Roman"/>
              </w:rPr>
              <m:t>1+b</m:t>
            </m:r>
            <m:sSup>
              <m:sSupPr>
                <m:ctrlPr>
                  <w:rPr>
                    <w:rFonts w:ascii="Cambria Math" w:eastAsiaTheme="minorEastAsia" w:hAnsi="Cambria Math" w:cs="Times New Roman"/>
                    <w:i/>
                  </w:rPr>
                </m:ctrlPr>
              </m:sSupPr>
              <m:e>
                <m:r>
                  <w:rPr>
                    <w:rFonts w:ascii="Cambria Math" w:hAnsi="Cambria Math" w:cs="Times New Roman"/>
                  </w:rPr>
                  <m:t>e</m:t>
                </m:r>
              </m:e>
              <m:sup>
                <m:r>
                  <w:rPr>
                    <w:rFonts w:ascii="Cambria Math" w:hAnsi="Cambria Math" w:cs="Times New Roman"/>
                  </w:rPr>
                  <m:t>-kt</m:t>
                </m:r>
              </m:sup>
            </m:sSup>
          </m:den>
        </m:f>
      </m:oMath>
      <w:r>
        <w:rPr>
          <w:rFonts w:eastAsiaTheme="minorEastAsia" w:cs="Times New Roman"/>
        </w:rPr>
        <w:tab/>
      </w:r>
      <w:r w:rsidRPr="008037A0">
        <w:rPr>
          <w:rFonts w:eastAsiaTheme="minorEastAsia" w:cs="Times New Roman"/>
          <w:b/>
          <w:bCs/>
        </w:rPr>
        <w:t xml:space="preserve">Eq. </w:t>
      </w:r>
      <w:r>
        <w:rPr>
          <w:rFonts w:eastAsiaTheme="minorEastAsia" w:cs="Times New Roman"/>
          <w:b/>
          <w:bCs/>
        </w:rPr>
        <w:t>4</w:t>
      </w:r>
      <w:r w:rsidRPr="00C2233A">
        <w:rPr>
          <w:rFonts w:eastAsiaTheme="minorEastAsia" w:cs="Times New Roman"/>
          <w:b/>
          <w:bCs/>
        </w:rPr>
        <w:t>.</w:t>
      </w:r>
      <w:r>
        <w:rPr>
          <w:rFonts w:eastAsiaTheme="minorEastAsia" w:cs="Times New Roman"/>
          <w:b/>
          <w:bCs/>
        </w:rPr>
        <w:t>2</w:t>
      </w:r>
    </w:p>
    <w:p w14:paraId="05B52308" w14:textId="77777777" w:rsidR="0026192E" w:rsidRPr="00082D26" w:rsidRDefault="0026192E" w:rsidP="003F021F"/>
    <w:p w14:paraId="53869CAD" w14:textId="43FEC6E0" w:rsidR="0026192E" w:rsidRPr="004C696B" w:rsidRDefault="00D83073" w:rsidP="0026192E">
      <w:pPr>
        <w:pStyle w:val="Caption"/>
        <w:spacing w:after="0" w:line="480" w:lineRule="auto"/>
      </w:pPr>
      <w:bookmarkStart w:id="122" w:name="_Toc69351128"/>
      <w:bookmarkStart w:id="123" w:name="_Toc69352378"/>
      <w:bookmarkStart w:id="124" w:name="_Toc69352445"/>
      <w:bookmarkStart w:id="125" w:name="_Toc69412281"/>
      <w:bookmarkStart w:id="126" w:name="_Toc71224035"/>
      <w:r w:rsidRPr="004C696B">
        <w:rPr>
          <w:b/>
          <w:bCs/>
        </w:rPr>
        <w:t xml:space="preserve">Table </w:t>
      </w:r>
      <w:r w:rsidR="00ED00EF" w:rsidRPr="004C696B">
        <w:rPr>
          <w:b/>
          <w:bCs/>
        </w:rPr>
        <w:t>4</w:t>
      </w:r>
      <w:r w:rsidRPr="004C696B">
        <w:rPr>
          <w:b/>
          <w:bCs/>
        </w:rPr>
        <w:t>.</w:t>
      </w:r>
      <w:r w:rsidR="001650CC" w:rsidRPr="004C696B">
        <w:rPr>
          <w:b/>
          <w:bCs/>
        </w:rPr>
        <w:fldChar w:fldCharType="begin"/>
      </w:r>
      <w:r w:rsidR="001650CC" w:rsidRPr="004C696B">
        <w:rPr>
          <w:b/>
          <w:bCs/>
        </w:rPr>
        <w:instrText xml:space="preserve"> SEQ __ \* ARABIC \s 1 </w:instrText>
      </w:r>
      <w:r w:rsidR="001650CC" w:rsidRPr="004C696B">
        <w:rPr>
          <w:b/>
          <w:bCs/>
        </w:rPr>
        <w:fldChar w:fldCharType="separate"/>
      </w:r>
      <w:r w:rsidR="007712B4">
        <w:rPr>
          <w:b/>
          <w:bCs/>
          <w:noProof/>
        </w:rPr>
        <w:t>5</w:t>
      </w:r>
      <w:r w:rsidR="001650CC" w:rsidRPr="004C696B">
        <w:rPr>
          <w:b/>
          <w:bCs/>
        </w:rPr>
        <w:fldChar w:fldCharType="end"/>
      </w:r>
      <w:r w:rsidRPr="004C696B">
        <w:rPr>
          <w:b/>
          <w:bCs/>
        </w:rPr>
        <w:t>:</w:t>
      </w:r>
      <w:r w:rsidRPr="004C696B">
        <w:t xml:space="preserve"> </w:t>
      </w:r>
      <w:bookmarkEnd w:id="122"/>
      <w:bookmarkEnd w:id="123"/>
      <w:bookmarkEnd w:id="124"/>
      <w:bookmarkEnd w:id="125"/>
      <w:r w:rsidR="005924EB" w:rsidRPr="004C696B">
        <w:t>Logistic growth</w:t>
      </w:r>
      <w:r w:rsidR="0026192E" w:rsidRPr="004C696B">
        <w:t xml:space="preserve"> rate constant, k, and solubility limit, S,</w:t>
      </w:r>
      <w:r w:rsidR="00293F63" w:rsidRPr="004C696B">
        <w:t xml:space="preserve"> and midway point, b,</w:t>
      </w:r>
      <w:r w:rsidR="0026192E" w:rsidRPr="004C696B">
        <w:t xml:space="preserve"> of LIB metals into acidic and basic water.</w:t>
      </w:r>
      <w:bookmarkEnd w:id="126"/>
    </w:p>
    <w:tbl>
      <w:tblPr>
        <w:tblW w:w="7840" w:type="dxa"/>
        <w:jc w:val="center"/>
        <w:tblLook w:val="04A0" w:firstRow="1" w:lastRow="0" w:firstColumn="1" w:lastColumn="0" w:noHBand="0" w:noVBand="1"/>
      </w:tblPr>
      <w:tblGrid>
        <w:gridCol w:w="2492"/>
        <w:gridCol w:w="1127"/>
        <w:gridCol w:w="959"/>
        <w:gridCol w:w="1668"/>
        <w:gridCol w:w="1594"/>
      </w:tblGrid>
      <w:tr w:rsidR="00B01433" w:rsidRPr="00B01433" w14:paraId="2168BE15" w14:textId="77777777" w:rsidTr="00B01433">
        <w:trPr>
          <w:trHeight w:val="312"/>
          <w:jc w:val="center"/>
        </w:trPr>
        <w:tc>
          <w:tcPr>
            <w:tcW w:w="7840" w:type="dxa"/>
            <w:gridSpan w:val="5"/>
            <w:tcBorders>
              <w:top w:val="nil"/>
              <w:left w:val="nil"/>
              <w:bottom w:val="single" w:sz="4" w:space="0" w:color="auto"/>
              <w:right w:val="nil"/>
            </w:tcBorders>
            <w:shd w:val="clear" w:color="auto" w:fill="auto"/>
            <w:noWrap/>
            <w:vAlign w:val="center"/>
            <w:hideMark/>
          </w:tcPr>
          <w:p w14:paraId="61FF7CEF"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Rate Constant (k), Solubility Limit (S) and Midway Point (b)</w:t>
            </w:r>
          </w:p>
        </w:tc>
      </w:tr>
      <w:tr w:rsidR="00B01433" w:rsidRPr="00B01433" w14:paraId="7ACF4E23" w14:textId="77777777" w:rsidTr="00B01433">
        <w:trPr>
          <w:trHeight w:val="312"/>
          <w:jc w:val="center"/>
        </w:trPr>
        <w:tc>
          <w:tcPr>
            <w:tcW w:w="2492" w:type="dxa"/>
            <w:tcBorders>
              <w:top w:val="nil"/>
              <w:left w:val="nil"/>
              <w:bottom w:val="single" w:sz="4" w:space="0" w:color="auto"/>
              <w:right w:val="single" w:sz="4" w:space="0" w:color="auto"/>
            </w:tcBorders>
            <w:shd w:val="clear" w:color="auto" w:fill="auto"/>
            <w:noWrap/>
            <w:vAlign w:val="center"/>
            <w:hideMark/>
          </w:tcPr>
          <w:p w14:paraId="4A50FCA0"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 </w:t>
            </w:r>
          </w:p>
        </w:tc>
        <w:tc>
          <w:tcPr>
            <w:tcW w:w="1127" w:type="dxa"/>
            <w:tcBorders>
              <w:top w:val="nil"/>
              <w:left w:val="nil"/>
              <w:bottom w:val="single" w:sz="4" w:space="0" w:color="auto"/>
              <w:right w:val="nil"/>
            </w:tcBorders>
            <w:shd w:val="clear" w:color="auto" w:fill="auto"/>
            <w:noWrap/>
            <w:vAlign w:val="center"/>
            <w:hideMark/>
          </w:tcPr>
          <w:p w14:paraId="1FF86D87"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Copper</w:t>
            </w:r>
          </w:p>
        </w:tc>
        <w:tc>
          <w:tcPr>
            <w:tcW w:w="959" w:type="dxa"/>
            <w:tcBorders>
              <w:top w:val="nil"/>
              <w:left w:val="nil"/>
              <w:bottom w:val="single" w:sz="4" w:space="0" w:color="auto"/>
              <w:right w:val="nil"/>
            </w:tcBorders>
            <w:shd w:val="clear" w:color="auto" w:fill="auto"/>
            <w:noWrap/>
            <w:vAlign w:val="center"/>
            <w:hideMark/>
          </w:tcPr>
          <w:p w14:paraId="188EA0FF"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Nickel</w:t>
            </w:r>
          </w:p>
        </w:tc>
        <w:tc>
          <w:tcPr>
            <w:tcW w:w="1668" w:type="dxa"/>
            <w:tcBorders>
              <w:top w:val="nil"/>
              <w:left w:val="nil"/>
              <w:bottom w:val="single" w:sz="4" w:space="0" w:color="auto"/>
              <w:right w:val="nil"/>
            </w:tcBorders>
            <w:shd w:val="clear" w:color="auto" w:fill="auto"/>
            <w:noWrap/>
            <w:vAlign w:val="center"/>
            <w:hideMark/>
          </w:tcPr>
          <w:p w14:paraId="32C31F05"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Manganese</w:t>
            </w:r>
          </w:p>
        </w:tc>
        <w:tc>
          <w:tcPr>
            <w:tcW w:w="1594" w:type="dxa"/>
            <w:tcBorders>
              <w:top w:val="nil"/>
              <w:left w:val="nil"/>
              <w:bottom w:val="single" w:sz="4" w:space="0" w:color="auto"/>
              <w:right w:val="nil"/>
            </w:tcBorders>
            <w:shd w:val="clear" w:color="auto" w:fill="auto"/>
            <w:noWrap/>
            <w:vAlign w:val="center"/>
            <w:hideMark/>
          </w:tcPr>
          <w:p w14:paraId="0289C821"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Aluminum</w:t>
            </w:r>
          </w:p>
        </w:tc>
      </w:tr>
      <w:tr w:rsidR="00B01433" w:rsidRPr="00B01433" w14:paraId="75BEA0BD"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7DF57EBD"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k</w:t>
            </w:r>
          </w:p>
        </w:tc>
        <w:tc>
          <w:tcPr>
            <w:tcW w:w="1127" w:type="dxa"/>
            <w:tcBorders>
              <w:top w:val="nil"/>
              <w:left w:val="nil"/>
              <w:bottom w:val="nil"/>
              <w:right w:val="nil"/>
            </w:tcBorders>
            <w:shd w:val="clear" w:color="auto" w:fill="auto"/>
            <w:noWrap/>
            <w:vAlign w:val="center"/>
            <w:hideMark/>
          </w:tcPr>
          <w:p w14:paraId="4E0C0A53"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0.236</w:t>
            </w:r>
          </w:p>
        </w:tc>
        <w:tc>
          <w:tcPr>
            <w:tcW w:w="959" w:type="dxa"/>
            <w:tcBorders>
              <w:top w:val="nil"/>
              <w:left w:val="nil"/>
              <w:bottom w:val="nil"/>
              <w:right w:val="nil"/>
            </w:tcBorders>
            <w:shd w:val="clear" w:color="auto" w:fill="auto"/>
            <w:noWrap/>
            <w:vAlign w:val="center"/>
            <w:hideMark/>
          </w:tcPr>
          <w:p w14:paraId="3EF5011F"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0.236</w:t>
            </w:r>
          </w:p>
        </w:tc>
        <w:tc>
          <w:tcPr>
            <w:tcW w:w="1668" w:type="dxa"/>
            <w:tcBorders>
              <w:top w:val="nil"/>
              <w:left w:val="nil"/>
              <w:bottom w:val="nil"/>
              <w:right w:val="nil"/>
            </w:tcBorders>
            <w:shd w:val="clear" w:color="auto" w:fill="auto"/>
            <w:noWrap/>
            <w:vAlign w:val="center"/>
            <w:hideMark/>
          </w:tcPr>
          <w:p w14:paraId="5838DC79"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0.236</w:t>
            </w:r>
          </w:p>
        </w:tc>
        <w:tc>
          <w:tcPr>
            <w:tcW w:w="1594" w:type="dxa"/>
            <w:tcBorders>
              <w:top w:val="nil"/>
              <w:left w:val="nil"/>
              <w:bottom w:val="nil"/>
              <w:right w:val="nil"/>
            </w:tcBorders>
            <w:shd w:val="clear" w:color="auto" w:fill="auto"/>
            <w:noWrap/>
            <w:vAlign w:val="center"/>
            <w:hideMark/>
          </w:tcPr>
          <w:p w14:paraId="186F0279"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0.236</w:t>
            </w:r>
          </w:p>
        </w:tc>
      </w:tr>
      <w:tr w:rsidR="00B01433" w:rsidRPr="00B01433" w14:paraId="0EFE7523"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2D296920"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Acidic S (mg/L)</w:t>
            </w:r>
          </w:p>
        </w:tc>
        <w:tc>
          <w:tcPr>
            <w:tcW w:w="1127" w:type="dxa"/>
            <w:tcBorders>
              <w:top w:val="nil"/>
              <w:left w:val="nil"/>
              <w:bottom w:val="nil"/>
              <w:right w:val="nil"/>
            </w:tcBorders>
            <w:shd w:val="clear" w:color="auto" w:fill="auto"/>
            <w:noWrap/>
            <w:vAlign w:val="center"/>
            <w:hideMark/>
          </w:tcPr>
          <w:p w14:paraId="28B2AAD9"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0.802</w:t>
            </w:r>
          </w:p>
        </w:tc>
        <w:tc>
          <w:tcPr>
            <w:tcW w:w="959" w:type="dxa"/>
            <w:tcBorders>
              <w:top w:val="nil"/>
              <w:left w:val="nil"/>
              <w:bottom w:val="nil"/>
              <w:right w:val="nil"/>
            </w:tcBorders>
            <w:shd w:val="clear" w:color="auto" w:fill="auto"/>
            <w:noWrap/>
            <w:vAlign w:val="center"/>
            <w:hideMark/>
          </w:tcPr>
          <w:p w14:paraId="6950FF7A"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1.127</w:t>
            </w:r>
          </w:p>
        </w:tc>
        <w:tc>
          <w:tcPr>
            <w:tcW w:w="1668" w:type="dxa"/>
            <w:tcBorders>
              <w:top w:val="nil"/>
              <w:left w:val="nil"/>
              <w:bottom w:val="nil"/>
              <w:right w:val="nil"/>
            </w:tcBorders>
            <w:shd w:val="clear" w:color="auto" w:fill="auto"/>
            <w:noWrap/>
            <w:vAlign w:val="center"/>
            <w:hideMark/>
          </w:tcPr>
          <w:p w14:paraId="6365D172"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0.557</w:t>
            </w:r>
          </w:p>
        </w:tc>
        <w:tc>
          <w:tcPr>
            <w:tcW w:w="1594" w:type="dxa"/>
            <w:tcBorders>
              <w:top w:val="nil"/>
              <w:left w:val="nil"/>
              <w:bottom w:val="nil"/>
              <w:right w:val="nil"/>
            </w:tcBorders>
            <w:shd w:val="clear" w:color="auto" w:fill="auto"/>
            <w:noWrap/>
            <w:vAlign w:val="center"/>
            <w:hideMark/>
          </w:tcPr>
          <w:p w14:paraId="5420F25B"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1.596</w:t>
            </w:r>
          </w:p>
        </w:tc>
      </w:tr>
      <w:tr w:rsidR="00B01433" w:rsidRPr="00B01433" w14:paraId="6D2D71EC"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52E07EA7"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Acidic b (Weeks)</w:t>
            </w:r>
          </w:p>
        </w:tc>
        <w:tc>
          <w:tcPr>
            <w:tcW w:w="1127" w:type="dxa"/>
            <w:tcBorders>
              <w:top w:val="nil"/>
              <w:left w:val="nil"/>
              <w:bottom w:val="nil"/>
              <w:right w:val="nil"/>
            </w:tcBorders>
            <w:shd w:val="clear" w:color="auto" w:fill="auto"/>
            <w:noWrap/>
            <w:vAlign w:val="center"/>
            <w:hideMark/>
          </w:tcPr>
          <w:p w14:paraId="0967BCB0"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10</w:t>
            </w:r>
          </w:p>
        </w:tc>
        <w:tc>
          <w:tcPr>
            <w:tcW w:w="959" w:type="dxa"/>
            <w:tcBorders>
              <w:top w:val="nil"/>
              <w:left w:val="nil"/>
              <w:bottom w:val="nil"/>
              <w:right w:val="nil"/>
            </w:tcBorders>
            <w:shd w:val="clear" w:color="auto" w:fill="auto"/>
            <w:noWrap/>
            <w:vAlign w:val="center"/>
            <w:hideMark/>
          </w:tcPr>
          <w:p w14:paraId="6BBE749E"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14</w:t>
            </w:r>
          </w:p>
        </w:tc>
        <w:tc>
          <w:tcPr>
            <w:tcW w:w="1668" w:type="dxa"/>
            <w:tcBorders>
              <w:top w:val="nil"/>
              <w:left w:val="nil"/>
              <w:bottom w:val="nil"/>
              <w:right w:val="nil"/>
            </w:tcBorders>
            <w:shd w:val="clear" w:color="auto" w:fill="auto"/>
            <w:noWrap/>
            <w:vAlign w:val="center"/>
            <w:hideMark/>
          </w:tcPr>
          <w:p w14:paraId="048CB296"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10</w:t>
            </w:r>
          </w:p>
        </w:tc>
        <w:tc>
          <w:tcPr>
            <w:tcW w:w="1594" w:type="dxa"/>
            <w:tcBorders>
              <w:top w:val="nil"/>
              <w:left w:val="nil"/>
              <w:bottom w:val="nil"/>
              <w:right w:val="nil"/>
            </w:tcBorders>
            <w:shd w:val="clear" w:color="auto" w:fill="auto"/>
            <w:noWrap/>
            <w:vAlign w:val="center"/>
            <w:hideMark/>
          </w:tcPr>
          <w:p w14:paraId="24ABC83C"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10</w:t>
            </w:r>
          </w:p>
        </w:tc>
      </w:tr>
      <w:tr w:rsidR="00B01433" w:rsidRPr="00B01433" w14:paraId="0B764A24"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0378598F"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Acidic C.L.</w:t>
            </w:r>
          </w:p>
        </w:tc>
        <w:tc>
          <w:tcPr>
            <w:tcW w:w="1127" w:type="dxa"/>
            <w:tcBorders>
              <w:top w:val="nil"/>
              <w:left w:val="nil"/>
              <w:bottom w:val="nil"/>
              <w:right w:val="nil"/>
            </w:tcBorders>
            <w:shd w:val="clear" w:color="auto" w:fill="auto"/>
            <w:noWrap/>
            <w:vAlign w:val="bottom"/>
            <w:hideMark/>
          </w:tcPr>
          <w:p w14:paraId="3B1068F0"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0.050</w:t>
            </w:r>
          </w:p>
        </w:tc>
        <w:tc>
          <w:tcPr>
            <w:tcW w:w="959" w:type="dxa"/>
            <w:tcBorders>
              <w:top w:val="nil"/>
              <w:left w:val="nil"/>
              <w:bottom w:val="nil"/>
              <w:right w:val="nil"/>
            </w:tcBorders>
            <w:shd w:val="clear" w:color="auto" w:fill="auto"/>
            <w:noWrap/>
            <w:vAlign w:val="bottom"/>
            <w:hideMark/>
          </w:tcPr>
          <w:p w14:paraId="7F969C8B"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0.107</w:t>
            </w:r>
          </w:p>
        </w:tc>
        <w:tc>
          <w:tcPr>
            <w:tcW w:w="1668" w:type="dxa"/>
            <w:tcBorders>
              <w:top w:val="nil"/>
              <w:left w:val="nil"/>
              <w:bottom w:val="nil"/>
              <w:right w:val="nil"/>
            </w:tcBorders>
            <w:shd w:val="clear" w:color="auto" w:fill="auto"/>
            <w:noWrap/>
            <w:vAlign w:val="bottom"/>
            <w:hideMark/>
          </w:tcPr>
          <w:p w14:paraId="50008D23"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0.042</w:t>
            </w:r>
          </w:p>
        </w:tc>
        <w:tc>
          <w:tcPr>
            <w:tcW w:w="1594" w:type="dxa"/>
            <w:tcBorders>
              <w:top w:val="nil"/>
              <w:left w:val="nil"/>
              <w:bottom w:val="nil"/>
              <w:right w:val="nil"/>
            </w:tcBorders>
            <w:shd w:val="clear" w:color="auto" w:fill="auto"/>
            <w:noWrap/>
            <w:vAlign w:val="bottom"/>
            <w:hideMark/>
          </w:tcPr>
          <w:p w14:paraId="40334F4E"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0.192</w:t>
            </w:r>
          </w:p>
        </w:tc>
      </w:tr>
      <w:tr w:rsidR="00B01433" w:rsidRPr="00B01433" w14:paraId="2D7A6C70"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540702A5"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Basic S (mg/L)</w:t>
            </w:r>
          </w:p>
        </w:tc>
        <w:tc>
          <w:tcPr>
            <w:tcW w:w="1127" w:type="dxa"/>
            <w:tcBorders>
              <w:top w:val="nil"/>
              <w:left w:val="nil"/>
              <w:bottom w:val="nil"/>
              <w:right w:val="nil"/>
            </w:tcBorders>
            <w:shd w:val="clear" w:color="auto" w:fill="auto"/>
            <w:noWrap/>
            <w:vAlign w:val="center"/>
            <w:hideMark/>
          </w:tcPr>
          <w:p w14:paraId="2BFD5D4B"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0.173</w:t>
            </w:r>
          </w:p>
        </w:tc>
        <w:tc>
          <w:tcPr>
            <w:tcW w:w="959" w:type="dxa"/>
            <w:tcBorders>
              <w:top w:val="nil"/>
              <w:left w:val="nil"/>
              <w:bottom w:val="nil"/>
              <w:right w:val="nil"/>
            </w:tcBorders>
            <w:shd w:val="clear" w:color="auto" w:fill="auto"/>
            <w:noWrap/>
            <w:vAlign w:val="center"/>
            <w:hideMark/>
          </w:tcPr>
          <w:p w14:paraId="31F0C88F"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0.058</w:t>
            </w:r>
          </w:p>
        </w:tc>
        <w:tc>
          <w:tcPr>
            <w:tcW w:w="1668" w:type="dxa"/>
            <w:tcBorders>
              <w:top w:val="nil"/>
              <w:left w:val="nil"/>
              <w:bottom w:val="nil"/>
              <w:right w:val="nil"/>
            </w:tcBorders>
            <w:shd w:val="clear" w:color="auto" w:fill="auto"/>
            <w:noWrap/>
            <w:vAlign w:val="center"/>
            <w:hideMark/>
          </w:tcPr>
          <w:p w14:paraId="7D4AE645"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0.216</w:t>
            </w:r>
          </w:p>
        </w:tc>
        <w:tc>
          <w:tcPr>
            <w:tcW w:w="1594" w:type="dxa"/>
            <w:tcBorders>
              <w:top w:val="nil"/>
              <w:left w:val="nil"/>
              <w:bottom w:val="nil"/>
              <w:right w:val="nil"/>
            </w:tcBorders>
            <w:shd w:val="clear" w:color="auto" w:fill="auto"/>
            <w:noWrap/>
            <w:vAlign w:val="center"/>
            <w:hideMark/>
          </w:tcPr>
          <w:p w14:paraId="3D70DA7B"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3.604</w:t>
            </w:r>
          </w:p>
        </w:tc>
      </w:tr>
      <w:tr w:rsidR="00B01433" w:rsidRPr="00B01433" w14:paraId="2CB6C24C"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4C9ED0AA"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Basic b (Weeks)</w:t>
            </w:r>
          </w:p>
        </w:tc>
        <w:tc>
          <w:tcPr>
            <w:tcW w:w="1127" w:type="dxa"/>
            <w:tcBorders>
              <w:top w:val="nil"/>
              <w:left w:val="nil"/>
              <w:bottom w:val="nil"/>
              <w:right w:val="nil"/>
            </w:tcBorders>
            <w:shd w:val="clear" w:color="auto" w:fill="auto"/>
            <w:noWrap/>
            <w:vAlign w:val="center"/>
            <w:hideMark/>
          </w:tcPr>
          <w:p w14:paraId="03B7EAA5"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5</w:t>
            </w:r>
          </w:p>
        </w:tc>
        <w:tc>
          <w:tcPr>
            <w:tcW w:w="959" w:type="dxa"/>
            <w:tcBorders>
              <w:top w:val="nil"/>
              <w:left w:val="nil"/>
              <w:bottom w:val="nil"/>
              <w:right w:val="nil"/>
            </w:tcBorders>
            <w:shd w:val="clear" w:color="auto" w:fill="auto"/>
            <w:noWrap/>
            <w:vAlign w:val="center"/>
            <w:hideMark/>
          </w:tcPr>
          <w:p w14:paraId="41B16A19"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2</w:t>
            </w:r>
          </w:p>
        </w:tc>
        <w:tc>
          <w:tcPr>
            <w:tcW w:w="1668" w:type="dxa"/>
            <w:tcBorders>
              <w:top w:val="nil"/>
              <w:left w:val="nil"/>
              <w:bottom w:val="nil"/>
              <w:right w:val="nil"/>
            </w:tcBorders>
            <w:shd w:val="clear" w:color="auto" w:fill="auto"/>
            <w:noWrap/>
            <w:vAlign w:val="center"/>
            <w:hideMark/>
          </w:tcPr>
          <w:p w14:paraId="4E4016B9"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7</w:t>
            </w:r>
          </w:p>
        </w:tc>
        <w:tc>
          <w:tcPr>
            <w:tcW w:w="1594" w:type="dxa"/>
            <w:tcBorders>
              <w:top w:val="nil"/>
              <w:left w:val="nil"/>
              <w:bottom w:val="nil"/>
              <w:right w:val="nil"/>
            </w:tcBorders>
            <w:shd w:val="clear" w:color="auto" w:fill="auto"/>
            <w:noWrap/>
            <w:vAlign w:val="center"/>
            <w:hideMark/>
          </w:tcPr>
          <w:p w14:paraId="0BB4A8A7"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10</w:t>
            </w:r>
          </w:p>
        </w:tc>
      </w:tr>
      <w:tr w:rsidR="00B01433" w:rsidRPr="00B01433" w14:paraId="5A18DE5F" w14:textId="77777777" w:rsidTr="00B01433">
        <w:trPr>
          <w:trHeight w:val="312"/>
          <w:jc w:val="center"/>
        </w:trPr>
        <w:tc>
          <w:tcPr>
            <w:tcW w:w="2492" w:type="dxa"/>
            <w:tcBorders>
              <w:top w:val="nil"/>
              <w:left w:val="nil"/>
              <w:bottom w:val="nil"/>
              <w:right w:val="single" w:sz="4" w:space="0" w:color="auto"/>
            </w:tcBorders>
            <w:shd w:val="clear" w:color="auto" w:fill="auto"/>
            <w:noWrap/>
            <w:vAlign w:val="center"/>
            <w:hideMark/>
          </w:tcPr>
          <w:p w14:paraId="7A4896DA" w14:textId="77777777" w:rsidR="00B01433" w:rsidRPr="00B01433" w:rsidRDefault="00B01433" w:rsidP="00B01433">
            <w:pPr>
              <w:spacing w:line="240" w:lineRule="auto"/>
              <w:jc w:val="center"/>
              <w:rPr>
                <w:rFonts w:eastAsia="Times New Roman" w:cs="Times New Roman"/>
                <w:b/>
                <w:bCs/>
                <w:color w:val="000000"/>
                <w:szCs w:val="24"/>
              </w:rPr>
            </w:pPr>
            <w:r w:rsidRPr="00B01433">
              <w:rPr>
                <w:rFonts w:eastAsia="Times New Roman" w:cs="Times New Roman"/>
                <w:b/>
                <w:bCs/>
                <w:color w:val="000000"/>
                <w:szCs w:val="24"/>
              </w:rPr>
              <w:t>Basic C.L.</w:t>
            </w:r>
          </w:p>
        </w:tc>
        <w:tc>
          <w:tcPr>
            <w:tcW w:w="1127" w:type="dxa"/>
            <w:tcBorders>
              <w:top w:val="nil"/>
              <w:left w:val="nil"/>
              <w:bottom w:val="nil"/>
              <w:right w:val="nil"/>
            </w:tcBorders>
            <w:shd w:val="clear" w:color="auto" w:fill="auto"/>
            <w:noWrap/>
            <w:vAlign w:val="bottom"/>
            <w:hideMark/>
          </w:tcPr>
          <w:p w14:paraId="4DD020B5"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0.015</w:t>
            </w:r>
          </w:p>
        </w:tc>
        <w:tc>
          <w:tcPr>
            <w:tcW w:w="959" w:type="dxa"/>
            <w:tcBorders>
              <w:top w:val="nil"/>
              <w:left w:val="nil"/>
              <w:bottom w:val="nil"/>
              <w:right w:val="nil"/>
            </w:tcBorders>
            <w:shd w:val="clear" w:color="auto" w:fill="auto"/>
            <w:noWrap/>
            <w:vAlign w:val="bottom"/>
            <w:hideMark/>
          </w:tcPr>
          <w:p w14:paraId="44838ECE"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0.009</w:t>
            </w:r>
          </w:p>
        </w:tc>
        <w:tc>
          <w:tcPr>
            <w:tcW w:w="1668" w:type="dxa"/>
            <w:tcBorders>
              <w:top w:val="nil"/>
              <w:left w:val="nil"/>
              <w:bottom w:val="nil"/>
              <w:right w:val="nil"/>
            </w:tcBorders>
            <w:shd w:val="clear" w:color="auto" w:fill="auto"/>
            <w:noWrap/>
            <w:vAlign w:val="bottom"/>
            <w:hideMark/>
          </w:tcPr>
          <w:p w14:paraId="060A4084"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0.018</w:t>
            </w:r>
          </w:p>
        </w:tc>
        <w:tc>
          <w:tcPr>
            <w:tcW w:w="1594" w:type="dxa"/>
            <w:tcBorders>
              <w:top w:val="nil"/>
              <w:left w:val="nil"/>
              <w:bottom w:val="nil"/>
              <w:right w:val="nil"/>
            </w:tcBorders>
            <w:shd w:val="clear" w:color="auto" w:fill="auto"/>
            <w:noWrap/>
            <w:vAlign w:val="bottom"/>
            <w:hideMark/>
          </w:tcPr>
          <w:p w14:paraId="5259CCF6" w14:textId="77777777" w:rsidR="00B01433" w:rsidRPr="00B01433" w:rsidRDefault="00B01433" w:rsidP="00B01433">
            <w:pPr>
              <w:spacing w:line="240" w:lineRule="auto"/>
              <w:jc w:val="center"/>
              <w:rPr>
                <w:rFonts w:eastAsia="Times New Roman" w:cs="Times New Roman"/>
                <w:color w:val="000000"/>
                <w:szCs w:val="24"/>
              </w:rPr>
            </w:pPr>
            <w:r w:rsidRPr="00B01433">
              <w:rPr>
                <w:rFonts w:eastAsia="Times New Roman" w:cs="Times New Roman"/>
                <w:color w:val="000000"/>
                <w:szCs w:val="24"/>
              </w:rPr>
              <w:t>0.314</w:t>
            </w:r>
          </w:p>
        </w:tc>
      </w:tr>
    </w:tbl>
    <w:p w14:paraId="722B80B6" w14:textId="77777777" w:rsidR="00F7779E" w:rsidRPr="00084CF6" w:rsidRDefault="00F7779E" w:rsidP="00D83073">
      <w:pPr>
        <w:jc w:val="center"/>
      </w:pPr>
    </w:p>
    <w:p w14:paraId="0614733C" w14:textId="2DC55C72" w:rsidR="00082D26" w:rsidRDefault="002E6851" w:rsidP="00082D26">
      <w:pPr>
        <w:ind w:firstLine="720"/>
        <w:jc w:val="both"/>
      </w:pPr>
      <w:r>
        <w:t xml:space="preserve">The Shapiro-Wilk Test for normality results for copper, nickel, manganese, and aluminum in acidic </w:t>
      </w:r>
      <w:r w:rsidR="00903FA2">
        <w:t xml:space="preserve">water </w:t>
      </w:r>
      <w:r>
        <w:t xml:space="preserve">and basic </w:t>
      </w:r>
      <w:r w:rsidR="00903FA2">
        <w:t>water</w:t>
      </w:r>
      <w:r>
        <w:t xml:space="preserve"> are in Tables </w:t>
      </w:r>
      <w:r w:rsidR="00ED00EF">
        <w:t>4</w:t>
      </w:r>
      <w:r>
        <w:t>.</w:t>
      </w:r>
      <w:r w:rsidR="007A0CAC">
        <w:t>5</w:t>
      </w:r>
      <w:r>
        <w:t xml:space="preserve"> and </w:t>
      </w:r>
      <w:r w:rsidR="00ED00EF">
        <w:t>4</w:t>
      </w:r>
      <w:r>
        <w:t>.</w:t>
      </w:r>
      <w:r w:rsidR="007A0CAC">
        <w:t>6</w:t>
      </w:r>
      <w:r>
        <w:t xml:space="preserve">, respectively. </w:t>
      </w:r>
      <w:r w:rsidR="00B16063">
        <w:t xml:space="preserve"> The only sample group that rejects the null hypothesis is copper at 12 weeks in the acidic </w:t>
      </w:r>
      <w:r w:rsidR="00541CAB">
        <w:t>water</w:t>
      </w:r>
      <w:r w:rsidR="00B16063">
        <w:t>.</w:t>
      </w:r>
    </w:p>
    <w:p w14:paraId="4089E455" w14:textId="77777777" w:rsidR="00200132" w:rsidRDefault="00200132" w:rsidP="00082D26">
      <w:pPr>
        <w:ind w:firstLine="720"/>
        <w:jc w:val="both"/>
      </w:pPr>
    </w:p>
    <w:p w14:paraId="77FAD5F4" w14:textId="7FEA5383" w:rsidR="002E6851" w:rsidRDefault="002E6851" w:rsidP="001650CC">
      <w:pPr>
        <w:pStyle w:val="Caption"/>
        <w:spacing w:after="0" w:line="480" w:lineRule="auto"/>
      </w:pPr>
      <w:bookmarkStart w:id="127" w:name="_Toc69351129"/>
      <w:bookmarkStart w:id="128" w:name="_Toc69352370"/>
      <w:bookmarkStart w:id="129" w:name="_Toc69352431"/>
      <w:bookmarkStart w:id="130" w:name="_Toc69412282"/>
      <w:bookmarkStart w:id="131" w:name="_Toc71224036"/>
      <w:r w:rsidRPr="008B135E">
        <w:rPr>
          <w:b/>
          <w:bCs/>
        </w:rPr>
        <w:t xml:space="preserve">Table </w:t>
      </w:r>
      <w:r w:rsidR="00ED00EF">
        <w:rPr>
          <w:b/>
          <w:bCs/>
        </w:rPr>
        <w:t>4</w:t>
      </w:r>
      <w:r w:rsidRPr="008B135E">
        <w:rPr>
          <w:b/>
          <w:bCs/>
        </w:rPr>
        <w:t>.</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6</w:t>
      </w:r>
      <w:r w:rsidR="001650CC" w:rsidRPr="001650CC">
        <w:rPr>
          <w:b/>
          <w:bCs/>
        </w:rPr>
        <w:fldChar w:fldCharType="end"/>
      </w:r>
      <w:r w:rsidRPr="008B135E">
        <w:rPr>
          <w:b/>
          <w:bCs/>
        </w:rPr>
        <w:t>:</w:t>
      </w:r>
      <w:r>
        <w:t xml:space="preserve"> Shapiro-Wilk Test for </w:t>
      </w:r>
      <w:r w:rsidR="00DF427B">
        <w:t xml:space="preserve">each metal </w:t>
      </w:r>
      <w:r>
        <w:t xml:space="preserve">in acidic </w:t>
      </w:r>
      <w:r w:rsidR="00903FA2">
        <w:t>water</w:t>
      </w:r>
      <w:r w:rsidR="007254DE">
        <w:t xml:space="preserve"> over 24 weeks</w:t>
      </w:r>
      <w:r w:rsidR="00DF427B">
        <w:t>, bolded value is a rejection of the null hypothesis</w:t>
      </w:r>
      <w:r w:rsidR="00B16063">
        <w:t>.</w:t>
      </w:r>
      <w:bookmarkEnd w:id="127"/>
      <w:bookmarkEnd w:id="128"/>
      <w:bookmarkEnd w:id="129"/>
      <w:bookmarkEnd w:id="130"/>
      <w:bookmarkEnd w:id="131"/>
    </w:p>
    <w:tbl>
      <w:tblPr>
        <w:tblW w:w="6400" w:type="dxa"/>
        <w:jc w:val="center"/>
        <w:tblLook w:val="04A0" w:firstRow="1" w:lastRow="0" w:firstColumn="1" w:lastColumn="0" w:noHBand="0" w:noVBand="1"/>
      </w:tblPr>
      <w:tblGrid>
        <w:gridCol w:w="891"/>
        <w:gridCol w:w="1161"/>
        <w:gridCol w:w="988"/>
        <w:gridCol w:w="1718"/>
        <w:gridCol w:w="1642"/>
      </w:tblGrid>
      <w:tr w:rsidR="00B16063" w:rsidRPr="00B16063" w14:paraId="57BF9E3B" w14:textId="77777777" w:rsidTr="00B16063">
        <w:trPr>
          <w:trHeight w:val="312"/>
          <w:jc w:val="center"/>
        </w:trPr>
        <w:tc>
          <w:tcPr>
            <w:tcW w:w="6400" w:type="dxa"/>
            <w:gridSpan w:val="5"/>
            <w:tcBorders>
              <w:top w:val="nil"/>
              <w:left w:val="nil"/>
              <w:bottom w:val="single" w:sz="4" w:space="0" w:color="auto"/>
              <w:right w:val="nil"/>
            </w:tcBorders>
            <w:shd w:val="clear" w:color="auto" w:fill="auto"/>
            <w:noWrap/>
            <w:vAlign w:val="center"/>
            <w:hideMark/>
          </w:tcPr>
          <w:p w14:paraId="74DCDAB7"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Acidic Soil Shapiro Wilk Test, p &gt; 0.05</w:t>
            </w:r>
          </w:p>
        </w:tc>
      </w:tr>
      <w:tr w:rsidR="00B16063" w:rsidRPr="00B16063" w14:paraId="2792E335" w14:textId="77777777" w:rsidTr="00B16063">
        <w:trPr>
          <w:trHeight w:val="312"/>
          <w:jc w:val="center"/>
        </w:trPr>
        <w:tc>
          <w:tcPr>
            <w:tcW w:w="891" w:type="dxa"/>
            <w:tcBorders>
              <w:top w:val="nil"/>
              <w:left w:val="nil"/>
              <w:bottom w:val="single" w:sz="4" w:space="0" w:color="auto"/>
              <w:right w:val="single" w:sz="4" w:space="0" w:color="auto"/>
            </w:tcBorders>
            <w:shd w:val="clear" w:color="auto" w:fill="auto"/>
            <w:noWrap/>
            <w:vAlign w:val="center"/>
            <w:hideMark/>
          </w:tcPr>
          <w:p w14:paraId="6D263218"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Week</w:t>
            </w:r>
          </w:p>
        </w:tc>
        <w:tc>
          <w:tcPr>
            <w:tcW w:w="1161" w:type="dxa"/>
            <w:tcBorders>
              <w:top w:val="nil"/>
              <w:left w:val="nil"/>
              <w:bottom w:val="single" w:sz="4" w:space="0" w:color="auto"/>
              <w:right w:val="nil"/>
            </w:tcBorders>
            <w:shd w:val="clear" w:color="auto" w:fill="auto"/>
            <w:noWrap/>
            <w:vAlign w:val="center"/>
            <w:hideMark/>
          </w:tcPr>
          <w:p w14:paraId="6D5CBBCD"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Copper</w:t>
            </w:r>
          </w:p>
        </w:tc>
        <w:tc>
          <w:tcPr>
            <w:tcW w:w="988" w:type="dxa"/>
            <w:tcBorders>
              <w:top w:val="nil"/>
              <w:left w:val="nil"/>
              <w:bottom w:val="single" w:sz="4" w:space="0" w:color="auto"/>
              <w:right w:val="nil"/>
            </w:tcBorders>
            <w:shd w:val="clear" w:color="auto" w:fill="auto"/>
            <w:noWrap/>
            <w:vAlign w:val="center"/>
            <w:hideMark/>
          </w:tcPr>
          <w:p w14:paraId="199D95B2"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Nickel</w:t>
            </w:r>
          </w:p>
        </w:tc>
        <w:tc>
          <w:tcPr>
            <w:tcW w:w="1718" w:type="dxa"/>
            <w:tcBorders>
              <w:top w:val="nil"/>
              <w:left w:val="nil"/>
              <w:bottom w:val="single" w:sz="4" w:space="0" w:color="auto"/>
              <w:right w:val="nil"/>
            </w:tcBorders>
            <w:shd w:val="clear" w:color="auto" w:fill="auto"/>
            <w:noWrap/>
            <w:vAlign w:val="center"/>
            <w:hideMark/>
          </w:tcPr>
          <w:p w14:paraId="4D8488A2"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Manganese</w:t>
            </w:r>
          </w:p>
        </w:tc>
        <w:tc>
          <w:tcPr>
            <w:tcW w:w="1642" w:type="dxa"/>
            <w:tcBorders>
              <w:top w:val="nil"/>
              <w:left w:val="nil"/>
              <w:bottom w:val="single" w:sz="4" w:space="0" w:color="auto"/>
              <w:right w:val="nil"/>
            </w:tcBorders>
            <w:shd w:val="clear" w:color="auto" w:fill="auto"/>
            <w:noWrap/>
            <w:vAlign w:val="center"/>
            <w:hideMark/>
          </w:tcPr>
          <w:p w14:paraId="707A86D1"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Aluminum</w:t>
            </w:r>
          </w:p>
        </w:tc>
      </w:tr>
      <w:tr w:rsidR="00B16063" w:rsidRPr="00B16063" w14:paraId="098A62C2"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492335A8"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w:t>
            </w:r>
          </w:p>
        </w:tc>
        <w:tc>
          <w:tcPr>
            <w:tcW w:w="1161" w:type="dxa"/>
            <w:tcBorders>
              <w:top w:val="nil"/>
              <w:left w:val="nil"/>
              <w:bottom w:val="nil"/>
              <w:right w:val="nil"/>
            </w:tcBorders>
            <w:shd w:val="clear" w:color="auto" w:fill="auto"/>
            <w:noWrap/>
            <w:vAlign w:val="bottom"/>
            <w:hideMark/>
          </w:tcPr>
          <w:p w14:paraId="66CE39DB"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0.642</w:t>
            </w:r>
          </w:p>
        </w:tc>
        <w:tc>
          <w:tcPr>
            <w:tcW w:w="988" w:type="dxa"/>
            <w:tcBorders>
              <w:top w:val="nil"/>
              <w:left w:val="nil"/>
              <w:bottom w:val="nil"/>
              <w:right w:val="nil"/>
            </w:tcBorders>
            <w:shd w:val="clear" w:color="auto" w:fill="auto"/>
            <w:noWrap/>
            <w:vAlign w:val="bottom"/>
            <w:hideMark/>
          </w:tcPr>
          <w:p w14:paraId="108E7FD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0.771</w:t>
            </w:r>
          </w:p>
        </w:tc>
        <w:tc>
          <w:tcPr>
            <w:tcW w:w="1718" w:type="dxa"/>
            <w:tcBorders>
              <w:top w:val="nil"/>
              <w:left w:val="nil"/>
              <w:bottom w:val="nil"/>
              <w:right w:val="nil"/>
            </w:tcBorders>
            <w:shd w:val="clear" w:color="auto" w:fill="auto"/>
            <w:noWrap/>
            <w:vAlign w:val="bottom"/>
            <w:hideMark/>
          </w:tcPr>
          <w:p w14:paraId="45CC4469"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0.179</w:t>
            </w:r>
          </w:p>
        </w:tc>
        <w:tc>
          <w:tcPr>
            <w:tcW w:w="1642" w:type="dxa"/>
            <w:tcBorders>
              <w:top w:val="nil"/>
              <w:left w:val="nil"/>
              <w:bottom w:val="nil"/>
              <w:right w:val="nil"/>
            </w:tcBorders>
            <w:shd w:val="clear" w:color="auto" w:fill="auto"/>
            <w:noWrap/>
            <w:vAlign w:val="bottom"/>
            <w:hideMark/>
          </w:tcPr>
          <w:p w14:paraId="4869450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0.079</w:t>
            </w:r>
          </w:p>
        </w:tc>
      </w:tr>
      <w:tr w:rsidR="00B16063" w:rsidRPr="00B16063" w14:paraId="36A3D80B"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1CFB62F4"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w:t>
            </w:r>
          </w:p>
        </w:tc>
        <w:tc>
          <w:tcPr>
            <w:tcW w:w="1161" w:type="dxa"/>
            <w:tcBorders>
              <w:top w:val="nil"/>
              <w:left w:val="nil"/>
              <w:bottom w:val="nil"/>
              <w:right w:val="nil"/>
            </w:tcBorders>
            <w:shd w:val="clear" w:color="auto" w:fill="auto"/>
            <w:noWrap/>
            <w:vAlign w:val="bottom"/>
            <w:hideMark/>
          </w:tcPr>
          <w:p w14:paraId="730FE02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0.785</w:t>
            </w:r>
          </w:p>
        </w:tc>
        <w:tc>
          <w:tcPr>
            <w:tcW w:w="988" w:type="dxa"/>
            <w:tcBorders>
              <w:top w:val="nil"/>
              <w:left w:val="nil"/>
              <w:bottom w:val="nil"/>
              <w:right w:val="nil"/>
            </w:tcBorders>
            <w:shd w:val="clear" w:color="auto" w:fill="auto"/>
            <w:noWrap/>
            <w:vAlign w:val="bottom"/>
            <w:hideMark/>
          </w:tcPr>
          <w:p w14:paraId="43169314"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0.086</w:t>
            </w:r>
          </w:p>
        </w:tc>
        <w:tc>
          <w:tcPr>
            <w:tcW w:w="1718" w:type="dxa"/>
            <w:tcBorders>
              <w:top w:val="nil"/>
              <w:left w:val="nil"/>
              <w:bottom w:val="nil"/>
              <w:right w:val="nil"/>
            </w:tcBorders>
            <w:shd w:val="clear" w:color="auto" w:fill="auto"/>
            <w:noWrap/>
            <w:vAlign w:val="bottom"/>
            <w:hideMark/>
          </w:tcPr>
          <w:p w14:paraId="5415438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0.439</w:t>
            </w:r>
          </w:p>
        </w:tc>
        <w:tc>
          <w:tcPr>
            <w:tcW w:w="1642" w:type="dxa"/>
            <w:tcBorders>
              <w:top w:val="nil"/>
              <w:left w:val="nil"/>
              <w:bottom w:val="nil"/>
              <w:right w:val="nil"/>
            </w:tcBorders>
            <w:shd w:val="clear" w:color="auto" w:fill="auto"/>
            <w:noWrap/>
            <w:vAlign w:val="bottom"/>
            <w:hideMark/>
          </w:tcPr>
          <w:p w14:paraId="4ECD578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0.567</w:t>
            </w:r>
          </w:p>
        </w:tc>
      </w:tr>
      <w:tr w:rsidR="00B16063" w:rsidRPr="00B16063" w14:paraId="2C93281B"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46A3FD74"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4</w:t>
            </w:r>
          </w:p>
        </w:tc>
        <w:tc>
          <w:tcPr>
            <w:tcW w:w="1161" w:type="dxa"/>
            <w:tcBorders>
              <w:top w:val="nil"/>
              <w:left w:val="nil"/>
              <w:bottom w:val="nil"/>
              <w:right w:val="nil"/>
            </w:tcBorders>
            <w:shd w:val="clear" w:color="auto" w:fill="auto"/>
            <w:noWrap/>
            <w:vAlign w:val="bottom"/>
            <w:hideMark/>
          </w:tcPr>
          <w:p w14:paraId="1C3F34B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0.541</w:t>
            </w:r>
          </w:p>
        </w:tc>
        <w:tc>
          <w:tcPr>
            <w:tcW w:w="988" w:type="dxa"/>
            <w:tcBorders>
              <w:top w:val="nil"/>
              <w:left w:val="nil"/>
              <w:bottom w:val="nil"/>
              <w:right w:val="nil"/>
            </w:tcBorders>
            <w:shd w:val="clear" w:color="auto" w:fill="auto"/>
            <w:noWrap/>
            <w:vAlign w:val="bottom"/>
            <w:hideMark/>
          </w:tcPr>
          <w:p w14:paraId="3FD627B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0.861</w:t>
            </w:r>
          </w:p>
        </w:tc>
        <w:tc>
          <w:tcPr>
            <w:tcW w:w="1718" w:type="dxa"/>
            <w:tcBorders>
              <w:top w:val="nil"/>
              <w:left w:val="nil"/>
              <w:bottom w:val="nil"/>
              <w:right w:val="nil"/>
            </w:tcBorders>
            <w:shd w:val="clear" w:color="auto" w:fill="auto"/>
            <w:noWrap/>
            <w:vAlign w:val="bottom"/>
            <w:hideMark/>
          </w:tcPr>
          <w:p w14:paraId="15BDC1F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0.457</w:t>
            </w:r>
          </w:p>
        </w:tc>
        <w:tc>
          <w:tcPr>
            <w:tcW w:w="1642" w:type="dxa"/>
            <w:tcBorders>
              <w:top w:val="nil"/>
              <w:left w:val="nil"/>
              <w:bottom w:val="nil"/>
              <w:right w:val="nil"/>
            </w:tcBorders>
            <w:shd w:val="clear" w:color="auto" w:fill="auto"/>
            <w:noWrap/>
            <w:vAlign w:val="bottom"/>
            <w:hideMark/>
          </w:tcPr>
          <w:p w14:paraId="2BC7D71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0.552</w:t>
            </w:r>
          </w:p>
        </w:tc>
      </w:tr>
      <w:tr w:rsidR="00B16063" w:rsidRPr="00B16063" w14:paraId="495A6DBA"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247667BB"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6</w:t>
            </w:r>
          </w:p>
        </w:tc>
        <w:tc>
          <w:tcPr>
            <w:tcW w:w="1161" w:type="dxa"/>
            <w:tcBorders>
              <w:top w:val="nil"/>
              <w:left w:val="nil"/>
              <w:bottom w:val="nil"/>
              <w:right w:val="nil"/>
            </w:tcBorders>
            <w:shd w:val="clear" w:color="auto" w:fill="auto"/>
            <w:noWrap/>
            <w:vAlign w:val="bottom"/>
            <w:hideMark/>
          </w:tcPr>
          <w:p w14:paraId="6D76353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0.229</w:t>
            </w:r>
          </w:p>
        </w:tc>
        <w:tc>
          <w:tcPr>
            <w:tcW w:w="988" w:type="dxa"/>
            <w:tcBorders>
              <w:top w:val="nil"/>
              <w:left w:val="nil"/>
              <w:bottom w:val="nil"/>
              <w:right w:val="nil"/>
            </w:tcBorders>
            <w:shd w:val="clear" w:color="auto" w:fill="auto"/>
            <w:noWrap/>
            <w:vAlign w:val="bottom"/>
            <w:hideMark/>
          </w:tcPr>
          <w:p w14:paraId="6AE384D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0.669</w:t>
            </w:r>
          </w:p>
        </w:tc>
        <w:tc>
          <w:tcPr>
            <w:tcW w:w="1718" w:type="dxa"/>
            <w:tcBorders>
              <w:top w:val="nil"/>
              <w:left w:val="nil"/>
              <w:bottom w:val="nil"/>
              <w:right w:val="nil"/>
            </w:tcBorders>
            <w:shd w:val="clear" w:color="auto" w:fill="auto"/>
            <w:noWrap/>
            <w:vAlign w:val="bottom"/>
            <w:hideMark/>
          </w:tcPr>
          <w:p w14:paraId="356C4FF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0.090</w:t>
            </w:r>
          </w:p>
        </w:tc>
        <w:tc>
          <w:tcPr>
            <w:tcW w:w="1642" w:type="dxa"/>
            <w:tcBorders>
              <w:top w:val="nil"/>
              <w:left w:val="nil"/>
              <w:bottom w:val="nil"/>
              <w:right w:val="nil"/>
            </w:tcBorders>
            <w:shd w:val="clear" w:color="auto" w:fill="auto"/>
            <w:noWrap/>
            <w:vAlign w:val="bottom"/>
            <w:hideMark/>
          </w:tcPr>
          <w:p w14:paraId="1744E6E4"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0.216</w:t>
            </w:r>
          </w:p>
        </w:tc>
      </w:tr>
      <w:tr w:rsidR="00B16063" w:rsidRPr="00B16063" w14:paraId="5CB73ECC"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2D305B8D"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8</w:t>
            </w:r>
          </w:p>
        </w:tc>
        <w:tc>
          <w:tcPr>
            <w:tcW w:w="1161" w:type="dxa"/>
            <w:tcBorders>
              <w:top w:val="nil"/>
              <w:left w:val="nil"/>
              <w:bottom w:val="nil"/>
              <w:right w:val="nil"/>
            </w:tcBorders>
            <w:shd w:val="clear" w:color="auto" w:fill="auto"/>
            <w:noWrap/>
            <w:vAlign w:val="bottom"/>
            <w:hideMark/>
          </w:tcPr>
          <w:p w14:paraId="3335080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0.485</w:t>
            </w:r>
          </w:p>
        </w:tc>
        <w:tc>
          <w:tcPr>
            <w:tcW w:w="988" w:type="dxa"/>
            <w:tcBorders>
              <w:top w:val="nil"/>
              <w:left w:val="nil"/>
              <w:bottom w:val="nil"/>
              <w:right w:val="nil"/>
            </w:tcBorders>
            <w:shd w:val="clear" w:color="auto" w:fill="auto"/>
            <w:noWrap/>
            <w:vAlign w:val="bottom"/>
            <w:hideMark/>
          </w:tcPr>
          <w:p w14:paraId="14823CFB"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0.327</w:t>
            </w:r>
          </w:p>
        </w:tc>
        <w:tc>
          <w:tcPr>
            <w:tcW w:w="1718" w:type="dxa"/>
            <w:tcBorders>
              <w:top w:val="nil"/>
              <w:left w:val="nil"/>
              <w:bottom w:val="nil"/>
              <w:right w:val="nil"/>
            </w:tcBorders>
            <w:shd w:val="clear" w:color="auto" w:fill="auto"/>
            <w:noWrap/>
            <w:vAlign w:val="bottom"/>
            <w:hideMark/>
          </w:tcPr>
          <w:p w14:paraId="636A186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0.952</w:t>
            </w:r>
          </w:p>
        </w:tc>
        <w:tc>
          <w:tcPr>
            <w:tcW w:w="1642" w:type="dxa"/>
            <w:tcBorders>
              <w:top w:val="nil"/>
              <w:left w:val="nil"/>
              <w:bottom w:val="nil"/>
              <w:right w:val="nil"/>
            </w:tcBorders>
            <w:shd w:val="clear" w:color="auto" w:fill="auto"/>
            <w:noWrap/>
            <w:vAlign w:val="bottom"/>
            <w:hideMark/>
          </w:tcPr>
          <w:p w14:paraId="7836786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0.155</w:t>
            </w:r>
          </w:p>
        </w:tc>
      </w:tr>
      <w:tr w:rsidR="00B16063" w:rsidRPr="00B16063" w14:paraId="039FD8A5"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7CF0F757"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12</w:t>
            </w:r>
          </w:p>
        </w:tc>
        <w:tc>
          <w:tcPr>
            <w:tcW w:w="1161" w:type="dxa"/>
            <w:tcBorders>
              <w:top w:val="nil"/>
              <w:left w:val="nil"/>
              <w:bottom w:val="nil"/>
              <w:right w:val="nil"/>
            </w:tcBorders>
            <w:shd w:val="clear" w:color="auto" w:fill="auto"/>
            <w:noWrap/>
            <w:vAlign w:val="bottom"/>
            <w:hideMark/>
          </w:tcPr>
          <w:p w14:paraId="434DBFA3" w14:textId="77777777" w:rsidR="00B16063" w:rsidRPr="00B16063" w:rsidRDefault="00B16063" w:rsidP="00B16063">
            <w:pPr>
              <w:spacing w:line="240" w:lineRule="auto"/>
              <w:jc w:val="right"/>
              <w:rPr>
                <w:rFonts w:ascii="Calibri" w:eastAsia="Times New Roman" w:hAnsi="Calibri" w:cs="Calibri"/>
                <w:b/>
                <w:bCs/>
                <w:color w:val="000000"/>
                <w:sz w:val="22"/>
              </w:rPr>
            </w:pPr>
            <w:r w:rsidRPr="00B16063">
              <w:rPr>
                <w:rFonts w:ascii="Calibri" w:eastAsia="Times New Roman" w:hAnsi="Calibri" w:cs="Calibri"/>
                <w:b/>
                <w:bCs/>
                <w:color w:val="000000"/>
                <w:sz w:val="22"/>
              </w:rPr>
              <w:t>0.042</w:t>
            </w:r>
          </w:p>
        </w:tc>
        <w:tc>
          <w:tcPr>
            <w:tcW w:w="988" w:type="dxa"/>
            <w:tcBorders>
              <w:top w:val="nil"/>
              <w:left w:val="nil"/>
              <w:bottom w:val="nil"/>
              <w:right w:val="nil"/>
            </w:tcBorders>
            <w:shd w:val="clear" w:color="auto" w:fill="auto"/>
            <w:noWrap/>
            <w:vAlign w:val="bottom"/>
            <w:hideMark/>
          </w:tcPr>
          <w:p w14:paraId="18BDB3F2"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0.734</w:t>
            </w:r>
          </w:p>
        </w:tc>
        <w:tc>
          <w:tcPr>
            <w:tcW w:w="1718" w:type="dxa"/>
            <w:tcBorders>
              <w:top w:val="nil"/>
              <w:left w:val="nil"/>
              <w:bottom w:val="nil"/>
              <w:right w:val="nil"/>
            </w:tcBorders>
            <w:shd w:val="clear" w:color="auto" w:fill="auto"/>
            <w:noWrap/>
            <w:vAlign w:val="bottom"/>
            <w:hideMark/>
          </w:tcPr>
          <w:p w14:paraId="40AD1BB0"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0.171</w:t>
            </w:r>
          </w:p>
        </w:tc>
        <w:tc>
          <w:tcPr>
            <w:tcW w:w="1642" w:type="dxa"/>
            <w:tcBorders>
              <w:top w:val="nil"/>
              <w:left w:val="nil"/>
              <w:bottom w:val="nil"/>
              <w:right w:val="nil"/>
            </w:tcBorders>
            <w:shd w:val="clear" w:color="auto" w:fill="auto"/>
            <w:noWrap/>
            <w:vAlign w:val="bottom"/>
            <w:hideMark/>
          </w:tcPr>
          <w:p w14:paraId="4C0C016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0.162</w:t>
            </w:r>
          </w:p>
        </w:tc>
      </w:tr>
      <w:tr w:rsidR="00B16063" w:rsidRPr="00B16063" w14:paraId="54221C44"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2646D2D6"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16</w:t>
            </w:r>
          </w:p>
        </w:tc>
        <w:tc>
          <w:tcPr>
            <w:tcW w:w="1161" w:type="dxa"/>
            <w:tcBorders>
              <w:top w:val="nil"/>
              <w:left w:val="nil"/>
              <w:bottom w:val="nil"/>
              <w:right w:val="nil"/>
            </w:tcBorders>
            <w:shd w:val="clear" w:color="auto" w:fill="auto"/>
            <w:noWrap/>
            <w:vAlign w:val="bottom"/>
            <w:hideMark/>
          </w:tcPr>
          <w:p w14:paraId="06132B9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0.114</w:t>
            </w:r>
          </w:p>
        </w:tc>
        <w:tc>
          <w:tcPr>
            <w:tcW w:w="988" w:type="dxa"/>
            <w:tcBorders>
              <w:top w:val="nil"/>
              <w:left w:val="nil"/>
              <w:bottom w:val="nil"/>
              <w:right w:val="nil"/>
            </w:tcBorders>
            <w:shd w:val="clear" w:color="auto" w:fill="auto"/>
            <w:noWrap/>
            <w:vAlign w:val="bottom"/>
            <w:hideMark/>
          </w:tcPr>
          <w:p w14:paraId="287D180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0.489</w:t>
            </w:r>
          </w:p>
        </w:tc>
        <w:tc>
          <w:tcPr>
            <w:tcW w:w="1718" w:type="dxa"/>
            <w:tcBorders>
              <w:top w:val="nil"/>
              <w:left w:val="nil"/>
              <w:bottom w:val="nil"/>
              <w:right w:val="nil"/>
            </w:tcBorders>
            <w:shd w:val="clear" w:color="auto" w:fill="auto"/>
            <w:noWrap/>
            <w:vAlign w:val="bottom"/>
            <w:hideMark/>
          </w:tcPr>
          <w:p w14:paraId="620E9C67"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0.169</w:t>
            </w:r>
          </w:p>
        </w:tc>
        <w:tc>
          <w:tcPr>
            <w:tcW w:w="1642" w:type="dxa"/>
            <w:tcBorders>
              <w:top w:val="nil"/>
              <w:left w:val="nil"/>
              <w:bottom w:val="nil"/>
              <w:right w:val="nil"/>
            </w:tcBorders>
            <w:shd w:val="clear" w:color="auto" w:fill="auto"/>
            <w:noWrap/>
            <w:vAlign w:val="bottom"/>
            <w:hideMark/>
          </w:tcPr>
          <w:p w14:paraId="6593048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0.563</w:t>
            </w:r>
          </w:p>
        </w:tc>
      </w:tr>
      <w:tr w:rsidR="00B16063" w:rsidRPr="00B16063" w14:paraId="7A74BFF7"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3BA33964"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20</w:t>
            </w:r>
          </w:p>
        </w:tc>
        <w:tc>
          <w:tcPr>
            <w:tcW w:w="1161" w:type="dxa"/>
            <w:tcBorders>
              <w:top w:val="nil"/>
              <w:left w:val="nil"/>
              <w:bottom w:val="nil"/>
              <w:right w:val="nil"/>
            </w:tcBorders>
            <w:shd w:val="clear" w:color="auto" w:fill="auto"/>
            <w:noWrap/>
            <w:vAlign w:val="bottom"/>
            <w:hideMark/>
          </w:tcPr>
          <w:p w14:paraId="7FDD7F40"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0.457</w:t>
            </w:r>
          </w:p>
        </w:tc>
        <w:tc>
          <w:tcPr>
            <w:tcW w:w="988" w:type="dxa"/>
            <w:tcBorders>
              <w:top w:val="nil"/>
              <w:left w:val="nil"/>
              <w:bottom w:val="nil"/>
              <w:right w:val="nil"/>
            </w:tcBorders>
            <w:shd w:val="clear" w:color="auto" w:fill="auto"/>
            <w:noWrap/>
            <w:vAlign w:val="bottom"/>
            <w:hideMark/>
          </w:tcPr>
          <w:p w14:paraId="6F67B6D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0.699</w:t>
            </w:r>
          </w:p>
        </w:tc>
        <w:tc>
          <w:tcPr>
            <w:tcW w:w="1718" w:type="dxa"/>
            <w:tcBorders>
              <w:top w:val="nil"/>
              <w:left w:val="nil"/>
              <w:bottom w:val="nil"/>
              <w:right w:val="nil"/>
            </w:tcBorders>
            <w:shd w:val="clear" w:color="auto" w:fill="auto"/>
            <w:noWrap/>
            <w:vAlign w:val="bottom"/>
            <w:hideMark/>
          </w:tcPr>
          <w:p w14:paraId="78DECC1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0.484</w:t>
            </w:r>
          </w:p>
        </w:tc>
        <w:tc>
          <w:tcPr>
            <w:tcW w:w="1642" w:type="dxa"/>
            <w:tcBorders>
              <w:top w:val="nil"/>
              <w:left w:val="nil"/>
              <w:bottom w:val="nil"/>
              <w:right w:val="nil"/>
            </w:tcBorders>
            <w:shd w:val="clear" w:color="auto" w:fill="auto"/>
            <w:noWrap/>
            <w:vAlign w:val="bottom"/>
            <w:hideMark/>
          </w:tcPr>
          <w:p w14:paraId="16489B2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0.456</w:t>
            </w:r>
          </w:p>
        </w:tc>
      </w:tr>
      <w:tr w:rsidR="00B16063" w:rsidRPr="00B16063" w14:paraId="0E4E3A51"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6BF56BA7"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24</w:t>
            </w:r>
          </w:p>
        </w:tc>
        <w:tc>
          <w:tcPr>
            <w:tcW w:w="1161" w:type="dxa"/>
            <w:tcBorders>
              <w:top w:val="nil"/>
              <w:left w:val="nil"/>
              <w:bottom w:val="nil"/>
              <w:right w:val="nil"/>
            </w:tcBorders>
            <w:shd w:val="clear" w:color="auto" w:fill="auto"/>
            <w:noWrap/>
            <w:vAlign w:val="bottom"/>
            <w:hideMark/>
          </w:tcPr>
          <w:p w14:paraId="412FC880"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0.088</w:t>
            </w:r>
          </w:p>
        </w:tc>
        <w:tc>
          <w:tcPr>
            <w:tcW w:w="988" w:type="dxa"/>
            <w:tcBorders>
              <w:top w:val="nil"/>
              <w:left w:val="nil"/>
              <w:bottom w:val="nil"/>
              <w:right w:val="nil"/>
            </w:tcBorders>
            <w:shd w:val="clear" w:color="auto" w:fill="auto"/>
            <w:noWrap/>
            <w:vAlign w:val="bottom"/>
            <w:hideMark/>
          </w:tcPr>
          <w:p w14:paraId="612BA074"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0.567</w:t>
            </w:r>
          </w:p>
        </w:tc>
        <w:tc>
          <w:tcPr>
            <w:tcW w:w="1718" w:type="dxa"/>
            <w:tcBorders>
              <w:top w:val="nil"/>
              <w:left w:val="nil"/>
              <w:bottom w:val="nil"/>
              <w:right w:val="nil"/>
            </w:tcBorders>
            <w:shd w:val="clear" w:color="auto" w:fill="auto"/>
            <w:noWrap/>
            <w:vAlign w:val="bottom"/>
            <w:hideMark/>
          </w:tcPr>
          <w:p w14:paraId="61B766B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0.589</w:t>
            </w:r>
          </w:p>
        </w:tc>
        <w:tc>
          <w:tcPr>
            <w:tcW w:w="1642" w:type="dxa"/>
            <w:tcBorders>
              <w:top w:val="nil"/>
              <w:left w:val="nil"/>
              <w:bottom w:val="nil"/>
              <w:right w:val="nil"/>
            </w:tcBorders>
            <w:shd w:val="clear" w:color="auto" w:fill="auto"/>
            <w:noWrap/>
            <w:vAlign w:val="bottom"/>
            <w:hideMark/>
          </w:tcPr>
          <w:p w14:paraId="53EB8B5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0.731</w:t>
            </w:r>
          </w:p>
        </w:tc>
      </w:tr>
    </w:tbl>
    <w:p w14:paraId="6B47EFA3" w14:textId="2B4A8486" w:rsidR="002B1270" w:rsidRDefault="002B1270" w:rsidP="00082D26"/>
    <w:p w14:paraId="2CD19BF2" w14:textId="4C9FCEEE" w:rsidR="002E6851" w:rsidRDefault="002E6851" w:rsidP="001650CC">
      <w:pPr>
        <w:pStyle w:val="Caption"/>
        <w:spacing w:after="0" w:line="480" w:lineRule="auto"/>
      </w:pPr>
      <w:bookmarkStart w:id="132" w:name="_Toc69351130"/>
      <w:bookmarkStart w:id="133" w:name="_Toc69352371"/>
      <w:bookmarkStart w:id="134" w:name="_Toc69352432"/>
      <w:bookmarkStart w:id="135" w:name="_Toc69412283"/>
      <w:bookmarkStart w:id="136" w:name="_Toc71224037"/>
      <w:r w:rsidRPr="008B135E">
        <w:rPr>
          <w:b/>
          <w:bCs/>
        </w:rPr>
        <w:t xml:space="preserve">Table </w:t>
      </w:r>
      <w:r w:rsidR="00ED00EF">
        <w:rPr>
          <w:b/>
          <w:bCs/>
        </w:rPr>
        <w:t>4</w:t>
      </w:r>
      <w:r w:rsidRPr="008B135E">
        <w:rPr>
          <w:b/>
          <w:bCs/>
        </w:rPr>
        <w:t>.</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7</w:t>
      </w:r>
      <w:r w:rsidR="001650CC" w:rsidRPr="001650CC">
        <w:rPr>
          <w:b/>
          <w:bCs/>
        </w:rPr>
        <w:fldChar w:fldCharType="end"/>
      </w:r>
      <w:r w:rsidRPr="008B135E">
        <w:rPr>
          <w:b/>
          <w:bCs/>
        </w:rPr>
        <w:t>:</w:t>
      </w:r>
      <w:r>
        <w:t xml:space="preserve"> Shapiro-Wilk Test for </w:t>
      </w:r>
      <w:r w:rsidR="00DF427B">
        <w:t>each metal</w:t>
      </w:r>
      <w:r>
        <w:t xml:space="preserve"> in basic </w:t>
      </w:r>
      <w:r w:rsidR="00903FA2">
        <w:t>water</w:t>
      </w:r>
      <w:r w:rsidR="007254DE">
        <w:t xml:space="preserve"> over 24 weeks</w:t>
      </w:r>
      <w:r w:rsidR="00E32E6F">
        <w:t>, p &gt; 0.05 for all sample groups</w:t>
      </w:r>
      <w:r>
        <w:t>.</w:t>
      </w:r>
      <w:bookmarkEnd w:id="132"/>
      <w:bookmarkEnd w:id="133"/>
      <w:bookmarkEnd w:id="134"/>
      <w:bookmarkEnd w:id="135"/>
      <w:bookmarkEnd w:id="136"/>
    </w:p>
    <w:tbl>
      <w:tblPr>
        <w:tblW w:w="6400" w:type="dxa"/>
        <w:jc w:val="center"/>
        <w:tblLook w:val="04A0" w:firstRow="1" w:lastRow="0" w:firstColumn="1" w:lastColumn="0" w:noHBand="0" w:noVBand="1"/>
      </w:tblPr>
      <w:tblGrid>
        <w:gridCol w:w="891"/>
        <w:gridCol w:w="1161"/>
        <w:gridCol w:w="988"/>
        <w:gridCol w:w="1718"/>
        <w:gridCol w:w="1642"/>
      </w:tblGrid>
      <w:tr w:rsidR="00B16063" w:rsidRPr="00B16063" w14:paraId="590450C7" w14:textId="77777777" w:rsidTr="00B16063">
        <w:trPr>
          <w:trHeight w:val="312"/>
          <w:jc w:val="center"/>
        </w:trPr>
        <w:tc>
          <w:tcPr>
            <w:tcW w:w="6400" w:type="dxa"/>
            <w:gridSpan w:val="5"/>
            <w:tcBorders>
              <w:top w:val="nil"/>
              <w:left w:val="nil"/>
              <w:bottom w:val="nil"/>
              <w:right w:val="nil"/>
            </w:tcBorders>
            <w:shd w:val="clear" w:color="auto" w:fill="auto"/>
            <w:noWrap/>
            <w:vAlign w:val="center"/>
            <w:hideMark/>
          </w:tcPr>
          <w:p w14:paraId="06467BB4"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Basic Soil Shapiro Wilk Test, p &gt; 0.05</w:t>
            </w:r>
          </w:p>
        </w:tc>
      </w:tr>
      <w:tr w:rsidR="00B16063" w:rsidRPr="00B16063" w14:paraId="623B4A37" w14:textId="77777777" w:rsidTr="00B16063">
        <w:trPr>
          <w:trHeight w:val="312"/>
          <w:jc w:val="center"/>
        </w:trPr>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159BB877"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Week</w:t>
            </w:r>
          </w:p>
        </w:tc>
        <w:tc>
          <w:tcPr>
            <w:tcW w:w="1161" w:type="dxa"/>
            <w:tcBorders>
              <w:top w:val="single" w:sz="4" w:space="0" w:color="auto"/>
              <w:left w:val="nil"/>
              <w:bottom w:val="single" w:sz="4" w:space="0" w:color="auto"/>
              <w:right w:val="nil"/>
            </w:tcBorders>
            <w:shd w:val="clear" w:color="auto" w:fill="auto"/>
            <w:noWrap/>
            <w:vAlign w:val="center"/>
            <w:hideMark/>
          </w:tcPr>
          <w:p w14:paraId="12005C5D"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Copper</w:t>
            </w:r>
          </w:p>
        </w:tc>
        <w:tc>
          <w:tcPr>
            <w:tcW w:w="988" w:type="dxa"/>
            <w:tcBorders>
              <w:top w:val="single" w:sz="4" w:space="0" w:color="auto"/>
              <w:left w:val="nil"/>
              <w:bottom w:val="single" w:sz="4" w:space="0" w:color="auto"/>
              <w:right w:val="nil"/>
            </w:tcBorders>
            <w:shd w:val="clear" w:color="auto" w:fill="auto"/>
            <w:noWrap/>
            <w:vAlign w:val="center"/>
            <w:hideMark/>
          </w:tcPr>
          <w:p w14:paraId="32E418EE"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Nickel</w:t>
            </w:r>
          </w:p>
        </w:tc>
        <w:tc>
          <w:tcPr>
            <w:tcW w:w="1718" w:type="dxa"/>
            <w:tcBorders>
              <w:top w:val="single" w:sz="4" w:space="0" w:color="auto"/>
              <w:left w:val="nil"/>
              <w:bottom w:val="single" w:sz="4" w:space="0" w:color="auto"/>
              <w:right w:val="nil"/>
            </w:tcBorders>
            <w:shd w:val="clear" w:color="auto" w:fill="auto"/>
            <w:noWrap/>
            <w:vAlign w:val="center"/>
            <w:hideMark/>
          </w:tcPr>
          <w:p w14:paraId="739D1E53"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Manganese</w:t>
            </w:r>
          </w:p>
        </w:tc>
        <w:tc>
          <w:tcPr>
            <w:tcW w:w="1642" w:type="dxa"/>
            <w:tcBorders>
              <w:top w:val="single" w:sz="4" w:space="0" w:color="auto"/>
              <w:left w:val="nil"/>
              <w:bottom w:val="single" w:sz="4" w:space="0" w:color="auto"/>
              <w:right w:val="nil"/>
            </w:tcBorders>
            <w:shd w:val="clear" w:color="auto" w:fill="auto"/>
            <w:noWrap/>
            <w:vAlign w:val="center"/>
            <w:hideMark/>
          </w:tcPr>
          <w:p w14:paraId="6DA15B5F"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Aluminum</w:t>
            </w:r>
          </w:p>
        </w:tc>
      </w:tr>
      <w:tr w:rsidR="00B16063" w:rsidRPr="00B16063" w14:paraId="45FC5CEF"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179AFFD1"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w:t>
            </w:r>
          </w:p>
        </w:tc>
        <w:tc>
          <w:tcPr>
            <w:tcW w:w="1161" w:type="dxa"/>
            <w:tcBorders>
              <w:top w:val="nil"/>
              <w:left w:val="nil"/>
              <w:bottom w:val="nil"/>
              <w:right w:val="nil"/>
            </w:tcBorders>
            <w:shd w:val="clear" w:color="auto" w:fill="auto"/>
            <w:noWrap/>
            <w:vAlign w:val="bottom"/>
            <w:hideMark/>
          </w:tcPr>
          <w:p w14:paraId="3054B49E"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0.254</w:t>
            </w:r>
          </w:p>
        </w:tc>
        <w:tc>
          <w:tcPr>
            <w:tcW w:w="988" w:type="dxa"/>
            <w:tcBorders>
              <w:top w:val="nil"/>
              <w:left w:val="nil"/>
              <w:bottom w:val="nil"/>
              <w:right w:val="nil"/>
            </w:tcBorders>
            <w:shd w:val="clear" w:color="auto" w:fill="auto"/>
            <w:noWrap/>
            <w:vAlign w:val="bottom"/>
            <w:hideMark/>
          </w:tcPr>
          <w:p w14:paraId="3CA1D40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0.560</w:t>
            </w:r>
          </w:p>
        </w:tc>
        <w:tc>
          <w:tcPr>
            <w:tcW w:w="1718" w:type="dxa"/>
            <w:tcBorders>
              <w:top w:val="nil"/>
              <w:left w:val="nil"/>
              <w:bottom w:val="nil"/>
              <w:right w:val="nil"/>
            </w:tcBorders>
            <w:shd w:val="clear" w:color="auto" w:fill="auto"/>
            <w:noWrap/>
            <w:vAlign w:val="bottom"/>
            <w:hideMark/>
          </w:tcPr>
          <w:p w14:paraId="274F3CE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0.221</w:t>
            </w:r>
          </w:p>
        </w:tc>
        <w:tc>
          <w:tcPr>
            <w:tcW w:w="1642" w:type="dxa"/>
            <w:tcBorders>
              <w:top w:val="nil"/>
              <w:left w:val="nil"/>
              <w:bottom w:val="nil"/>
              <w:right w:val="nil"/>
            </w:tcBorders>
            <w:shd w:val="clear" w:color="auto" w:fill="auto"/>
            <w:noWrap/>
            <w:vAlign w:val="bottom"/>
            <w:hideMark/>
          </w:tcPr>
          <w:p w14:paraId="25E10EA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0.272</w:t>
            </w:r>
          </w:p>
        </w:tc>
      </w:tr>
      <w:tr w:rsidR="00B16063" w:rsidRPr="00B16063" w14:paraId="1F158DD4"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7D861A1B"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w:t>
            </w:r>
          </w:p>
        </w:tc>
        <w:tc>
          <w:tcPr>
            <w:tcW w:w="1161" w:type="dxa"/>
            <w:tcBorders>
              <w:top w:val="nil"/>
              <w:left w:val="nil"/>
              <w:bottom w:val="nil"/>
              <w:right w:val="nil"/>
            </w:tcBorders>
            <w:shd w:val="clear" w:color="auto" w:fill="auto"/>
            <w:noWrap/>
            <w:vAlign w:val="bottom"/>
            <w:hideMark/>
          </w:tcPr>
          <w:p w14:paraId="1CA4837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0.182</w:t>
            </w:r>
          </w:p>
        </w:tc>
        <w:tc>
          <w:tcPr>
            <w:tcW w:w="988" w:type="dxa"/>
            <w:tcBorders>
              <w:top w:val="nil"/>
              <w:left w:val="nil"/>
              <w:bottom w:val="nil"/>
              <w:right w:val="nil"/>
            </w:tcBorders>
            <w:shd w:val="clear" w:color="auto" w:fill="auto"/>
            <w:noWrap/>
            <w:vAlign w:val="bottom"/>
            <w:hideMark/>
          </w:tcPr>
          <w:p w14:paraId="6E54E152"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0.175</w:t>
            </w:r>
          </w:p>
        </w:tc>
        <w:tc>
          <w:tcPr>
            <w:tcW w:w="1718" w:type="dxa"/>
            <w:tcBorders>
              <w:top w:val="nil"/>
              <w:left w:val="nil"/>
              <w:bottom w:val="nil"/>
              <w:right w:val="nil"/>
            </w:tcBorders>
            <w:shd w:val="clear" w:color="auto" w:fill="auto"/>
            <w:noWrap/>
            <w:vAlign w:val="bottom"/>
            <w:hideMark/>
          </w:tcPr>
          <w:p w14:paraId="4954E63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0.215</w:t>
            </w:r>
          </w:p>
        </w:tc>
        <w:tc>
          <w:tcPr>
            <w:tcW w:w="1642" w:type="dxa"/>
            <w:tcBorders>
              <w:top w:val="nil"/>
              <w:left w:val="nil"/>
              <w:bottom w:val="nil"/>
              <w:right w:val="nil"/>
            </w:tcBorders>
            <w:shd w:val="clear" w:color="auto" w:fill="auto"/>
            <w:noWrap/>
            <w:vAlign w:val="bottom"/>
            <w:hideMark/>
          </w:tcPr>
          <w:p w14:paraId="5911E89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0.242</w:t>
            </w:r>
          </w:p>
        </w:tc>
      </w:tr>
      <w:tr w:rsidR="00B16063" w:rsidRPr="00B16063" w14:paraId="7A438E6F"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18EEB9BC"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4</w:t>
            </w:r>
          </w:p>
        </w:tc>
        <w:tc>
          <w:tcPr>
            <w:tcW w:w="1161" w:type="dxa"/>
            <w:tcBorders>
              <w:top w:val="nil"/>
              <w:left w:val="nil"/>
              <w:bottom w:val="nil"/>
              <w:right w:val="nil"/>
            </w:tcBorders>
            <w:shd w:val="clear" w:color="auto" w:fill="auto"/>
            <w:noWrap/>
            <w:vAlign w:val="bottom"/>
            <w:hideMark/>
          </w:tcPr>
          <w:p w14:paraId="19583239"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0.200</w:t>
            </w:r>
          </w:p>
        </w:tc>
        <w:tc>
          <w:tcPr>
            <w:tcW w:w="988" w:type="dxa"/>
            <w:tcBorders>
              <w:top w:val="nil"/>
              <w:left w:val="nil"/>
              <w:bottom w:val="nil"/>
              <w:right w:val="nil"/>
            </w:tcBorders>
            <w:shd w:val="clear" w:color="auto" w:fill="auto"/>
            <w:noWrap/>
            <w:vAlign w:val="bottom"/>
            <w:hideMark/>
          </w:tcPr>
          <w:p w14:paraId="678B6EC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0.499</w:t>
            </w:r>
          </w:p>
        </w:tc>
        <w:tc>
          <w:tcPr>
            <w:tcW w:w="1718" w:type="dxa"/>
            <w:tcBorders>
              <w:top w:val="nil"/>
              <w:left w:val="nil"/>
              <w:bottom w:val="nil"/>
              <w:right w:val="nil"/>
            </w:tcBorders>
            <w:shd w:val="clear" w:color="auto" w:fill="auto"/>
            <w:noWrap/>
            <w:vAlign w:val="bottom"/>
            <w:hideMark/>
          </w:tcPr>
          <w:p w14:paraId="6B25995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0.289</w:t>
            </w:r>
          </w:p>
        </w:tc>
        <w:tc>
          <w:tcPr>
            <w:tcW w:w="1642" w:type="dxa"/>
            <w:tcBorders>
              <w:top w:val="nil"/>
              <w:left w:val="nil"/>
              <w:bottom w:val="nil"/>
              <w:right w:val="nil"/>
            </w:tcBorders>
            <w:shd w:val="clear" w:color="auto" w:fill="auto"/>
            <w:noWrap/>
            <w:vAlign w:val="bottom"/>
            <w:hideMark/>
          </w:tcPr>
          <w:p w14:paraId="1C79732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0.227</w:t>
            </w:r>
          </w:p>
        </w:tc>
      </w:tr>
      <w:tr w:rsidR="00B16063" w:rsidRPr="00B16063" w14:paraId="65F7057C"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0CBC2E6A"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6</w:t>
            </w:r>
          </w:p>
        </w:tc>
        <w:tc>
          <w:tcPr>
            <w:tcW w:w="1161" w:type="dxa"/>
            <w:tcBorders>
              <w:top w:val="nil"/>
              <w:left w:val="nil"/>
              <w:bottom w:val="nil"/>
              <w:right w:val="nil"/>
            </w:tcBorders>
            <w:shd w:val="clear" w:color="auto" w:fill="auto"/>
            <w:noWrap/>
            <w:vAlign w:val="bottom"/>
            <w:hideMark/>
          </w:tcPr>
          <w:p w14:paraId="2A4D562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0.586</w:t>
            </w:r>
          </w:p>
        </w:tc>
        <w:tc>
          <w:tcPr>
            <w:tcW w:w="988" w:type="dxa"/>
            <w:tcBorders>
              <w:top w:val="nil"/>
              <w:left w:val="nil"/>
              <w:bottom w:val="nil"/>
              <w:right w:val="nil"/>
            </w:tcBorders>
            <w:shd w:val="clear" w:color="auto" w:fill="auto"/>
            <w:noWrap/>
            <w:vAlign w:val="bottom"/>
            <w:hideMark/>
          </w:tcPr>
          <w:p w14:paraId="73EFC2A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0.218</w:t>
            </w:r>
          </w:p>
        </w:tc>
        <w:tc>
          <w:tcPr>
            <w:tcW w:w="1718" w:type="dxa"/>
            <w:tcBorders>
              <w:top w:val="nil"/>
              <w:left w:val="nil"/>
              <w:bottom w:val="nil"/>
              <w:right w:val="nil"/>
            </w:tcBorders>
            <w:shd w:val="clear" w:color="auto" w:fill="auto"/>
            <w:noWrap/>
            <w:vAlign w:val="bottom"/>
            <w:hideMark/>
          </w:tcPr>
          <w:p w14:paraId="500A82D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0.657</w:t>
            </w:r>
          </w:p>
        </w:tc>
        <w:tc>
          <w:tcPr>
            <w:tcW w:w="1642" w:type="dxa"/>
            <w:tcBorders>
              <w:top w:val="nil"/>
              <w:left w:val="nil"/>
              <w:bottom w:val="nil"/>
              <w:right w:val="nil"/>
            </w:tcBorders>
            <w:shd w:val="clear" w:color="auto" w:fill="auto"/>
            <w:noWrap/>
            <w:vAlign w:val="bottom"/>
            <w:hideMark/>
          </w:tcPr>
          <w:p w14:paraId="3E4B332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0.199</w:t>
            </w:r>
          </w:p>
        </w:tc>
      </w:tr>
      <w:tr w:rsidR="00B16063" w:rsidRPr="00B16063" w14:paraId="756E9EF4"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509A5278"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8</w:t>
            </w:r>
          </w:p>
        </w:tc>
        <w:tc>
          <w:tcPr>
            <w:tcW w:w="1161" w:type="dxa"/>
            <w:tcBorders>
              <w:top w:val="nil"/>
              <w:left w:val="nil"/>
              <w:bottom w:val="nil"/>
              <w:right w:val="nil"/>
            </w:tcBorders>
            <w:shd w:val="clear" w:color="auto" w:fill="auto"/>
            <w:noWrap/>
            <w:vAlign w:val="bottom"/>
            <w:hideMark/>
          </w:tcPr>
          <w:p w14:paraId="4B5A9910"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0.418</w:t>
            </w:r>
          </w:p>
        </w:tc>
        <w:tc>
          <w:tcPr>
            <w:tcW w:w="988" w:type="dxa"/>
            <w:tcBorders>
              <w:top w:val="nil"/>
              <w:left w:val="nil"/>
              <w:bottom w:val="nil"/>
              <w:right w:val="nil"/>
            </w:tcBorders>
            <w:shd w:val="clear" w:color="auto" w:fill="auto"/>
            <w:noWrap/>
            <w:vAlign w:val="bottom"/>
            <w:hideMark/>
          </w:tcPr>
          <w:p w14:paraId="6DAEE1F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0.503</w:t>
            </w:r>
          </w:p>
        </w:tc>
        <w:tc>
          <w:tcPr>
            <w:tcW w:w="1718" w:type="dxa"/>
            <w:tcBorders>
              <w:top w:val="nil"/>
              <w:left w:val="nil"/>
              <w:bottom w:val="nil"/>
              <w:right w:val="nil"/>
            </w:tcBorders>
            <w:shd w:val="clear" w:color="auto" w:fill="auto"/>
            <w:noWrap/>
            <w:vAlign w:val="bottom"/>
            <w:hideMark/>
          </w:tcPr>
          <w:p w14:paraId="6920855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0.211</w:t>
            </w:r>
          </w:p>
        </w:tc>
        <w:tc>
          <w:tcPr>
            <w:tcW w:w="1642" w:type="dxa"/>
            <w:tcBorders>
              <w:top w:val="nil"/>
              <w:left w:val="nil"/>
              <w:bottom w:val="nil"/>
              <w:right w:val="nil"/>
            </w:tcBorders>
            <w:shd w:val="clear" w:color="auto" w:fill="auto"/>
            <w:noWrap/>
            <w:vAlign w:val="bottom"/>
            <w:hideMark/>
          </w:tcPr>
          <w:p w14:paraId="1FA76F89"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0.291</w:t>
            </w:r>
          </w:p>
        </w:tc>
      </w:tr>
      <w:tr w:rsidR="00B16063" w:rsidRPr="00B16063" w14:paraId="4FA1565C"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2FD4DBB8"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12</w:t>
            </w:r>
          </w:p>
        </w:tc>
        <w:tc>
          <w:tcPr>
            <w:tcW w:w="1161" w:type="dxa"/>
            <w:tcBorders>
              <w:top w:val="nil"/>
              <w:left w:val="nil"/>
              <w:bottom w:val="nil"/>
              <w:right w:val="nil"/>
            </w:tcBorders>
            <w:shd w:val="clear" w:color="auto" w:fill="auto"/>
            <w:noWrap/>
            <w:vAlign w:val="bottom"/>
            <w:hideMark/>
          </w:tcPr>
          <w:p w14:paraId="13FDFD09"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0.442</w:t>
            </w:r>
          </w:p>
        </w:tc>
        <w:tc>
          <w:tcPr>
            <w:tcW w:w="988" w:type="dxa"/>
            <w:tcBorders>
              <w:top w:val="nil"/>
              <w:left w:val="nil"/>
              <w:bottom w:val="nil"/>
              <w:right w:val="nil"/>
            </w:tcBorders>
            <w:shd w:val="clear" w:color="auto" w:fill="auto"/>
            <w:noWrap/>
            <w:vAlign w:val="bottom"/>
            <w:hideMark/>
          </w:tcPr>
          <w:p w14:paraId="11E0F7E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0.109</w:t>
            </w:r>
          </w:p>
        </w:tc>
        <w:tc>
          <w:tcPr>
            <w:tcW w:w="1718" w:type="dxa"/>
            <w:tcBorders>
              <w:top w:val="nil"/>
              <w:left w:val="nil"/>
              <w:bottom w:val="nil"/>
              <w:right w:val="nil"/>
            </w:tcBorders>
            <w:shd w:val="clear" w:color="auto" w:fill="auto"/>
            <w:noWrap/>
            <w:vAlign w:val="bottom"/>
            <w:hideMark/>
          </w:tcPr>
          <w:p w14:paraId="7E93CE4E"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0.344</w:t>
            </w:r>
          </w:p>
        </w:tc>
        <w:tc>
          <w:tcPr>
            <w:tcW w:w="1642" w:type="dxa"/>
            <w:tcBorders>
              <w:top w:val="nil"/>
              <w:left w:val="nil"/>
              <w:bottom w:val="nil"/>
              <w:right w:val="nil"/>
            </w:tcBorders>
            <w:shd w:val="clear" w:color="auto" w:fill="auto"/>
            <w:noWrap/>
            <w:vAlign w:val="bottom"/>
            <w:hideMark/>
          </w:tcPr>
          <w:p w14:paraId="075E81A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0.534</w:t>
            </w:r>
          </w:p>
        </w:tc>
      </w:tr>
      <w:tr w:rsidR="00B16063" w:rsidRPr="00B16063" w14:paraId="69B0B53C"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7B7AEE12"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16</w:t>
            </w:r>
          </w:p>
        </w:tc>
        <w:tc>
          <w:tcPr>
            <w:tcW w:w="1161" w:type="dxa"/>
            <w:tcBorders>
              <w:top w:val="nil"/>
              <w:left w:val="nil"/>
              <w:bottom w:val="nil"/>
              <w:right w:val="nil"/>
            </w:tcBorders>
            <w:shd w:val="clear" w:color="auto" w:fill="auto"/>
            <w:noWrap/>
            <w:vAlign w:val="bottom"/>
            <w:hideMark/>
          </w:tcPr>
          <w:p w14:paraId="360C22E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0.901</w:t>
            </w:r>
          </w:p>
        </w:tc>
        <w:tc>
          <w:tcPr>
            <w:tcW w:w="988" w:type="dxa"/>
            <w:tcBorders>
              <w:top w:val="nil"/>
              <w:left w:val="nil"/>
              <w:bottom w:val="nil"/>
              <w:right w:val="nil"/>
            </w:tcBorders>
            <w:shd w:val="clear" w:color="auto" w:fill="auto"/>
            <w:noWrap/>
            <w:vAlign w:val="bottom"/>
            <w:hideMark/>
          </w:tcPr>
          <w:p w14:paraId="0AA39CD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0.845</w:t>
            </w:r>
          </w:p>
        </w:tc>
        <w:tc>
          <w:tcPr>
            <w:tcW w:w="1718" w:type="dxa"/>
            <w:tcBorders>
              <w:top w:val="nil"/>
              <w:left w:val="nil"/>
              <w:bottom w:val="nil"/>
              <w:right w:val="nil"/>
            </w:tcBorders>
            <w:shd w:val="clear" w:color="auto" w:fill="auto"/>
            <w:noWrap/>
            <w:vAlign w:val="bottom"/>
            <w:hideMark/>
          </w:tcPr>
          <w:p w14:paraId="41C56C74"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0.466</w:t>
            </w:r>
          </w:p>
        </w:tc>
        <w:tc>
          <w:tcPr>
            <w:tcW w:w="1642" w:type="dxa"/>
            <w:tcBorders>
              <w:top w:val="nil"/>
              <w:left w:val="nil"/>
              <w:bottom w:val="nil"/>
              <w:right w:val="nil"/>
            </w:tcBorders>
            <w:shd w:val="clear" w:color="auto" w:fill="auto"/>
            <w:noWrap/>
            <w:vAlign w:val="bottom"/>
            <w:hideMark/>
          </w:tcPr>
          <w:p w14:paraId="4DDE716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0.378</w:t>
            </w:r>
          </w:p>
        </w:tc>
      </w:tr>
      <w:tr w:rsidR="00B16063" w:rsidRPr="00B16063" w14:paraId="4758C881"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3B25A992"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20</w:t>
            </w:r>
          </w:p>
        </w:tc>
        <w:tc>
          <w:tcPr>
            <w:tcW w:w="1161" w:type="dxa"/>
            <w:tcBorders>
              <w:top w:val="nil"/>
              <w:left w:val="nil"/>
              <w:bottom w:val="nil"/>
              <w:right w:val="nil"/>
            </w:tcBorders>
            <w:shd w:val="clear" w:color="auto" w:fill="auto"/>
            <w:noWrap/>
            <w:vAlign w:val="bottom"/>
            <w:hideMark/>
          </w:tcPr>
          <w:p w14:paraId="2EE719A9"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0.148</w:t>
            </w:r>
          </w:p>
        </w:tc>
        <w:tc>
          <w:tcPr>
            <w:tcW w:w="988" w:type="dxa"/>
            <w:tcBorders>
              <w:top w:val="nil"/>
              <w:left w:val="nil"/>
              <w:bottom w:val="nil"/>
              <w:right w:val="nil"/>
            </w:tcBorders>
            <w:shd w:val="clear" w:color="auto" w:fill="auto"/>
            <w:noWrap/>
            <w:vAlign w:val="bottom"/>
            <w:hideMark/>
          </w:tcPr>
          <w:p w14:paraId="72D03724"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0.293</w:t>
            </w:r>
          </w:p>
        </w:tc>
        <w:tc>
          <w:tcPr>
            <w:tcW w:w="1718" w:type="dxa"/>
            <w:tcBorders>
              <w:top w:val="nil"/>
              <w:left w:val="nil"/>
              <w:bottom w:val="nil"/>
              <w:right w:val="nil"/>
            </w:tcBorders>
            <w:shd w:val="clear" w:color="auto" w:fill="auto"/>
            <w:noWrap/>
            <w:vAlign w:val="bottom"/>
            <w:hideMark/>
          </w:tcPr>
          <w:p w14:paraId="38E05C9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0.740</w:t>
            </w:r>
          </w:p>
        </w:tc>
        <w:tc>
          <w:tcPr>
            <w:tcW w:w="1642" w:type="dxa"/>
            <w:tcBorders>
              <w:top w:val="nil"/>
              <w:left w:val="nil"/>
              <w:bottom w:val="nil"/>
              <w:right w:val="nil"/>
            </w:tcBorders>
            <w:shd w:val="clear" w:color="auto" w:fill="auto"/>
            <w:noWrap/>
            <w:vAlign w:val="bottom"/>
            <w:hideMark/>
          </w:tcPr>
          <w:p w14:paraId="124DA25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0.329</w:t>
            </w:r>
          </w:p>
        </w:tc>
      </w:tr>
      <w:tr w:rsidR="00B16063" w:rsidRPr="00B16063" w14:paraId="21C36F89" w14:textId="77777777" w:rsidTr="00B16063">
        <w:trPr>
          <w:trHeight w:val="312"/>
          <w:jc w:val="center"/>
        </w:trPr>
        <w:tc>
          <w:tcPr>
            <w:tcW w:w="891" w:type="dxa"/>
            <w:tcBorders>
              <w:top w:val="nil"/>
              <w:left w:val="nil"/>
              <w:bottom w:val="nil"/>
              <w:right w:val="single" w:sz="4" w:space="0" w:color="auto"/>
            </w:tcBorders>
            <w:shd w:val="clear" w:color="auto" w:fill="auto"/>
            <w:noWrap/>
            <w:vAlign w:val="center"/>
            <w:hideMark/>
          </w:tcPr>
          <w:p w14:paraId="3410D6DA"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24</w:t>
            </w:r>
          </w:p>
        </w:tc>
        <w:tc>
          <w:tcPr>
            <w:tcW w:w="1161" w:type="dxa"/>
            <w:tcBorders>
              <w:top w:val="nil"/>
              <w:left w:val="nil"/>
              <w:bottom w:val="nil"/>
              <w:right w:val="nil"/>
            </w:tcBorders>
            <w:shd w:val="clear" w:color="auto" w:fill="auto"/>
            <w:noWrap/>
            <w:vAlign w:val="bottom"/>
            <w:hideMark/>
          </w:tcPr>
          <w:p w14:paraId="050F48C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0.189</w:t>
            </w:r>
          </w:p>
        </w:tc>
        <w:tc>
          <w:tcPr>
            <w:tcW w:w="988" w:type="dxa"/>
            <w:tcBorders>
              <w:top w:val="nil"/>
              <w:left w:val="nil"/>
              <w:bottom w:val="nil"/>
              <w:right w:val="nil"/>
            </w:tcBorders>
            <w:shd w:val="clear" w:color="auto" w:fill="auto"/>
            <w:noWrap/>
            <w:vAlign w:val="bottom"/>
            <w:hideMark/>
          </w:tcPr>
          <w:p w14:paraId="3668D7F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0.199</w:t>
            </w:r>
          </w:p>
        </w:tc>
        <w:tc>
          <w:tcPr>
            <w:tcW w:w="1718" w:type="dxa"/>
            <w:tcBorders>
              <w:top w:val="nil"/>
              <w:left w:val="nil"/>
              <w:bottom w:val="nil"/>
              <w:right w:val="nil"/>
            </w:tcBorders>
            <w:shd w:val="clear" w:color="auto" w:fill="auto"/>
            <w:noWrap/>
            <w:vAlign w:val="bottom"/>
            <w:hideMark/>
          </w:tcPr>
          <w:p w14:paraId="6F32AD85"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0.411</w:t>
            </w:r>
          </w:p>
        </w:tc>
        <w:tc>
          <w:tcPr>
            <w:tcW w:w="1642" w:type="dxa"/>
            <w:tcBorders>
              <w:top w:val="nil"/>
              <w:left w:val="nil"/>
              <w:bottom w:val="nil"/>
              <w:right w:val="nil"/>
            </w:tcBorders>
            <w:shd w:val="clear" w:color="auto" w:fill="auto"/>
            <w:noWrap/>
            <w:vAlign w:val="bottom"/>
            <w:hideMark/>
          </w:tcPr>
          <w:p w14:paraId="0637B265"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0.052</w:t>
            </w:r>
          </w:p>
        </w:tc>
      </w:tr>
    </w:tbl>
    <w:p w14:paraId="6AE815DA" w14:textId="4FBFB57D" w:rsidR="00082D26" w:rsidRDefault="002E6851" w:rsidP="002E6851">
      <w:pPr>
        <w:jc w:val="both"/>
      </w:pPr>
      <w:r>
        <w:tab/>
        <w:t xml:space="preserve">A Student’s t-Test was performed for the LIB metals in each time period between the acidic and basic </w:t>
      </w:r>
      <w:r w:rsidR="00903FA2">
        <w:t>water</w:t>
      </w:r>
      <w:r>
        <w:t xml:space="preserve"> groups.  Table </w:t>
      </w:r>
      <w:r w:rsidR="00ED00EF">
        <w:t>4</w:t>
      </w:r>
      <w:r>
        <w:t>.</w:t>
      </w:r>
      <w:r w:rsidR="00ED00EF">
        <w:t>7</w:t>
      </w:r>
      <w:r>
        <w:t xml:space="preserve"> is the result of the Student’s t-Test for the </w:t>
      </w:r>
      <w:r w:rsidR="00903FA2">
        <w:t>water pH</w:t>
      </w:r>
      <w:r>
        <w:t xml:space="preserve"> groups</w:t>
      </w:r>
      <w:r w:rsidR="00DF427B">
        <w:t>, with no group’s p-value greater than 0.05.</w:t>
      </w:r>
    </w:p>
    <w:p w14:paraId="3B1560B9" w14:textId="77777777" w:rsidR="00CE0588" w:rsidRPr="00CE0588" w:rsidRDefault="00CE0588" w:rsidP="00CE0588">
      <w:bookmarkStart w:id="137" w:name="_Toc69351131"/>
    </w:p>
    <w:p w14:paraId="51D41FF5" w14:textId="257C32CB" w:rsidR="002E6851" w:rsidRPr="0065371A" w:rsidRDefault="002E6851" w:rsidP="001650CC">
      <w:pPr>
        <w:pStyle w:val="Caption"/>
        <w:spacing w:after="0" w:line="480" w:lineRule="auto"/>
      </w:pPr>
      <w:bookmarkStart w:id="138" w:name="_Toc69352372"/>
      <w:bookmarkStart w:id="139" w:name="_Toc69352433"/>
      <w:bookmarkStart w:id="140" w:name="_Toc69412284"/>
      <w:bookmarkStart w:id="141" w:name="_Toc71224038"/>
      <w:r w:rsidRPr="008B135E">
        <w:rPr>
          <w:b/>
          <w:bCs/>
        </w:rPr>
        <w:t xml:space="preserve">Table </w:t>
      </w:r>
      <w:r w:rsidR="00ED00EF">
        <w:rPr>
          <w:b/>
          <w:bCs/>
        </w:rPr>
        <w:t>4</w:t>
      </w:r>
      <w:r w:rsidRPr="008B135E">
        <w:rPr>
          <w:b/>
          <w:bCs/>
        </w:rPr>
        <w:t>.</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8</w:t>
      </w:r>
      <w:r w:rsidR="001650CC" w:rsidRPr="001650CC">
        <w:rPr>
          <w:b/>
          <w:bCs/>
        </w:rPr>
        <w:fldChar w:fldCharType="end"/>
      </w:r>
      <w:r w:rsidRPr="008B135E">
        <w:rPr>
          <w:b/>
          <w:bCs/>
        </w:rPr>
        <w:t>:</w:t>
      </w:r>
      <w:r>
        <w:t xml:space="preserve"> Student’s t-Test for </w:t>
      </w:r>
      <w:r w:rsidR="00DF427B">
        <w:t>each metal</w:t>
      </w:r>
      <w:r>
        <w:t xml:space="preserve"> between acidic and basic </w:t>
      </w:r>
      <w:r w:rsidR="00903FA2">
        <w:t>water</w:t>
      </w:r>
      <w:r>
        <w:t xml:space="preserve"> groups</w:t>
      </w:r>
      <w:r w:rsidR="00DF427B">
        <w:t>.</w:t>
      </w:r>
      <w:bookmarkEnd w:id="137"/>
      <w:bookmarkEnd w:id="138"/>
      <w:bookmarkEnd w:id="139"/>
      <w:bookmarkEnd w:id="140"/>
      <w:bookmarkEnd w:id="141"/>
    </w:p>
    <w:tbl>
      <w:tblPr>
        <w:tblW w:w="6400" w:type="dxa"/>
        <w:jc w:val="center"/>
        <w:tblLook w:val="04A0" w:firstRow="1" w:lastRow="0" w:firstColumn="1" w:lastColumn="0" w:noHBand="0" w:noVBand="1"/>
      </w:tblPr>
      <w:tblGrid>
        <w:gridCol w:w="877"/>
        <w:gridCol w:w="1143"/>
        <w:gridCol w:w="1071"/>
        <w:gridCol w:w="1692"/>
        <w:gridCol w:w="1617"/>
      </w:tblGrid>
      <w:tr w:rsidR="00B16063" w:rsidRPr="00B16063" w14:paraId="24724F9C" w14:textId="77777777" w:rsidTr="00B16063">
        <w:trPr>
          <w:trHeight w:val="312"/>
          <w:jc w:val="center"/>
        </w:trPr>
        <w:tc>
          <w:tcPr>
            <w:tcW w:w="6400" w:type="dxa"/>
            <w:gridSpan w:val="5"/>
            <w:tcBorders>
              <w:top w:val="nil"/>
              <w:left w:val="nil"/>
              <w:bottom w:val="single" w:sz="4" w:space="0" w:color="auto"/>
              <w:right w:val="nil"/>
            </w:tcBorders>
            <w:shd w:val="clear" w:color="auto" w:fill="auto"/>
            <w:noWrap/>
            <w:vAlign w:val="center"/>
            <w:hideMark/>
          </w:tcPr>
          <w:p w14:paraId="5FC50589"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lastRenderedPageBreak/>
              <w:t>Student's t-Test, p &lt; 0.05</w:t>
            </w:r>
          </w:p>
        </w:tc>
      </w:tr>
      <w:tr w:rsidR="00B16063" w:rsidRPr="00B16063" w14:paraId="74A131F0" w14:textId="77777777" w:rsidTr="00B16063">
        <w:trPr>
          <w:trHeight w:val="312"/>
          <w:jc w:val="center"/>
        </w:trPr>
        <w:tc>
          <w:tcPr>
            <w:tcW w:w="877" w:type="dxa"/>
            <w:tcBorders>
              <w:top w:val="nil"/>
              <w:left w:val="nil"/>
              <w:bottom w:val="single" w:sz="4" w:space="0" w:color="auto"/>
              <w:right w:val="single" w:sz="4" w:space="0" w:color="auto"/>
            </w:tcBorders>
            <w:shd w:val="clear" w:color="auto" w:fill="auto"/>
            <w:noWrap/>
            <w:vAlign w:val="center"/>
            <w:hideMark/>
          </w:tcPr>
          <w:p w14:paraId="5064D5C2"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Week</w:t>
            </w:r>
          </w:p>
        </w:tc>
        <w:tc>
          <w:tcPr>
            <w:tcW w:w="1143" w:type="dxa"/>
            <w:tcBorders>
              <w:top w:val="nil"/>
              <w:left w:val="nil"/>
              <w:bottom w:val="single" w:sz="4" w:space="0" w:color="auto"/>
              <w:right w:val="nil"/>
            </w:tcBorders>
            <w:shd w:val="clear" w:color="auto" w:fill="auto"/>
            <w:noWrap/>
            <w:vAlign w:val="center"/>
            <w:hideMark/>
          </w:tcPr>
          <w:p w14:paraId="47695542"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Copper</w:t>
            </w:r>
          </w:p>
        </w:tc>
        <w:tc>
          <w:tcPr>
            <w:tcW w:w="1071" w:type="dxa"/>
            <w:tcBorders>
              <w:top w:val="nil"/>
              <w:left w:val="nil"/>
              <w:bottom w:val="single" w:sz="4" w:space="0" w:color="auto"/>
              <w:right w:val="nil"/>
            </w:tcBorders>
            <w:shd w:val="clear" w:color="auto" w:fill="auto"/>
            <w:noWrap/>
            <w:vAlign w:val="center"/>
            <w:hideMark/>
          </w:tcPr>
          <w:p w14:paraId="2EF8A064"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Nickel</w:t>
            </w:r>
          </w:p>
        </w:tc>
        <w:tc>
          <w:tcPr>
            <w:tcW w:w="1692" w:type="dxa"/>
            <w:tcBorders>
              <w:top w:val="nil"/>
              <w:left w:val="nil"/>
              <w:bottom w:val="single" w:sz="4" w:space="0" w:color="auto"/>
              <w:right w:val="nil"/>
            </w:tcBorders>
            <w:shd w:val="clear" w:color="auto" w:fill="auto"/>
            <w:noWrap/>
            <w:vAlign w:val="center"/>
            <w:hideMark/>
          </w:tcPr>
          <w:p w14:paraId="132DE6E3"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Manganese</w:t>
            </w:r>
          </w:p>
        </w:tc>
        <w:tc>
          <w:tcPr>
            <w:tcW w:w="1617" w:type="dxa"/>
            <w:tcBorders>
              <w:top w:val="nil"/>
              <w:left w:val="nil"/>
              <w:bottom w:val="single" w:sz="4" w:space="0" w:color="auto"/>
              <w:right w:val="nil"/>
            </w:tcBorders>
            <w:shd w:val="clear" w:color="auto" w:fill="auto"/>
            <w:noWrap/>
            <w:vAlign w:val="center"/>
            <w:hideMark/>
          </w:tcPr>
          <w:p w14:paraId="62FF3BAC"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Aluminum</w:t>
            </w:r>
          </w:p>
        </w:tc>
      </w:tr>
      <w:tr w:rsidR="00B16063" w:rsidRPr="00B16063" w14:paraId="2592BEB6"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6705B913"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w:t>
            </w:r>
          </w:p>
        </w:tc>
        <w:tc>
          <w:tcPr>
            <w:tcW w:w="1143" w:type="dxa"/>
            <w:tcBorders>
              <w:top w:val="nil"/>
              <w:left w:val="nil"/>
              <w:bottom w:val="nil"/>
              <w:right w:val="nil"/>
            </w:tcBorders>
            <w:shd w:val="clear" w:color="auto" w:fill="auto"/>
            <w:noWrap/>
            <w:vAlign w:val="bottom"/>
            <w:hideMark/>
          </w:tcPr>
          <w:p w14:paraId="6199F587"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6A6D1DE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7720E2E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43AED79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1374AAE6"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09AB1EB1"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w:t>
            </w:r>
          </w:p>
        </w:tc>
        <w:tc>
          <w:tcPr>
            <w:tcW w:w="1143" w:type="dxa"/>
            <w:tcBorders>
              <w:top w:val="nil"/>
              <w:left w:val="nil"/>
              <w:bottom w:val="nil"/>
              <w:right w:val="nil"/>
            </w:tcBorders>
            <w:shd w:val="clear" w:color="auto" w:fill="auto"/>
            <w:noWrap/>
            <w:vAlign w:val="bottom"/>
            <w:hideMark/>
          </w:tcPr>
          <w:p w14:paraId="04C52639"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1A581BD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4130FDB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0F8243EE"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3C5B6F30"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7DCCFE30"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4</w:t>
            </w:r>
          </w:p>
        </w:tc>
        <w:tc>
          <w:tcPr>
            <w:tcW w:w="1143" w:type="dxa"/>
            <w:tcBorders>
              <w:top w:val="nil"/>
              <w:left w:val="nil"/>
              <w:bottom w:val="nil"/>
              <w:right w:val="nil"/>
            </w:tcBorders>
            <w:shd w:val="clear" w:color="auto" w:fill="auto"/>
            <w:noWrap/>
            <w:vAlign w:val="bottom"/>
            <w:hideMark/>
          </w:tcPr>
          <w:p w14:paraId="3C405FF7"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0CAE4932"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153ABB10"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09271BA0"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4A7EF7A3"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1AC568C5"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6</w:t>
            </w:r>
          </w:p>
        </w:tc>
        <w:tc>
          <w:tcPr>
            <w:tcW w:w="1143" w:type="dxa"/>
            <w:tcBorders>
              <w:top w:val="nil"/>
              <w:left w:val="nil"/>
              <w:bottom w:val="nil"/>
              <w:right w:val="nil"/>
            </w:tcBorders>
            <w:shd w:val="clear" w:color="auto" w:fill="auto"/>
            <w:noWrap/>
            <w:vAlign w:val="bottom"/>
            <w:hideMark/>
          </w:tcPr>
          <w:p w14:paraId="2251095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19E0E65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63F0675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18BA9F5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521B1932"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03EF02CF"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8</w:t>
            </w:r>
          </w:p>
        </w:tc>
        <w:tc>
          <w:tcPr>
            <w:tcW w:w="1143" w:type="dxa"/>
            <w:tcBorders>
              <w:top w:val="nil"/>
              <w:left w:val="nil"/>
              <w:bottom w:val="nil"/>
              <w:right w:val="nil"/>
            </w:tcBorders>
            <w:shd w:val="clear" w:color="auto" w:fill="auto"/>
            <w:noWrap/>
            <w:vAlign w:val="bottom"/>
            <w:hideMark/>
          </w:tcPr>
          <w:p w14:paraId="034B637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7E33A2C5"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1DF857E8"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5B511EE5"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55E4A344"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74A2837B"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12</w:t>
            </w:r>
          </w:p>
        </w:tc>
        <w:tc>
          <w:tcPr>
            <w:tcW w:w="1143" w:type="dxa"/>
            <w:tcBorders>
              <w:top w:val="nil"/>
              <w:left w:val="nil"/>
              <w:bottom w:val="nil"/>
              <w:right w:val="nil"/>
            </w:tcBorders>
            <w:shd w:val="clear" w:color="auto" w:fill="auto"/>
            <w:noWrap/>
            <w:vAlign w:val="bottom"/>
            <w:hideMark/>
          </w:tcPr>
          <w:p w14:paraId="199AEA3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6718F70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43C8E13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0C73E9F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0E4B7BA1"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3F585A6B"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16</w:t>
            </w:r>
          </w:p>
        </w:tc>
        <w:tc>
          <w:tcPr>
            <w:tcW w:w="1143" w:type="dxa"/>
            <w:tcBorders>
              <w:top w:val="nil"/>
              <w:left w:val="nil"/>
              <w:bottom w:val="nil"/>
              <w:right w:val="nil"/>
            </w:tcBorders>
            <w:shd w:val="clear" w:color="auto" w:fill="auto"/>
            <w:noWrap/>
            <w:vAlign w:val="bottom"/>
            <w:hideMark/>
          </w:tcPr>
          <w:p w14:paraId="3B91983B"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5B89F5B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56A41EA2"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71380CAF"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4402F705"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00D29241"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20</w:t>
            </w:r>
          </w:p>
        </w:tc>
        <w:tc>
          <w:tcPr>
            <w:tcW w:w="1143" w:type="dxa"/>
            <w:tcBorders>
              <w:top w:val="nil"/>
              <w:left w:val="nil"/>
              <w:bottom w:val="nil"/>
              <w:right w:val="nil"/>
            </w:tcBorders>
            <w:shd w:val="clear" w:color="auto" w:fill="auto"/>
            <w:noWrap/>
            <w:vAlign w:val="bottom"/>
            <w:hideMark/>
          </w:tcPr>
          <w:p w14:paraId="29417506"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4F331D8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76FFB74A"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4B2776BC"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r w:rsidR="00B16063" w:rsidRPr="00B16063" w14:paraId="3C13E696" w14:textId="77777777" w:rsidTr="00B16063">
        <w:trPr>
          <w:trHeight w:val="312"/>
          <w:jc w:val="center"/>
        </w:trPr>
        <w:tc>
          <w:tcPr>
            <w:tcW w:w="877" w:type="dxa"/>
            <w:tcBorders>
              <w:top w:val="nil"/>
              <w:left w:val="nil"/>
              <w:bottom w:val="nil"/>
              <w:right w:val="single" w:sz="4" w:space="0" w:color="auto"/>
            </w:tcBorders>
            <w:shd w:val="clear" w:color="auto" w:fill="auto"/>
            <w:noWrap/>
            <w:vAlign w:val="center"/>
            <w:hideMark/>
          </w:tcPr>
          <w:p w14:paraId="40CB43CC" w14:textId="77777777" w:rsidR="00B16063" w:rsidRPr="00B16063" w:rsidRDefault="00B16063" w:rsidP="00B16063">
            <w:pPr>
              <w:spacing w:line="240" w:lineRule="auto"/>
              <w:jc w:val="center"/>
              <w:rPr>
                <w:rFonts w:eastAsia="Times New Roman" w:cs="Times New Roman"/>
                <w:b/>
                <w:bCs/>
                <w:color w:val="000000"/>
                <w:szCs w:val="24"/>
              </w:rPr>
            </w:pPr>
            <w:r w:rsidRPr="00B16063">
              <w:rPr>
                <w:rFonts w:eastAsia="Times New Roman" w:cs="Times New Roman"/>
                <w:b/>
                <w:bCs/>
                <w:color w:val="000000"/>
                <w:szCs w:val="24"/>
              </w:rPr>
              <w:t>24</w:t>
            </w:r>
          </w:p>
        </w:tc>
        <w:tc>
          <w:tcPr>
            <w:tcW w:w="1143" w:type="dxa"/>
            <w:tcBorders>
              <w:top w:val="nil"/>
              <w:left w:val="nil"/>
              <w:bottom w:val="nil"/>
              <w:right w:val="nil"/>
            </w:tcBorders>
            <w:shd w:val="clear" w:color="auto" w:fill="auto"/>
            <w:noWrap/>
            <w:vAlign w:val="bottom"/>
            <w:hideMark/>
          </w:tcPr>
          <w:p w14:paraId="50F4BFCD"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071" w:type="dxa"/>
            <w:tcBorders>
              <w:top w:val="nil"/>
              <w:left w:val="nil"/>
              <w:bottom w:val="nil"/>
              <w:right w:val="nil"/>
            </w:tcBorders>
            <w:shd w:val="clear" w:color="auto" w:fill="auto"/>
            <w:noWrap/>
            <w:vAlign w:val="bottom"/>
            <w:hideMark/>
          </w:tcPr>
          <w:p w14:paraId="586EFB61"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92" w:type="dxa"/>
            <w:tcBorders>
              <w:top w:val="nil"/>
              <w:left w:val="nil"/>
              <w:bottom w:val="nil"/>
              <w:right w:val="nil"/>
            </w:tcBorders>
            <w:shd w:val="clear" w:color="auto" w:fill="auto"/>
            <w:noWrap/>
            <w:vAlign w:val="bottom"/>
            <w:hideMark/>
          </w:tcPr>
          <w:p w14:paraId="34AEA543"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c>
          <w:tcPr>
            <w:tcW w:w="1617" w:type="dxa"/>
            <w:tcBorders>
              <w:top w:val="nil"/>
              <w:left w:val="nil"/>
              <w:bottom w:val="nil"/>
              <w:right w:val="nil"/>
            </w:tcBorders>
            <w:shd w:val="clear" w:color="auto" w:fill="auto"/>
            <w:noWrap/>
            <w:vAlign w:val="bottom"/>
            <w:hideMark/>
          </w:tcPr>
          <w:p w14:paraId="2B06B9D5" w14:textId="77777777" w:rsidR="00B16063" w:rsidRPr="00B16063" w:rsidRDefault="00B16063" w:rsidP="00B16063">
            <w:pPr>
              <w:spacing w:line="240" w:lineRule="auto"/>
              <w:jc w:val="right"/>
              <w:rPr>
                <w:rFonts w:ascii="Calibri" w:eastAsia="Times New Roman" w:hAnsi="Calibri" w:cs="Calibri"/>
                <w:color w:val="000000"/>
                <w:sz w:val="22"/>
              </w:rPr>
            </w:pPr>
            <w:r w:rsidRPr="00B16063">
              <w:rPr>
                <w:rFonts w:ascii="Calibri" w:eastAsia="Times New Roman" w:hAnsi="Calibri" w:cs="Calibri"/>
                <w:color w:val="000000"/>
                <w:sz w:val="22"/>
              </w:rPr>
              <w:t>&lt;0.0001</w:t>
            </w:r>
          </w:p>
        </w:tc>
      </w:tr>
    </w:tbl>
    <w:p w14:paraId="4435112A" w14:textId="77777777" w:rsidR="00DF427B" w:rsidRDefault="00DF427B" w:rsidP="002E6851">
      <w:pPr>
        <w:jc w:val="both"/>
      </w:pPr>
    </w:p>
    <w:p w14:paraId="179D94D8" w14:textId="40C3E151" w:rsidR="002E6851" w:rsidRDefault="002E6851" w:rsidP="002E6851">
      <w:pPr>
        <w:jc w:val="both"/>
      </w:pPr>
      <w:r>
        <w:tab/>
        <w:t xml:space="preserve">The comparison between acidic and basic </w:t>
      </w:r>
      <w:r w:rsidR="00F7178B">
        <w:t>water</w:t>
      </w:r>
      <w:r>
        <w:t xml:space="preserve"> groups for each time period with the respective standard deviations are in Figure</w:t>
      </w:r>
      <w:r w:rsidR="004F129F">
        <w:t>s 4.13, 4.14, 4.15, and 4.16</w:t>
      </w:r>
      <w:r>
        <w:t>. The p-value refers to the Student’s t-Test for significant differences between the acidic and basic soils.</w:t>
      </w:r>
    </w:p>
    <w:p w14:paraId="35A7B0D3" w14:textId="77777777" w:rsidR="00C334CD" w:rsidRDefault="00C334CD" w:rsidP="002E6851">
      <w:pPr>
        <w:jc w:val="both"/>
      </w:pPr>
    </w:p>
    <w:p w14:paraId="1363CEC1" w14:textId="4371C0B2" w:rsidR="002E6851" w:rsidRDefault="000A6D69" w:rsidP="002E6851">
      <w:pPr>
        <w:jc w:val="center"/>
      </w:pPr>
      <w:r>
        <w:rPr>
          <w:noProof/>
        </w:rPr>
        <w:drawing>
          <wp:inline distT="0" distB="0" distL="0" distR="0" wp14:anchorId="5B2D494D" wp14:editId="3DC82CF6">
            <wp:extent cx="4584700" cy="2755900"/>
            <wp:effectExtent l="0" t="0" r="635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275D6D0" w14:textId="41BA571D" w:rsidR="000A6D69" w:rsidRDefault="002E6851" w:rsidP="000A6D69">
      <w:pPr>
        <w:pStyle w:val="Caption"/>
        <w:spacing w:after="0" w:line="480" w:lineRule="auto"/>
      </w:pPr>
      <w:bookmarkStart w:id="142" w:name="_Toc69291563"/>
      <w:bookmarkStart w:id="143" w:name="_Toc69352348"/>
      <w:bookmarkStart w:id="144" w:name="_Toc69352530"/>
      <w:bookmarkStart w:id="145" w:name="_Toc71224057"/>
      <w:r w:rsidRPr="008B135E">
        <w:rPr>
          <w:b/>
          <w:bCs/>
        </w:rPr>
        <w:t xml:space="preserve">Figure </w:t>
      </w:r>
      <w:r w:rsidR="00ED00EF">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13</w:t>
      </w:r>
      <w:r w:rsidR="0065637B">
        <w:rPr>
          <w:b/>
          <w:bCs/>
        </w:rPr>
        <w:fldChar w:fldCharType="end"/>
      </w:r>
      <w:r w:rsidRPr="008B135E">
        <w:rPr>
          <w:b/>
          <w:bCs/>
        </w:rPr>
        <w:t>:</w:t>
      </w:r>
      <w:r>
        <w:t xml:space="preserve"> </w:t>
      </w:r>
      <w:r w:rsidR="00CF1D4A">
        <w:t>Copper</w:t>
      </w:r>
      <w:r>
        <w:t xml:space="preserve"> concentration comparison between acidic and basic </w:t>
      </w:r>
      <w:r w:rsidR="00F7178B">
        <w:t>water</w:t>
      </w:r>
      <w:r>
        <w:t xml:space="preserve">, normalized to the control, including standard deviation and </w:t>
      </w:r>
      <w:proofErr w:type="gramStart"/>
      <w:r>
        <w:t>Student’s</w:t>
      </w:r>
      <w:proofErr w:type="gramEnd"/>
      <w:r>
        <w:t xml:space="preserve"> t-Test.</w:t>
      </w:r>
      <w:bookmarkEnd w:id="142"/>
      <w:bookmarkEnd w:id="143"/>
      <w:bookmarkEnd w:id="144"/>
      <w:bookmarkEnd w:id="145"/>
    </w:p>
    <w:p w14:paraId="511DE20A" w14:textId="77777777" w:rsidR="00C334CD" w:rsidRPr="00C334CD" w:rsidRDefault="00C334CD" w:rsidP="00C334CD"/>
    <w:p w14:paraId="16732BF4" w14:textId="5084EDA9" w:rsidR="00CF1D4A" w:rsidRDefault="000A6D69" w:rsidP="00CF1D4A">
      <w:pPr>
        <w:jc w:val="center"/>
      </w:pPr>
      <w:r>
        <w:rPr>
          <w:noProof/>
        </w:rPr>
        <w:lastRenderedPageBreak/>
        <w:drawing>
          <wp:inline distT="0" distB="0" distL="0" distR="0" wp14:anchorId="117C3E43" wp14:editId="72B623B6">
            <wp:extent cx="4584700" cy="2755900"/>
            <wp:effectExtent l="0" t="0" r="635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E82ECF4" w14:textId="2DBECFFF" w:rsidR="00CF1D4A" w:rsidRDefault="00CF1D4A" w:rsidP="00CF1D4A">
      <w:pPr>
        <w:pStyle w:val="Caption"/>
        <w:spacing w:after="0" w:line="480" w:lineRule="auto"/>
      </w:pPr>
      <w:bookmarkStart w:id="146" w:name="_Toc71224058"/>
      <w:r w:rsidRPr="008B135E">
        <w:rPr>
          <w:b/>
          <w:bCs/>
        </w:rPr>
        <w:t xml:space="preserve">Figure </w:t>
      </w:r>
      <w:r>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14</w:t>
      </w:r>
      <w:r w:rsidR="0065637B">
        <w:rPr>
          <w:b/>
          <w:bCs/>
        </w:rPr>
        <w:fldChar w:fldCharType="end"/>
      </w:r>
      <w:r w:rsidRPr="008B135E">
        <w:rPr>
          <w:b/>
          <w:bCs/>
        </w:rPr>
        <w:t>:</w:t>
      </w:r>
      <w:r>
        <w:t xml:space="preserve"> Manganese concentration comparison between acidic and basic water, normalized to the control, including standard deviation and </w:t>
      </w:r>
      <w:proofErr w:type="gramStart"/>
      <w:r>
        <w:t>Student’s</w:t>
      </w:r>
      <w:proofErr w:type="gramEnd"/>
      <w:r>
        <w:t xml:space="preserve"> t-Test.</w:t>
      </w:r>
      <w:bookmarkEnd w:id="146"/>
    </w:p>
    <w:p w14:paraId="0A2091B8" w14:textId="0EA708FA" w:rsidR="00CF1D4A" w:rsidRDefault="000A6D69" w:rsidP="00CF1D4A">
      <w:pPr>
        <w:jc w:val="center"/>
      </w:pPr>
      <w:r>
        <w:rPr>
          <w:noProof/>
        </w:rPr>
        <w:drawing>
          <wp:inline distT="0" distB="0" distL="0" distR="0" wp14:anchorId="1C83979B" wp14:editId="4970FD02">
            <wp:extent cx="4584700" cy="274955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09136AF8" w14:textId="4E4CE2A9" w:rsidR="00CF1D4A" w:rsidRDefault="00CF1D4A" w:rsidP="00CF1D4A">
      <w:pPr>
        <w:pStyle w:val="Caption"/>
        <w:spacing w:after="0" w:line="480" w:lineRule="auto"/>
      </w:pPr>
      <w:bookmarkStart w:id="147" w:name="_Toc71224059"/>
      <w:r w:rsidRPr="008B135E">
        <w:rPr>
          <w:b/>
          <w:bCs/>
        </w:rPr>
        <w:t xml:space="preserve">Figure </w:t>
      </w:r>
      <w:r>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15</w:t>
      </w:r>
      <w:r w:rsidR="0065637B">
        <w:rPr>
          <w:b/>
          <w:bCs/>
        </w:rPr>
        <w:fldChar w:fldCharType="end"/>
      </w:r>
      <w:r w:rsidRPr="008B135E">
        <w:rPr>
          <w:b/>
          <w:bCs/>
        </w:rPr>
        <w:t>:</w:t>
      </w:r>
      <w:r>
        <w:t xml:space="preserve"> Nickel concentration comparison between acidic and basic water, normalized to the control, including standard deviation and </w:t>
      </w:r>
      <w:proofErr w:type="gramStart"/>
      <w:r>
        <w:t>Student’s</w:t>
      </w:r>
      <w:proofErr w:type="gramEnd"/>
      <w:r>
        <w:t xml:space="preserve"> t-Test.</w:t>
      </w:r>
      <w:bookmarkEnd w:id="147"/>
    </w:p>
    <w:p w14:paraId="62968C1A" w14:textId="77777777" w:rsidR="00CF1D4A" w:rsidRPr="00CF1D4A" w:rsidRDefault="00CF1D4A" w:rsidP="00CF1D4A"/>
    <w:p w14:paraId="7F15F98C" w14:textId="3F76D263" w:rsidR="00CF1D4A" w:rsidRDefault="000A6D69" w:rsidP="00CF1D4A">
      <w:pPr>
        <w:jc w:val="center"/>
      </w:pPr>
      <w:r>
        <w:rPr>
          <w:noProof/>
        </w:rPr>
        <w:lastRenderedPageBreak/>
        <w:drawing>
          <wp:inline distT="0" distB="0" distL="0" distR="0" wp14:anchorId="4C72074A" wp14:editId="4D8E8E3B">
            <wp:extent cx="4572000" cy="2743200"/>
            <wp:effectExtent l="0" t="0" r="0" b="0"/>
            <wp:docPr id="51" name="Chart 51">
              <a:extLst xmlns:a="http://schemas.openxmlformats.org/drawingml/2006/main">
                <a:ext uri="{FF2B5EF4-FFF2-40B4-BE49-F238E27FC236}">
                  <a16:creationId xmlns:a16="http://schemas.microsoft.com/office/drawing/2014/main" id="{417BB210-DDC5-481B-A687-087309C75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E4C0803" w14:textId="3A36FFDE" w:rsidR="00CF1D4A" w:rsidRDefault="00CF1D4A" w:rsidP="00CF1D4A">
      <w:pPr>
        <w:pStyle w:val="Caption"/>
        <w:spacing w:after="0" w:line="480" w:lineRule="auto"/>
      </w:pPr>
      <w:bookmarkStart w:id="148" w:name="_Toc71224060"/>
      <w:r w:rsidRPr="008B135E">
        <w:rPr>
          <w:b/>
          <w:bCs/>
        </w:rPr>
        <w:t xml:space="preserve">Figure </w:t>
      </w:r>
      <w:r>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16</w:t>
      </w:r>
      <w:r w:rsidR="0065637B">
        <w:rPr>
          <w:b/>
          <w:bCs/>
        </w:rPr>
        <w:fldChar w:fldCharType="end"/>
      </w:r>
      <w:r w:rsidRPr="008B135E">
        <w:rPr>
          <w:b/>
          <w:bCs/>
        </w:rPr>
        <w:t>:</w:t>
      </w:r>
      <w:r>
        <w:t xml:space="preserve"> Aluminum concentration comparison between acidic and basic water, normalized to the control, including standard deviation and </w:t>
      </w:r>
      <w:proofErr w:type="gramStart"/>
      <w:r>
        <w:t>Student’s</w:t>
      </w:r>
      <w:proofErr w:type="gramEnd"/>
      <w:r>
        <w:t xml:space="preserve"> t-Test.</w:t>
      </w:r>
      <w:bookmarkEnd w:id="148"/>
    </w:p>
    <w:p w14:paraId="6C9A2FCE" w14:textId="77777777" w:rsidR="003F021F" w:rsidRPr="003F021F" w:rsidRDefault="003F021F" w:rsidP="003F021F"/>
    <w:p w14:paraId="17D43472" w14:textId="2BD22C87" w:rsidR="00DB3134" w:rsidRDefault="00F84424" w:rsidP="00F84424">
      <w:pPr>
        <w:pStyle w:val="Heading2"/>
      </w:pPr>
      <w:bookmarkStart w:id="149" w:name="_Toc71224013"/>
      <w:r>
        <w:t>4.</w:t>
      </w:r>
      <w:r w:rsidR="00DB3134">
        <w:t>3 MINEQL+ Model</w:t>
      </w:r>
      <w:r w:rsidR="00B57F32">
        <w:t>ing</w:t>
      </w:r>
      <w:r w:rsidR="00DB3134">
        <w:t xml:space="preserve"> </w:t>
      </w:r>
      <w:r w:rsidR="00DB3134" w:rsidRPr="002A4ADE">
        <w:t>Results</w:t>
      </w:r>
      <w:bookmarkEnd w:id="149"/>
    </w:p>
    <w:p w14:paraId="770E52B7" w14:textId="2C9D5AD7" w:rsidR="00444F4A" w:rsidRDefault="00F84424" w:rsidP="00F84424">
      <w:pPr>
        <w:pStyle w:val="Heading3"/>
        <w:numPr>
          <w:ilvl w:val="0"/>
          <w:numId w:val="0"/>
        </w:numPr>
      </w:pPr>
      <w:bookmarkStart w:id="150" w:name="_Toc71224014"/>
      <w:r>
        <w:t>4.</w:t>
      </w:r>
      <w:r w:rsidR="00917FAF">
        <w:t>3.1 Soil Modeling</w:t>
      </w:r>
      <w:bookmarkEnd w:id="150"/>
    </w:p>
    <w:p w14:paraId="6A74A92C" w14:textId="10486D57" w:rsidR="00917FAF" w:rsidRDefault="00917FAF" w:rsidP="005078F3">
      <w:pPr>
        <w:jc w:val="both"/>
      </w:pPr>
      <w:r>
        <w:tab/>
      </w:r>
      <w:r w:rsidR="00FE5D3A">
        <w:t xml:space="preserve"> </w:t>
      </w:r>
      <w:r w:rsidR="00A57043">
        <w:t xml:space="preserve">MINEQL+ enabled the modeling of the adsorption of each LIB metal </w:t>
      </w:r>
      <w:r w:rsidR="00FC25FC">
        <w:t>between pH 4 and pH 10.</w:t>
      </w:r>
      <w:r w:rsidR="00EF7478">
        <w:t xml:space="preserve"> </w:t>
      </w:r>
      <w:r w:rsidR="00B56BCD">
        <w:t xml:space="preserve">The </w:t>
      </w:r>
      <w:r w:rsidR="00EF7478">
        <w:t xml:space="preserve">LogK values for </w:t>
      </w:r>
      <w:r w:rsidR="009B7818">
        <w:t>SOHM and SOHM-1,</w:t>
      </w:r>
      <w:r w:rsidR="00B56BCD">
        <w:t xml:space="preserve"> were determined to</w:t>
      </w:r>
      <w:r w:rsidR="00786F17">
        <w:t xml:space="preserve"> be </w:t>
      </w:r>
      <w:r w:rsidR="00556174">
        <w:t>1 and -8</w:t>
      </w:r>
      <w:r w:rsidR="005D75A9">
        <w:t>.2</w:t>
      </w:r>
      <w:r w:rsidR="00556174">
        <w:t>, respectively,</w:t>
      </w:r>
      <w:r w:rsidR="005879D9">
        <w:t xml:space="preserve"> which were the</w:t>
      </w:r>
      <w:r w:rsidR="00B56BCD">
        <w:t xml:space="preserve"> best </w:t>
      </w:r>
      <w:r w:rsidR="005879D9">
        <w:t>fit the experimental soil results</w:t>
      </w:r>
      <w:r w:rsidR="00556174">
        <w:t>.</w:t>
      </w:r>
      <w:r w:rsidR="009B7818">
        <w:t xml:space="preserve"> </w:t>
      </w:r>
      <w:r w:rsidR="00B56BCD">
        <w:t xml:space="preserve"> </w:t>
      </w:r>
      <w:r w:rsidR="00FC25FC">
        <w:t xml:space="preserve">The pC – pH adsorption diagram for the </w:t>
      </w:r>
      <w:r w:rsidR="00C911B0">
        <w:t xml:space="preserve">total adsorption of each </w:t>
      </w:r>
      <w:r w:rsidR="00FC25FC">
        <w:t>meta</w:t>
      </w:r>
      <w:r w:rsidR="00C911B0">
        <w:t>l</w:t>
      </w:r>
      <w:r w:rsidR="00BD7A47">
        <w:t xml:space="preserve"> is provided in Figure 4</w:t>
      </w:r>
      <w:r w:rsidR="008C493F">
        <w:t>.11</w:t>
      </w:r>
      <w:r w:rsidR="00BD7A47">
        <w:t xml:space="preserve">.  </w:t>
      </w:r>
      <w:r w:rsidR="00EF752F">
        <w:t xml:space="preserve">The pC – pH </w:t>
      </w:r>
      <w:r w:rsidR="00E50E50">
        <w:t>adsorption diagram</w:t>
      </w:r>
      <w:r w:rsidR="006F378D">
        <w:t>s</w:t>
      </w:r>
      <w:r w:rsidR="00E50E50">
        <w:t xml:space="preserve"> for each metal with the</w:t>
      </w:r>
      <w:r w:rsidR="00DC2B75">
        <w:t>ir</w:t>
      </w:r>
      <w:r w:rsidR="00E50E50">
        <w:t xml:space="preserve"> major </w:t>
      </w:r>
      <w:r w:rsidR="00A3065E">
        <w:t>dissolved species</w:t>
      </w:r>
      <w:r w:rsidR="006F378D">
        <w:t xml:space="preserve"> are </w:t>
      </w:r>
      <w:r w:rsidR="006F378D" w:rsidRPr="000A26F2">
        <w:t>Figures A</w:t>
      </w:r>
      <w:r w:rsidR="009A1E5F" w:rsidRPr="000A26F2">
        <w:t>.</w:t>
      </w:r>
      <w:r w:rsidR="00F61129">
        <w:t>10</w:t>
      </w:r>
      <w:r w:rsidR="009A1E5F" w:rsidRPr="000A26F2">
        <w:t xml:space="preserve"> </w:t>
      </w:r>
      <w:r w:rsidR="006F378D" w:rsidRPr="000A26F2">
        <w:t>through A.</w:t>
      </w:r>
      <w:r w:rsidR="009A1E5F" w:rsidRPr="000A26F2">
        <w:t>1</w:t>
      </w:r>
      <w:r w:rsidR="00F61129">
        <w:t>4</w:t>
      </w:r>
      <w:r w:rsidR="00EF7478" w:rsidRPr="000A26F2">
        <w:t xml:space="preserve"> in the Appendix.</w:t>
      </w:r>
      <w:r w:rsidR="00EF7478">
        <w:t xml:space="preserve">  </w:t>
      </w:r>
    </w:p>
    <w:p w14:paraId="10B94527" w14:textId="77777777" w:rsidR="00050AD2" w:rsidRDefault="00050AD2" w:rsidP="005078F3">
      <w:pPr>
        <w:jc w:val="both"/>
      </w:pPr>
    </w:p>
    <w:p w14:paraId="7676CF07" w14:textId="6EF40B3C" w:rsidR="00D9224E" w:rsidRDefault="00821BFC" w:rsidP="00D9224E">
      <w:pPr>
        <w:jc w:val="center"/>
      </w:pPr>
      <w:r>
        <w:rPr>
          <w:noProof/>
        </w:rPr>
        <w:lastRenderedPageBreak/>
        <w:drawing>
          <wp:inline distT="0" distB="0" distL="0" distR="0" wp14:anchorId="235FF9B4" wp14:editId="23CDFA6F">
            <wp:extent cx="5486400" cy="4114800"/>
            <wp:effectExtent l="0" t="0" r="0" b="0"/>
            <wp:docPr id="13" name="Chart 13">
              <a:extLst xmlns:a="http://schemas.openxmlformats.org/drawingml/2006/main">
                <a:ext uri="{FF2B5EF4-FFF2-40B4-BE49-F238E27FC236}">
                  <a16:creationId xmlns:a16="http://schemas.microsoft.com/office/drawing/2014/main" id="{BAB060BA-DDC4-4EF4-80B7-7F6E6F50B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52AC742" w14:textId="09B9933F" w:rsidR="000A26F2" w:rsidRPr="00DF496D" w:rsidRDefault="000A26F2" w:rsidP="009A56D3">
      <w:pPr>
        <w:pStyle w:val="Caption"/>
        <w:spacing w:after="0" w:line="480" w:lineRule="auto"/>
      </w:pPr>
      <w:bookmarkStart w:id="151" w:name="_Toc69352349"/>
      <w:bookmarkStart w:id="152" w:name="_Toc69352531"/>
      <w:bookmarkStart w:id="153" w:name="_Toc71224061"/>
      <w:r w:rsidRPr="00A935B5">
        <w:rPr>
          <w:b/>
          <w:bCs/>
        </w:rPr>
        <w:t xml:space="preserve">Figure </w:t>
      </w:r>
      <w:r>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17</w:t>
      </w:r>
      <w:r w:rsidR="0065637B">
        <w:rPr>
          <w:b/>
          <w:bCs/>
        </w:rPr>
        <w:fldChar w:fldCharType="end"/>
      </w:r>
      <w:r w:rsidRPr="00A935B5">
        <w:rPr>
          <w:b/>
          <w:bCs/>
        </w:rPr>
        <w:t>:</w:t>
      </w:r>
      <w:r>
        <w:t xml:space="preserve"> Total LIB metal ions ad</w:t>
      </w:r>
      <w:r w:rsidR="00BF487E">
        <w:t>sorption between pH 4 and pH 10.</w:t>
      </w:r>
      <w:bookmarkEnd w:id="151"/>
      <w:bookmarkEnd w:id="152"/>
      <w:bookmarkEnd w:id="153"/>
    </w:p>
    <w:p w14:paraId="2CDE472D" w14:textId="77777777" w:rsidR="00253C52" w:rsidRDefault="00253C52" w:rsidP="00D9224E">
      <w:pPr>
        <w:jc w:val="center"/>
      </w:pPr>
    </w:p>
    <w:p w14:paraId="1AF4EBB2" w14:textId="47826FED" w:rsidR="00917FAF" w:rsidRDefault="00F84424" w:rsidP="00F84424">
      <w:pPr>
        <w:pStyle w:val="Heading3"/>
        <w:numPr>
          <w:ilvl w:val="0"/>
          <w:numId w:val="0"/>
        </w:numPr>
      </w:pPr>
      <w:bookmarkStart w:id="154" w:name="_Toc71224015"/>
      <w:r>
        <w:t>4.</w:t>
      </w:r>
      <w:r w:rsidR="00917FAF">
        <w:t>3.2 Water Modeling</w:t>
      </w:r>
      <w:bookmarkEnd w:id="154"/>
    </w:p>
    <w:p w14:paraId="3101EBA2" w14:textId="71C312E0" w:rsidR="00184305" w:rsidRDefault="00917FAF" w:rsidP="00BC68B1">
      <w:pPr>
        <w:jc w:val="both"/>
      </w:pPr>
      <w:r>
        <w:tab/>
      </w:r>
      <w:r w:rsidR="00903FA2">
        <w:t xml:space="preserve">MINEQL+ </w:t>
      </w:r>
      <w:r w:rsidR="0005503D">
        <w:t xml:space="preserve">enabled the modeling the dominant species and concentrations of each LIB metal between pH 4 and pH 10.  </w:t>
      </w:r>
      <w:r w:rsidR="007D0B18">
        <w:t xml:space="preserve">The </w:t>
      </w:r>
      <w:r w:rsidR="00E60424">
        <w:t xml:space="preserve">pC – pH </w:t>
      </w:r>
      <w:r w:rsidR="00967AAC">
        <w:t>diagram</w:t>
      </w:r>
      <w:r w:rsidR="007D0B18">
        <w:t xml:space="preserve"> for the LIB metals, copper, manganese, nickel, aluminum, and cobalt</w:t>
      </w:r>
      <w:r w:rsidR="004B4D34">
        <w:t xml:space="preserve">, </w:t>
      </w:r>
      <w:r w:rsidR="00967AAC">
        <w:t xml:space="preserve">is provided in Figure </w:t>
      </w:r>
      <w:r w:rsidR="00ED00EF">
        <w:t>4</w:t>
      </w:r>
      <w:r w:rsidR="00967AAC">
        <w:t>.11.  Figures</w:t>
      </w:r>
      <w:r w:rsidR="00ED00EF">
        <w:t xml:space="preserve"> 4</w:t>
      </w:r>
      <w:r w:rsidR="00967AAC">
        <w:t xml:space="preserve">.12 through </w:t>
      </w:r>
      <w:r w:rsidR="00ED00EF">
        <w:t>4</w:t>
      </w:r>
      <w:r w:rsidR="00967AAC">
        <w:t>.16</w:t>
      </w:r>
      <w:r w:rsidR="00643B8E">
        <w:t xml:space="preserve"> are the pC – pH diagrams of the major species for </w:t>
      </w:r>
      <w:r w:rsidR="001372B4">
        <w:t xml:space="preserve">copper, manganese, nickel, aluminum, and cobalt, respectively.  </w:t>
      </w:r>
      <w:r w:rsidR="00836079">
        <w:t xml:space="preserve">The </w:t>
      </w:r>
      <w:r w:rsidR="00384FBB">
        <w:t xml:space="preserve">metal ion concentrations begin at LogC = 0 at pH </w:t>
      </w:r>
      <w:r w:rsidR="000D79A2">
        <w:t>4 due to setting the initial concentration to 1 M and begin</w:t>
      </w:r>
      <w:r w:rsidR="008410B2">
        <w:t>ning</w:t>
      </w:r>
      <w:r w:rsidR="000D79A2">
        <w:t xml:space="preserve"> the </w:t>
      </w:r>
      <w:r w:rsidR="008410B2">
        <w:t>calculation at pH 4.</w:t>
      </w:r>
    </w:p>
    <w:p w14:paraId="68738CA7" w14:textId="77777777" w:rsidR="00D14FC5" w:rsidRDefault="00D14FC5" w:rsidP="00BC68B1">
      <w:pPr>
        <w:jc w:val="both"/>
      </w:pPr>
    </w:p>
    <w:p w14:paraId="307C7713" w14:textId="08110D21" w:rsidR="00FD1173" w:rsidRDefault="00B01433" w:rsidP="00BC68B1">
      <w:pPr>
        <w:jc w:val="center"/>
      </w:pPr>
      <w:r>
        <w:rPr>
          <w:noProof/>
        </w:rPr>
        <w:lastRenderedPageBreak/>
        <w:drawing>
          <wp:inline distT="0" distB="0" distL="0" distR="0" wp14:anchorId="27FD5A22" wp14:editId="025A88B9">
            <wp:extent cx="4206240" cy="3759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06240" cy="3759700"/>
                    </a:xfrm>
                    <a:prstGeom prst="rect">
                      <a:avLst/>
                    </a:prstGeom>
                    <a:noFill/>
                  </pic:spPr>
                </pic:pic>
              </a:graphicData>
            </a:graphic>
          </wp:inline>
        </w:drawing>
      </w:r>
    </w:p>
    <w:p w14:paraId="09F4F3CF" w14:textId="0239E547" w:rsidR="00DF496D" w:rsidRPr="00DF496D" w:rsidRDefault="00CD65D3" w:rsidP="009A56D3">
      <w:pPr>
        <w:pStyle w:val="Caption"/>
        <w:spacing w:after="0" w:line="480" w:lineRule="auto"/>
      </w:pPr>
      <w:bookmarkStart w:id="155" w:name="_Toc69291564"/>
      <w:bookmarkStart w:id="156" w:name="_Toc69352350"/>
      <w:bookmarkStart w:id="157" w:name="_Toc69352532"/>
      <w:bookmarkStart w:id="158" w:name="_Toc71224062"/>
      <w:r w:rsidRPr="00A935B5">
        <w:rPr>
          <w:b/>
          <w:bCs/>
        </w:rPr>
        <w:t xml:space="preserve">Figure </w:t>
      </w:r>
      <w:r w:rsidR="00ED00EF">
        <w:rPr>
          <w:b/>
          <w:bCs/>
        </w:rPr>
        <w:t>4</w:t>
      </w:r>
      <w:r w:rsidRPr="00A935B5">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18</w:t>
      </w:r>
      <w:r w:rsidR="0065637B">
        <w:rPr>
          <w:b/>
          <w:bCs/>
        </w:rPr>
        <w:fldChar w:fldCharType="end"/>
      </w:r>
      <w:r w:rsidRPr="00A935B5">
        <w:rPr>
          <w:b/>
          <w:bCs/>
        </w:rPr>
        <w:t>:</w:t>
      </w:r>
      <w:r>
        <w:t xml:space="preserve"> </w:t>
      </w:r>
      <w:r w:rsidR="005D00FC">
        <w:t xml:space="preserve">Total LIB </w:t>
      </w:r>
      <w:r w:rsidR="00A935B5">
        <w:t>metal ions p</w:t>
      </w:r>
      <w:r w:rsidR="004B4D34">
        <w:t>C</w:t>
      </w:r>
      <w:r w:rsidR="00A935B5">
        <w:t xml:space="preserve"> – pH diagram</w:t>
      </w:r>
      <w:bookmarkEnd w:id="155"/>
      <w:bookmarkEnd w:id="156"/>
      <w:bookmarkEnd w:id="157"/>
      <w:bookmarkEnd w:id="158"/>
    </w:p>
    <w:p w14:paraId="460DF762" w14:textId="468354A2" w:rsidR="00154B4C" w:rsidRDefault="00A20702" w:rsidP="009A56D3">
      <w:pPr>
        <w:jc w:val="center"/>
      </w:pPr>
      <w:r>
        <w:rPr>
          <w:noProof/>
        </w:rPr>
        <w:drawing>
          <wp:inline distT="0" distB="0" distL="0" distR="0" wp14:anchorId="13238EEA" wp14:editId="00679ACA">
            <wp:extent cx="4206240" cy="35940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06240" cy="3594092"/>
                    </a:xfrm>
                    <a:prstGeom prst="rect">
                      <a:avLst/>
                    </a:prstGeom>
                    <a:noFill/>
                    <a:ln>
                      <a:noFill/>
                    </a:ln>
                  </pic:spPr>
                </pic:pic>
              </a:graphicData>
            </a:graphic>
          </wp:inline>
        </w:drawing>
      </w:r>
    </w:p>
    <w:p w14:paraId="79B52291" w14:textId="62F5ED2D" w:rsidR="00D14FC5" w:rsidRPr="00D14FC5" w:rsidRDefault="003648F4" w:rsidP="00D14FC5">
      <w:pPr>
        <w:pStyle w:val="Caption"/>
        <w:spacing w:after="0" w:line="480" w:lineRule="auto"/>
      </w:pPr>
      <w:bookmarkStart w:id="159" w:name="_Toc69291565"/>
      <w:bookmarkStart w:id="160" w:name="_Toc69352351"/>
      <w:bookmarkStart w:id="161" w:name="_Toc69352533"/>
      <w:bookmarkStart w:id="162" w:name="_Toc71224063"/>
      <w:r w:rsidRPr="00CA2531">
        <w:rPr>
          <w:b/>
          <w:bCs/>
        </w:rPr>
        <w:t xml:space="preserve">Figure </w:t>
      </w:r>
      <w:r w:rsidR="00ED00EF">
        <w:rPr>
          <w:b/>
          <w:bCs/>
        </w:rPr>
        <w:t>4</w:t>
      </w:r>
      <w:r w:rsidR="000F20E4">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19</w:t>
      </w:r>
      <w:r w:rsidR="0065637B">
        <w:rPr>
          <w:b/>
          <w:bCs/>
        </w:rPr>
        <w:fldChar w:fldCharType="end"/>
      </w:r>
      <w:r w:rsidRPr="00CA2531">
        <w:rPr>
          <w:b/>
          <w:bCs/>
        </w:rPr>
        <w:t>:</w:t>
      </w:r>
      <w:r>
        <w:t xml:space="preserve"> </w:t>
      </w:r>
      <w:r w:rsidR="00CA2531">
        <w:t>Copper pC – pH diagram</w:t>
      </w:r>
      <w:bookmarkEnd w:id="159"/>
      <w:bookmarkEnd w:id="160"/>
      <w:bookmarkEnd w:id="161"/>
      <w:bookmarkEnd w:id="162"/>
    </w:p>
    <w:p w14:paraId="3472DA54" w14:textId="5EBC81D1" w:rsidR="00184305" w:rsidRDefault="00E1792D" w:rsidP="009A56D3">
      <w:pPr>
        <w:jc w:val="center"/>
      </w:pPr>
      <w:r>
        <w:rPr>
          <w:noProof/>
        </w:rPr>
        <w:lastRenderedPageBreak/>
        <w:drawing>
          <wp:inline distT="0" distB="0" distL="0" distR="0" wp14:anchorId="3C0C8A33" wp14:editId="1036397E">
            <wp:extent cx="4206240" cy="36131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6240" cy="3613130"/>
                    </a:xfrm>
                    <a:prstGeom prst="rect">
                      <a:avLst/>
                    </a:prstGeom>
                    <a:noFill/>
                    <a:ln>
                      <a:noFill/>
                    </a:ln>
                  </pic:spPr>
                </pic:pic>
              </a:graphicData>
            </a:graphic>
          </wp:inline>
        </w:drawing>
      </w:r>
    </w:p>
    <w:p w14:paraId="392DC71D" w14:textId="2E465EC2" w:rsidR="00DF496D" w:rsidRPr="00DF496D" w:rsidRDefault="00CA2531" w:rsidP="009A56D3">
      <w:pPr>
        <w:pStyle w:val="Caption"/>
        <w:spacing w:after="0" w:line="480" w:lineRule="auto"/>
      </w:pPr>
      <w:bookmarkStart w:id="163" w:name="_Toc69291566"/>
      <w:bookmarkStart w:id="164" w:name="_Toc69352352"/>
      <w:bookmarkStart w:id="165" w:name="_Toc69352534"/>
      <w:bookmarkStart w:id="166" w:name="_Toc71224064"/>
      <w:r w:rsidRPr="00ED7671">
        <w:rPr>
          <w:b/>
          <w:bCs/>
        </w:rPr>
        <w:t xml:space="preserve">Figure </w:t>
      </w:r>
      <w:r w:rsidR="00ED00EF">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20</w:t>
      </w:r>
      <w:r w:rsidR="0065637B">
        <w:rPr>
          <w:b/>
          <w:bCs/>
        </w:rPr>
        <w:fldChar w:fldCharType="end"/>
      </w:r>
      <w:r w:rsidRPr="00ED7671">
        <w:rPr>
          <w:b/>
          <w:bCs/>
        </w:rPr>
        <w:t>:</w:t>
      </w:r>
      <w:r>
        <w:t xml:space="preserve"> Manganese pC – pH diagram</w:t>
      </w:r>
      <w:bookmarkEnd w:id="163"/>
      <w:bookmarkEnd w:id="164"/>
      <w:bookmarkEnd w:id="165"/>
      <w:bookmarkEnd w:id="166"/>
    </w:p>
    <w:p w14:paraId="200AF539" w14:textId="19113FFF" w:rsidR="00184305" w:rsidRDefault="00FE5C10" w:rsidP="009A56D3">
      <w:pPr>
        <w:jc w:val="center"/>
      </w:pPr>
      <w:r>
        <w:rPr>
          <w:noProof/>
        </w:rPr>
        <w:drawing>
          <wp:inline distT="0" distB="0" distL="0" distR="0" wp14:anchorId="29FEAD1C" wp14:editId="71327573">
            <wp:extent cx="4206240" cy="359497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6240" cy="3594974"/>
                    </a:xfrm>
                    <a:prstGeom prst="rect">
                      <a:avLst/>
                    </a:prstGeom>
                    <a:noFill/>
                    <a:ln>
                      <a:noFill/>
                    </a:ln>
                  </pic:spPr>
                </pic:pic>
              </a:graphicData>
            </a:graphic>
          </wp:inline>
        </w:drawing>
      </w:r>
    </w:p>
    <w:p w14:paraId="42E1D75D" w14:textId="53258445" w:rsidR="00184305" w:rsidRDefault="00ED7671" w:rsidP="009A56D3">
      <w:pPr>
        <w:pStyle w:val="Caption"/>
        <w:spacing w:after="0" w:line="480" w:lineRule="auto"/>
      </w:pPr>
      <w:bookmarkStart w:id="167" w:name="_Toc69291567"/>
      <w:bookmarkStart w:id="168" w:name="_Toc69352353"/>
      <w:bookmarkStart w:id="169" w:name="_Toc69352535"/>
      <w:bookmarkStart w:id="170" w:name="_Toc71224065"/>
      <w:r w:rsidRPr="00ED7671">
        <w:rPr>
          <w:b/>
          <w:bCs/>
        </w:rPr>
        <w:t xml:space="preserve">Figure </w:t>
      </w:r>
      <w:r w:rsidR="00ED00EF">
        <w:rPr>
          <w:b/>
          <w:bCs/>
        </w:rPr>
        <w:t>4</w:t>
      </w:r>
      <w:r w:rsidRPr="00ED7671">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21</w:t>
      </w:r>
      <w:r w:rsidR="0065637B">
        <w:rPr>
          <w:b/>
          <w:bCs/>
        </w:rPr>
        <w:fldChar w:fldCharType="end"/>
      </w:r>
      <w:r>
        <w:t>: Nickel pC – pH diagram</w:t>
      </w:r>
      <w:bookmarkEnd w:id="167"/>
      <w:bookmarkEnd w:id="168"/>
      <w:bookmarkEnd w:id="169"/>
      <w:bookmarkEnd w:id="170"/>
    </w:p>
    <w:p w14:paraId="0A4F0C8A" w14:textId="08946DAD" w:rsidR="00A77523" w:rsidRDefault="008E10E7" w:rsidP="009A56D3">
      <w:pPr>
        <w:jc w:val="center"/>
      </w:pPr>
      <w:r>
        <w:rPr>
          <w:noProof/>
        </w:rPr>
        <w:lastRenderedPageBreak/>
        <w:drawing>
          <wp:inline distT="0" distB="0" distL="0" distR="0" wp14:anchorId="45DBED18" wp14:editId="281FE308">
            <wp:extent cx="4206240" cy="3593461"/>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06240" cy="3593461"/>
                    </a:xfrm>
                    <a:prstGeom prst="rect">
                      <a:avLst/>
                    </a:prstGeom>
                    <a:noFill/>
                    <a:ln>
                      <a:noFill/>
                    </a:ln>
                  </pic:spPr>
                </pic:pic>
              </a:graphicData>
            </a:graphic>
          </wp:inline>
        </w:drawing>
      </w:r>
    </w:p>
    <w:p w14:paraId="170BBF7C" w14:textId="433F9633" w:rsidR="00DF496D" w:rsidRPr="00DF496D" w:rsidRDefault="00D43703" w:rsidP="009A56D3">
      <w:pPr>
        <w:pStyle w:val="Caption"/>
        <w:spacing w:after="0" w:line="480" w:lineRule="auto"/>
      </w:pPr>
      <w:bookmarkStart w:id="171" w:name="_Toc69291568"/>
      <w:bookmarkStart w:id="172" w:name="_Toc69352354"/>
      <w:bookmarkStart w:id="173" w:name="_Toc69352536"/>
      <w:bookmarkStart w:id="174" w:name="_Toc71224066"/>
      <w:r w:rsidRPr="00D43703">
        <w:rPr>
          <w:b/>
          <w:bCs/>
        </w:rPr>
        <w:t xml:space="preserve">Figure </w:t>
      </w:r>
      <w:r w:rsidR="00ED00EF">
        <w:rPr>
          <w:b/>
          <w:bCs/>
        </w:rPr>
        <w:t>4</w:t>
      </w:r>
      <w:r w:rsidR="00570135">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22</w:t>
      </w:r>
      <w:r w:rsidR="0065637B">
        <w:rPr>
          <w:b/>
          <w:bCs/>
        </w:rPr>
        <w:fldChar w:fldCharType="end"/>
      </w:r>
      <w:r w:rsidRPr="00D43703">
        <w:rPr>
          <w:b/>
          <w:bCs/>
        </w:rPr>
        <w:t>:</w:t>
      </w:r>
      <w:r>
        <w:t xml:space="preserve"> Aluminum pC – pH diagram</w:t>
      </w:r>
      <w:bookmarkEnd w:id="171"/>
      <w:bookmarkEnd w:id="172"/>
      <w:bookmarkEnd w:id="173"/>
      <w:bookmarkEnd w:id="174"/>
    </w:p>
    <w:p w14:paraId="6EF0CF61" w14:textId="448A50DF" w:rsidR="00D43703" w:rsidRDefault="00007B47" w:rsidP="009A56D3">
      <w:pPr>
        <w:jc w:val="center"/>
      </w:pPr>
      <w:r>
        <w:rPr>
          <w:noProof/>
        </w:rPr>
        <w:drawing>
          <wp:inline distT="0" distB="0" distL="0" distR="0" wp14:anchorId="3ABDBBD6" wp14:editId="3E9E205F">
            <wp:extent cx="4206240" cy="362439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06240" cy="3624397"/>
                    </a:xfrm>
                    <a:prstGeom prst="rect">
                      <a:avLst/>
                    </a:prstGeom>
                    <a:noFill/>
                    <a:ln>
                      <a:noFill/>
                    </a:ln>
                  </pic:spPr>
                </pic:pic>
              </a:graphicData>
            </a:graphic>
          </wp:inline>
        </w:drawing>
      </w:r>
    </w:p>
    <w:p w14:paraId="54DB0809" w14:textId="06E6594C" w:rsidR="00D9224E" w:rsidRPr="00F16281" w:rsidRDefault="00ED7671" w:rsidP="00F16281">
      <w:pPr>
        <w:pStyle w:val="Caption"/>
        <w:spacing w:after="0" w:line="480" w:lineRule="auto"/>
      </w:pPr>
      <w:bookmarkStart w:id="175" w:name="_Toc69291569"/>
      <w:bookmarkStart w:id="176" w:name="_Toc69352355"/>
      <w:bookmarkStart w:id="177" w:name="_Toc69352537"/>
      <w:bookmarkStart w:id="178" w:name="_Toc71224067"/>
      <w:r w:rsidRPr="00ED7671">
        <w:rPr>
          <w:b/>
          <w:bCs/>
        </w:rPr>
        <w:t xml:space="preserve">Figure </w:t>
      </w:r>
      <w:r w:rsidR="00ED00EF">
        <w:rPr>
          <w:b/>
          <w:bCs/>
        </w:rPr>
        <w:t>4</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23</w:t>
      </w:r>
      <w:r w:rsidR="0065637B">
        <w:rPr>
          <w:b/>
          <w:bCs/>
        </w:rPr>
        <w:fldChar w:fldCharType="end"/>
      </w:r>
      <w:r w:rsidRPr="00ED7671">
        <w:rPr>
          <w:b/>
          <w:bCs/>
        </w:rPr>
        <w:t>:</w:t>
      </w:r>
      <w:r>
        <w:t xml:space="preserve"> Cobalt pC – pH diagram</w:t>
      </w:r>
      <w:bookmarkEnd w:id="175"/>
      <w:bookmarkEnd w:id="176"/>
      <w:bookmarkEnd w:id="177"/>
      <w:bookmarkEnd w:id="178"/>
      <w:r w:rsidR="00E755A5">
        <w:rPr>
          <w:b/>
          <w:bCs/>
        </w:rPr>
        <w:br w:type="page"/>
      </w:r>
    </w:p>
    <w:p w14:paraId="68647E6A" w14:textId="39B30B04" w:rsidR="00AD7F4D" w:rsidRPr="002A4ADE" w:rsidRDefault="00F84424" w:rsidP="008F23B0">
      <w:pPr>
        <w:pStyle w:val="Heading1"/>
      </w:pPr>
      <w:bookmarkStart w:id="179" w:name="_Toc71224016"/>
      <w:r>
        <w:lastRenderedPageBreak/>
        <w:t xml:space="preserve">Chapter </w:t>
      </w:r>
      <w:r w:rsidR="00AD7F4D" w:rsidRPr="002A4ADE">
        <w:t xml:space="preserve">V: </w:t>
      </w:r>
      <w:r w:rsidR="00DB3134">
        <w:t>Discussion</w:t>
      </w:r>
      <w:bookmarkEnd w:id="179"/>
    </w:p>
    <w:p w14:paraId="72529214" w14:textId="36E21978" w:rsidR="00AD7F4D" w:rsidRDefault="00F84424" w:rsidP="00F84424">
      <w:pPr>
        <w:pStyle w:val="Heading2"/>
        <w:numPr>
          <w:ilvl w:val="0"/>
          <w:numId w:val="0"/>
        </w:numPr>
      </w:pPr>
      <w:bookmarkStart w:id="180" w:name="_Toc71224017"/>
      <w:r>
        <w:t>5.</w:t>
      </w:r>
      <w:r w:rsidR="00AD7F4D" w:rsidRPr="002A4ADE">
        <w:t>1</w:t>
      </w:r>
      <w:r w:rsidR="00C81DD8">
        <w:t xml:space="preserve"> </w:t>
      </w:r>
      <w:r w:rsidR="00DB3134">
        <w:t xml:space="preserve">Soil </w:t>
      </w:r>
      <w:r w:rsidR="00B57F32">
        <w:t>Analysis Discussion</w:t>
      </w:r>
      <w:bookmarkEnd w:id="180"/>
    </w:p>
    <w:p w14:paraId="133AF3D6" w14:textId="15E9857D" w:rsidR="00F73F15" w:rsidRDefault="00444F4A" w:rsidP="00B53B6C">
      <w:pPr>
        <w:jc w:val="both"/>
      </w:pPr>
      <w:r>
        <w:tab/>
      </w:r>
      <w:r w:rsidR="00F73F15">
        <w:t xml:space="preserve">The hypothesis for the soil aspect of this study states that the </w:t>
      </w:r>
      <w:r w:rsidR="00420A4B">
        <w:t>adsorption</w:t>
      </w:r>
      <w:r w:rsidR="00F73F15">
        <w:t xml:space="preserve"> of LIB metals will be more significant in basic soil than acidic soil over a 24 week time period, with copper and nickel having the highest adsorption levels.  </w:t>
      </w:r>
      <w:r w:rsidR="00283F3F">
        <w:t xml:space="preserve">The analysis of LIB metals, excluding cobalt, in pH amended soil over a 24 week time period </w:t>
      </w:r>
      <w:r w:rsidR="00D14FC5">
        <w:t>provided statistical r</w:t>
      </w:r>
      <w:r w:rsidR="00297C3B">
        <w:t>esults between the two groups (p &lt;0.05)</w:t>
      </w:r>
      <w:r w:rsidR="00283F3F">
        <w:t>.</w:t>
      </w:r>
      <w:r w:rsidR="008A2CC5">
        <w:t xml:space="preserve">  </w:t>
      </w:r>
      <w:r w:rsidR="00F56E63">
        <w:t xml:space="preserve">While </w:t>
      </w:r>
      <w:r w:rsidR="00B60F05">
        <w:t xml:space="preserve">it is true that some metals </w:t>
      </w:r>
      <w:r w:rsidR="0028287E">
        <w:t xml:space="preserve">produce insoluble compounds that do not </w:t>
      </w:r>
      <w:r w:rsidR="00DE58B1">
        <w:t xml:space="preserve">adsorb to the soil particles, </w:t>
      </w:r>
      <w:r w:rsidR="00FF6114">
        <w:t>for this study,</w:t>
      </w:r>
      <w:r w:rsidR="00C34C1F">
        <w:t xml:space="preserve"> the </w:t>
      </w:r>
      <w:r w:rsidR="00420A4B">
        <w:t>adsorption</w:t>
      </w:r>
      <w:r w:rsidR="00C34C1F">
        <w:t xml:space="preserve"> of</w:t>
      </w:r>
      <w:r w:rsidR="00FF6114">
        <w:t xml:space="preserve"> these compounds </w:t>
      </w:r>
      <w:r w:rsidR="00C34C1F">
        <w:t>includes both adsorption to the soil as well as the movement of insoluble precipitates from the LIB to the soil</w:t>
      </w:r>
      <w:r w:rsidR="002543F1">
        <w:t xml:space="preserve"> </w:t>
      </w:r>
      <w:r w:rsidR="00EB71A0">
        <w:t xml:space="preserve">for the </w:t>
      </w:r>
      <w:r w:rsidR="004F2908">
        <w:t>measurements and calculations.</w:t>
      </w:r>
      <w:r w:rsidR="00F73F15">
        <w:t xml:space="preserve"> </w:t>
      </w:r>
      <w:r w:rsidR="00E67114">
        <w:t xml:space="preserve"> </w:t>
      </w:r>
      <w:r w:rsidR="00E91B70">
        <w:t xml:space="preserve">Overall, </w:t>
      </w:r>
      <w:r w:rsidR="00C94FE4">
        <w:t xml:space="preserve">copper, manganese, and nickel </w:t>
      </w:r>
      <w:r w:rsidR="00FC1BAF">
        <w:t xml:space="preserve">adsorbed at a higher rate in the basic soil than the acidic soil, while there was no significant difference </w:t>
      </w:r>
      <w:r w:rsidR="007A55AB">
        <w:t xml:space="preserve">for aluminum adsorption between the two groups. </w:t>
      </w:r>
      <w:r w:rsidR="00C65037">
        <w:t xml:space="preserve"> When normalized to the </w:t>
      </w:r>
      <w:r w:rsidR="00BA1C5B">
        <w:t>control soil, copper and nic</w:t>
      </w:r>
      <w:r w:rsidR="006F1181">
        <w:t xml:space="preserve">kel </w:t>
      </w:r>
      <w:r w:rsidR="00CA0C94">
        <w:t>adsorbed most significantly</w:t>
      </w:r>
      <w:r w:rsidR="00D65F5F">
        <w:t xml:space="preserve"> (p &lt;0.05)</w:t>
      </w:r>
      <w:r w:rsidR="00663E36">
        <w:t xml:space="preserve"> though aluminum </w:t>
      </w:r>
      <w:r w:rsidR="00085C79">
        <w:t xml:space="preserve">had the highest overall increase in the soil.  </w:t>
      </w:r>
      <w:r w:rsidR="009C0E91">
        <w:t>The</w:t>
      </w:r>
      <w:r w:rsidR="006B723A">
        <w:t xml:space="preserve">re was an attempt to normalize the adsorption </w:t>
      </w:r>
      <w:r w:rsidR="006A2C17">
        <w:t>to the LIB piece mass, however this increases the variation of the results.</w:t>
      </w:r>
      <w:r w:rsidR="008027A4">
        <w:t xml:space="preserve">  Since the majority of</w:t>
      </w:r>
      <w:r w:rsidR="006219D5">
        <w:t xml:space="preserve"> the</w:t>
      </w:r>
      <w:r w:rsidR="008027A4">
        <w:t xml:space="preserve"> non-normalized results passed the Shapiro-Wilk test</w:t>
      </w:r>
      <w:r w:rsidR="006219D5">
        <w:t xml:space="preserve">, a conclusion can be made that the surface area, not the mass, of the LIB was the dominant factor for the metal interactions with the soil.  Using a </w:t>
      </w:r>
      <w:r w:rsidR="00BA0ADF">
        <w:t>standardized cutting mechanism for each LIB, the range of the surface area for all LIB pieces was below ten percent</w:t>
      </w:r>
      <w:r w:rsidR="002F1151">
        <w:t xml:space="preserve">, thus no </w:t>
      </w:r>
      <w:r w:rsidR="00AF0248">
        <w:t>normalization was required based on surface area</w:t>
      </w:r>
      <w:r w:rsidR="00BA0ADF">
        <w:t>.</w:t>
      </w:r>
    </w:p>
    <w:p w14:paraId="3F9C4F50" w14:textId="53B6717B" w:rsidR="00914BFB" w:rsidRDefault="00060FC8" w:rsidP="00B53B6C">
      <w:pPr>
        <w:jc w:val="both"/>
      </w:pPr>
      <w:r>
        <w:tab/>
      </w:r>
      <w:r w:rsidR="007F1FD7">
        <w:t xml:space="preserve">Based on the XRF analysis of the LIB powder, the batteries used in this study </w:t>
      </w:r>
      <w:r w:rsidR="00E73636">
        <w:t xml:space="preserve">are Ni-rich NMC batteries, </w:t>
      </w:r>
      <w:r w:rsidR="00F41211">
        <w:t>LiNi</w:t>
      </w:r>
      <w:r w:rsidR="00F41211">
        <w:rPr>
          <w:vertAlign w:val="subscript"/>
        </w:rPr>
        <w:t>0.6</w:t>
      </w:r>
      <w:r w:rsidR="00F41211">
        <w:t>Co</w:t>
      </w:r>
      <w:r w:rsidR="00F41211">
        <w:rPr>
          <w:vertAlign w:val="subscript"/>
        </w:rPr>
        <w:t>0.2</w:t>
      </w:r>
      <w:r w:rsidR="00F41211">
        <w:t>Mn</w:t>
      </w:r>
      <w:r w:rsidR="00F41211">
        <w:rPr>
          <w:vertAlign w:val="subscript"/>
        </w:rPr>
        <w:t>0.2</w:t>
      </w:r>
      <w:r w:rsidR="00F41211">
        <w:t>O</w:t>
      </w:r>
      <w:r w:rsidR="00F41211">
        <w:rPr>
          <w:vertAlign w:val="subscript"/>
        </w:rPr>
        <w:t>2</w:t>
      </w:r>
      <w:r w:rsidR="00F41211">
        <w:t xml:space="preserve"> </w:t>
      </w:r>
      <w:r w:rsidR="00F41211">
        <w:fldChar w:fldCharType="begin" w:fldLock="1"/>
      </w:r>
      <w:r w:rsidR="006E0D0D">
        <w:instrText>ADDIN CSL_CITATION {"citationItems":[{"id":"ITEM-1","itemData":{"DOI":"10.1039/C6TA06740A","ISSN":"2050-7488","author":[{"dropping-particle":"","family":"Schipper","given":"Florian","non-dropping-particle":"","parse-names":false,"suffix":""},{"dropping-particle":"","family":"Dixit","given":"Mudit","non-dropping-particle":"","parse-names":false,"suffix":""},{"dropping-particle":"","family":"Kovacheva","given":"Daniela","non-dropping-particle":"","parse-names":false,"suffix":""},{"dropping-particle":"","family":"Talianker","given":"Michael","non-dropping-particle":"","parse-names":false,"suffix":""},{"dropping-particle":"","family":"Haik","given":"Ortal","non-dropping-particle":"","parse-names":false,"suffix":""},{"dropping-particle":"","family":"Grinblat","given":"Judith","non-dropping-particle":"","parse-names":false,"suffix":""},{"dropping-particle":"","family":"Erickson","given":"Evan M","non-dropping-particle":"","parse-names":false,"suffix":""},{"dropping-particle":"","family":"Ghanty","given":"Chandan","non-dropping-particle":"","parse-names":false,"suffix":""},{"dropping-particle":"","family":"Major","given":"Dan T","non-dropping-particle":"","parse-names":false,"suffix":""},{"dropping-particle":"","family":"Markovsky","given":"Boris","non-dropping-particle":"","parse-names":false,"suffix":""},{"dropping-particle":"","family":"Aurbach","given":"Doron","non-dropping-particle":"","parse-names":false,"suffix":""}],"container-title":"Journal of Materials Chemistry A: Materials for energy and sustainability","id":"ITEM-1","issue":"41","issued":{"date-parts":[["2016"]]},"page":"1-12","publisher":"Royal Society of Chemistry","title":"Stabilizing nickel-rich layered cathode materials by a high-charge cation doping strategy: zirconium-doped LiNi0.6Co0.2Mn0.2O2","type":"article-journal"},"uris":["http://www.mendeley.com/documents/?uuid=46ae6008-8dd6-413a-8391-9c986fb89106"]}],"mendeley":{"formattedCitation":"(Schipper et al., 2016)","plainTextFormattedCitation":"(Schipper et al., 2016)","previouslyFormattedCitation":"(Schipper et al., 2016)"},"properties":{"noteIndex":0},"schema":"https://github.com/citation-style-language/schema/raw/master/csl-citation.json"}</w:instrText>
      </w:r>
      <w:r w:rsidR="00F41211">
        <w:fldChar w:fldCharType="separate"/>
      </w:r>
      <w:r w:rsidR="00F41211" w:rsidRPr="00F41211">
        <w:rPr>
          <w:noProof/>
        </w:rPr>
        <w:t>(Schipper et al., 2016)</w:t>
      </w:r>
      <w:r w:rsidR="00F41211">
        <w:fldChar w:fldCharType="end"/>
      </w:r>
      <w:r w:rsidR="00F41211">
        <w:t xml:space="preserve">.  This </w:t>
      </w:r>
      <w:r w:rsidR="00064F72">
        <w:t xml:space="preserve">composition of the LIB </w:t>
      </w:r>
      <w:r w:rsidR="001F4393">
        <w:t xml:space="preserve">results in the oxidation states for nickel, cobalt, and manganese to be +2, +3, and +4, respectively, </w:t>
      </w:r>
      <w:r w:rsidR="00182F4F">
        <w:t xml:space="preserve">preceding </w:t>
      </w:r>
      <w:r w:rsidR="003A7BEF">
        <w:t>redox degradation of the LIB</w:t>
      </w:r>
      <w:r w:rsidR="001F4393">
        <w:t xml:space="preserve"> </w:t>
      </w:r>
      <w:r w:rsidR="006E0D0D">
        <w:fldChar w:fldCharType="begin" w:fldLock="1"/>
      </w:r>
      <w:r w:rsidR="00720151">
        <w:instrText>ADDIN CSL_CITATION {"citationItems":[{"id":"ITEM-1","itemData":{"DOI":"10.1038/srep05694","ISSN":"20452322","abstract":"The investigation of chemical and structural dynamics in battery materials is essential to elucidation of structure-property relationships for rational design of advanced battery materials. Spatially resolved techniques, such as scanning/transmission electron microscopy (S/TEM), are widely applied to address this challenge. However, battery materials are susceptible to electron beam damage, complicating the data interpretation. In this study, we demonstrate that, under electron beam irradiation, the surface and bulk of battery materials undergo chemical and structural evolution equivalent to that observed during charge-discharge cycling. In a lithiated NiO nanosheet, a Li 2 CO 3 -containing surface reaction layer (SRL) was gradually decomposed during electron energy loss spectroscopy (EELS) acquisition. For cycled LiNi 0.4 Mn 0.4 Co 0.18 Ti 0.02 O 2 particles, repeated electron beam irradiation induced a phase transition from an layered structure to an rock-salt structure, which is attributed to the stoichiometric lithium and oxygen removal from 3a and 6c sites, respectively. Nevertheless, it is still feasible to preserve pristine chemical environments by minimizing electron beam damage, for example, using fast electron imaging and spectroscopy. Finally, the present study provides examples of electron beam damage on lithium-ion battery materials and suggests that special attention is necessary to prevent misinterpretation of experimental results.","author":[{"dropping-particle":"","family":"Lin","given":"Feng","non-dropping-particle":"","parse-names":false,"suffix":""},{"dropping-particle":"","family":"Markus","given":"Isaac M.","non-dropping-particle":"","parse-names":false,"suffix":""},{"dropping-particle":"","family":"Doeff","given":"Marca M.","non-dropping-particle":"","parse-names":false,"suffix":""},{"dropping-particle":"","family":"Xin","given":"Huolin L.","non-dropping-particle":"","parse-names":false,"suffix":""}],"container-title":"Scientific Reports","id":"ITEM-1","issued":{"date-parts":[["2014"]]},"page":"1-6","title":"Chemical and structural stability of lithium-ion battery electrode materials under electron beam","type":"article-journal","volume":"4"},"uris":["http://www.mendeley.com/documents/?uuid=34a8cfec-43f4-4ff2-b276-19658ac03f29"]}],"mendeley":{"formattedCitation":"(F. Lin et al., 2014)","plainTextFormattedCitation":"(F. Lin et al., 2014)","previouslyFormattedCitation":"(F. Lin et al., 2014)"},"properties":{"noteIndex":0},"schema":"https://github.com/citation-style-language/schema/raw/master/csl-citation.json"}</w:instrText>
      </w:r>
      <w:r w:rsidR="006E0D0D">
        <w:fldChar w:fldCharType="separate"/>
      </w:r>
      <w:r w:rsidR="006E0D0D" w:rsidRPr="006E0D0D">
        <w:rPr>
          <w:noProof/>
        </w:rPr>
        <w:t>(F. Lin et al., 2014)</w:t>
      </w:r>
      <w:r w:rsidR="006E0D0D">
        <w:fldChar w:fldCharType="end"/>
      </w:r>
      <w:r w:rsidR="001F4393">
        <w:t xml:space="preserve">.  </w:t>
      </w:r>
      <w:r w:rsidR="0075460F">
        <w:t xml:space="preserve">Since disposed LIB </w:t>
      </w:r>
      <w:r w:rsidR="002C6DE5">
        <w:t xml:space="preserve">will have redox </w:t>
      </w:r>
      <w:r w:rsidR="002C6DE5">
        <w:lastRenderedPageBreak/>
        <w:t xml:space="preserve">degradation, </w:t>
      </w:r>
      <w:r w:rsidR="00B13049">
        <w:t xml:space="preserve">the oxidation states of nickel, cobalt, and manganese range between </w:t>
      </w:r>
      <w:r w:rsidR="00882053">
        <w:t xml:space="preserve">+2 to +3, +3 to +2, and +4 to +2, respectively </w:t>
      </w:r>
      <w:r w:rsidR="00720151">
        <w:fldChar w:fldCharType="begin" w:fldLock="1"/>
      </w:r>
      <w:r w:rsidR="00293E43">
        <w:instrText xml:space="preserve">ADDIN CSL_CITATION {"citationItems":[{"id":"ITEM-1","itemData":{"DOI":"10.1007/s41918-019-00053-3","ISBN":"0123456789","ISSN":"2520-8489","abstract":"The demand for lithium-ion batteries (LIBs) with high mass-specific capacities, high rate capabilities and long-term cycla-bilities is driving the research and development of LIBs with nickel-rich NMC (LiNi x Mn y Co 1−x−y O 2 , x </w:instrText>
      </w:r>
      <w:r w:rsidR="00293E43">
        <w:rPr>
          <w:rFonts w:ascii="Cambria Math" w:hAnsi="Cambria Math" w:cs="Cambria Math"/>
        </w:rPr>
        <w:instrText>⩾</w:instrText>
      </w:r>
      <w:r w:rsidR="00293E43">
        <w:instrText xml:space="preserve"> 0.5) cathodes and graphite (Li x C 6) anodes. Based on this, this review will summarize recently reported and widely recognized studies of the degradation mechanisms of Ni-rich NMC cathodes and graphite anodes. And with a broad collection of proposed mechanisms on both atomic and micrometer scales, this review can supplement previous degradation studies of Ni-rich NMC batteries. In addition, this review will categorize advanced mitigation strategies for both electrodes based on different modifications in which Ni-rich NMC cathode improvement strategies involve dopants, gradient layers, surface coatings, carbon matrixes and advanced synthesis methods, whereas graphite anode improvement strategies involve surface coatings, charge/discharge protocols and electrolyte volume estimations. Electrolyte components that can facilitate the stabilization of anodic solid electrolyte interfaces are also reviewed, and trade-offs between modification techniques as well as controversies are discussed for a deeper understanding of the mitigation strategies of Ni-rich NMC/graphite LIBs. Furthermore, this review will present various physical and electrochemical diagnostic tools that are vital in the elucidation of degradation mechanisms during operation to supplement future degradation studies. Finally, this review will summarize current research focuses and propose future research directions.","author":[{"dropping-particle":"","family":"Li","given":"Tianyu","non-dropping-particle":"","parse-names":false,"suffix":""},{"dropping-particle":"","family":"Yuan","given":"Xiao-Zi","non-dropping-particle":"","parse-names":false,"suffix":""},{"dropping-particle":"","family":"Zhang","given":"Lei","non-dropping-particle":"","parse-names":false,"suffix":""},{"dropping-particle":"","family":"Song","given":"Datong","non-dropping-particle":"","parse-names":false,"suffix":""},{"dropping-particle":"","family":"Shi","given":"Kaiyuan","non-dropping-particle":"","parse-names":false,"suffix":""},{"dropping-particle":"","family":"Bock","given":"Christina","non-dropping-particle":"","parse-names":false,"suffix":""}],"container-title":"Electrochemical Energy Reviews","id":"ITEM-1","issue":"1","issued":{"date-parts":[["2019"]]},"number-of-pages":"43-80","publisher":"Springer Singapore","title":"Degradation Mechanisms and Mitigation Strategies of Nickel-Rich NMC-Based Lithium-Ion Batteries","type":"book","volume":"3"},"uris":["http://www.mendeley.com/documents/?uuid=fae30c39-668b-48f4-8a08-3e63895c8960"]},{"id":"ITEM-2","itemData":{"DOI":"10.1016/j.jpowsour.2005.01.006","ISSN":"03787753","abstract":"The rechargeable lithium-ion battery has been extensively used in mobile communication and portable instruments due to its many advantages, such as high volumetric and gravimetric energy density and low self-discharge rate. In addition, it is the most promising candidate as the power source for (hybrid) electric vehicles and stationary energy storage. For these applications in durable equipment, the long-term cycling and storage behaviour becomes of increasing interest. In this paper, the mechanisms of lithium-ion battery ageing are reviewed and evaluated. © 2005 Elsevier B.V. All rights reserved.","author":[{"dropping-particle":"","family":"Vetter","given":"J.","non-dropping-particle":"","parse-names":false,"suffix":""},{"dropping-particle":"","family":"Novák","given":"P.","non-dropping-particle":"","parse-names":false,"suffix":""},{"dropping-particle":"","family":"Wagner","given":"M. R.","non-dropping-particle":"","parse-names":false,"suffix":""},{"dropping-particle":"","family":"Veit","given":"C.","non-dropping-particle":"","parse-names":false,"suffix":""},{"dropping-particle":"","family":"Möller","given":"K. C.","non-dropping-particle":"","parse-names":false,"suffix":""},{"dropping-particle":"","family":"Besenhard","given":"J. O.","non-dropping-particle":"","parse-names":false,"suffix":""},{"dropping-particle":"","family":"Winter","given":"M.","non-dropping-particle":"","parse-names":false,"suffix":""},{"dropping-particle":"","family":"Wohlfahrt-Mehrens","given":"M.","non-dropping-particle":"","parse-names":false,"suffix":""},{"dropping-particle":"","family":"Vogler","given":"C.","non-dropping-particle":"","parse-names":false,"suffix":""},{"dropping-particle":"","family":"Hammouche","given":"A.","non-dropping-particle":"","parse-names":false,"suffix":""}],"container-title":"Journal of Power Sources","id":"ITEM-2","issue":"1-2","issued":{"date-parts":[["2005"]]},"page":"269-281","title":"Ageing mechanisms in lithium-ion batteries","type":"article-journal","volume":"147"},"uris":["http://www.mendeley.com/documents/?uuid=926ff4da-aa03-407c-9ce3-6b53494ee79b"]},{"id":"ITEM-3","itemData":{"DOI":"10.1038/srep05694","ISSN":"20452322","abstract":"The investigation of chemical and structural dynamics in battery materials is essential to elucidation of structure-property relationships for rational design of advanced battery materials. Spatially resolved techniques, such as scanning/transmission electron microscopy (S/TEM), are widely applied to address this challenge. However, battery materials are susceptible to electron beam damage, complicating the data interpretation. In this study, we demonstrate that, under electron beam irradiation, the surface and bulk of battery materials undergo chemical and structural evolution equivalent to that observed during charge-discharge cycling. In a lithiated NiO nanosheet, a Li 2 CO 3 -containing surface reaction layer (SRL) was gradually decomposed during electron energy loss spectroscopy (EELS) acquisition. For cycled LiNi 0.4 Mn 0.4 Co 0.18 Ti 0.02 O 2 particles, repeated electron beam irradiation induced a phase transition from an layered structure to an rock-salt structure, which is attributed to the stoichiometric lithium and oxygen removal from 3a and 6c sites, respectively. Nevertheless, it is still feasible to preserve pristine chemical environments by minimizing electron beam damage, for example, using fast electron imaging and spectroscopy. Finally, the present study provides examples of electron beam damage on lithium-ion battery materials and suggests that special attention is necessary to prevent misinterpretation of experimental results.","author":[{"dropping-particle":"","family":"Lin","given":"Feng","non-dropping-particle":"","parse-names":false,"suffix":""},{"dropping-particle":"","family":"Markus","given":"Isaac M.","non-dropping-particle":"","parse-names":false,"suffix":""},{"dropping-particle":"","family":"Doeff","given":"Marca M.","non-dropping-particle":"","parse-names":false,"suffix":""},{"dropping-particle":"","family":"Xin","given":"Huolin L.","non-dropping-particle":"","parse-names":false,"suffix":""}],"container-title":"Scientific Reports","id":"ITEM-3","issued":{"date-parts":[["2014"]]},"page":"1-6","title":"Chemical and structural stability of lithium-ion battery electrode materials under electron beam","type":"article-journal","volume":"4"},"uris":["http://www.mendeley.com/documents/?uuid=34a8cfec-43f4-4ff2-b276-19658ac03f29"]}],"mendeley":{"formattedCitation":"(T. Li et al., 2019; F. Lin et al., 2014; Vetter et al., 2005)","plainTextFormattedCitation":"(T. Li et al., 2019; F. Lin et al., 2014; Vetter et al., 2005)","previouslyFormattedCitation":"(T. Li et al., 2019; F. Lin et al., 2014; Vetter et al., 2005)"},"properties":{"noteIndex":0},"schema":"https://github.com/citation-style-language/schema/raw/master/csl-citation.json"}</w:instrText>
      </w:r>
      <w:r w:rsidR="00720151">
        <w:fldChar w:fldCharType="separate"/>
      </w:r>
      <w:r w:rsidR="001824F4" w:rsidRPr="001824F4">
        <w:rPr>
          <w:noProof/>
        </w:rPr>
        <w:t>(T. Li et al., 2019; F. Lin et al., 2014; Vetter et al., 2005)</w:t>
      </w:r>
      <w:r w:rsidR="00720151">
        <w:fldChar w:fldCharType="end"/>
      </w:r>
      <w:r w:rsidR="00882053">
        <w:t xml:space="preserve">.  </w:t>
      </w:r>
      <w:r w:rsidR="00A45B6D">
        <w:t>The differences in oxidation states between this study and disposed LIB</w:t>
      </w:r>
      <w:r w:rsidR="006949B9">
        <w:t xml:space="preserve"> </w:t>
      </w:r>
      <w:r w:rsidR="00E23F14">
        <w:t>may</w:t>
      </w:r>
      <w:r w:rsidR="006949B9">
        <w:t xml:space="preserve"> </w:t>
      </w:r>
      <w:r w:rsidR="006039AC">
        <w:t xml:space="preserve">cause </w:t>
      </w:r>
      <w:r w:rsidR="006C09CC">
        <w:t xml:space="preserve">difference in the </w:t>
      </w:r>
      <w:r w:rsidR="00F33BA8">
        <w:t>adsorption</w:t>
      </w:r>
      <w:r w:rsidR="00C34C1F">
        <w:t xml:space="preserve"> rate</w:t>
      </w:r>
      <w:r w:rsidR="00E23F14">
        <w:t xml:space="preserve"> of the metals </w:t>
      </w:r>
      <w:r w:rsidR="00647F2A">
        <w:t xml:space="preserve">to the soil because of the </w:t>
      </w:r>
      <w:r w:rsidR="00D01B8F">
        <w:t xml:space="preserve">dynamic nature of soil.  </w:t>
      </w:r>
      <w:r w:rsidR="001A7ECA">
        <w:t>Variables includ</w:t>
      </w:r>
      <w:r w:rsidR="005069E4">
        <w:t>ing</w:t>
      </w:r>
      <w:r w:rsidR="001A7ECA">
        <w:t xml:space="preserve"> redox potential, soil pH, </w:t>
      </w:r>
      <w:r w:rsidR="00E01EB8">
        <w:t xml:space="preserve">and </w:t>
      </w:r>
      <w:r w:rsidR="001A7ECA">
        <w:t xml:space="preserve">oxygen and </w:t>
      </w:r>
      <w:r w:rsidR="00B446F3">
        <w:t>water levels</w:t>
      </w:r>
      <w:r w:rsidR="00E01EB8">
        <w:t xml:space="preserve"> all play a part in </w:t>
      </w:r>
      <w:r w:rsidR="00293E43">
        <w:t xml:space="preserve">the oxidation state of metals </w:t>
      </w:r>
      <w:r w:rsidR="00293E43">
        <w:fldChar w:fldCharType="begin" w:fldLock="1"/>
      </w:r>
      <w:r w:rsidR="00FB17D8">
        <w:instrText>ADDIN CSL_CITATION {"citationItems":[{"id":"ITEM-1","itemData":{"author":[{"dropping-particle":"","family":"DeLaune","given":"R.D.","non-dropping-particle":"","parse-names":false,"suffix":""},{"dropping-particle":"","family":"Reddy","given":"K.R.","non-dropping-particle":"","parse-names":false,"suffix":""},{"dropping-particle":"","family":"Richardson","given":"C.J.","non-dropping-particle":"","parse-names":false,"suffix":""},{"dropping-particle":"","family":"Megonigal","given":"J.P.","non-dropping-particle":"","parse-names":false,"suffix":""}],"container-title":"Methods in Biogeochemistry of Wetlands","id":"ITEM-1","issued":{"date-parts":[["2013"]]},"page":"107-116","title":"Soil Redoc Potential and pH Controllers","type":"chapter"},"uris":["http://www.mendeley.com/documents/?uuid=64814d2b-5eb9-4c15-870a-558dc8ba4b60"]}],"mendeley":{"formattedCitation":"(DeLaune et al., 2013)","plainTextFormattedCitation":"(DeLaune et al., 2013)","previouslyFormattedCitation":"(DeLaune et al., 2013)"},"properties":{"noteIndex":0},"schema":"https://github.com/citation-style-language/schema/raw/master/csl-citation.json"}</w:instrText>
      </w:r>
      <w:r w:rsidR="00293E43">
        <w:fldChar w:fldCharType="separate"/>
      </w:r>
      <w:r w:rsidR="00293E43" w:rsidRPr="00293E43">
        <w:rPr>
          <w:noProof/>
        </w:rPr>
        <w:t>(DeLaune et al., 2013)</w:t>
      </w:r>
      <w:r w:rsidR="00293E43">
        <w:fldChar w:fldCharType="end"/>
      </w:r>
      <w:r w:rsidR="00293E43">
        <w:t xml:space="preserve">.  </w:t>
      </w:r>
      <w:r w:rsidR="006D2A4F">
        <w:t xml:space="preserve">These naturally occurring metals </w:t>
      </w:r>
      <w:r w:rsidR="00735612">
        <w:t xml:space="preserve">in LIB </w:t>
      </w:r>
      <w:r w:rsidR="005F796C">
        <w:t xml:space="preserve">are </w:t>
      </w:r>
      <w:r w:rsidR="00D912E9">
        <w:t xml:space="preserve">essential micronutrients for plants and animals, so </w:t>
      </w:r>
      <w:r w:rsidR="00246767">
        <w:t>the natural c</w:t>
      </w:r>
      <w:r w:rsidR="008330AD">
        <w:t xml:space="preserve">oncentration levels in soil are not considered </w:t>
      </w:r>
      <w:r w:rsidR="00534090">
        <w:t>harmful to life</w:t>
      </w:r>
      <w:r w:rsidR="003923D7">
        <w:t xml:space="preserve">. </w:t>
      </w:r>
      <w:r w:rsidR="00534090">
        <w:t xml:space="preserve"> </w:t>
      </w:r>
      <w:r w:rsidR="003923D7">
        <w:t>O</w:t>
      </w:r>
      <w:r w:rsidR="00534090">
        <w:t xml:space="preserve">nce </w:t>
      </w:r>
      <w:r w:rsidR="003923D7">
        <w:t xml:space="preserve">the concentration is </w:t>
      </w:r>
      <w:r w:rsidR="00534090">
        <w:t>above a certain limit</w:t>
      </w:r>
      <w:r w:rsidR="00B3361A">
        <w:t xml:space="preserve"> known to cause </w:t>
      </w:r>
      <w:r w:rsidR="00AE3847">
        <w:t>harm to the ecosystem</w:t>
      </w:r>
      <w:r w:rsidR="00886F15">
        <w:t xml:space="preserve"> from sources such as landfills and recycling centers, </w:t>
      </w:r>
      <w:r w:rsidR="00A70512">
        <w:t xml:space="preserve">the metal contamination </w:t>
      </w:r>
      <w:r w:rsidR="003173FD">
        <w:t xml:space="preserve">requires remediation </w:t>
      </w:r>
      <w:r w:rsidR="007A7F46">
        <w:t xml:space="preserve">of the area to meet </w:t>
      </w:r>
      <w:r w:rsidR="00940E9C">
        <w:t xml:space="preserve">the concentration guidelines or standards </w:t>
      </w:r>
      <w:r w:rsidR="008A7477">
        <w:fldChar w:fldCharType="begin" w:fldLock="1"/>
      </w:r>
      <w:r w:rsidR="00140321">
        <w:instrText>ADDIN CSL_CITATION {"citationItems":[{"id":"ITEM-1","itemData":{"author":[{"dropping-particle":"","family":"Lerner","given":"D.","non-dropping-particle":"","parse-names":false,"suffix":""}],"container-title":"Environmental Geology. Encyclopedia of Earth Science","id":"ITEM-1","issued":{"date-parts":[["1999"]]},"publisher":"Springer","publisher-place":"Dordrecht","title":"Pollution, scientific aspects","type":"chapter"},"uris":["http://www.mendeley.com/documents/?uuid=29a5cd55-c32a-42bc-8207-ac61db3963b0"]},{"id":"ITEM-2","itemData":{"author":[{"dropping-particle":"","family":"Alva","given":"A.","non-dropping-particle":"","parse-names":false,"suffix":""}],"container-title":"Environmental Geology. Encyclopedia of Earth Science","id":"ITEM-2","issued":{"date-parts":[["1999"]]},"publisher":"Springer","publisher-place":"Dordrecht","title":"Soil pollution","type":"chapter"},"uris":["http://www.mendeley.com/documents/?uuid=773e9372-1c7b-429f-97a3-ce3bbec9c951"]}],"mendeley":{"formattedCitation":"(Alva, 1999; Lerner, 1999)","plainTextFormattedCitation":"(Alva, 1999; Lerner, 1999)","previouslyFormattedCitation":"(Alva, 1999; Lerner, 1999)"},"properties":{"noteIndex":0},"schema":"https://github.com/citation-style-language/schema/raw/master/csl-citation.json"}</w:instrText>
      </w:r>
      <w:r w:rsidR="008A7477">
        <w:fldChar w:fldCharType="separate"/>
      </w:r>
      <w:r w:rsidR="00605460" w:rsidRPr="00605460">
        <w:rPr>
          <w:noProof/>
        </w:rPr>
        <w:t>(Alva, 1999; Lerner, 1999)</w:t>
      </w:r>
      <w:r w:rsidR="008A7477">
        <w:fldChar w:fldCharType="end"/>
      </w:r>
      <w:r w:rsidR="00940E9C">
        <w:t>.</w:t>
      </w:r>
      <w:r w:rsidR="00D94C1D">
        <w:t xml:space="preserve">  The comparison between new LIB and post 24 week time period in the soil is shown in Table A.5.  The decrease in </w:t>
      </w:r>
      <w:r w:rsidR="002E5094">
        <w:t>both acidic soil and basic soil</w:t>
      </w:r>
      <w:r w:rsidR="00D94C1D">
        <w:t xml:space="preserve"> LIB metal </w:t>
      </w:r>
      <w:r w:rsidR="002E5094">
        <w:t xml:space="preserve">is consistent with the experimental results.  The lower concentration in the basic soil LIB for copper, manganese, and nickel, confirms that more adsorption occurred.  </w:t>
      </w:r>
      <w:r w:rsidR="00872A07">
        <w:t xml:space="preserve">The OM and OC content, </w:t>
      </w:r>
      <w:r w:rsidR="00271C5E">
        <w:t>6.14</w:t>
      </w:r>
      <w:r w:rsidR="00872A07">
        <w:t xml:space="preserve">% and </w:t>
      </w:r>
      <w:r w:rsidR="00271C5E">
        <w:t>3.56</w:t>
      </w:r>
      <w:r w:rsidR="00872A07">
        <w:t>%, respectively</w:t>
      </w:r>
      <w:r w:rsidR="006C538E">
        <w:t xml:space="preserve">, which is in range for silty clay loam soil </w:t>
      </w:r>
      <w:r w:rsidR="006C538E">
        <w:fldChar w:fldCharType="begin" w:fldLock="1"/>
      </w:r>
      <w:r w:rsidR="00412C1C">
        <w:instrText>ADDIN CSL_CITATION {"citationItems":[{"id":"ITEM-1","itemData":{"author":[{"dropping-particle":"","family":"Karlen","given":"D. L.","non-dropping-particle":"","parse-names":false,"suffix":""}],"container-title":"Encyclopedia of Soils in the Environment","id":"ITEM-1","issued":{"date-parts":[["2005"]]},"page":"330-336","publisher":"Academic Press","title":"Productivity","type":"chapter"},"uris":["http://www.mendeley.com/documents/?uuid=70794ad7-6eb2-4a3b-b7ec-0e64ccf2d247"]}],"mendeley":{"formattedCitation":"(Karlen, 2005)","plainTextFormattedCitation":"(Karlen, 2005)","previouslyFormattedCitation":"(Karlen, 2005)"},"properties":{"noteIndex":0},"schema":"https://github.com/citation-style-language/schema/raw/master/csl-citation.json"}</w:instrText>
      </w:r>
      <w:r w:rsidR="006C538E">
        <w:fldChar w:fldCharType="separate"/>
      </w:r>
      <w:r w:rsidR="006C538E" w:rsidRPr="006C538E">
        <w:rPr>
          <w:noProof/>
        </w:rPr>
        <w:t>(Karlen, 2005)</w:t>
      </w:r>
      <w:r w:rsidR="006C538E">
        <w:fldChar w:fldCharType="end"/>
      </w:r>
      <w:r w:rsidR="005D6985">
        <w:t xml:space="preserve">.  </w:t>
      </w:r>
      <w:r w:rsidR="00271C5E">
        <w:t xml:space="preserve">OM species, such as humic and fulvic acids, increases adsorption of metals at higher pH due to the negative charge on them by deprotonation.  In addition to the soil particles, the positively charged LIB metal ions also adsorb to the OM, increasing the adsorption capacity of the soil that was determined in this study </w:t>
      </w:r>
      <w:r w:rsidR="00271C5E">
        <w:fldChar w:fldCharType="begin" w:fldLock="1"/>
      </w:r>
      <w:r w:rsidR="00B42769">
        <w:instrText>ADDIN CSL_CITATION {"citationItems":[{"id":"ITEM-1","itemData":{"DOI":"10.17221/144/2014-SWR","ISSN":"18059384","abstract":"The individual adsorption/desorption of Cu, Pb, and Zn in six soil samples taken from organic horizons of acid forest soils is studied in batch experiments. These three metals were chosen because of the varying extent of their sorption to the soil organic matter. The initial concentration range for all metals is 0-200 mg/l. 0.01 mol/l Ca(NO3)2 was used as the background electrolyte. Soil samples were taken at random locations throughout a relatively small area and are characterized by small differences in mineralogical composition. Organic matter content and pH of soils are considered as the key factors causing differences in sorption/desorption behaviour of selected metals. In general, the sorption of all the three metals increased with a combination of higher pH value and increasing organic matter content. Anyway, the extent of the influence of these two characteristics on sorption behaviour of metals is different, for desorption significant differences were not determined. Copper sorption seems to reflect mainly the differences in organic matter content in addition to the differences in pH. The average amount of sorbed Pb was approximately 90%, Cu sorption averaged 60%, and that of Zn 30%. Desorption of Pb into 0.01 mol/l Ca(NO3)2 remained at approximately 4%, for Zn at 30%, and desorption of Cu reached up to 13% of the amount adsorbed. All the studied soils proved effective at immobilizing lead and copper, but zinc was relatively highly released from these soils, even when the sorbed amount was minimal. Different vegetational background of these samples (either beech or spruce forests) does not significantly influence the sorption extent of these metals as the lower pH of samples taken under spruce stands is probably compensated by higher organic matter content in these samples. The experimental data are fitted by the Freundlich equation and the parameters of this equation together with the adsorption and desorption efficiency are used for comparison of the behaviour of all the three metals among the six soils.","author":[{"dropping-particle":"","family":"Vytopilová","given":"Michaela","non-dropping-particle":"","parse-names":false,"suffix":""},{"dropping-particle":"","family":"Tejnecký","given":"Václav","non-dropping-particle":"","parse-names":false,"suffix":""},{"dropping-particle":"","family":"Borůvka","given":"Luboš","non-dropping-particle":"","parse-names":false,"suffix":""},{"dropping-particle":"","family":"Drábek","given":"Ondřej","non-dropping-particle":"","parse-names":false,"suffix":""}],"container-title":"Soil and Water Research","id":"ITEM-1","issue":"1","issued":{"date-parts":[["2015"]]},"page":"1-9","title":"Sorption of heavy metals in organic horizons of acid forest soils at low added concentrations","type":"article-journal","volume":"10"},"uris":["http://www.mendeley.com/documents/?uuid=0be34dd6-266a-4e96-b6ca-faf70364ffa7"]}],"mendeley":{"formattedCitation":"(Vytopilová et al., 2015)","plainTextFormattedCitation":"(Vytopilová et al., 2015)","previouslyFormattedCitation":"(Vytopilová et al., 2015)"},"properties":{"noteIndex":0},"schema":"https://github.com/citation-style-language/schema/raw/master/csl-citation.json"}</w:instrText>
      </w:r>
      <w:r w:rsidR="00271C5E">
        <w:fldChar w:fldCharType="separate"/>
      </w:r>
      <w:r w:rsidR="00271C5E" w:rsidRPr="00271C5E">
        <w:rPr>
          <w:noProof/>
        </w:rPr>
        <w:t>(Vytopilová et al., 2015)</w:t>
      </w:r>
      <w:r w:rsidR="00271C5E">
        <w:fldChar w:fldCharType="end"/>
      </w:r>
      <w:r w:rsidR="00271C5E">
        <w:t xml:space="preserve">.  OM aids in the prevention of heavy metal uptake by plants.  For this study, the adsorption capabilities and capacity of </w:t>
      </w:r>
      <w:r w:rsidR="00187967">
        <w:t>LIB metals do not distinguish between the OM and soil particle adsorption, though a future study can be performed on this soil with the removal of OM to compare the adsorption of LIB metals with and without OM.</w:t>
      </w:r>
    </w:p>
    <w:p w14:paraId="7B931D47" w14:textId="61962929" w:rsidR="008B135E" w:rsidRDefault="00F73F15" w:rsidP="000F70A7">
      <w:pPr>
        <w:ind w:firstLine="720"/>
        <w:jc w:val="both"/>
      </w:pPr>
      <w:r>
        <w:lastRenderedPageBreak/>
        <w:t>Copper adsorption to the basic soil was shown to be more significant</w:t>
      </w:r>
      <w:r w:rsidR="00F82D29">
        <w:t xml:space="preserve"> (p &lt;0.05)</w:t>
      </w:r>
      <w:r>
        <w:t xml:space="preserve"> </w:t>
      </w:r>
      <w:r w:rsidR="00D30A65">
        <w:t>compared</w:t>
      </w:r>
      <w:r>
        <w:t xml:space="preserve"> to the acidic soil, supporting </w:t>
      </w:r>
      <w:r w:rsidR="00A40B11">
        <w:t xml:space="preserve">the hypothesis.  At the end of 24 weeks, the adsorption of copper in the </w:t>
      </w:r>
      <w:r w:rsidR="003F2960">
        <w:t xml:space="preserve">basic soil </w:t>
      </w:r>
      <w:r w:rsidR="00E17E13">
        <w:t>(</w:t>
      </w:r>
      <w:r w:rsidR="00F12888">
        <w:t xml:space="preserve">224.63 mg/kg) </w:t>
      </w:r>
      <w:r w:rsidR="003F2960">
        <w:t>is nearly twice as high as th</w:t>
      </w:r>
      <w:r w:rsidR="00E17E13">
        <w:t>at of the</w:t>
      </w:r>
      <w:r w:rsidR="003F2960">
        <w:t xml:space="preserve"> acidic soil</w:t>
      </w:r>
      <w:r w:rsidR="00F12888">
        <w:t xml:space="preserve"> (122.47 mg/kg)</w:t>
      </w:r>
      <w:r w:rsidR="003F2960">
        <w:t>.</w:t>
      </w:r>
      <w:r w:rsidR="00C1032A">
        <w:t xml:space="preserve">  </w:t>
      </w:r>
      <w:r w:rsidR="00770FB0">
        <w:t xml:space="preserve">For comparison, </w:t>
      </w:r>
      <w:r w:rsidR="00EA6EC0">
        <w:t xml:space="preserve">the copper concentration in surface soil at an e-waste recycling center in the Philippines </w:t>
      </w:r>
      <w:r w:rsidR="00C34C20">
        <w:t>averaged at 680 mg/kg</w:t>
      </w:r>
      <w:r w:rsidR="00AD1CA0">
        <w:t xml:space="preserve"> </w:t>
      </w:r>
      <w:r w:rsidR="00247DA7">
        <w:fldChar w:fldCharType="begin" w:fldLock="1"/>
      </w:r>
      <w:r w:rsidR="000369FC">
        <w:instrText>ADDIN CSL_CITATION {"citationItems":[{"id":"ITEM-1","itemData":{"DOI":"10.1007/s10653-013-9526-y","ISSN":"02694042","PMID":"23645478","abstract":"We studied distribution of heavy metals [lead (Pb), copper (Cu) and zinc (Zn)] in surface soil at an electronic-waste (e-waste) recycling workshop near Metro Manila in the Philippines to evaluate the pollution size (spot size, small area or the entire workshop), as well as to assess heavy metal transport into the surrounding soil environment. On-site length-of-stride-scale (~70 cm) measurements were performed at each surface soil point using field-portable X-ray fluorescence (FP-XRF). The surface soil at the e-waste recycling workshop was polluted with Cu, Zn and Pb, which were distributed discretely in surface soil. The site was divided into five areas based on the distance from an entrance gate (y-axis) of the e-waste recycling workshop. The three heavy metals showed similar concentration gradients in the y-axis direction. Zn, Pb and Cu concentrations were estimated to decrease to half of their maximum concentrations at ~3, 7 and 7 m from the pollution spot, respectively, inside the informal e-waste recycling workshop. Distance from an entrance may play an important role in heavy metal transport at the soil surface. Using on-site FP-XRF, we evaluated the metal ratio to characterise pollution features of the solid surface. Variability analysis of heavy metals revealed vanishing surficial autocorrelation over metre ranges. Also, the possibility of concentration prediction at unmeasured points using geostatistical kriging was evaluated, and heavy metals had a relative \"small\" pollution scales and remained inside the original workshop compared with toxic organohalogen compounds. Thus, exposure to heavy metals may directly influence the health of e-waste workers at the original site rather than the surrounding habitat and environmental media. © 2013 Springer Science+Business Media Dordrecht.","author":[{"dropping-particle":"","family":"Fujimori","given":"Takashi","non-dropping-particle":"","parse-names":false,"suffix":""},{"dropping-particle":"","family":"Takigami","given":"Hidetaka","non-dropping-particle":"","parse-names":false,"suffix":""}],"container-title":"Environmental Geochemistry and Health","id":"ITEM-1","issue":"1","issued":{"date-parts":[["2014"]]},"page":"159-168","title":"Pollution distribution of heavy metals in surface soil at an informal electronic-waste recycling site","type":"article-journal","volume":"36"},"uris":["http://www.mendeley.com/documents/?uuid=b4490970-c188-45f2-b226-b851d6ae394b"]}],"mendeley":{"formattedCitation":"(Fujimori &amp; Takigami, 2014)","plainTextFormattedCitation":"(Fujimori &amp; Takigami, 2014)","previouslyFormattedCitation":"(Fujimori &amp; Takigami, 2014)"},"properties":{"noteIndex":0},"schema":"https://github.com/citation-style-language/schema/raw/master/csl-citation.json"}</w:instrText>
      </w:r>
      <w:r w:rsidR="00247DA7">
        <w:fldChar w:fldCharType="separate"/>
      </w:r>
      <w:r w:rsidR="00247DA7" w:rsidRPr="00247DA7">
        <w:rPr>
          <w:noProof/>
        </w:rPr>
        <w:t>(Fujimori &amp; Takigami, 2014)</w:t>
      </w:r>
      <w:r w:rsidR="00247DA7">
        <w:fldChar w:fldCharType="end"/>
      </w:r>
      <w:r w:rsidR="00247DA7">
        <w:t xml:space="preserve">.  </w:t>
      </w:r>
      <w:r w:rsidR="00012A96">
        <w:t xml:space="preserve">Though copper </w:t>
      </w:r>
      <w:r w:rsidR="00C56BF6">
        <w:t xml:space="preserve">is an essential micronutrient for </w:t>
      </w:r>
      <w:r w:rsidR="00B07A8C">
        <w:t>organisms</w:t>
      </w:r>
      <w:r w:rsidR="00C56BF6">
        <w:t xml:space="preserve">, </w:t>
      </w:r>
      <w:r w:rsidR="00977382">
        <w:t xml:space="preserve">copper toxicity </w:t>
      </w:r>
      <w:r w:rsidR="00B07A8C">
        <w:t>can occur in as little as 3 mg/kg</w:t>
      </w:r>
      <w:r w:rsidR="00350709">
        <w:t xml:space="preserve">.  The EPA </w:t>
      </w:r>
      <w:r w:rsidR="00515852">
        <w:t>has set copper concentration limits in soil</w:t>
      </w:r>
      <w:r w:rsidR="00C150AC">
        <w:t xml:space="preserve"> for plants, mammals, invertebrates and birds at 70, 49, 80, and 28 mg/kg, respectively</w:t>
      </w:r>
      <w:r w:rsidR="00BB6AFB">
        <w:t xml:space="preserve"> </w:t>
      </w:r>
      <w:r w:rsidR="00BB6AFB">
        <w:fldChar w:fldCharType="begin" w:fldLock="1"/>
      </w:r>
      <w:r w:rsidR="00004518">
        <w:instrText>ADDIN CSL_CITATION {"citationItems":[{"id":"ITEM-1","itemData":{"DOI":"10.4324/9780429051340-10","ISBN":"9780429707735","ISSN":"1381-1169","abstract":"This chapter discusses Canada's uranium resources, domestic demand, industry structure, and related government policy. Energy is extracted from uranium by a nuclear, rather than a chemical, reaction, as in hydrocarbon combustion. The uranium industry is also under stricter government control than are most commodity industries, partly because of the relationship of uranium to nuclear weapons and the risk of their proliferation. In a US-Canadian context, uranium-related issues can be aggregated into the categories of bilateral trade, international trade, and nonproliferation. An understanding of the structure of the nuclear-power-reactor fuel cycle is important to an understanding of the world uranium market because, as already indicated, demand for uranium for other uses is very small. The economics of reprocessing and recycling the recovered uranium and plutonium in the current generation of reactors is quite uncertain today but probably unfavorable. By 1974 the situation had been totally transformed: prices were rising steeply, and Canadian uranium was in great demand.","author":[{"dropping-particle":"","family":"Alloway","given":"Brian J.","non-dropping-particle":"","parse-names":false,"suffix":""}],"container-title":"Natural Resources in U.S.-canadian Relations, Volume 2: Patterns and Trends in Resource Supplies and Policies","edition":"3rd Editio","id":"ITEM-1","issued":{"date-parts":[["2019"]]},"number-of-pages":"615","publisher":"Springer","publisher-place":"New York","title":"Heavy Metals in Soils","type":"book","volume":"2"},"uris":["http://www.mendeley.com/documents/?uuid=970c4dde-98c6-4860-94ae-29c806fe4065"]}],"mendeley":{"formattedCitation":"(Alloway, 2019)","plainTextFormattedCitation":"(Alloway, 2019)","previouslyFormattedCitation":"(Alloway, 2019)"},"properties":{"noteIndex":0},"schema":"https://github.com/citation-style-language/schema/raw/master/csl-citation.json"}</w:instrText>
      </w:r>
      <w:r w:rsidR="00BB6AFB">
        <w:fldChar w:fldCharType="separate"/>
      </w:r>
      <w:r w:rsidR="00BB6AFB" w:rsidRPr="00BB6AFB">
        <w:rPr>
          <w:noProof/>
        </w:rPr>
        <w:t>(Alloway, 2019)</w:t>
      </w:r>
      <w:r w:rsidR="00BB6AFB">
        <w:fldChar w:fldCharType="end"/>
      </w:r>
      <w:r w:rsidR="00C150AC">
        <w:t xml:space="preserve">.  </w:t>
      </w:r>
      <w:r w:rsidR="0003392A">
        <w:t xml:space="preserve">The amount of adsorbed copper </w:t>
      </w:r>
      <w:r w:rsidR="00722A6D">
        <w:t xml:space="preserve">in both soil groups well surpasses the </w:t>
      </w:r>
      <w:r w:rsidR="00EE7092">
        <w:t>EPA limits.</w:t>
      </w:r>
      <w:r w:rsidR="000050C8">
        <w:t xml:space="preserve">  </w:t>
      </w:r>
      <w:r w:rsidR="00EE3307">
        <w:t>The best fit line used for the adsorption of copper was a first-order reaction rate.  This reaction rate determined a rate constant of 0.</w:t>
      </w:r>
      <w:r w:rsidR="004D488E">
        <w:t>217</w:t>
      </w:r>
      <w:r w:rsidR="00EE3307">
        <w:t xml:space="preserve"> and an adsorption capacity of 11</w:t>
      </w:r>
      <w:r w:rsidR="004D488E">
        <w:t>2.74</w:t>
      </w:r>
      <w:r w:rsidR="002D1143">
        <w:t xml:space="preserve"> </w:t>
      </w:r>
      <w:r w:rsidR="002D1143">
        <w:rPr>
          <w:rFonts w:cs="Times New Roman"/>
        </w:rPr>
        <w:t>±</w:t>
      </w:r>
      <w:r w:rsidR="002D1143">
        <w:t xml:space="preserve"> 6.64</w:t>
      </w:r>
      <w:r w:rsidR="00EE3307">
        <w:t xml:space="preserve"> mg/kg for acidic soil and</w:t>
      </w:r>
      <w:r w:rsidR="004D488E">
        <w:t xml:space="preserve"> 204.01</w:t>
      </w:r>
      <w:r w:rsidR="002D1143">
        <w:t xml:space="preserve"> </w:t>
      </w:r>
      <w:r w:rsidR="002D1143">
        <w:rPr>
          <w:rFonts w:cs="Times New Roman"/>
        </w:rPr>
        <w:t>±</w:t>
      </w:r>
      <w:r w:rsidR="002D1143">
        <w:t xml:space="preserve"> 14.77</w:t>
      </w:r>
      <w:r w:rsidR="00EE3307">
        <w:t xml:space="preserve"> mg/kg for basic soil.</w:t>
      </w:r>
      <w:r w:rsidR="00661949">
        <w:t xml:space="preserve">  The rate constant </w:t>
      </w:r>
      <w:r w:rsidR="00E94D68">
        <w:t>value is in range of previous literature and the</w:t>
      </w:r>
      <w:r w:rsidR="00EE3307">
        <w:t xml:space="preserve"> increase in adsorption capacity </w:t>
      </w:r>
      <w:r w:rsidR="00631B44">
        <w:t xml:space="preserve">as pH increases </w:t>
      </w:r>
      <w:r w:rsidR="00E94D68">
        <w:t xml:space="preserve">coincides </w:t>
      </w:r>
      <w:r w:rsidR="00631B44">
        <w:t xml:space="preserve">with </w:t>
      </w:r>
      <w:r w:rsidR="000050C8">
        <w:t>previous literature</w:t>
      </w:r>
      <w:r w:rsidR="00D70ED6">
        <w:t xml:space="preserve">, </w:t>
      </w:r>
      <w:r w:rsidR="00E94D68">
        <w:t xml:space="preserve">though </w:t>
      </w:r>
      <w:r w:rsidR="00D70ED6">
        <w:t xml:space="preserve">different soils producing different </w:t>
      </w:r>
      <w:r w:rsidR="00E94D68">
        <w:t xml:space="preserve">rate constants and </w:t>
      </w:r>
      <w:r w:rsidR="00D70ED6">
        <w:t xml:space="preserve">adsorption capacities </w:t>
      </w:r>
      <w:r w:rsidR="000F70A7">
        <w:fldChar w:fldCharType="begin" w:fldLock="1"/>
      </w:r>
      <w:r w:rsidR="00125071">
        <w:instrText>ADDIN CSL_CITATION {"citationItems":[{"id":"ITEM-1","itemData":{"DOI":"10.1016/j.jcis.2004.04.005","ISSN":"00219797","abstract":"The article focuses on adsorption of heavy metal ions on soils and soils constituents such as clay minerals, metal (hydr)oxides, and soil organic matter. Empirical and mechanistic model approaches for heavy metal adsorption and parameter determination in such models have been reviewed. Sorption mechanisms in soils, the influence of surface functional groups and surface complexation as well as parameters influencing adsorption are discussed. The individual adsorption behavior of Cd, Cr, Pb, Cu, Mn, Zn and Co on soils and soil constituents is reviewed. © 2004 Elsevier Inc. All rights reserved.","author":[{"dropping-particle":"","family":"Bradl","given":"Heike B.","non-dropping-particle":"","parse-names":false,"suffix":""}],"container-title":"Journal of Colloid and Interface Science","id":"ITEM-1","issue":"1","issued":{"date-parts":[["2004"]]},"page":"1-18","title":"Adsorption of heavy metal ions on soils and soils constituents","type":"article-journal","volume":"277"},"uris":["http://www.mendeley.com/documents/?uuid=082bc63d-83f2-49a3-bf07-1fd7df0caaed"]},{"id":"ITEM-2","itemData":{"DOI":"10.1021/jf0496402","ISSN":"00218561","PMID":"15373400","abstract":"We have investigated adsorption of Cd(II) and Pb(II) at pH 2-6.7 onto the biomaterials chitosan, coffee, green tea, tea, yuzu, aloe, and Japanese coarse tea, and onto the inorganic adsorbents, activated carbon and zeolite. High adsorptive capabilities were observed for all of the biomaterials at pH 4 and 6.7. In the adsorption of Cd(II), blend coffee, tea, green tea, and coarse tea have comparable loading capacities to activated carbon and zeolite. Although activated carbon, zeolite, and chitosan are utilized in a variety of fields such as wastewater treatment, chemical and metallurgical engineering, and analytical chemistry, these adsorbents are costly. On the other hand, processing of the test biomaterials was inexpensive, and all the biomaterials except for chitosan were able to adsorb large amounts of Pb(II) and Cd(II) ions after a convenient pretreatment of washing with water followed by drying. The high adsorption capability of the biomaterials prepared from plant materials is promising in the development of a novel, low-cost adsorbent. From these results, it is concluded that heavy metal removal using biomaterials would be an effective method for the economic treatment of wastewater. The proposed adsorption method was applied to the determination of amounts of Cd(II) and Pb(II) in water samples.","author":[{"dropping-particle":"","family":"Minamisawa","given":"Mayumi","non-dropping-particle":"","parse-names":false,"suffix":""},{"dropping-particle":"","family":"Minamisawa","given":"Hiroaki","non-dropping-particle":"","parse-names":false,"suffix":""},{"dropping-particle":"","family":"Yoshida","given":"Shoichiro","non-dropping-particle":"","parse-names":false,"suffix":""},{"dropping-particle":"","family":"Takai","given":"Nobuharu","non-dropping-particle":"","parse-names":false,"suffix":""}],"container-title":"Journal of Agricultural and Food Chemistry","id":"ITEM-2","issue":"18","issued":{"date-parts":[["2004"]]},"page":"5606-5611","title":"Adsorption behavior of heavy metals on biomaterials","type":"article-journal","volume":"52"},"uris":["http://www.mendeley.com/documents/?uuid=1fb12d5f-8c6d-4b5e-8f4e-c8899dc6dc06"]},{"id":"ITEM-3","itemData":{"DOI":"10.1155/2018/3610921","ISSN":"14688123","abstract":"Heavy metals such as Cu(II) are widespread in the environment, and the impact of heavy metals on the environment of soils depends on the ability of soils to immobilize these pollutants. It is necessary to investigate the mechanism of interaction between heavy metal and soil from a soil remediation perspective. In this study, a series of experiments were conducted to investigate the adsorption and desorption behavior of Cu(II) in silty clay. Several impact factors such as pH, organic matter, temperature, and coexisted ions Zn(II) were considered. It was found that the adsorption process reached equilibrium after 4 hours of the experiment, and the data can be fitted well by the Elovich model and the double-constant model for the kinetic sorption process. The isothermal adsorption results showed that the adsorption rate reached a peak value when the initial concentration was about 20 mg L-1. The decrease of H+ can increase the adsorption activity of Cu(II) and reduce the ability of the desorption of Cu(II) ions. The adsorption capacity of Cu(II) is less than the desorption capacity under the condition of strong acidity and low concentration of Cu(II). In addition, the adsorption capacity of the native soil on Cu(II) was larger than that of the soil with the removal of organic matter, while the opposite was true for the desorption capacity on Cu(II). The maximum adsorption of Cu(II) occurred at 35°C for this study, and the binding energy increased as the temperature increased. Thermodynamic analysis revealed that the adsorption process of Cu(II) was spontaneous and endothermic. The Freundlich, Langmuir, Temkin, and Henry adsorption models were used for analyzing the adsorption isotherm of Cu(II), and it was found that the Freundlich model agreed the best with the experimental data compared with other three models. The results of the competitive adsorption experiments indicated that the competitive capacity of Cu(II) was greater than that of Zn(II) in low-permeability media such as silty clay, and the existence of binary metals can weaken the adsorption force between the single metal and the soil surface.","author":[{"dropping-particle":"","family":"Xie","given":"Shuang","non-dropping-particle":"","parse-names":false,"suffix":""},{"dropping-particle":"","family":"Wen","given":"Zhang","non-dropping-particle":"","parse-names":false,"suffix":""},{"dropping-particle":"","family":"Zhan","given":"Hongbin","non-dropping-particle":"","parse-names":false,"suffix":""},{"dropping-particle":"","family":"Jin","given":"Menggui","non-dropping-particle":"","parse-names":false,"suffix":""}],"container-title":"Geofluids","id":"ITEM-3","issued":{"date-parts":[["2018"]]},"page":"12","title":"An Experimental Study on the Adsorption and Desorption of Cu(II) in Silty Clay","type":"article-journal","volume":"2018"},"uris":["http://www.mendeley.com/documents/?uuid=13e73a10-ab1d-4c1b-8a1c-9c68a3a37d98"]},{"id":"ITEM-4","itemData":{"DOI":"10.3390/SU12187315","ISSN":"20711050","abstract":"The content of heavy metals in the soil in Guizhou Province, which is a high-risk area for heavy metal exposure, is significantly higher than that in other areas in China. Therefore, the objective of this study was to evaluate the ability of CaCO3 and clay to accumulate heavy metals in topsoil sample collected from Lixisol using the method of indoor simulation. The results showed that the contents of Cu, Zn, Cd, Cr, Pb, Hg and As in the soil sample were 10.8 mg/kg, 125 mg/kg, 0.489 mg/kg, 23.5 mg/kg, 22.7 mg/kg, 58.3 mg/kg and 45.4 mg/kg, respectively. The soil pH values increased with the CaCO3 concentration in the soil, and the fluctuation of the soil pH values was weak after the CaCO3 concentrations reached 100 g/kg. The adsorption capacity of lime soil increased by approximately 10 mg/kg on average, and the desorption capacity decreased by approximately 300 mg/kg on average. The desorption of all heavy metals in this study did not change with increasing clay content. Pseudo-second-order kinetics were more suitable for describing the adsorption kinetics of heavy metals on the soil material, as evidenced by the higher R2 value. The Freundlich model can better describe the adsorption process of As on lime soil. The process of As, Cr, Cd and Hg adsorption on the soil sample was spontaneous and entropy-driven. Additionally, the process of Cu and Pb adsorption on the soil materials was spontaneous and enthalpy-driven. Generally, the adsorption and desorption of heavy metals in polluted soil increased and decreased, respectively, with increasing CaCO3 content. The effect of calcium carbonate on the accumulation of heavy metals in soil was greater than that of clay. In summary, CaCO3 and pH values in soil can be appropriately added in several areas polluted by heavy metals to enhance the crop yield and reduce the adsorption of heavy metals in soils.","author":[{"dropping-particle":"","family":"He","given":"Guandi","non-dropping-particle":"","parse-names":false,"suffix":""},{"dropping-particle":"","family":"Zhang","given":"Zhenming","non-dropping-particle":"","parse-names":false,"suffix":""},{"dropping-particle":"","family":"Wu","given":"Xianliang","non-dropping-particle":"","parse-names":false,"suffix":""},{"dropping-particle":"","family":"Cui","given":"Mingyang","non-dropping-particle":"","parse-names":false,"suffix":""},{"dropping-particle":"","family":"Zhang","given":"Jiachun","non-dropping-particle":"","parse-names":false,"suffix":""},{"dropping-particle":"","family":"Huang","given":"Xianfei","non-dropping-particle":"","parse-names":false,"suffix":""}],"container-title":"Sustainability","id":"ITEM-4","issue":"18","issued":{"date-parts":[["2020"]]},"title":"Adsorption of heavy metals on soil collected from lixisol of typical karst areas in the presence of CaCO3 and soil clay and their competition behavior","type":"article-journal","volume":"12"},"uris":["http://www.mendeley.com/documents/?uuid=15001953-b516-4c80-939c-c0d056fdbe38"]}],"mendeley":{"formattedCitation":"(Bradl, 2004; He et al., 2020; Minamisawa et al., 2004; Xie et al., 2018)","plainTextFormattedCitation":"(Bradl, 2004; He et al., 2020; Minamisawa et al., 2004; Xie et al., 2018)","previouslyFormattedCitation":"(Bradl, 2004; He et al., 2020; Minamisawa et al., 2004; Xie et al., 2018)"},"properties":{"noteIndex":0},"schema":"https://github.com/citation-style-language/schema/raw/master/csl-citation.json"}</w:instrText>
      </w:r>
      <w:r w:rsidR="000F70A7">
        <w:fldChar w:fldCharType="separate"/>
      </w:r>
      <w:r w:rsidR="000F70A7" w:rsidRPr="000F70A7">
        <w:rPr>
          <w:noProof/>
        </w:rPr>
        <w:t>(Bradl, 2004; He et al., 2020; Minamisawa et al., 2004; Xie et al., 2018)</w:t>
      </w:r>
      <w:r w:rsidR="000F70A7">
        <w:fldChar w:fldCharType="end"/>
      </w:r>
      <w:r w:rsidR="000F70A7">
        <w:t>.</w:t>
      </w:r>
      <w:r w:rsidR="00E94D68">
        <w:t xml:space="preserve">  The rate constant and adsorption capacity of copper in this soil can be used to estimate and predict contamination concentrations of LIB metals surrounding landfills and recycling centers.</w:t>
      </w:r>
      <w:r w:rsidR="000F70A7">
        <w:t xml:space="preserve">  </w:t>
      </w:r>
      <w:r w:rsidR="00E94D68">
        <w:t>T</w:t>
      </w:r>
      <w:r w:rsidR="006F285F">
        <w:t xml:space="preserve">he contamination risk of the metal is </w:t>
      </w:r>
      <w:r w:rsidR="000C3AB5">
        <w:t>significant</w:t>
      </w:r>
      <w:r w:rsidR="005F33D5">
        <w:t xml:space="preserve">, </w:t>
      </w:r>
      <w:r w:rsidR="000C3AB5">
        <w:t xml:space="preserve">notably at </w:t>
      </w:r>
      <w:r w:rsidR="00911889">
        <w:t xml:space="preserve">basic soil pH, due to the amount of copper </w:t>
      </w:r>
      <w:r w:rsidR="0003173C">
        <w:t>adsorbing to the soil particles</w:t>
      </w:r>
      <w:r w:rsidR="00B37DF8">
        <w:t xml:space="preserve">, that which can be </w:t>
      </w:r>
      <w:r w:rsidR="0035537E">
        <w:t>taken up by plants with changing soil conditions.</w:t>
      </w:r>
    </w:p>
    <w:p w14:paraId="1A52F1D6" w14:textId="15B1E194" w:rsidR="002B2A76" w:rsidRPr="008F19D2" w:rsidRDefault="00F73F15" w:rsidP="00A90F6B">
      <w:pPr>
        <w:jc w:val="both"/>
      </w:pPr>
      <w:r>
        <w:tab/>
      </w:r>
      <w:r w:rsidR="005E197F">
        <w:t>Manganese adsorption to the basic soil was shown to be more significant compared to the acidic soil,</w:t>
      </w:r>
      <w:r w:rsidR="0059621A">
        <w:t xml:space="preserve"> supporting the hypothesis.  At the end of 24 weeks, the adsorption of manganese in the basic soil was </w:t>
      </w:r>
      <w:r w:rsidR="00805590">
        <w:t>479.75 mg/kg and in the acidic soil was 455.72 mg/kg.</w:t>
      </w:r>
      <w:r w:rsidR="00DD2386">
        <w:t xml:space="preserve">  After normalizing to the control soil manganese concentration, the basic soil adsorption was 74.88 mg/</w:t>
      </w:r>
      <w:proofErr w:type="gramStart"/>
      <w:r w:rsidR="00DD2386">
        <w:t>kg</w:t>
      </w:r>
      <w:proofErr w:type="gramEnd"/>
      <w:r w:rsidR="00DD2386">
        <w:t xml:space="preserve"> and the acidic soil adsorption was 55.01 mg/kg.</w:t>
      </w:r>
      <w:r w:rsidR="00805590">
        <w:t xml:space="preserve">  </w:t>
      </w:r>
      <w:r w:rsidR="005B1575">
        <w:t>Manganese oxides are common soil minerals</w:t>
      </w:r>
      <w:r w:rsidR="00116537">
        <w:t xml:space="preserve">, with an average </w:t>
      </w:r>
      <w:r w:rsidR="00116537">
        <w:lastRenderedPageBreak/>
        <w:t>soil concentration in the United States between 40 and 900 mg/kg</w:t>
      </w:r>
      <w:r w:rsidR="005B1575">
        <w:t xml:space="preserve">, hence the </w:t>
      </w:r>
      <w:r w:rsidR="00D858C5">
        <w:t xml:space="preserve">approximate </w:t>
      </w:r>
      <w:r w:rsidR="00F2400F">
        <w:t>400 mg/kg in the control soils</w:t>
      </w:r>
      <w:r w:rsidR="00B96592">
        <w:t xml:space="preserve"> </w:t>
      </w:r>
      <w:r w:rsidR="0019053C">
        <w:fldChar w:fldCharType="begin" w:fldLock="1"/>
      </w:r>
      <w:r w:rsidR="00DA3920">
        <w:instrText>ADDIN CSL_CITATION {"citationItems":[{"id":"ITEM-1","itemData":{"author":[{"dropping-particle":"","family":"Control","given":"Center for Disease","non-dropping-particle":"","parse-names":false,"suffix":""}],"id":"ITEM-1","issued":{"date-parts":[["2012"]]},"number-of-pages":"1-423","title":"Toxicological profile for manganese","type":"report"},"uris":["http://www.mendeley.com/documents/?uuid=8afa8821-ba09-42d3-86a4-66b3835b906b"]}],"mendeley":{"formattedCitation":"(Control, 2012)","plainTextFormattedCitation":"(Control, 2012)","previouslyFormattedCitation":"(Control, 2012)"},"properties":{"noteIndex":0},"schema":"https://github.com/citation-style-language/schema/raw/master/csl-citation.json"}</w:instrText>
      </w:r>
      <w:r w:rsidR="0019053C">
        <w:fldChar w:fldCharType="separate"/>
      </w:r>
      <w:r w:rsidR="0019053C" w:rsidRPr="0019053C">
        <w:rPr>
          <w:noProof/>
        </w:rPr>
        <w:t>(Control, 2012)</w:t>
      </w:r>
      <w:r w:rsidR="0019053C">
        <w:fldChar w:fldCharType="end"/>
      </w:r>
      <w:r w:rsidR="00F2400F">
        <w:t xml:space="preserve">.  </w:t>
      </w:r>
      <w:r w:rsidR="00C26383">
        <w:t xml:space="preserve">The metal is </w:t>
      </w:r>
      <w:r w:rsidR="0077051F">
        <w:t xml:space="preserve">an essential micronutrient for plants, though </w:t>
      </w:r>
      <w:r w:rsidR="00595842">
        <w:t xml:space="preserve">consensus for a </w:t>
      </w:r>
      <w:r w:rsidR="00AD37B5">
        <w:t>toxi</w:t>
      </w:r>
      <w:r w:rsidR="006E0AA4">
        <w:t xml:space="preserve">c concentration limit </w:t>
      </w:r>
      <w:r w:rsidR="008374C1">
        <w:t>has yet to be reached</w:t>
      </w:r>
      <w:r w:rsidR="006E0AA4">
        <w:t>, as the availability of manganese to plants varies based on soil characteristics</w:t>
      </w:r>
      <w:r w:rsidR="008374C1">
        <w:t xml:space="preserve"> as well as </w:t>
      </w:r>
      <w:r w:rsidR="00A16E6E">
        <w:t xml:space="preserve">the tolerance to manganese for certain plant species </w:t>
      </w:r>
      <w:r w:rsidR="00DA3920">
        <w:fldChar w:fldCharType="begin" w:fldLock="1"/>
      </w:r>
      <w:r w:rsidR="00247DA7">
        <w:instrText>ADDIN CSL_CITATION {"citationItems":[{"id":"ITEM-1","itemData":{"ISSN":"10206167","abstract":"This CICAD on manganese and its compounds (environmental aspects) was based primarily on the report Toxicological profile for manganese (update), prepared by the Agency for Toxic Substances and Disease Registry of the US Department of Health and Human Services (ATSDR, 2000). Secondary sources of information included CICAD No. 12 on manganese and its compounds (IPCS, 1999a) and data identified following a comprehensive literature search of relevant databases conducted up to December 2002 to identify any relevant references published subsequent to those incorporated in these two reports. For information regarding the assessment of human health effects of manganese, the reader should refer to CICAD No. 12 (IPCS, 1999a). Manganese fungicides have been referred to in the document for source and fate information only, and no attempt has been made to evaluate this group of chemicals for environmental effect. Information on the preparation and peer review of the source document is presented in Appendix 1. Information on the peer review of this CICAD is presented in Appendix 2. This CICAD was considered and approved as an international assessment at a meeting of the Final Review Board, held in Varna, Bulgaria, on 8-11 September 2003. Participants at the Final Review Board meeting are presented in Appendix 3. International Chemical Safety Cards on selected manganese compounds (ICSCs 174, 175, 290, 754, 977, 1169, and 1398), produced by the International Programme on Chemical Safety in a separate, peer-reviewed process (IPCS, 1999b,c, 2001, 2003a,b,c,d), have also been reproduced in this document.","author":[{"dropping-particle":"","family":"Howe","given":"P. D.","non-dropping-particle":"","parse-names":false,"suffix":""},{"dropping-particle":"","family":"Malcom","given":"H. M.","non-dropping-particle":"","parse-names":false,"suffix":""},{"dropping-particle":"","family":"Dobson","given":"D.","non-dropping-particle":"","parse-names":false,"suffix":""}],"container-title":"World Health Organization","id":"ITEM-1","issued":{"date-parts":[["2005"]]},"number-of-pages":"1-70","title":"Manganese and its compounds: Environmental aspects","type":"report"},"uris":["http://www.mendeley.com/documents/?uuid=e22b63b0-4aa7-4bba-8b3f-a07e65f6cf4e"]}],"mendeley":{"formattedCitation":"(Howe et al., 2005)","plainTextFormattedCitation":"(Howe et al., 2005)","previouslyFormattedCitation":"(Howe et al., 2005)"},"properties":{"noteIndex":0},"schema":"https://github.com/citation-style-language/schema/raw/master/csl-citation.json"}</w:instrText>
      </w:r>
      <w:r w:rsidR="00DA3920">
        <w:fldChar w:fldCharType="separate"/>
      </w:r>
      <w:r w:rsidR="00DA3920" w:rsidRPr="00DA3920">
        <w:rPr>
          <w:noProof/>
        </w:rPr>
        <w:t>(Howe et al., 2005)</w:t>
      </w:r>
      <w:r w:rsidR="00DA3920">
        <w:fldChar w:fldCharType="end"/>
      </w:r>
      <w:r w:rsidR="006E0AA4">
        <w:t>.</w:t>
      </w:r>
      <w:r w:rsidR="009875F8">
        <w:t xml:space="preserve">  </w:t>
      </w:r>
      <w:r w:rsidR="008312F8">
        <w:t xml:space="preserve">The oxidation state of manganese in new LIB is +4, in the form of insoluble oxides, whereas in degraded LIB, the oxidation state ranges between +4 to +2, varying the bioavailability for plants.  </w:t>
      </w:r>
      <w:r w:rsidR="00CB5B7F">
        <w:t xml:space="preserve">According to </w:t>
      </w:r>
      <w:r w:rsidR="00CB5B7F">
        <w:fldChar w:fldCharType="begin" w:fldLock="1"/>
      </w:r>
      <w:r w:rsidR="00A43C9A">
        <w:instrText>ADDIN CSL_CITATION {"citationItems":[{"id":"ITEM-1","itemData":{"DOI":"10.4324/9780429051340-10","ISBN":"9780429707735","ISSN":"1381-1169","abstract":"This chapter discusses Canada's uranium resources, domestic demand, industry structure, and related government policy. Energy is extracted from uranium by a nuclear, rather than a chemical, reaction, as in hydrocarbon combustion. The uranium industry is also under stricter government control than are most commodity industries, partly because of the relationship of uranium to nuclear weapons and the risk of their proliferation. In a US-Canadian context, uranium-related issues can be aggregated into the categories of bilateral trade, international trade, and nonproliferation. An understanding of the structure of the nuclear-power-reactor fuel cycle is important to an understanding of the world uranium market because, as already indicated, demand for uranium for other uses is very small. The economics of reprocessing and recycling the recovered uranium and plutonium in the current generation of reactors is quite uncertain today but probably unfavorable. By 1974 the situation had been totally transformed: prices were rising steeply, and Canadian uranium was in great demand.","author":[{"dropping-particle":"","family":"Alloway","given":"Brian J.","non-dropping-particle":"","parse-names":false,"suffix":""}],"container-title":"Natural Resources in U.S.-canadian Relations, Volume 2: Patterns and Trends in Resource Supplies and Policies","edition":"3rd Editio","id":"ITEM-1","issued":{"date-parts":[["2019"]]},"number-of-pages":"615","publisher":"Springer","publisher-place":"New York","title":"Heavy Metals in Soils","type":"book","volume":"2"},"uris":["http://www.mendeley.com/documents/?uuid=970c4dde-98c6-4860-94ae-29c806fe4065"]}],"mendeley":{"formattedCitation":"(Alloway, 2019)","manualFormatting":"Alloway, 2019","plainTextFormattedCitation":"(Alloway, 2019)","previouslyFormattedCitation":"(Alloway, 2019)"},"properties":{"noteIndex":0},"schema":"https://github.com/citation-style-language/schema/raw/master/csl-citation.json"}</w:instrText>
      </w:r>
      <w:r w:rsidR="00CB5B7F">
        <w:fldChar w:fldCharType="separate"/>
      </w:r>
      <w:r w:rsidR="00CB5B7F" w:rsidRPr="00CB5B7F">
        <w:rPr>
          <w:noProof/>
        </w:rPr>
        <w:t>Alloway, 2019</w:t>
      </w:r>
      <w:r w:rsidR="00CB5B7F">
        <w:fldChar w:fldCharType="end"/>
      </w:r>
      <w:r w:rsidR="00CB5B7F">
        <w:t xml:space="preserve">, </w:t>
      </w:r>
      <w:r w:rsidR="00EA515C">
        <w:t xml:space="preserve">in the presence of oxygen </w:t>
      </w:r>
      <w:r w:rsidR="00CB5B7F">
        <w:t>m</w:t>
      </w:r>
      <w:r w:rsidR="0034555E">
        <w:t xml:space="preserve">anganese </w:t>
      </w:r>
      <w:r w:rsidR="000E3AD0">
        <w:t xml:space="preserve">(II) </w:t>
      </w:r>
      <w:r w:rsidR="0034555E">
        <w:t>oxid</w:t>
      </w:r>
      <w:r w:rsidR="000E3AD0">
        <w:t>iz</w:t>
      </w:r>
      <w:r w:rsidR="0034555E">
        <w:t>es rapidly</w:t>
      </w:r>
      <w:r w:rsidR="000E3AD0">
        <w:t xml:space="preserve"> to</w:t>
      </w:r>
      <w:r w:rsidR="0034555E">
        <w:t xml:space="preserve"> form </w:t>
      </w:r>
      <w:r w:rsidR="000E3AD0">
        <w:t xml:space="preserve">Mn(IV) oxides </w:t>
      </w:r>
      <w:r w:rsidR="0034555E">
        <w:t>at pH greater than 4</w:t>
      </w:r>
      <w:r w:rsidR="003B74B4">
        <w:t>,</w:t>
      </w:r>
      <w:r w:rsidR="00493718">
        <w:t xml:space="preserve"> </w:t>
      </w:r>
      <w:r w:rsidR="00991449">
        <w:t xml:space="preserve">thus the </w:t>
      </w:r>
      <w:r w:rsidR="00C651A4">
        <w:t xml:space="preserve">Mn(II) in </w:t>
      </w:r>
      <w:r w:rsidR="00991449">
        <w:t>degraded LIB</w:t>
      </w:r>
      <w:r w:rsidR="00C651A4">
        <w:t xml:space="preserve"> will more proportionately </w:t>
      </w:r>
      <w:r w:rsidR="00003505">
        <w:t xml:space="preserve">convert into Mn(IV) oxides rather than </w:t>
      </w:r>
      <w:r w:rsidR="002B7C71">
        <w:t xml:space="preserve">remaining </w:t>
      </w:r>
      <w:r w:rsidR="006F4150">
        <w:t xml:space="preserve">as Mn(II).  Since Mn(II) is </w:t>
      </w:r>
      <w:r w:rsidR="002B1B40">
        <w:t xml:space="preserve">the oxidation state that is taken up by plants, the </w:t>
      </w:r>
      <w:r w:rsidR="00FC5DCF">
        <w:t xml:space="preserve">rapid </w:t>
      </w:r>
      <w:r w:rsidR="00DD7803">
        <w:t>conversion to Mn(IV) is</w:t>
      </w:r>
      <w:r w:rsidR="00141030">
        <w:t xml:space="preserve"> a</w:t>
      </w:r>
      <w:r w:rsidR="006F4150">
        <w:t xml:space="preserve"> </w:t>
      </w:r>
      <w:r w:rsidR="00AD1761">
        <w:t xml:space="preserve">key </w:t>
      </w:r>
      <w:r w:rsidR="00141030">
        <w:t xml:space="preserve">factor in preventing manganese toxicity to plants and </w:t>
      </w:r>
      <w:r w:rsidR="00273DA3">
        <w:t>animals</w:t>
      </w:r>
      <w:r w:rsidR="00AD1761">
        <w:t xml:space="preserve"> </w:t>
      </w:r>
      <w:r w:rsidR="00A43C9A">
        <w:fldChar w:fldCharType="begin" w:fldLock="1"/>
      </w:r>
      <w:r w:rsidR="00B96592">
        <w:instrText>ADDIN CSL_CITATION {"citationItems":[{"id":"ITEM-1","itemData":{"DOI":"10.4067/s0718-95162010000200008","ISSN":"07189516","abstract":"Manganese is an essential element for plants, intervening in several metabolic processes, mainly in photosynthesis and as an enzyme antioxidant-cofactor. Nevertheless, an excess of this micronutrient is toxic for plants. Mn phytotoxicity is manifested in a reduction of biomass and photosynthesis, and biochemical disorders such as oxidative stress. Some studies on Mn toxicity and Mn translocation from soil to plant cells in Mn2+ form have demonstrated their importance under low pH and redox potential conditions in the soil. When Mn is inside the cells, mechanisms that can tolerate this toxicity are also observed, being important the compartmentalization of this metal in different organelles of shoot and leaf plant cells. A key role of antioxidative systems in plants in relation to high Mn amounts has also been reported as a defense mechanism. The purpose of this review is to show the role of Mn as an essential micronutrient and as a toxic element to higher plants as well as to their transport and tolerance mechanisms. The forms and dynamics of this element in soils and the importance of the acidity for this dynamic and availability for plants are also given.","author":[{"dropping-particle":"","family":"Millaleo","given":"R.","non-dropping-particle":"","parse-names":false,"suffix":""},{"dropping-particle":"","family":"Reyes-Díaz","given":"M.","non-dropping-particle":"","parse-names":false,"suffix":""},{"dropping-particle":"","family":"Ivanov","given":"A. G.","non-dropping-particle":"","parse-names":false,"suffix":""},{"dropping-particle":"","family":"Mora","given":"M. L.","non-dropping-particle":"","parse-names":false,"suffix":""},{"dropping-particle":"","family":"Alberdi","given":"M.","non-dropping-particle":"","parse-names":false,"suffix":""}],"container-title":"Journal of Soil Science and Plant Nutrition","id":"ITEM-1","issue":"4","issued":{"date-parts":[["2010"]]},"page":"476-494","title":"Manganese as essential and toxic element for plants: Transport, accumulation and resistance mechanisms","type":"article-journal","volume":"10"},"uris":["http://www.mendeley.com/documents/?uuid=79b0e8a3-2dea-4308-9d70-d08bb8842d58"]}],"mendeley":{"formattedCitation":"(Millaleo et al., 2010)","plainTextFormattedCitation":"(Millaleo et al., 2010)","previouslyFormattedCitation":"(Millaleo et al., 2010)"},"properties":{"noteIndex":0},"schema":"https://github.com/citation-style-language/schema/raw/master/csl-citation.json"}</w:instrText>
      </w:r>
      <w:r w:rsidR="00A43C9A">
        <w:fldChar w:fldCharType="separate"/>
      </w:r>
      <w:r w:rsidR="00A43C9A" w:rsidRPr="00A43C9A">
        <w:rPr>
          <w:noProof/>
        </w:rPr>
        <w:t>(Millaleo et al., 2010)</w:t>
      </w:r>
      <w:r w:rsidR="00A43C9A">
        <w:fldChar w:fldCharType="end"/>
      </w:r>
      <w:r w:rsidR="00493718">
        <w:t xml:space="preserve">. </w:t>
      </w:r>
      <w:r w:rsidR="003B74B4">
        <w:t xml:space="preserve"> </w:t>
      </w:r>
      <w:r w:rsidR="00493718">
        <w:t>The increase of manganese over the 24 week time period can be accredited to the diffusion of the manganese oxides into the soil rather than the adsorption of the metal to soil particles.</w:t>
      </w:r>
      <w:r w:rsidR="005C490E">
        <w:t xml:space="preserve">  The best fit line used for the adsorption of manganese was a first-order reaction rate.  This reaction rate determined a rate constant of 0.2</w:t>
      </w:r>
      <w:r w:rsidR="004D488E">
        <w:t>1</w:t>
      </w:r>
      <w:r w:rsidR="00A90F6B">
        <w:t>7</w:t>
      </w:r>
      <w:r w:rsidR="005C490E">
        <w:t xml:space="preserve"> and an adsorption capacity of 4</w:t>
      </w:r>
      <w:r w:rsidR="004D488E">
        <w:t>6.51</w:t>
      </w:r>
      <w:r w:rsidR="002D1143">
        <w:t xml:space="preserve"> </w:t>
      </w:r>
      <w:r w:rsidR="002D1143">
        <w:rPr>
          <w:rFonts w:cs="Times New Roman"/>
        </w:rPr>
        <w:t>± 4.84</w:t>
      </w:r>
      <w:r w:rsidR="005C490E">
        <w:t xml:space="preserve"> mg/kg for acidic soil and 7</w:t>
      </w:r>
      <w:r w:rsidR="004D488E">
        <w:t>2.39</w:t>
      </w:r>
      <w:r w:rsidR="002D1143">
        <w:t xml:space="preserve"> </w:t>
      </w:r>
      <w:r w:rsidR="002D1143">
        <w:rPr>
          <w:rFonts w:cs="Times New Roman"/>
        </w:rPr>
        <w:t>±</w:t>
      </w:r>
      <w:r w:rsidR="00A90F6B">
        <w:t xml:space="preserve"> </w:t>
      </w:r>
      <w:r w:rsidR="002D1143">
        <w:t xml:space="preserve">7.00 </w:t>
      </w:r>
      <w:r w:rsidR="005C490E">
        <w:t xml:space="preserve">mg/kg for basic soil.  The rate constant value is in range of previous literature and the increase in adsorption capacity as pH increases coincides with previous literature, though different soils producing different rate constants and adsorption capacities </w:t>
      </w:r>
      <w:r w:rsidR="005C490E">
        <w:fldChar w:fldCharType="begin" w:fldLock="1"/>
      </w:r>
      <w:r w:rsidR="00125071">
        <w:instrText>ADDIN CSL_CITATION {"citationItems":[{"id":"ITEM-1","itemData":{"DOI":"10.1016/j.jcis.2004.04.005","ISSN":"00219797","abstract":"The article focuses on adsorption of heavy metal ions on soils and soils constituents such as clay minerals, metal (hydr)oxides, and soil organic matter. Empirical and mechanistic model approaches for heavy metal adsorption and parameter determination in such models have been reviewed. Sorption mechanisms in soils, the influence of surface functional groups and surface complexation as well as parameters influencing adsorption are discussed. The individual adsorption behavior of Cd, Cr, Pb, Cu, Mn, Zn and Co on soils and soil constituents is reviewed. © 2004 Elsevier Inc. All rights reserved.","author":[{"dropping-particle":"","family":"Bradl","given":"Heike B.","non-dropping-particle":"","parse-names":false,"suffix":""}],"container-title":"Journal of Colloid and Interface Science","id":"ITEM-1","issue":"1","issued":{"date-parts":[["2004"]]},"page":"1-18","title":"Adsorption of heavy metal ions on soils and soils constituents","type":"article-journal","volume":"277"},"uris":["http://www.mendeley.com/documents/?uuid=082bc63d-83f2-49a3-bf07-1fd7df0caaed"]},{"id":"ITEM-2","itemData":{"DOI":"10.1021/jf0496402","ISSN":"00218561","PMID":"15373400","abstract":"We have investigated adsorption of Cd(II) and Pb(II) at pH 2-6.7 onto the biomaterials chitosan, coffee, green tea, tea, yuzu, aloe, and Japanese coarse tea, and onto the inorganic adsorbents, activated carbon and zeolite. High adsorptive capabilities were observed for all of the biomaterials at pH 4 and 6.7. In the adsorption of Cd(II), blend coffee, tea, green tea, and coarse tea have comparable loading capacities to activated carbon and zeolite. Although activated carbon, zeolite, and chitosan are utilized in a variety of fields such as wastewater treatment, chemical and metallurgical engineering, and analytical chemistry, these adsorbents are costly. On the other hand, processing of the test biomaterials was inexpensive, and all the biomaterials except for chitosan were able to adsorb large amounts of Pb(II) and Cd(II) ions after a convenient pretreatment of washing with water followed by drying. The high adsorption capability of the biomaterials prepared from plant materials is promising in the development of a novel, low-cost adsorbent. From these results, it is concluded that heavy metal removal using biomaterials would be an effective method for the economic treatment of wastewater. The proposed adsorption method was applied to the determination of amounts of Cd(II) and Pb(II) in water samples.","author":[{"dropping-particle":"","family":"Minamisawa","given":"Mayumi","non-dropping-particle":"","parse-names":false,"suffix":""},{"dropping-particle":"","family":"Minamisawa","given":"Hiroaki","non-dropping-particle":"","parse-names":false,"suffix":""},{"dropping-particle":"","family":"Yoshida","given":"Shoichiro","non-dropping-particle":"","parse-names":false,"suffix":""},{"dropping-particle":"","family":"Takai","given":"Nobuharu","non-dropping-particle":"","parse-names":false,"suffix":""}],"container-title":"Journal of Agricultural and Food Chemistry","id":"ITEM-2","issue":"18","issued":{"date-parts":[["2004"]]},"page":"5606-5611","title":"Adsorption behavior of heavy metals on biomaterials","type":"article-journal","volume":"52"},"uris":["http://www.mendeley.com/documents/?uuid=1fb12d5f-8c6d-4b5e-8f4e-c8899dc6dc06"]},{"id":"ITEM-3","itemData":{"DOI":"10.1155/2018/3610921","ISSN":"14688123","abstract":"Heavy metals such as Cu(II) are widespread in the environment, and the impact of heavy metals on the environment of soils depends on the ability of soils to immobilize these pollutants. It is necessary to investigate the mechanism of interaction between heavy metal and soil from a soil remediation perspective. In this study, a series of experiments were conducted to investigate the adsorption and desorption behavior of Cu(II) in silty clay. Several impact factors such as pH, organic matter, temperature, and coexisted ions Zn(II) were considered. It was found that the adsorption process reached equilibrium after 4 hours of the experiment, and the data can be fitted well by the Elovich model and the double-constant model for the kinetic sorption process. The isothermal adsorption results showed that the adsorption rate reached a peak value when the initial concentration was about 20 mg L-1. The decrease of H+ can increase the adsorption activity of Cu(II) and reduce the ability of the desorption of Cu(II) ions. The adsorption capacity of Cu(II) is less than the desorption capacity under the condition of strong acidity and low concentration of Cu(II). In addition, the adsorption capacity of the native soil on Cu(II) was larger than that of the soil with the removal of organic matter, while the opposite was true for the desorption capacity on Cu(II). The maximum adsorption of Cu(II) occurred at 35°C for this study, and the binding energy increased as the temperature increased. Thermodynamic analysis revealed that the adsorption process of Cu(II) was spontaneous and endothermic. The Freundlich, Langmuir, Temkin, and Henry adsorption models were used for analyzing the adsorption isotherm of Cu(II), and it was found that the Freundlich model agreed the best with the experimental data compared with other three models. The results of the competitive adsorption experiments indicated that the competitive capacity of Cu(II) was greater than that of Zn(II) in low-permeability media such as silty clay, and the existence of binary metals can weaken the adsorption force between the single metal and the soil surface.","author":[{"dropping-particle":"","family":"Xie","given":"Shuang","non-dropping-particle":"","parse-names":false,"suffix":""},{"dropping-particle":"","family":"Wen","given":"Zhang","non-dropping-particle":"","parse-names":false,"suffix":""},{"dropping-particle":"","family":"Zhan","given":"Hongbin","non-dropping-particle":"","parse-names":false,"suffix":""},{"dropping-particle":"","family":"Jin","given":"Menggui","non-dropping-particle":"","parse-names":false,"suffix":""}],"container-title":"Geofluids","id":"ITEM-3","issued":{"date-parts":[["2018"]]},"page":"12","title":"An Experimental Study on the Adsorption and Desorption of Cu(II) in Silty Clay","type":"article-journal","volume":"2018"},"uris":["http://www.mendeley.com/documents/?uuid=13e73a10-ab1d-4c1b-8a1c-9c68a3a37d98"]},{"id":"ITEM-4","itemData":{"DOI":"10.3390/SU12187315","ISSN":"20711050","abstract":"The content of heavy metals in the soil in Guizhou Province, which is a high-risk area for heavy metal exposure, is significantly higher than that in other areas in China. Therefore, the objective of this study was to evaluate the ability of CaCO3 and clay to accumulate heavy metals in topsoil sample collected from Lixisol using the method of indoor simulation. The results showed that the contents of Cu, Zn, Cd, Cr, Pb, Hg and As in the soil sample were 10.8 mg/kg, 125 mg/kg, 0.489 mg/kg, 23.5 mg/kg, 22.7 mg/kg, 58.3 mg/kg and 45.4 mg/kg, respectively. The soil pH values increased with the CaCO3 concentration in the soil, and the fluctuation of the soil pH values was weak after the CaCO3 concentrations reached 100 g/kg. The adsorption capacity of lime soil increased by approximately 10 mg/kg on average, and the desorption capacity decreased by approximately 300 mg/kg on average. The desorption of all heavy metals in this study did not change with increasing clay content. Pseudo-second-order kinetics were more suitable for describing the adsorption kinetics of heavy metals on the soil material, as evidenced by the higher R2 value. The Freundlich model can better describe the adsorption process of As on lime soil. The process of As, Cr, Cd and Hg adsorption on the soil sample was spontaneous and entropy-driven. Additionally, the process of Cu and Pb adsorption on the soil materials was spontaneous and enthalpy-driven. Generally, the adsorption and desorption of heavy metals in polluted soil increased and decreased, respectively, with increasing CaCO3 content. The effect of calcium carbonate on the accumulation of heavy metals in soil was greater than that of clay. In summary, CaCO3 and pH values in soil can be appropriately added in several areas polluted by heavy metals to enhance the crop yield and reduce the adsorption of heavy metals in soils.","author":[{"dropping-particle":"","family":"He","given":"Guandi","non-dropping-particle":"","parse-names":false,"suffix":""},{"dropping-particle":"","family":"Zhang","given":"Zhenming","non-dropping-particle":"","parse-names":false,"suffix":""},{"dropping-particle":"","family":"Wu","given":"Xianliang","non-dropping-particle":"","parse-names":false,"suffix":""},{"dropping-particle":"","family":"Cui","given":"Mingyang","non-dropping-particle":"","parse-names":false,"suffix":""},{"dropping-particle":"","family":"Zhang","given":"Jiachun","non-dropping-particle":"","parse-names":false,"suffix":""},{"dropping-particle":"","family":"Huang","given":"Xianfei","non-dropping-particle":"","parse-names":false,"suffix":""}],"container-title":"Sustainability","id":"ITEM-4","issue":"18","issued":{"date-parts":[["2020"]]},"title":"Adsorption of heavy metals on soil collected from lixisol of typical karst areas in the presence of CaCO3 and soil clay and their competition behavior","type":"article-journal","volume":"12"},"uris":["http://www.mendeley.com/documents/?uuid=15001953-b516-4c80-939c-c0d056fdbe38"]}],"mendeley":{"formattedCitation":"(Bradl, 2004; He et al., 2020; Minamisawa et al., 2004; Xie et al., 2018)","plainTextFormattedCitation":"(Bradl, 2004; He et al., 2020; Minamisawa et al., 2004; Xie et al., 2018)","previouslyFormattedCitation":"(Bradl, 2004; He et al., 2020; Minamisawa et al., 2004; Xie et al., 2018)"},"properties":{"noteIndex":0},"schema":"https://github.com/citation-style-language/schema/raw/master/csl-citation.json"}</w:instrText>
      </w:r>
      <w:r w:rsidR="005C490E">
        <w:fldChar w:fldCharType="separate"/>
      </w:r>
      <w:r w:rsidR="005C490E" w:rsidRPr="000F70A7">
        <w:rPr>
          <w:noProof/>
        </w:rPr>
        <w:t>(Bradl, 2004; He et al., 2020; Minamisawa et al., 2004; Xie et al., 2018)</w:t>
      </w:r>
      <w:r w:rsidR="005C490E">
        <w:fldChar w:fldCharType="end"/>
      </w:r>
      <w:r w:rsidR="005C490E">
        <w:t xml:space="preserve">.  The rate constant and adsorption capacity of manganese in this soil can be used to estimate and predict contamination concentrations of LIB metals surrounding landfills and recycling centers.  </w:t>
      </w:r>
      <w:r w:rsidR="00CA53BD">
        <w:t>With these results and the concentration range of manganese naturally in soil, the contamination risk of the metal is low due to the quick conversion to the unreactive metal oxide form</w:t>
      </w:r>
      <w:r w:rsidR="00882F16">
        <w:t>.</w:t>
      </w:r>
    </w:p>
    <w:p w14:paraId="065B95A3" w14:textId="766E5001" w:rsidR="00673161" w:rsidRDefault="00673161" w:rsidP="00A90F6B">
      <w:pPr>
        <w:ind w:firstLine="720"/>
        <w:jc w:val="both"/>
      </w:pPr>
      <w:r>
        <w:lastRenderedPageBreak/>
        <w:t xml:space="preserve">Nickel adsorption to the basic soil was shown to be more significant compared to the acidic soil, supporting the hypothesis.  At the end of 24 weeks, the adsorption of nickel in the basic soil was 101.42 mg/kg and in the acidic soil was 85.79 mg/kg.  For comparison, the area surrounding an e-waste recycling center in Guiyu, China averaged 20.8 mg/kg, but the abandoned workshop was 480 mg/kg </w:t>
      </w:r>
      <w:r>
        <w:fldChar w:fldCharType="begin" w:fldLock="1"/>
      </w:r>
      <w:r>
        <w:instrText>ADDIN CSL_CITATION {"citationItems":[{"id":"ITEM-1","itemData":{"DOI":"10.1177/0734242X10397580","ISSN":"0734242X","abstract":"The dismantling and disposal of electronic waste (e-waste) in developing countries is causing increasing concern because of its impacts on the environment and risks to human health. Heavy-metal concentrations in the surface soils of Guiyu (Guangdong Province, China) were monitored to determine the status of heavy-metal contamination on e-waste dismantling area with a more than 20 years history. Two metalloids and nine metals were selected for investigation. This paper also attempts to compare the data among a variety of e-waste dismantling areas, after reviewing a number of heavy-metal contamination-related studies in such areas in China over the past decade. In addition, source apportionment of heavy metal in the surface soil of these areas has been analysed. Both the MSW open-burning sites probably contained invaluable e-waste and abandoned sites formerly involved in informal recycling activities are the new sources of soil-based environmental pollution in Guiyu. Although printed circuit board waste is thought to be the main source of heavy-metal emissions during e-waste processing, requirement is necessary to soundly manage the plastic separated from e-waste, which mostly contains heavy metals and other toxic substances. © The Author(s) 2011.","author":[{"dropping-particle":"","family":"Li","given":"Jinhui","non-dropping-particle":"","parse-names":false,"suffix":""},{"dropping-particle":"","family":"Duan","given":"Huabo","non-dropping-particle":"","parse-names":false,"suffix":""},{"dropping-particle":"","family":"Shi","given":"Pixing","non-dropping-particle":"","parse-names":false,"suffix":""}],"container-title":"Waste Management and Research","id":"ITEM-1","issue":"7","issued":{"date-parts":[["2011"]]},"page":"727-738","title":"Heavy metal contamination of surface soil in electronic waste dismantling area: Site investigation and source-apportionment analysis","type":"article-journal","volume":"29"},"uris":["http://www.mendeley.com/documents/?uuid=508dc25d-4d89-449d-ab25-647989e6864d"]}],"mendeley":{"formattedCitation":"(J. Li et al., 2011)","plainTextFormattedCitation":"(J. Li et al., 2011)","previouslyFormattedCitation":"(J. Li et al., 2011)"},"properties":{"noteIndex":0},"schema":"https://github.com/citation-style-language/schema/raw/master/csl-citation.json"}</w:instrText>
      </w:r>
      <w:r>
        <w:fldChar w:fldCharType="separate"/>
      </w:r>
      <w:r w:rsidRPr="000369FC">
        <w:rPr>
          <w:noProof/>
        </w:rPr>
        <w:t>(J. Li et al., 2011)</w:t>
      </w:r>
      <w:r>
        <w:fldChar w:fldCharType="end"/>
      </w:r>
      <w:r>
        <w:t>.</w:t>
      </w:r>
      <w:r w:rsidR="006602C7">
        <w:t xml:space="preserve">  The WHO target value of nickel in soil is 35 mg/kg and remedial intervention value is 210 mg/kg </w:t>
      </w:r>
      <w:r w:rsidR="006602C7">
        <w:fldChar w:fldCharType="begin" w:fldLock="1"/>
      </w:r>
      <w:r w:rsidR="008F4E94">
        <w:instrText>ADDIN CSL_CITATION {"citationItems":[{"id":"ITEM-1","itemData":{"author":[{"dropping-particle":"","family":"Osmani","given":"Marilda","non-dropping-particle":"","parse-names":false,"suffix":""},{"dropping-particle":"","family":"Bani","given":"Aida","non-dropping-particle":"","parse-names":false,"suffix":""},{"dropping-particle":"","family":"Hoxha","given":"Belinda","non-dropping-particle":"","parse-names":false,"suffix":""}],"container-title":"Albanian j. agric. sci. 2015;14","id":"ITEM-1","issue":"4","issued":{"date-parts":[["2015"]]},"page":"414-419","title":"Heavy Metals and Ni Phytoextractionin in the Metallurgical Area Soils in Elbasan","type":"article-journal","volume":"14"},"uris":["http://www.mendeley.com/documents/?uuid=2e56addb-a448-4632-bc09-4100efe18fa4"]}],"mendeley":{"formattedCitation":"(Osmani et al., 2015)","plainTextFormattedCitation":"(Osmani et al., 2015)","previouslyFormattedCitation":"(Osmani et al., 2015)"},"properties":{"noteIndex":0},"schema":"https://github.com/citation-style-language/schema/raw/master/csl-citation.json"}</w:instrText>
      </w:r>
      <w:r w:rsidR="006602C7">
        <w:fldChar w:fldCharType="separate"/>
      </w:r>
      <w:r w:rsidR="006602C7" w:rsidRPr="006602C7">
        <w:rPr>
          <w:noProof/>
        </w:rPr>
        <w:t>(Osmani et al., 2015)</w:t>
      </w:r>
      <w:r w:rsidR="006602C7">
        <w:fldChar w:fldCharType="end"/>
      </w:r>
      <w:r w:rsidR="006602C7">
        <w:t>.  The concentration of nickel for both soil groups is higher than the target value</w:t>
      </w:r>
      <w:r w:rsidR="00225856">
        <w:t>, creating a concern for the ecological effect around the contaminated soil.</w:t>
      </w:r>
      <w:r>
        <w:t xml:space="preserve">  Nickel has a low mobility in soil, with a labile fraction between 0.1-50% of the total nickel concentration likely due to the slow reactions between nickel and iron oxides </w:t>
      </w:r>
      <w:r>
        <w:fldChar w:fldCharType="begin" w:fldLock="1"/>
      </w:r>
      <w:r>
        <w:instrText>ADDIN CSL_CITATION {"citationItems":[{"id":"ITEM-1","itemData":{"author":[{"dropping-particle":"","family":"Massoura","given":"S. T.","non-dropping-particle":"","parse-names":false,"suffix":""},{"dropping-particle":"","family":"Echevarria","given":"G.","non-dropping-particle":"","parse-names":false,"suffix":""},{"dropping-particle":"","family":"Becquer","given":"T.","non-dropping-particle":"","parse-names":false,"suffix":""},{"dropping-particle":"","family":"Ghanbaja","given":"J.","non-dropping-particle":"","parse-names":false,"suffix":""},{"dropping-particle":"","family":"Leclere-Cessac","given":"E.","non-dropping-particle":"","parse-names":false,"suffix":""},{"dropping-particle":"","family":"Morel","given":"J. L.","non-dropping-particle":"","parse-names":false,"suffix":""}],"container-title":"Geoderma2","id":"ITEM-1","issued":{"date-parts":[["2006"]]},"page":"28-37","title":"Control of nickel availability by nickel bearing minerals in natural and anthropogenic soils","type":"article-journal","volume":"136"},"uris":["http://www.mendeley.com/documents/?uuid=4f840735-9369-4b18-8908-21cc80e27114"]}],"mendeley":{"formattedCitation":"(Massoura et al., 2006)","plainTextFormattedCitation":"(Massoura et al., 2006)","previouslyFormattedCitation":"(Massoura et al., 2006)"},"properties":{"noteIndex":0},"schema":"https://github.com/citation-style-language/schema/raw/master/csl-citation.json"}</w:instrText>
      </w:r>
      <w:r>
        <w:fldChar w:fldCharType="separate"/>
      </w:r>
      <w:r w:rsidRPr="00A0338D">
        <w:rPr>
          <w:noProof/>
        </w:rPr>
        <w:t>(Massoura et al., 2006)</w:t>
      </w:r>
      <w:r>
        <w:fldChar w:fldCharType="end"/>
      </w:r>
      <w:r>
        <w:t>.  This isolates the severity of nickel contamination in soil to the immediate area.  The containment of nickel is crucial to preventing contamination into the surrounding areas where it can be taken up by the agriculture or deposited into the water systems where it can bioaccumulate in aquatic and land fauna.</w:t>
      </w:r>
      <w:r w:rsidR="00A90F6B">
        <w:t xml:space="preserve">  The best fit line used for the adsorption of </w:t>
      </w:r>
      <w:r w:rsidR="00E14FC6">
        <w:t>nickel</w:t>
      </w:r>
      <w:r w:rsidR="00A90F6B">
        <w:t xml:space="preserve"> was a first-order reaction rate.  This reaction rate determined a rate constant of 0.2</w:t>
      </w:r>
      <w:r w:rsidR="004D488E">
        <w:t>17</w:t>
      </w:r>
      <w:r w:rsidR="00A90F6B">
        <w:t xml:space="preserve"> and an adsorption capacity of </w:t>
      </w:r>
      <w:r w:rsidR="004D488E">
        <w:t>71.29</w:t>
      </w:r>
      <w:r w:rsidR="002D1143">
        <w:t xml:space="preserve"> </w:t>
      </w:r>
      <w:r w:rsidR="002D1143">
        <w:rPr>
          <w:rFonts w:cs="Times New Roman"/>
        </w:rPr>
        <w:t>±</w:t>
      </w:r>
      <w:r w:rsidR="002D1143">
        <w:t xml:space="preserve"> 9.42</w:t>
      </w:r>
      <w:r w:rsidR="00A90F6B">
        <w:t xml:space="preserve"> mg/kg for acidic soil and </w:t>
      </w:r>
      <w:r w:rsidR="004D488E">
        <w:t>88.91</w:t>
      </w:r>
      <w:r w:rsidR="002D1143">
        <w:t xml:space="preserve"> </w:t>
      </w:r>
      <w:r w:rsidR="002D1143">
        <w:rPr>
          <w:rFonts w:cs="Times New Roman"/>
        </w:rPr>
        <w:t>±</w:t>
      </w:r>
      <w:r w:rsidR="002D1143">
        <w:t xml:space="preserve"> 13.51</w:t>
      </w:r>
      <w:r w:rsidR="00A90F6B">
        <w:t xml:space="preserve"> mg/kg for basic soil.  The rate constant value is in range of previous literature and the increase in adsorption capacity as pH increases coincides with previous literature, though different soils producing different rate constants and adsorption capacities </w:t>
      </w:r>
      <w:r w:rsidR="00A90F6B">
        <w:fldChar w:fldCharType="begin" w:fldLock="1"/>
      </w:r>
      <w:r w:rsidR="00125071">
        <w:instrText>ADDIN CSL_CITATION {"citationItems":[{"id":"ITEM-1","itemData":{"DOI":"10.1016/j.jcis.2004.04.005","ISSN":"00219797","abstract":"The article focuses on adsorption of heavy metal ions on soils and soils constituents such as clay minerals, metal (hydr)oxides, and soil organic matter. Empirical and mechanistic model approaches for heavy metal adsorption and parameter determination in such models have been reviewed. Sorption mechanisms in soils, the influence of surface functional groups and surface complexation as well as parameters influencing adsorption are discussed. The individual adsorption behavior of Cd, Cr, Pb, Cu, Mn, Zn and Co on soils and soil constituents is reviewed. © 2004 Elsevier Inc. All rights reserved.","author":[{"dropping-particle":"","family":"Bradl","given":"Heike B.","non-dropping-particle":"","parse-names":false,"suffix":""}],"container-title":"Journal of Colloid and Interface Science","id":"ITEM-1","issue":"1","issued":{"date-parts":[["2004"]]},"page":"1-18","title":"Adsorption of heavy metal ions on soils and soils constituents","type":"article-journal","volume":"277"},"uris":["http://www.mendeley.com/documents/?uuid=082bc63d-83f2-49a3-bf07-1fd7df0caaed"]},{"id":"ITEM-2","itemData":{"DOI":"10.1021/jf0496402","ISSN":"00218561","PMID":"15373400","abstract":"We have investigated adsorption of Cd(II) and Pb(II) at pH 2-6.7 onto the biomaterials chitosan, coffee, green tea, tea, yuzu, aloe, and Japanese coarse tea, and onto the inorganic adsorbents, activated carbon and zeolite. High adsorptive capabilities were observed for all of the biomaterials at pH 4 and 6.7. In the adsorption of Cd(II), blend coffee, tea, green tea, and coarse tea have comparable loading capacities to activated carbon and zeolite. Although activated carbon, zeolite, and chitosan are utilized in a variety of fields such as wastewater treatment, chemical and metallurgical engineering, and analytical chemistry, these adsorbents are costly. On the other hand, processing of the test biomaterials was inexpensive, and all the biomaterials except for chitosan were able to adsorb large amounts of Pb(II) and Cd(II) ions after a convenient pretreatment of washing with water followed by drying. The high adsorption capability of the biomaterials prepared from plant materials is promising in the development of a novel, low-cost adsorbent. From these results, it is concluded that heavy metal removal using biomaterials would be an effective method for the economic treatment of wastewater. The proposed adsorption method was applied to the determination of amounts of Cd(II) and Pb(II) in water samples.","author":[{"dropping-particle":"","family":"Minamisawa","given":"Mayumi","non-dropping-particle":"","parse-names":false,"suffix":""},{"dropping-particle":"","family":"Minamisawa","given":"Hiroaki","non-dropping-particle":"","parse-names":false,"suffix":""},{"dropping-particle":"","family":"Yoshida","given":"Shoichiro","non-dropping-particle":"","parse-names":false,"suffix":""},{"dropping-particle":"","family":"Takai","given":"Nobuharu","non-dropping-particle":"","parse-names":false,"suffix":""}],"container-title":"Journal of Agricultural and Food Chemistry","id":"ITEM-2","issue":"18","issued":{"date-parts":[["2004"]]},"page":"5606-5611","title":"Adsorption behavior of heavy metals on biomaterials","type":"article-journal","volume":"52"},"uris":["http://www.mendeley.com/documents/?uuid=1fb12d5f-8c6d-4b5e-8f4e-c8899dc6dc06"]},{"id":"ITEM-3","itemData":{"DOI":"10.1155/2018/3610921","ISSN":"14688123","abstract":"Heavy metals such as Cu(II) are widespread in the environment, and the impact of heavy metals on the environment of soils depends on the ability of soils to immobilize these pollutants. It is necessary to investigate the mechanism of interaction between heavy metal and soil from a soil remediation perspective. In this study, a series of experiments were conducted to investigate the adsorption and desorption behavior of Cu(II) in silty clay. Several impact factors such as pH, organic matter, temperature, and coexisted ions Zn(II) were considered. It was found that the adsorption process reached equilibrium after 4 hours of the experiment, and the data can be fitted well by the Elovich model and the double-constant model for the kinetic sorption process. The isothermal adsorption results showed that the adsorption rate reached a peak value when the initial concentration was about 20 mg L-1. The decrease of H+ can increase the adsorption activity of Cu(II) and reduce the ability of the desorption of Cu(II) ions. The adsorption capacity of Cu(II) is less than the desorption capacity under the condition of strong acidity and low concentration of Cu(II). In addition, the adsorption capacity of the native soil on Cu(II) was larger than that of the soil with the removal of organic matter, while the opposite was true for the desorption capacity on Cu(II). The maximum adsorption of Cu(II) occurred at 35°C for this study, and the binding energy increased as the temperature increased. Thermodynamic analysis revealed that the adsorption process of Cu(II) was spontaneous and endothermic. The Freundlich, Langmuir, Temkin, and Henry adsorption models were used for analyzing the adsorption isotherm of Cu(II), and it was found that the Freundlich model agreed the best with the experimental data compared with other three models. The results of the competitive adsorption experiments indicated that the competitive capacity of Cu(II) was greater than that of Zn(II) in low-permeability media such as silty clay, and the existence of binary metals can weaken the adsorption force between the single metal and the soil surface.","author":[{"dropping-particle":"","family":"Xie","given":"Shuang","non-dropping-particle":"","parse-names":false,"suffix":""},{"dropping-particle":"","family":"Wen","given":"Zhang","non-dropping-particle":"","parse-names":false,"suffix":""},{"dropping-particle":"","family":"Zhan","given":"Hongbin","non-dropping-particle":"","parse-names":false,"suffix":""},{"dropping-particle":"","family":"Jin","given":"Menggui","non-dropping-particle":"","parse-names":false,"suffix":""}],"container-title":"Geofluids","id":"ITEM-3","issued":{"date-parts":[["2018"]]},"page":"12","title":"An Experimental Study on the Adsorption and Desorption of Cu(II) in Silty Clay","type":"article-journal","volume":"2018"},"uris":["http://www.mendeley.com/documents/?uuid=13e73a10-ab1d-4c1b-8a1c-9c68a3a37d98"]},{"id":"ITEM-4","itemData":{"DOI":"10.3390/SU12187315","ISSN":"20711050","abstract":"The content of heavy metals in the soil in Guizhou Province, which is a high-risk area for heavy metal exposure, is significantly higher than that in other areas in China. Therefore, the objective of this study was to evaluate the ability of CaCO3 and clay to accumulate heavy metals in topsoil sample collected from Lixisol using the method of indoor simulation. The results showed that the contents of Cu, Zn, Cd, Cr, Pb, Hg and As in the soil sample were 10.8 mg/kg, 125 mg/kg, 0.489 mg/kg, 23.5 mg/kg, 22.7 mg/kg, 58.3 mg/kg and 45.4 mg/kg, respectively. The soil pH values increased with the CaCO3 concentration in the soil, and the fluctuation of the soil pH values was weak after the CaCO3 concentrations reached 100 g/kg. The adsorption capacity of lime soil increased by approximately 10 mg/kg on average, and the desorption capacity decreased by approximately 300 mg/kg on average. The desorption of all heavy metals in this study did not change with increasing clay content. Pseudo-second-order kinetics were more suitable for describing the adsorption kinetics of heavy metals on the soil material, as evidenced by the higher R2 value. The Freundlich model can better describe the adsorption process of As on lime soil. The process of As, Cr, Cd and Hg adsorption on the soil sample was spontaneous and entropy-driven. Additionally, the process of Cu and Pb adsorption on the soil materials was spontaneous and enthalpy-driven. Generally, the adsorption and desorption of heavy metals in polluted soil increased and decreased, respectively, with increasing CaCO3 content. The effect of calcium carbonate on the accumulation of heavy metals in soil was greater than that of clay. In summary, CaCO3 and pH values in soil can be appropriately added in several areas polluted by heavy metals to enhance the crop yield and reduce the adsorption of heavy metals in soils.","author":[{"dropping-particle":"","family":"He","given":"Guandi","non-dropping-particle":"","parse-names":false,"suffix":""},{"dropping-particle":"","family":"Zhang","given":"Zhenming","non-dropping-particle":"","parse-names":false,"suffix":""},{"dropping-particle":"","family":"Wu","given":"Xianliang","non-dropping-particle":"","parse-names":false,"suffix":""},{"dropping-particle":"","family":"Cui","given":"Mingyang","non-dropping-particle":"","parse-names":false,"suffix":""},{"dropping-particle":"","family":"Zhang","given":"Jiachun","non-dropping-particle":"","parse-names":false,"suffix":""},{"dropping-particle":"","family":"Huang","given":"Xianfei","non-dropping-particle":"","parse-names":false,"suffix":""}],"container-title":"Sustainability","id":"ITEM-4","issue":"18","issued":{"date-parts":[["2020"]]},"title":"Adsorption of heavy metals on soil collected from lixisol of typical karst areas in the presence of CaCO3 and soil clay and their competition behavior","type":"article-journal","volume":"12"},"uris":["http://www.mendeley.com/documents/?uuid=15001953-b516-4c80-939c-c0d056fdbe38"]}],"mendeley":{"formattedCitation":"(Bradl, 2004; He et al., 2020; Minamisawa et al., 2004; Xie et al., 2018)","plainTextFormattedCitation":"(Bradl, 2004; He et al., 2020; Minamisawa et al., 2004; Xie et al., 2018)","previouslyFormattedCitation":"(Bradl, 2004; He et al., 2020; Minamisawa et al., 2004; Xie et al., 2018)"},"properties":{"noteIndex":0},"schema":"https://github.com/citation-style-language/schema/raw/master/csl-citation.json"}</w:instrText>
      </w:r>
      <w:r w:rsidR="00A90F6B">
        <w:fldChar w:fldCharType="separate"/>
      </w:r>
      <w:r w:rsidR="00A90F6B" w:rsidRPr="000F70A7">
        <w:rPr>
          <w:noProof/>
        </w:rPr>
        <w:t>(Bradl, 2004; He et al., 2020; Minamisawa et al., 2004; Xie et al., 2018)</w:t>
      </w:r>
      <w:r w:rsidR="00A90F6B">
        <w:fldChar w:fldCharType="end"/>
      </w:r>
      <w:r w:rsidR="00A90F6B">
        <w:t xml:space="preserve">.  The rate constant and adsorption capacity of </w:t>
      </w:r>
      <w:r w:rsidR="00E14FC6">
        <w:t>nickel</w:t>
      </w:r>
      <w:r w:rsidR="00A90F6B">
        <w:t xml:space="preserve"> in this soil can be used to estimate and predict contamination concentrations of LIB metals surrounding landfills and recycling centers.  The sharp rise of adsorption of nickel at the beginning of the timeline </w:t>
      </w:r>
      <w:r w:rsidR="00E94D07">
        <w:t>may</w:t>
      </w:r>
      <w:r w:rsidR="009B0741">
        <w:t xml:space="preserve"> be explained by </w:t>
      </w:r>
      <w:r w:rsidR="00D37F8F">
        <w:t>a strong affinity of nickel to the soi</w:t>
      </w:r>
      <w:r w:rsidR="00BC49B8">
        <w:t xml:space="preserve">l that </w:t>
      </w:r>
      <w:r w:rsidR="00E94D07">
        <w:t>adsorbs</w:t>
      </w:r>
      <w:r w:rsidR="004A793E">
        <w:t xml:space="preserve"> quickly </w:t>
      </w:r>
      <w:r w:rsidR="00166740">
        <w:t xml:space="preserve">then </w:t>
      </w:r>
      <w:r w:rsidR="00723094">
        <w:t xml:space="preserve">the </w:t>
      </w:r>
      <w:r w:rsidR="00376EA6">
        <w:t xml:space="preserve">slower </w:t>
      </w:r>
      <w:r w:rsidR="002334FF">
        <w:t>diffusion</w:t>
      </w:r>
      <w:r w:rsidR="00723094">
        <w:t xml:space="preserve"> of nickel oxides out of the LIB into the soil to </w:t>
      </w:r>
      <w:r w:rsidR="002334FF">
        <w:t>reach an equilibrium state between the soil and LIB</w:t>
      </w:r>
      <w:r w:rsidR="00252C91">
        <w:t xml:space="preserve">.  The </w:t>
      </w:r>
      <w:r w:rsidR="00252C91">
        <w:lastRenderedPageBreak/>
        <w:t xml:space="preserve">acidic pH </w:t>
      </w:r>
      <w:r w:rsidR="004275AD">
        <w:t>has more H</w:t>
      </w:r>
      <w:r w:rsidR="004275AD">
        <w:rPr>
          <w:vertAlign w:val="superscript"/>
        </w:rPr>
        <w:t>+</w:t>
      </w:r>
      <w:r w:rsidR="004275AD">
        <w:t xml:space="preserve"> </w:t>
      </w:r>
      <w:r w:rsidR="000678CD">
        <w:t xml:space="preserve">ions competing for the same adsorption sites, </w:t>
      </w:r>
      <w:r w:rsidR="00A57567">
        <w:t xml:space="preserve">causing the lower nickel concentration and </w:t>
      </w:r>
      <w:r w:rsidR="00F33BA8">
        <w:t>adsorption rate</w:t>
      </w:r>
      <w:r w:rsidR="00A57567">
        <w:t>.</w:t>
      </w:r>
      <w:r>
        <w:t xml:space="preserve">  These </w:t>
      </w:r>
      <w:r w:rsidR="00F33BA8">
        <w:t>adsorption rate</w:t>
      </w:r>
      <w:r>
        <w:t xml:space="preserve">s demonstrate the severity of nickel contamination from LIB, mainly at recycling centers because of the continual influx of new disposed LIB and other e-waste that is processed on-site, spreading the particulates to the surrounding area via ash in the wind and soil deposition via vehicles </w:t>
      </w:r>
      <w:r>
        <w:fldChar w:fldCharType="begin" w:fldLock="1"/>
      </w:r>
      <w:r w:rsidR="0080720E">
        <w:instrText>ADDIN CSL_CITATION {"citationItems":[{"id":"ITEM-1","itemData":{"DOI":"10.1007/s10163-016-0527-7","ISSN":"16118227","abstract":"Used lead–acid battery (ULAB) recycling has caused numerous health and environmental issues in developing countries. Surface soil pollution from ULAB recycling activities has been linked with elevated levels of lead in human blood. We measured surface soil lead in and surrounding the ULAB recycling village of Hung Yen in northern Vietnam in 2011, 2013, and 2014. The data were analyzed statistically and discussed with respect to distance from the contamination source, year of measurement, contamination pathway, and countermeasures against the contamination. Transportation routes from the smelter or collection site displayed the greatest concentration of surface soil lead (median 6400–10,000 mg/kg). Surface soil lead decreased significantly with distance along the road from the ULAB recycling site, although such a decrease was not observed for rice fields, agricultural roads, or garden soil. Re-suspension and adherence by traffic were identified as key pollution pathways. Distance from the source, covering of the surface of roads, construction of walls, and position relative to the source were shown to be the most effective factors in the reduction of surface soil lead pollution. Application of a combination of these measures should result in improvement in the health of residents.","author":[{"dropping-particle":"","family":"Fujimori","given":"Takashi","non-dropping-particle":"","parse-names":false,"suffix":""},{"dropping-particle":"","family":"Eguchi","given":"Akifumi","non-dropping-particle":"","parse-names":false,"suffix":""},{"dropping-particle":"","family":"Agusa","given":"Tetsuro","non-dropping-particle":"","parse-names":false,"suffix":""},{"dropping-particle":"","family":"Tue","given":"Nguyen Minh","non-dropping-particle":"","parse-names":false,"suffix":""},{"dropping-particle":"","family":"Suzuki","given":"Go","non-dropping-particle":"","parse-names":false,"suffix":""},{"dropping-particle":"","family":"Takahashi","given":"Shin","non-dropping-particle":"","parse-names":false,"suffix":""},{"dropping-particle":"","family":"Viet","given":"Pham Hung","non-dropping-particle":"","parse-names":false,"suffix":""},{"dropping-particle":"","family":"Tanabe","given":"Shinsuke","non-dropping-particle":"","parse-names":false,"suffix":""},{"dropping-particle":"","family":"Takigami","given":"Hidetaka","non-dropping-particle":"","parse-names":false,"suffix":""}],"container-title":"Journal of Material Cycles and Waste Management","id":"ITEM-1","issue":"4","issued":{"date-parts":[["2016","9","1"]]},"page":"599-607","publisher":"Springer-Verlag Tokyo","title":"Lead contamination in surface soil on roads from used lead–acid battery recycling in Dong Mai, Northern Vietnam","type":"article-journal","volume":"18"},"uris":["http://www.mendeley.com/documents/?uuid=8d8761b9-843b-3251-b082-87a92426f980"]}],"mendeley":{"formattedCitation":"(Fujimori et al., 2016)","plainTextFormattedCitation":"(Fujimori et al., 2016)","previouslyFormattedCitation":"(Fujimori et al., 2016)"},"properties":{"noteIndex":0},"schema":"https://github.com/citation-style-language/schema/raw/master/csl-citation.json"}</w:instrText>
      </w:r>
      <w:r>
        <w:fldChar w:fldCharType="separate"/>
      </w:r>
      <w:r w:rsidRPr="00F141E5">
        <w:rPr>
          <w:noProof/>
        </w:rPr>
        <w:t>(Fujimori et al., 2016)</w:t>
      </w:r>
      <w:r>
        <w:fldChar w:fldCharType="end"/>
      </w:r>
      <w:r>
        <w:t>.  With these results, the contamination risk of the metal is significant at both soil pH groups due to the amount of nickel adsorbing to the soil particles that which can be taken up by plants with changing soil conditions.</w:t>
      </w:r>
    </w:p>
    <w:p w14:paraId="595DEDB0" w14:textId="0E5988F4" w:rsidR="000C5F30" w:rsidRDefault="000C5F30" w:rsidP="00EF069C">
      <w:pPr>
        <w:ind w:firstLine="720"/>
        <w:jc w:val="both"/>
      </w:pPr>
      <w:r>
        <w:t>Aluminum adsorption to the basic soil was show</w:t>
      </w:r>
      <w:r w:rsidR="005C0027">
        <w:t>n</w:t>
      </w:r>
      <w:r>
        <w:t xml:space="preserve"> to</w:t>
      </w:r>
      <w:r w:rsidR="005C0027">
        <w:t xml:space="preserve"> have no significant difference compared to the acidic soil.  At the end of 24 weeks, </w:t>
      </w:r>
      <w:r w:rsidR="0071679B">
        <w:t xml:space="preserve">the </w:t>
      </w:r>
      <w:r w:rsidR="00412372">
        <w:t>aluminum concentratio</w:t>
      </w:r>
      <w:r w:rsidR="00210FE4">
        <w:t>n for the basic soil</w:t>
      </w:r>
      <w:r w:rsidR="00336B6F">
        <w:t xml:space="preserve"> was 50,5791 mg/kg </w:t>
      </w:r>
      <w:r w:rsidR="005B2C72">
        <w:t xml:space="preserve">and the acidic soil was 43,761 mg/kg, although the </w:t>
      </w:r>
      <w:r w:rsidR="00984160">
        <w:t xml:space="preserve">aluminum concentration for the </w:t>
      </w:r>
      <w:r w:rsidR="005B2C72">
        <w:t xml:space="preserve">control soil for the basic </w:t>
      </w:r>
      <w:r w:rsidR="00984160">
        <w:t>and acidic soil differed, 43,</w:t>
      </w:r>
      <w:r w:rsidR="0047384F">
        <w:t>732 mg/kg and 37,702 mg/kg, respectively</w:t>
      </w:r>
      <w:r w:rsidR="00F75453">
        <w:t xml:space="preserve">.  </w:t>
      </w:r>
      <w:r w:rsidR="0047384F">
        <w:t xml:space="preserve">Factoring in the </w:t>
      </w:r>
      <w:r w:rsidR="00515767">
        <w:t>control aluminum concentration, the basic soil had 7</w:t>
      </w:r>
      <w:r w:rsidR="004E6A90">
        <w:t>,</w:t>
      </w:r>
      <w:r w:rsidR="00515767">
        <w:t>059 mg/kg and the acidic soil had 6</w:t>
      </w:r>
      <w:r w:rsidR="004E6A90">
        <w:t>,</w:t>
      </w:r>
      <w:r w:rsidR="00515767">
        <w:t>059 mg/kg aluminum adsorbed</w:t>
      </w:r>
      <w:r w:rsidR="003D32B3">
        <w:t xml:space="preserve">, both equating to </w:t>
      </w:r>
      <w:r w:rsidR="007B2EFC">
        <w:t>a 16.1% increase in aluminum</w:t>
      </w:r>
      <w:r w:rsidR="00515767">
        <w:t xml:space="preserve">.  </w:t>
      </w:r>
      <w:r w:rsidR="00554FF2">
        <w:t>The overall large increase of aluminum in both soil groups</w:t>
      </w:r>
      <w:r w:rsidR="000A6067">
        <w:t xml:space="preserve"> may be due to the aluminum </w:t>
      </w:r>
      <w:r w:rsidR="00236CA9">
        <w:t>being</w:t>
      </w:r>
      <w:r w:rsidR="000A6067">
        <w:t xml:space="preserve"> along the perimeter of the LIB cylinder, allowing more direct contact with the soil compared to the shared surface area for the four other metals, and, as an amphoteric aluminum oxide, it can react with both acids and bases to increase adsorption </w:t>
      </w:r>
      <w:r w:rsidR="000A6067">
        <w:fldChar w:fldCharType="begin" w:fldLock="1"/>
      </w:r>
      <w:r w:rsidR="00BB6AFB">
        <w:instrText>ADDIN CSL_CITATION {"citationItems":[{"id":"ITEM-1","itemData":{"author":[{"dropping-particle":"","family":"Orwat","given":"K.","non-dropping-particle":"","parse-names":false,"suffix":""},{"dropping-particle":"","family":"Bernard","given":"P.","non-dropping-particle":"","parse-names":false,"suffix":""},{"dropping-particle":"","family":"Migdal-Mikuli","given":"A.","non-dropping-particle":"","parse-names":false,"suffix":""}],"container-title":"Journal of Chemical Education","id":"ITEM-1","issue":"5","issued":{"date-parts":[["2016"]]},"page":"906-909","title":"Obtaining and investigating amphoteric properties of aluminum oxide in a hands-on laboratory experiment for high school students","type":"article-journal","volume":"93"},"uris":["http://www.mendeley.com/documents/?uuid=cdabfb7d-befd-417a-b5b3-0a017baf30d4"]}],"mendeley":{"formattedCitation":"(Orwat et al., 2016)","plainTextFormattedCitation":"(Orwat et al., 2016)","previouslyFormattedCitation":"(Orwat et al., 2016)"},"properties":{"noteIndex":0},"schema":"https://github.com/citation-style-language/schema/raw/master/csl-citation.json"}</w:instrText>
      </w:r>
      <w:r w:rsidR="000A6067">
        <w:fldChar w:fldCharType="separate"/>
      </w:r>
      <w:r w:rsidR="000A6067" w:rsidRPr="00FB17D8">
        <w:rPr>
          <w:noProof/>
        </w:rPr>
        <w:t>(Orwat et al., 2016)</w:t>
      </w:r>
      <w:r w:rsidR="000A6067">
        <w:fldChar w:fldCharType="end"/>
      </w:r>
      <w:r w:rsidR="000A6067">
        <w:t>.</w:t>
      </w:r>
      <w:r w:rsidR="00A90F6B">
        <w:t xml:space="preserve">  The best fit line used for the adsorption of </w:t>
      </w:r>
      <w:r w:rsidR="00E14FC6">
        <w:t>aluminum</w:t>
      </w:r>
      <w:r w:rsidR="00A90F6B">
        <w:t xml:space="preserve"> was a first-order reaction rate.  This reaction rate determined a rate constant of 0.</w:t>
      </w:r>
      <w:r w:rsidR="004D488E">
        <w:t>217</w:t>
      </w:r>
      <w:r w:rsidR="00A90F6B">
        <w:t xml:space="preserve"> and an adsorption capacity of </w:t>
      </w:r>
      <w:r w:rsidR="004D488E">
        <w:t>4,001.31</w:t>
      </w:r>
      <w:r w:rsidR="002D1143">
        <w:t xml:space="preserve"> </w:t>
      </w:r>
      <w:r w:rsidR="002D1143">
        <w:rPr>
          <w:rFonts w:cs="Times New Roman"/>
        </w:rPr>
        <w:t>±</w:t>
      </w:r>
      <w:r w:rsidR="002D1143">
        <w:t xml:space="preserve"> </w:t>
      </w:r>
      <w:r w:rsidR="004D488E">
        <w:t>964.12</w:t>
      </w:r>
      <w:r w:rsidR="00A90F6B">
        <w:t xml:space="preserve"> mg/kg for acidic soil and </w:t>
      </w:r>
      <w:r w:rsidR="004D488E">
        <w:t>4,944.96</w:t>
      </w:r>
      <w:r w:rsidR="002D1143">
        <w:t xml:space="preserve"> </w:t>
      </w:r>
      <w:r w:rsidR="002D1143">
        <w:rPr>
          <w:rFonts w:cs="Times New Roman"/>
        </w:rPr>
        <w:t>±</w:t>
      </w:r>
      <w:r w:rsidR="002D1143">
        <w:t xml:space="preserve"> </w:t>
      </w:r>
      <w:r w:rsidR="004D488E">
        <w:t>973.34</w:t>
      </w:r>
      <w:r w:rsidR="00A90F6B">
        <w:t xml:space="preserve"> mg/kg for basic soil.</w:t>
      </w:r>
      <w:r w:rsidR="009D51D7">
        <w:t xml:space="preserve">  Based on the rate constant and fit line, the 20 and 24 week concentrations do not necessarily align with the trend that is shown with the previous time points as well as with the other LIB metals.</w:t>
      </w:r>
      <w:r w:rsidR="002D1143">
        <w:t xml:space="preserve">  </w:t>
      </w:r>
      <w:r w:rsidR="00A90F6B">
        <w:t xml:space="preserve">The rate constant value is in range of previous literature and </w:t>
      </w:r>
      <w:r w:rsidR="00A90F6B">
        <w:lastRenderedPageBreak/>
        <w:t xml:space="preserve">the increase in adsorption capacity as pH increases coincides with previous literature, though different soils producing different rate constants and adsorption capacities </w:t>
      </w:r>
      <w:r w:rsidR="00A90F6B">
        <w:fldChar w:fldCharType="begin" w:fldLock="1"/>
      </w:r>
      <w:r w:rsidR="00125071">
        <w:instrText>ADDIN CSL_CITATION {"citationItems":[{"id":"ITEM-1","itemData":{"DOI":"10.1016/j.jcis.2004.04.005","ISSN":"00219797","abstract":"The article focuses on adsorption of heavy metal ions on soils and soils constituents such as clay minerals, metal (hydr)oxides, and soil organic matter. Empirical and mechanistic model approaches for heavy metal adsorption and parameter determination in such models have been reviewed. Sorption mechanisms in soils, the influence of surface functional groups and surface complexation as well as parameters influencing adsorption are discussed. The individual adsorption behavior of Cd, Cr, Pb, Cu, Mn, Zn and Co on soils and soil constituents is reviewed. © 2004 Elsevier Inc. All rights reserved.","author":[{"dropping-particle":"","family":"Bradl","given":"Heike B.","non-dropping-particle":"","parse-names":false,"suffix":""}],"container-title":"Journal of Colloid and Interface Science","id":"ITEM-1","issue":"1","issued":{"date-parts":[["2004"]]},"page":"1-18","title":"Adsorption of heavy metal ions on soils and soils constituents","type":"article-journal","volume":"277"},"uris":["http://www.mendeley.com/documents/?uuid=082bc63d-83f2-49a3-bf07-1fd7df0caaed"]},{"id":"ITEM-2","itemData":{"DOI":"10.1021/jf0496402","ISSN":"00218561","PMID":"15373400","abstract":"We have investigated adsorption of Cd(II) and Pb(II) at pH 2-6.7 onto the biomaterials chitosan, coffee, green tea, tea, yuzu, aloe, and Japanese coarse tea, and onto the inorganic adsorbents, activated carbon and zeolite. High adsorptive capabilities were observed for all of the biomaterials at pH 4 and 6.7. In the adsorption of Cd(II), blend coffee, tea, green tea, and coarse tea have comparable loading capacities to activated carbon and zeolite. Although activated carbon, zeolite, and chitosan are utilized in a variety of fields such as wastewater treatment, chemical and metallurgical engineering, and analytical chemistry, these adsorbents are costly. On the other hand, processing of the test biomaterials was inexpensive, and all the biomaterials except for chitosan were able to adsorb large amounts of Pb(II) and Cd(II) ions after a convenient pretreatment of washing with water followed by drying. The high adsorption capability of the biomaterials prepared from plant materials is promising in the development of a novel, low-cost adsorbent. From these results, it is concluded that heavy metal removal using biomaterials would be an effective method for the economic treatment of wastewater. The proposed adsorption method was applied to the determination of amounts of Cd(II) and Pb(II) in water samples.","author":[{"dropping-particle":"","family":"Minamisawa","given":"Mayumi","non-dropping-particle":"","parse-names":false,"suffix":""},{"dropping-particle":"","family":"Minamisawa","given":"Hiroaki","non-dropping-particle":"","parse-names":false,"suffix":""},{"dropping-particle":"","family":"Yoshida","given":"Shoichiro","non-dropping-particle":"","parse-names":false,"suffix":""},{"dropping-particle":"","family":"Takai","given":"Nobuharu","non-dropping-particle":"","parse-names":false,"suffix":""}],"container-title":"Journal of Agricultural and Food Chemistry","id":"ITEM-2","issue":"18","issued":{"date-parts":[["2004"]]},"page":"5606-5611","title":"Adsorption behavior of heavy metals on biomaterials","type":"article-journal","volume":"52"},"uris":["http://www.mendeley.com/documents/?uuid=1fb12d5f-8c6d-4b5e-8f4e-c8899dc6dc06"]},{"id":"ITEM-3","itemData":{"DOI":"10.1155/2018/3610921","ISSN":"14688123","abstract":"Heavy metals such as Cu(II) are widespread in the environment, and the impact of heavy metals on the environment of soils depends on the ability of soils to immobilize these pollutants. It is necessary to investigate the mechanism of interaction between heavy metal and soil from a soil remediation perspective. In this study, a series of experiments were conducted to investigate the adsorption and desorption behavior of Cu(II) in silty clay. Several impact factors such as pH, organic matter, temperature, and coexisted ions Zn(II) were considered. It was found that the adsorption process reached equilibrium after 4 hours of the experiment, and the data can be fitted well by the Elovich model and the double-constant model for the kinetic sorption process. The isothermal adsorption results showed that the adsorption rate reached a peak value when the initial concentration was about 20 mg L-1. The decrease of H+ can increase the adsorption activity of Cu(II) and reduce the ability of the desorption of Cu(II) ions. The adsorption capacity of Cu(II) is less than the desorption capacity under the condition of strong acidity and low concentration of Cu(II). In addition, the adsorption capacity of the native soil on Cu(II) was larger than that of the soil with the removal of organic matter, while the opposite was true for the desorption capacity on Cu(II). The maximum adsorption of Cu(II) occurred at 35°C for this study, and the binding energy increased as the temperature increased. Thermodynamic analysis revealed that the adsorption process of Cu(II) was spontaneous and endothermic. The Freundlich, Langmuir, Temkin, and Henry adsorption models were used for analyzing the adsorption isotherm of Cu(II), and it was found that the Freundlich model agreed the best with the experimental data compared with other three models. The results of the competitive adsorption experiments indicated that the competitive capacity of Cu(II) was greater than that of Zn(II) in low-permeability media such as silty clay, and the existence of binary metals can weaken the adsorption force between the single metal and the soil surface.","author":[{"dropping-particle":"","family":"Xie","given":"Shuang","non-dropping-particle":"","parse-names":false,"suffix":""},{"dropping-particle":"","family":"Wen","given":"Zhang","non-dropping-particle":"","parse-names":false,"suffix":""},{"dropping-particle":"","family":"Zhan","given":"Hongbin","non-dropping-particle":"","parse-names":false,"suffix":""},{"dropping-particle":"","family":"Jin","given":"Menggui","non-dropping-particle":"","parse-names":false,"suffix":""}],"container-title":"Geofluids","id":"ITEM-3","issued":{"date-parts":[["2018"]]},"page":"12","title":"An Experimental Study on the Adsorption and Desorption of Cu(II) in Silty Clay","type":"article-journal","volume":"2018"},"uris":["http://www.mendeley.com/documents/?uuid=13e73a10-ab1d-4c1b-8a1c-9c68a3a37d98"]},{"id":"ITEM-4","itemData":{"DOI":"10.3390/SU12187315","ISSN":"20711050","abstract":"The content of heavy metals in the soil in Guizhou Province, which is a high-risk area for heavy metal exposure, is significantly higher than that in other areas in China. Therefore, the objective of this study was to evaluate the ability of CaCO3 and clay to accumulate heavy metals in topsoil sample collected from Lixisol using the method of indoor simulation. The results showed that the contents of Cu, Zn, Cd, Cr, Pb, Hg and As in the soil sample were 10.8 mg/kg, 125 mg/kg, 0.489 mg/kg, 23.5 mg/kg, 22.7 mg/kg, 58.3 mg/kg and 45.4 mg/kg, respectively. The soil pH values increased with the CaCO3 concentration in the soil, and the fluctuation of the soil pH values was weak after the CaCO3 concentrations reached 100 g/kg. The adsorption capacity of lime soil increased by approximately 10 mg/kg on average, and the desorption capacity decreased by approximately 300 mg/kg on average. The desorption of all heavy metals in this study did not change with increasing clay content. Pseudo-second-order kinetics were more suitable for describing the adsorption kinetics of heavy metals on the soil material, as evidenced by the higher R2 value. The Freundlich model can better describe the adsorption process of As on lime soil. The process of As, Cr, Cd and Hg adsorption on the soil sample was spontaneous and entropy-driven. Additionally, the process of Cu and Pb adsorption on the soil materials was spontaneous and enthalpy-driven. Generally, the adsorption and desorption of heavy metals in polluted soil increased and decreased, respectively, with increasing CaCO3 content. The effect of calcium carbonate on the accumulation of heavy metals in soil was greater than that of clay. In summary, CaCO3 and pH values in soil can be appropriately added in several areas polluted by heavy metals to enhance the crop yield and reduce the adsorption of heavy metals in soils.","author":[{"dropping-particle":"","family":"He","given":"Guandi","non-dropping-particle":"","parse-names":false,"suffix":""},{"dropping-particle":"","family":"Zhang","given":"Zhenming","non-dropping-particle":"","parse-names":false,"suffix":""},{"dropping-particle":"","family":"Wu","given":"Xianliang","non-dropping-particle":"","parse-names":false,"suffix":""},{"dropping-particle":"","family":"Cui","given":"Mingyang","non-dropping-particle":"","parse-names":false,"suffix":""},{"dropping-particle":"","family":"Zhang","given":"Jiachun","non-dropping-particle":"","parse-names":false,"suffix":""},{"dropping-particle":"","family":"Huang","given":"Xianfei","non-dropping-particle":"","parse-names":false,"suffix":""}],"container-title":"Sustainability","id":"ITEM-4","issue":"18","issued":{"date-parts":[["2020"]]},"title":"Adsorption of heavy metals on soil collected from lixisol of typical karst areas in the presence of CaCO3 and soil clay and their competition behavior","type":"article-journal","volume":"12"},"uris":["http://www.mendeley.com/documents/?uuid=15001953-b516-4c80-939c-c0d056fdbe38"]}],"mendeley":{"formattedCitation":"(Bradl, 2004; He et al., 2020; Minamisawa et al., 2004; Xie et al., 2018)","plainTextFormattedCitation":"(Bradl, 2004; He et al., 2020; Minamisawa et al., 2004; Xie et al., 2018)","previouslyFormattedCitation":"(Bradl, 2004; He et al., 2020; Minamisawa et al., 2004; Xie et al., 2018)"},"properties":{"noteIndex":0},"schema":"https://github.com/citation-style-language/schema/raw/master/csl-citation.json"}</w:instrText>
      </w:r>
      <w:r w:rsidR="00A90F6B">
        <w:fldChar w:fldCharType="separate"/>
      </w:r>
      <w:r w:rsidR="00A90F6B" w:rsidRPr="000F70A7">
        <w:rPr>
          <w:noProof/>
        </w:rPr>
        <w:t>(Bradl, 2004; He et al., 2020; Minamisawa et al., 2004; Xie et al., 2018)</w:t>
      </w:r>
      <w:r w:rsidR="00A90F6B">
        <w:fldChar w:fldCharType="end"/>
      </w:r>
      <w:r w:rsidR="00A90F6B">
        <w:t xml:space="preserve">.  The rate constant and adsorption capacity of </w:t>
      </w:r>
      <w:r w:rsidR="00E14FC6">
        <w:t>aluminum</w:t>
      </w:r>
      <w:r w:rsidR="00A90F6B">
        <w:t xml:space="preserve"> in this soil can be used to estimate and predict contamination concentrations of LIB metals surrounding landfills and recycling centers.  </w:t>
      </w:r>
      <w:r w:rsidR="008A2CC5">
        <w:t xml:space="preserve">Although there is no significant difference between the </w:t>
      </w:r>
      <w:r w:rsidR="00F33BA8">
        <w:t>adsorption rate</w:t>
      </w:r>
      <w:r w:rsidR="00484137">
        <w:t xml:space="preserve">s, there are different forms of aluminum present in each soil group, determining the </w:t>
      </w:r>
      <w:r w:rsidR="0067309D">
        <w:t>degree to which it is bioavailable.</w:t>
      </w:r>
      <w:r w:rsidR="00C203A2">
        <w:t xml:space="preserve">  </w:t>
      </w:r>
      <w:r w:rsidR="002C4DE8">
        <w:t>In more basic pH soil</w:t>
      </w:r>
      <w:r w:rsidR="003700D6">
        <w:t xml:space="preserve">, </w:t>
      </w:r>
      <w:r w:rsidR="00FE6D72">
        <w:t xml:space="preserve">the dominant </w:t>
      </w:r>
      <w:r w:rsidR="00E12C3E">
        <w:t xml:space="preserve">species are polymeric </w:t>
      </w:r>
      <w:r w:rsidR="00B82E7A">
        <w:t xml:space="preserve">aluminum, </w:t>
      </w:r>
      <w:r w:rsidR="0096200C">
        <w:t xml:space="preserve">including aluminum oxides and aluminum silicates, </w:t>
      </w:r>
      <w:r w:rsidR="00A808AB">
        <w:t xml:space="preserve">which are </w:t>
      </w:r>
      <w:r w:rsidR="00F26EE8">
        <w:t xml:space="preserve">relatively </w:t>
      </w:r>
      <w:r w:rsidR="008F3827">
        <w:t>immobile</w:t>
      </w:r>
      <w:r w:rsidR="00F26EE8">
        <w:t xml:space="preserve"> and are </w:t>
      </w:r>
      <w:r w:rsidR="002236A6">
        <w:t>rarely</w:t>
      </w:r>
      <w:r w:rsidR="008F3827">
        <w:t xml:space="preserve"> toxic to plants.</w:t>
      </w:r>
      <w:r w:rsidR="0067309D">
        <w:t xml:space="preserve">  </w:t>
      </w:r>
      <w:r w:rsidR="00C72AE2">
        <w:t xml:space="preserve">In </w:t>
      </w:r>
      <w:r w:rsidR="0030608B">
        <w:t xml:space="preserve">more </w:t>
      </w:r>
      <w:r w:rsidR="00C72AE2">
        <w:t>acidic pH soil</w:t>
      </w:r>
      <w:r w:rsidR="003700D6">
        <w:t xml:space="preserve">, </w:t>
      </w:r>
      <w:r w:rsidR="008B5679">
        <w:t xml:space="preserve">the dominant species </w:t>
      </w:r>
      <w:r w:rsidR="008F3827">
        <w:t>is the free aluminum ion,</w:t>
      </w:r>
      <w:r w:rsidR="00FE24A9">
        <w:t xml:space="preserve"> Al</w:t>
      </w:r>
      <w:r w:rsidR="00FE24A9">
        <w:rPr>
          <w:vertAlign w:val="superscript"/>
        </w:rPr>
        <w:t>3+</w:t>
      </w:r>
      <w:r w:rsidR="00FE24A9">
        <w:t>,</w:t>
      </w:r>
      <w:r w:rsidR="008F3827">
        <w:t xml:space="preserve"> </w:t>
      </w:r>
      <w:r w:rsidR="00FE24A9">
        <w:t xml:space="preserve">which </w:t>
      </w:r>
      <w:r w:rsidR="008F3827">
        <w:t>is</w:t>
      </w:r>
      <w:r w:rsidR="008B5679">
        <w:t xml:space="preserve"> </w:t>
      </w:r>
      <w:r w:rsidR="00FE24A9">
        <w:t xml:space="preserve">the most toxic form to </w:t>
      </w:r>
      <w:r w:rsidR="00BE441E">
        <w:t>plants</w:t>
      </w:r>
      <w:r w:rsidR="007D12AD">
        <w:t xml:space="preserve">.  The metal ion </w:t>
      </w:r>
      <w:r w:rsidR="005E277E">
        <w:t xml:space="preserve">is absorbed by the roots, </w:t>
      </w:r>
      <w:r w:rsidR="00F8206B">
        <w:t>causing</w:t>
      </w:r>
      <w:r w:rsidR="009D34E8">
        <w:t xml:space="preserve">, followed by </w:t>
      </w:r>
      <w:r w:rsidR="00713DE4">
        <w:t xml:space="preserve">nutrient and water uptake, eventually leading to plant death </w:t>
      </w:r>
      <w:r w:rsidR="00713DE4">
        <w:fldChar w:fldCharType="begin" w:fldLock="1"/>
      </w:r>
      <w:r w:rsidR="0020002E">
        <w:instrText>ADDIN CSL_CITATION {"citationItems":[{"id":"ITEM-1","itemData":{"DOI":"10.1016/j.scitotenv.2008.07.042","ISSN":"00489697","PMID":"18762325","abstract":"Isotope dilution is a useful technique to determine the potential phytoavailability of an element in soil. This method involves equilibrating an isotope with soil and then sampling the labile metal pool by analysis of the soil solution (E value) or plants growing in the soil (L value). The work reported here was conducted to evaluate the distribution coefficient (Kd), and the potential phytoavailability (E value) of cobalt (Co) in eight soils subjected to the atmospheric deposition of anthropogenic Co. Multiple regression analyses demonstrated that the Kd of isotopically exchangeable Co in these soils was best modelled with two parameters: soil pH and organic carbon (OC) content (log Kd = 0.85(pH) + 1.1(logOC) - 5.0, R2 = 0.94, p &lt; 0.01). Cobalt E values ranged from 1.5 to 37% of total soil Co concentrations. No evidence was obtained to suggest that Co(III), if present, was isotopically exchangeable in these soils and it was concluded that the Co E values consisted solely of Co(II). Cobalt L values, measured with Triticum aestivum L. (46 days), of two of these soils (varying in soil pH, e.g. 5.0 and 7.2) were statistically (p &lt; 0.05) different to E values. However, when changes of bulk soil pH on Co E values were considered, the two values were statistically (p &lt; 0.05) similar indicating that processes affecting soil pH during plant growth can alter isotopically exchangeable concentrations of Co. © 2008 Elsevier B.V. All rights reserved.","author":[{"dropping-particle":"","family":"Bakkaus","given":"Estelle","non-dropping-particle":"","parse-names":false,"suffix":""},{"dropping-particle":"","family":"Collins","given":"Richard N.","non-dropping-particle":"","parse-names":false,"suffix":""},{"dropping-particle":"","family":"Morel","given":"Jean Louis","non-dropping-particle":"","parse-names":false,"suffix":""},{"dropping-particle":"","family":"Gouget","given":"Barbara","non-dropping-particle":"","parse-names":false,"suffix":""}],"container-title":"Science of the Total Environment","id":"ITEM-1","issue":"1-2","issued":{"date-parts":[["2008"]]},"page":"108-115","title":"Potential phytoavailability of anthropogenic cobalt in soils as measured by isotope dilution techniques","type":"article-journal","volume":"406"},"uris":["http://www.mendeley.com/documents/?uuid=c0df8be8-eef1-4854-b228-c880d48d7523"]},{"id":"ITEM-2","itemData":{"ISSN":"00385832","abstract":"Gerasimov is displeased because his proposed paper on the new Soviet soil classification was rejected for the Edmonton International Congress. He feels that this is because the organisers wished to avoid discussion of the US classification, and unfavourable comparison with the more genetic Soviet approach. He therefore prints his observations on several topics based on an unpublished paper presented at the 22nd International Geographical Congress. These include disputing the claim that Hilgard has any claim over Dokuchayev in the early development of soil science; rejection of the US 7th Classification; and some encouragement to the Canadians in so far as their inadequate soil classification has some genetic elements. -Keith Clayton","author":[{"dropping-particle":"","family":"Panda","given":"S. K.","non-dropping-particle":"","parse-names":false,"suffix":""},{"dropping-particle":"","family":"Baluska","given":"F.","non-dropping-particle":"","parse-names":false,"suffix":""},{"dropping-particle":"","family":"Matsumoto","given":"H.","non-dropping-particle":"","parse-names":false,"suffix":""}],"container-title":"Plant Signaling &amp; Behavior","id":"ITEM-2","issue":"7","issued":{"date-parts":[["2009"]]},"page":"592-597","title":"Aluminum stress signaling in plants","type":"article-journal","volume":"4"},"uris":["http://www.mendeley.com/documents/?uuid=353e86e7-1a3e-484e-abf8-3979e8208fc6"]},{"id":"ITEM-3","itemData":{"DOI":"10.1016/s0074-7696(00)00001-2","ISSN":"00747696","PMID":"10965465","abstract":"Aluminum is the major element in the soil and exists as a stable complex with oxygen and silicate in neutral and weakly acidic soil. When the soil pH is lower than 4.5-5.0, Al is solubilized in the soil water and absorbed by plant roots. Absorbed Al inhibits root elongation severely, and the elongation of roots exposed to Al3- as low as μmol level is inhibited within an hour(s). Thus much research has been conducted to understand the mechanism of Al toxicity and tolerance. Al is located specifically at the root apex. Al-sensitive plants absorb more Al than do Al-tolerant plants, and thus the exclusion mechanism of Al is the major idea for Al tolerance. The understanding of Al stress in plants is important for stable food production in future. Al is a complicated ion in its chemical form and biological function. In this chapter, mechanisms of Al toxicity and tolerance proposed during the past few decades as well as future topics are described from physiological and molecular points of view. (C) 2000 Academic Press.","author":[{"dropping-particle":"","family":"Matsumoto","given":"H.","non-dropping-particle":"","parse-names":false,"suffix":""}],"container-title":"International Review of Cytology","id":"ITEM-3","issued":{"date-parts":[["2000"]]},"page":"1-46","title":"Cell biology of aluminum toxicity tolerance in higher plants","type":"article-journal","volume":"200"},"uris":["http://www.mendeley.com/documents/?uuid=6fcdb6ab-b331-48f0-81d8-f463c6b90feb"]}],"mendeley":{"formattedCitation":"(Bakkaus et al., 2008; Matsumoto, 2000; Panda et al., 2009)","plainTextFormattedCitation":"(Bakkaus et al., 2008; Matsumoto, 2000; Panda et al., 2009)","previouslyFormattedCitation":"(Bakkaus et al., 2008; Matsumoto, 2000; Panda et al., 2009)"},"properties":{"noteIndex":0},"schema":"https://github.com/citation-style-language/schema/raw/master/csl-citation.json"}</w:instrText>
      </w:r>
      <w:r w:rsidR="00713DE4">
        <w:fldChar w:fldCharType="separate"/>
      </w:r>
      <w:r w:rsidR="004A391D" w:rsidRPr="004A391D">
        <w:rPr>
          <w:noProof/>
        </w:rPr>
        <w:t>(Bakkaus et al., 2008; Matsumoto, 2000; Panda et al., 2009)</w:t>
      </w:r>
      <w:r w:rsidR="00713DE4">
        <w:fldChar w:fldCharType="end"/>
      </w:r>
      <w:r w:rsidR="00E86137">
        <w:t>.</w:t>
      </w:r>
      <w:r w:rsidR="00467968">
        <w:t xml:space="preserve">  </w:t>
      </w:r>
      <w:r w:rsidR="00ED0C19">
        <w:t>The</w:t>
      </w:r>
      <w:r w:rsidR="00D43A1B">
        <w:t xml:space="preserve"> near equal adsorption of aluminum in both soil groups</w:t>
      </w:r>
      <w:r w:rsidR="00ED0C19">
        <w:t xml:space="preserve"> is likely due to the different aluminum species </w:t>
      </w:r>
      <w:r w:rsidR="00FD53FA">
        <w:t>formed in</w:t>
      </w:r>
      <w:r w:rsidR="00B85434">
        <w:t xml:space="preserve"> the soil</w:t>
      </w:r>
      <w:r w:rsidR="00A85938">
        <w:t>.</w:t>
      </w:r>
      <w:r w:rsidR="007545E4">
        <w:t xml:space="preserve">  At a lower pH, aluminum hydroxide species are prevalent, whereas as basic pH, the main contributor is adsorbed aluminum.</w:t>
      </w:r>
      <w:r w:rsidR="00E86137">
        <w:t xml:space="preserve">  </w:t>
      </w:r>
      <w:r w:rsidR="008F3827">
        <w:t>The stagnation in aluminum increasing between 12 to 16 weeks may be due to the primary species of aluminum reaching equilibrium in the soil and the less dominant species are then increasing in concentration.</w:t>
      </w:r>
      <w:r w:rsidR="00FF33AF">
        <w:t xml:space="preserve">  </w:t>
      </w:r>
      <w:r w:rsidR="002B6EFB">
        <w:t xml:space="preserve">With this </w:t>
      </w:r>
      <w:r w:rsidR="00755339">
        <w:t xml:space="preserve">concentration increase through the end of the 24 week time period, </w:t>
      </w:r>
      <w:r w:rsidR="00467968">
        <w:t xml:space="preserve">it is determined that aluminum </w:t>
      </w:r>
      <w:r w:rsidR="009464A4">
        <w:t xml:space="preserve">contamination </w:t>
      </w:r>
      <w:r w:rsidR="00AB55E4">
        <w:t xml:space="preserve">risk from LIB </w:t>
      </w:r>
      <w:r w:rsidR="00C25EBF">
        <w:t xml:space="preserve">is higher in the acidic soil due to the </w:t>
      </w:r>
      <w:r w:rsidR="00BA07A6">
        <w:t xml:space="preserve">bioavailability of </w:t>
      </w:r>
      <w:r w:rsidR="0019143F">
        <w:t>free Al</w:t>
      </w:r>
      <w:r w:rsidR="0019143F">
        <w:rPr>
          <w:vertAlign w:val="superscript"/>
        </w:rPr>
        <w:t>3+</w:t>
      </w:r>
      <w:r w:rsidR="0019143F">
        <w:t xml:space="preserve"> </w:t>
      </w:r>
      <w:r w:rsidR="0096200C">
        <w:t xml:space="preserve">in plants.  </w:t>
      </w:r>
      <w:r w:rsidR="00E6133B">
        <w:t>However,</w:t>
      </w:r>
      <w:r w:rsidR="00942741">
        <w:t xml:space="preserve"> lowering the pH of basic soil through chemical </w:t>
      </w:r>
      <w:r w:rsidR="0041737E">
        <w:t xml:space="preserve">contaminants may cause detrimental effects to the surrounding area due to the </w:t>
      </w:r>
      <w:r w:rsidR="001612C7">
        <w:t xml:space="preserve">dissolution of aluminosilicates </w:t>
      </w:r>
      <w:r w:rsidR="00681461">
        <w:t>into the free aluminum ion</w:t>
      </w:r>
      <w:r w:rsidR="001612C7">
        <w:t>.</w:t>
      </w:r>
    </w:p>
    <w:p w14:paraId="578BBA57" w14:textId="153B0C88" w:rsidR="00283F3F" w:rsidRDefault="009B318E" w:rsidP="00B53B6C">
      <w:pPr>
        <w:jc w:val="both"/>
      </w:pPr>
      <w:r>
        <w:tab/>
        <w:t xml:space="preserve">Cobalt adsorption to the basic and </w:t>
      </w:r>
      <w:r w:rsidR="00CC5565">
        <w:t xml:space="preserve">acidic soil was </w:t>
      </w:r>
      <w:r w:rsidR="00D75B8A">
        <w:t xml:space="preserve">below the detection limit </w:t>
      </w:r>
      <w:r w:rsidR="00CC5565">
        <w:t xml:space="preserve">by the XRF.  As previously stated, this was not due to </w:t>
      </w:r>
      <w:r w:rsidR="00641C1F">
        <w:t xml:space="preserve">instrumental error as confirmed by measurements using </w:t>
      </w:r>
      <w:r w:rsidR="00EC0351">
        <w:lastRenderedPageBreak/>
        <w:t>soil amended with</w:t>
      </w:r>
      <w:r w:rsidR="00D75B8A">
        <w:t xml:space="preserve"> LIB powder.</w:t>
      </w:r>
      <w:r w:rsidR="003F339E">
        <w:t xml:space="preserve">  One possible explanation for the inability to detect cobalt is the large presence of iron.  Spectral interference between iron and cobalt occurs due to the K</w:t>
      </w:r>
      <w:r w:rsidR="003F339E">
        <w:rPr>
          <w:rFonts w:cs="Times New Roman"/>
          <w:vertAlign w:val="subscript"/>
        </w:rPr>
        <w:t>β</w:t>
      </w:r>
      <w:r w:rsidR="003F339E">
        <w:t xml:space="preserve"> line of iron overlapping the K</w:t>
      </w:r>
      <w:r w:rsidR="003F339E">
        <w:rPr>
          <w:rFonts w:cs="Times New Roman"/>
          <w:vertAlign w:val="subscript"/>
        </w:rPr>
        <w:t>α</w:t>
      </w:r>
      <w:r w:rsidR="003F339E">
        <w:t xml:space="preserve"> line of cobalt </w:t>
      </w:r>
      <w:r w:rsidR="003F339E">
        <w:fldChar w:fldCharType="begin" w:fldLock="1"/>
      </w:r>
      <w:r w:rsidR="00CD4C90">
        <w:instrText>ADDIN CSL_CITATION {"citationItems":[{"id":"ITEM-1","itemData":{"author":[{"dropping-particle":"","family":"Agency","given":"Environmental Protection","non-dropping-particle":"","parse-names":false,"suffix":""}],"container-title":"Environmental Protection Agency","id":"ITEM-1","issue":"February","issued":{"date-parts":[["2007"]]},"number-of-pages":"1-32","title":"Field portable X-ray fluorescence for the determination of elemental concentrations in soil and sediment","type":"report"},"uris":["http://www.mendeley.com/documents/?uuid=2babedda-9858-490d-8a07-0cdd888b9d11"]}],"mendeley":{"formattedCitation":"(Agency, 2007)","plainTextFormattedCitation":"(Agency, 2007)","previouslyFormattedCitation":"(Agency, 2007)"},"properties":{"noteIndex":0},"schema":"https://github.com/citation-style-language/schema/raw/master/csl-citation.json"}</w:instrText>
      </w:r>
      <w:r w:rsidR="003F339E">
        <w:fldChar w:fldCharType="separate"/>
      </w:r>
      <w:r w:rsidR="003F339E" w:rsidRPr="003F339E">
        <w:rPr>
          <w:noProof/>
        </w:rPr>
        <w:t>(Agency, 2007)</w:t>
      </w:r>
      <w:r w:rsidR="003F339E">
        <w:fldChar w:fldCharType="end"/>
      </w:r>
      <w:r w:rsidR="003F339E">
        <w:t>.  When iron is in large quantities compared to cobalt, the XRF loses its ability to detect cobalt’s K</w:t>
      </w:r>
      <w:r w:rsidR="003F339E">
        <w:rPr>
          <w:rFonts w:cs="Times New Roman"/>
          <w:vertAlign w:val="subscript"/>
        </w:rPr>
        <w:t>α</w:t>
      </w:r>
      <w:r w:rsidR="003F339E">
        <w:t xml:space="preserve"> line.</w:t>
      </w:r>
      <w:r w:rsidR="00940B4F">
        <w:t xml:space="preserve">  The soil used in this study has an average iron concentration of 29,101 mg/kg, which would require a large adsorption of cobalt to be detectable.</w:t>
      </w:r>
      <w:r w:rsidR="00004518">
        <w:t xml:space="preserve">  </w:t>
      </w:r>
      <w:r w:rsidR="00004518">
        <w:fldChar w:fldCharType="begin" w:fldLock="1"/>
      </w:r>
      <w:r w:rsidR="00297C3B">
        <w:instrText>ADDIN CSL_CITATION {"citationItems":[{"id":"ITEM-1","itemData":{"DOI":"10.1016/j.scitotenv.2008.07.042","ISSN":"00489697","PMID":"18762325","abstract":"Isotope dilution is a useful technique to determine the potential phytoavailability of an element in soil. This method involves equilibrating an isotope with soil and then sampling the labile metal pool by analysis of the soil solution (E value) or plants growing in the soil (L value). The work reported here was conducted to evaluate the distribution coefficient (Kd), and the potential phytoavailability (E value) of cobalt (Co) in eight soils subjected to the atmospheric deposition of anthropogenic Co. Multiple regression analyses demonstrated that the Kd of isotopically exchangeable Co in these soils was best modelled with two parameters: soil pH and organic carbon (OC) content (log Kd = 0.85(pH) + 1.1(logOC) - 5.0, R2 = 0.94, p &lt; 0.01). Cobalt E values ranged from 1.5 to 37% of total soil Co concentrations. No evidence was obtained to suggest that Co(III), if present, was isotopically exchangeable in these soils and it was concluded that the Co E values consisted solely of Co(II). Cobalt L values, measured with Triticum aestivum L. (46 days), of two of these soils (varying in soil pH, e.g. 5.0 and 7.2) were statistically (p &lt; 0.05) different to E values. However, when changes of bulk soil pH on Co E values were considered, the two values were statistically (p &lt; 0.05) similar indicating that processes affecting soil pH during plant growth can alter isotopically exchangeable concentrations of Co. © 2008 Elsevier B.V. All rights reserved.","author":[{"dropping-particle":"","family":"Bakkaus","given":"Estelle","non-dropping-particle":"","parse-names":false,"suffix":""},{"dropping-particle":"","family":"Collins","given":"Richard N.","non-dropping-particle":"","parse-names":false,"suffix":""},{"dropping-particle":"","family":"Morel","given":"Jean Louis","non-dropping-particle":"","parse-names":false,"suffix":""},{"dropping-particle":"","family":"Gouget","given":"Barbara","non-dropping-particle":"","parse-names":false,"suffix":""}],"container-title":"Science of the Total Environment","id":"ITEM-1","issue":"1-2","issued":{"date-parts":[["2008"]]},"page":"108-115","title":"Potential phytoavailability of anthropogenic cobalt in soils as measured by isotope dilution techniques","type":"article-journal","volume":"406"},"uris":["http://www.mendeley.com/documents/?uuid=c0df8be8-eef1-4854-b228-c880d48d7523"]}],"mendeley":{"formattedCitation":"(Bakkaus et al., 2008)","manualFormatting":"Bakkaus et al. (2008","plainTextFormattedCitation":"(Bakkaus et al., 2008)","previouslyFormattedCitation":"(Bakkaus et al., 2008)"},"properties":{"noteIndex":0},"schema":"https://github.com/citation-style-language/schema/raw/master/csl-citation.json"}</w:instrText>
      </w:r>
      <w:r w:rsidR="00004518">
        <w:fldChar w:fldCharType="separate"/>
      </w:r>
      <w:r w:rsidR="00004518" w:rsidRPr="00004518">
        <w:rPr>
          <w:noProof/>
        </w:rPr>
        <w:t xml:space="preserve">Bakkaus et al. </w:t>
      </w:r>
      <w:r w:rsidR="00297C3B">
        <w:rPr>
          <w:noProof/>
        </w:rPr>
        <w:t>(</w:t>
      </w:r>
      <w:r w:rsidR="00004518" w:rsidRPr="00004518">
        <w:rPr>
          <w:noProof/>
        </w:rPr>
        <w:t>2008</w:t>
      </w:r>
      <w:r w:rsidR="00004518">
        <w:fldChar w:fldCharType="end"/>
      </w:r>
      <w:r w:rsidR="00297C3B">
        <w:t>)</w:t>
      </w:r>
      <w:r w:rsidR="00004518">
        <w:t xml:space="preserve"> </w:t>
      </w:r>
      <w:r w:rsidR="00B405D5">
        <w:t xml:space="preserve">determined </w:t>
      </w:r>
      <w:r w:rsidR="008E6D0E">
        <w:t xml:space="preserve">Co(III), </w:t>
      </w:r>
      <w:r w:rsidR="00AD1DE4">
        <w:t xml:space="preserve">deposited </w:t>
      </w:r>
      <w:r w:rsidR="008E6D0E">
        <w:t xml:space="preserve">from anthropogenic sources, </w:t>
      </w:r>
      <w:r w:rsidR="00181B97">
        <w:t xml:space="preserve">was not present in the soil the eight soils tested, </w:t>
      </w:r>
      <w:r w:rsidR="0047131E">
        <w:t xml:space="preserve">but </w:t>
      </w:r>
      <w:r w:rsidR="00681623">
        <w:t>suggested any Co(III) was isotopically exchange</w:t>
      </w:r>
      <w:r w:rsidR="00CD7127">
        <w:t>d to Co(II).</w:t>
      </w:r>
      <w:r w:rsidR="00D75B8A">
        <w:t xml:space="preserve">  </w:t>
      </w:r>
      <w:r w:rsidR="00E735B1">
        <w:t xml:space="preserve">Cobalt </w:t>
      </w:r>
      <w:r w:rsidR="00F7661C">
        <w:t xml:space="preserve">in </w:t>
      </w:r>
      <w:r w:rsidR="009E7AB6">
        <w:t xml:space="preserve">new and non-degraded </w:t>
      </w:r>
      <w:r w:rsidR="00F7661C">
        <w:t xml:space="preserve">LIB is in the +3 oxidation state, </w:t>
      </w:r>
      <w:r w:rsidR="00DC27C4">
        <w:t xml:space="preserve">thus </w:t>
      </w:r>
      <w:r w:rsidR="007666F5">
        <w:t xml:space="preserve">it must undergo a reduction to Co(II) to </w:t>
      </w:r>
      <w:r w:rsidR="00686C99">
        <w:t xml:space="preserve">have significant adsorption </w:t>
      </w:r>
      <w:r w:rsidR="00C80559">
        <w:t>to soil</w:t>
      </w:r>
      <w:r w:rsidR="00FD3378">
        <w:t xml:space="preserve"> </w:t>
      </w:r>
      <w:r w:rsidR="00FD3378">
        <w:fldChar w:fldCharType="begin" w:fldLock="1"/>
      </w:r>
      <w:r w:rsidR="00D7512D">
        <w:instrText>ADDIN CSL_CITATION {"citationItems":[{"id":"ITEM-1","itemData":{"DOI":"10.4324/9780429051340-10","ISBN":"9780429707735","ISSN":"1381-1169","abstract":"This chapter discusses Canada's uranium resources, domestic demand, industry structure, and related government policy. Energy is extracted from uranium by a nuclear, rather than a chemical, reaction, as in hydrocarbon combustion. The uranium industry is also under stricter government control than are most commodity industries, partly because of the relationship of uranium to nuclear weapons and the risk of their proliferation. In a US-Canadian context, uranium-related issues can be aggregated into the categories of bilateral trade, international trade, and nonproliferation. An understanding of the structure of the nuclear-power-reactor fuel cycle is important to an understanding of the world uranium market because, as already indicated, demand for uranium for other uses is very small. The economics of reprocessing and recycling the recovered uranium and plutonium in the current generation of reactors is quite uncertain today but probably unfavorable. By 1974 the situation had been totally transformed: prices were rising steeply, and Canadian uranium was in great demand.","author":[{"dropping-particle":"","family":"Alloway","given":"Brian J.","non-dropping-particle":"","parse-names":false,"suffix":""}],"container-title":"Natural Resources in U.S.-canadian Relations, Volume 2: Patterns and Trends in Resource Supplies and Policies","edition":"3rd Editio","id":"ITEM-1","issued":{"date-parts":[["2019"]]},"number-of-pages":"615","publisher":"Springer","publisher-place":"New York","title":"Heavy Metals in Soils","type":"book","volume":"2"},"uris":["http://www.mendeley.com/documents/?uuid=970c4dde-98c6-4860-94ae-29c806fe4065"]},{"id":"ITEM-2","itemData":{"author":[{"dropping-particle":"","family":"Sasaki","given":"K.","non-dropping-particle":"","parse-names":false,"suffix":""},{"dropping-particle":"","family":"Matsuda","given":"M.","non-dropping-particle":"","parse-names":false,"suffix":""},{"dropping-particle":"","family":"Urata","given":"T.","non-dropping-particle":"","parse-names":false,"suffix":""},{"dropping-particle":"","family":"Hirajima","given":"T.","non-dropping-particle":"","parse-names":false,"suffix":""},{"dropping-particle":"","family":"Konno","given":"H.","non-dropping-particle":"","parse-names":false,"suffix":""}],"container-title":"Materials Transactions","id":"ITEM-2","issued":{"date-parts":[["2008"]]},"page":"605-611","title":"Sorption of Co2+ ions on the biogenic Mn oxide produced by a Mn-oxidizing fungus, Paraconiothyium sp.","type":"article-journal","volume":"49"},"uris":["http://www.mendeley.com/documents/?uuid=8068dae6-6342-48bb-8ad3-ea85e049a6d3"]}],"mendeley":{"formattedCitation":"(Alloway, 2019; Sasaki et al., 2008)","plainTextFormattedCitation":"(Alloway, 2019; Sasaki et al., 2008)","previouslyFormattedCitation":"(Alloway, 2019; Sasaki et al., 2008)"},"properties":{"noteIndex":0},"schema":"https://github.com/citation-style-language/schema/raw/master/csl-citation.json"}</w:instrText>
      </w:r>
      <w:r w:rsidR="00FD3378">
        <w:fldChar w:fldCharType="separate"/>
      </w:r>
      <w:r w:rsidR="00A12FF9" w:rsidRPr="00A12FF9">
        <w:rPr>
          <w:noProof/>
        </w:rPr>
        <w:t>(Alloway, 2019; Sasaki et al., 2008)</w:t>
      </w:r>
      <w:r w:rsidR="00FD3378">
        <w:fldChar w:fldCharType="end"/>
      </w:r>
      <w:r w:rsidR="00C80559">
        <w:t xml:space="preserve">.  </w:t>
      </w:r>
      <w:r w:rsidR="00DC27C4">
        <w:t xml:space="preserve">This is </w:t>
      </w:r>
      <w:r w:rsidR="00883DCD">
        <w:t xml:space="preserve">a probable explanation for the lack of cobalt detected in the soil, that </w:t>
      </w:r>
      <w:r w:rsidR="008D4900">
        <w:t xml:space="preserve">Co(III) has little mobility </w:t>
      </w:r>
      <w:r w:rsidR="00AE69E4">
        <w:t xml:space="preserve">from the LIB into the soil to undergo the reduction process to be </w:t>
      </w:r>
      <w:r w:rsidR="00321979">
        <w:t>adsorbed to the soil.</w:t>
      </w:r>
      <w:r w:rsidR="00AD2030">
        <w:t xml:space="preserve">  Cobalt </w:t>
      </w:r>
      <w:r w:rsidR="006E2601">
        <w:t xml:space="preserve">has been found to have lower bioavailability for plant uptake over time because of </w:t>
      </w:r>
      <w:r w:rsidR="00E20325">
        <w:t xml:space="preserve">adsorption to the soil and the formation of lower soluble forms of cobalt </w:t>
      </w:r>
      <w:r w:rsidR="00131694">
        <w:fldChar w:fldCharType="begin" w:fldLock="1"/>
      </w:r>
      <w:r w:rsidR="00CB5B7F">
        <w:instrText>ADDIN CSL_CITATION {"citationItems":[{"id":"ITEM-1","itemData":{"author":[{"dropping-particle":"","family":"Wendling","given":"L. A.","non-dropping-particle":"","parse-names":false,"suffix":""},{"dropping-particle":"","family":"Kirby","given":"J. K.","non-dropping-particle":"","parse-names":false,"suffix":""},{"dropping-particle":"","family":"McLaughlin","given":"M. J.","non-dropping-particle":"","parse-names":false,"suffix":""}],"container-title":"Environ Toxicol Chem.","id":"ITEM-1","issue":"8","issued":{"date-parts":[["2009"]]},"page":"1609-1617","title":"Aging effects on cobalt availability in soils","type":"article-journal","volume":"28"},"uris":["http://www.mendeley.com/documents/?uuid=5d7fe6f0-69d4-452c-a00c-43a3ad67d330"]}],"mendeley":{"formattedCitation":"(Wendling et al., 2009)","plainTextFormattedCitation":"(Wendling et al., 2009)","previouslyFormattedCitation":"(Wendling et al., 2009)"},"properties":{"noteIndex":0},"schema":"https://github.com/citation-style-language/schema/raw/master/csl-citation.json"}</w:instrText>
      </w:r>
      <w:r w:rsidR="00131694">
        <w:fldChar w:fldCharType="separate"/>
      </w:r>
      <w:r w:rsidR="00131694" w:rsidRPr="00131694">
        <w:rPr>
          <w:noProof/>
        </w:rPr>
        <w:t>(Wendling et al., 2009)</w:t>
      </w:r>
      <w:r w:rsidR="00131694">
        <w:fldChar w:fldCharType="end"/>
      </w:r>
      <w:r w:rsidR="00131694">
        <w:t>.</w:t>
      </w:r>
      <w:r w:rsidR="00200B22">
        <w:t xml:space="preserve">  </w:t>
      </w:r>
      <w:r w:rsidR="004E4A4A">
        <w:t xml:space="preserve">This may aid in the </w:t>
      </w:r>
      <w:r w:rsidR="007274B6">
        <w:t xml:space="preserve">containment of cobalt contamination depending on other environmental </w:t>
      </w:r>
      <w:r w:rsidR="00F520AF">
        <w:t>feature</w:t>
      </w:r>
      <w:r w:rsidR="004D4025">
        <w:t>s that may promote the more soluble forms of cobalt</w:t>
      </w:r>
      <w:r w:rsidR="003A0CBC">
        <w:t>.</w:t>
      </w:r>
      <w:r w:rsidR="00E35515">
        <w:t xml:space="preserve">  </w:t>
      </w:r>
      <w:r w:rsidR="00673EC0">
        <w:t xml:space="preserve">Although there are </w:t>
      </w:r>
      <w:r w:rsidR="00CA0124">
        <w:t xml:space="preserve">no formal </w:t>
      </w:r>
      <w:r w:rsidR="004555E1">
        <w:t xml:space="preserve">concentration limits set for cobalt in soil, there are guidelines made by the EPA for </w:t>
      </w:r>
      <w:r w:rsidR="005C2400">
        <w:t>avian and mammalian wild</w:t>
      </w:r>
      <w:r w:rsidR="009A231A">
        <w:t xml:space="preserve">life and plants as 120 mg/kg, 230 mg/kg, and 13 mg/kg </w:t>
      </w:r>
      <w:r w:rsidR="0069569F">
        <w:fldChar w:fldCharType="begin" w:fldLock="1"/>
      </w:r>
      <w:r w:rsidR="00131694">
        <w:instrText>ADDIN CSL_CITATION {"citationItems":[{"id":"ITEM-1","itemData":{"ISBN":"OSWER Directive 9285.7-56","ISSN":"07380232","abstract":"The Ecological Soil Screening Level (Eco-SSL) derivation process represents the collaborative effort of a multi-stakeholder workgroup consisting of federal, state, consulting, industry and academic participants led by the U.S. EPA, Office of Emergency and Remedial Response. It is emphasized that the Eco-SSLs are soil screening numbers, and as such are not appropriate for use as cleanup levels. Screening ecotoxicity values are derived to avoid underestimating risk. Requiring a cleanup based solely on Eco-SSL values would not be technically defensible. The Eco-SSL web site provides an overview of the contaminant. Separate discussion are provided for each receptor group including a comprehensive list of literature evaluated under the effort, and a summary of data used in deriving Eco-SSL values. For each chemical, Eco-SSL documents are provided in a PDF format which requires the Acrobat Reader. For some documents HTML versions are available with linkages to the toxicity data records within the U.S. EPA’s ECOTOX database.","author":[{"dropping-particle":"","family":"U.S. EPA","given":"","non-dropping-particle":"","parse-names":false,"suffix":""}],"container-title":"United States Environmental Protection Agency","id":"ITEM-1","issue":"April","issued":{"date-parts":[["2005"]]},"page":"1-76","title":"Ecological soil screening levels for cobalt","type":"article-journal"},"uris":["http://www.mendeley.com/documents/?uuid=a0a470f4-d062-4024-af90-44d95d43c8f4"]}],"mendeley":{"formattedCitation":"(U.S. EPA, 2005)","plainTextFormattedCitation":"(U.S. EPA, 2005)","previouslyFormattedCitation":"(U.S. EPA, 2005)"},"properties":{"noteIndex":0},"schema":"https://github.com/citation-style-language/schema/raw/master/csl-citation.json"}</w:instrText>
      </w:r>
      <w:r w:rsidR="0069569F">
        <w:fldChar w:fldCharType="separate"/>
      </w:r>
      <w:r w:rsidR="0069569F" w:rsidRPr="0069569F">
        <w:rPr>
          <w:noProof/>
        </w:rPr>
        <w:t>(U.S. EPA, 2005)</w:t>
      </w:r>
      <w:r w:rsidR="0069569F">
        <w:fldChar w:fldCharType="end"/>
      </w:r>
      <w:r w:rsidR="0069569F">
        <w:t xml:space="preserve">.  </w:t>
      </w:r>
      <w:r w:rsidR="005F2221">
        <w:t>Further research is recommended with degraded LIB that contains the reduced form, Co(II), that has a higher reactivity with adsorption sites and is the form taken up by plants to determine the contamination risk</w:t>
      </w:r>
      <w:r w:rsidR="00EF6A04">
        <w:t xml:space="preserve"> surrounding landfills and recycling centers.</w:t>
      </w:r>
    </w:p>
    <w:p w14:paraId="73704D31" w14:textId="265C6702" w:rsidR="00901A61" w:rsidRDefault="00901A61" w:rsidP="00B53B6C">
      <w:pPr>
        <w:jc w:val="both"/>
      </w:pPr>
      <w:r>
        <w:tab/>
      </w:r>
      <w:r w:rsidR="004E7554">
        <w:t xml:space="preserve">The results of the soil analysis </w:t>
      </w:r>
      <w:r w:rsidR="00C37299">
        <w:t>support</w:t>
      </w:r>
      <w:r w:rsidR="004E7554">
        <w:t xml:space="preserve"> the hypothesis of this study, concluding </w:t>
      </w:r>
      <w:r w:rsidR="00236B7F">
        <w:t>that copper, nickel, and manganese</w:t>
      </w:r>
      <w:r w:rsidR="007E18D0">
        <w:t xml:space="preserve"> had </w:t>
      </w:r>
      <w:r w:rsidR="0044443C">
        <w:t>high</w:t>
      </w:r>
      <w:r w:rsidR="00236B7F">
        <w:t>er</w:t>
      </w:r>
      <w:r w:rsidR="0044443C">
        <w:t xml:space="preserve"> adsorption into the basic soil </w:t>
      </w:r>
      <w:r w:rsidR="00236B7F">
        <w:t>compared to the acidic soil</w:t>
      </w:r>
      <w:r w:rsidR="00C37299">
        <w:t>.</w:t>
      </w:r>
      <w:r w:rsidR="00D70ED6">
        <w:t xml:space="preserve"> </w:t>
      </w:r>
      <w:r w:rsidR="00D70ED6" w:rsidRPr="00D70ED6">
        <w:t xml:space="preserve"> </w:t>
      </w:r>
      <w:r w:rsidR="00D70ED6">
        <w:t xml:space="preserve">While there will not be such a high LIB to soil ratio in landfills and recycling centers as there was in this </w:t>
      </w:r>
      <w:r w:rsidR="00D70ED6">
        <w:lastRenderedPageBreak/>
        <w:t>study, the adsorption capabilities of soil based on soil pH can be utilized for determining the severity of LIB metal contamination.</w:t>
      </w:r>
      <w:r w:rsidR="00536216">
        <w:t xml:space="preserve">  The adsorption and integration of LIB metals into soil </w:t>
      </w:r>
      <w:r w:rsidR="0043101C">
        <w:t xml:space="preserve">is not a static </w:t>
      </w:r>
      <w:r w:rsidR="00724F01">
        <w:t>reaction</w:t>
      </w:r>
      <w:r w:rsidR="00E20F32">
        <w:t xml:space="preserve"> that </w:t>
      </w:r>
      <w:r w:rsidR="000120F5">
        <w:t>can be summed into one equation</w:t>
      </w:r>
      <w:r w:rsidR="00236B7F">
        <w:t xml:space="preserve"> to cover all soil types</w:t>
      </w:r>
      <w:r w:rsidR="000120F5">
        <w:t xml:space="preserve">.  </w:t>
      </w:r>
      <w:r w:rsidR="00D21044">
        <w:t xml:space="preserve">This study focused on soil pH, </w:t>
      </w:r>
      <w:r w:rsidR="00301FC4">
        <w:t>however,</w:t>
      </w:r>
      <w:r w:rsidR="00D21044">
        <w:t xml:space="preserve"> </w:t>
      </w:r>
      <w:r w:rsidR="00DB6E4A">
        <w:t xml:space="preserve">moisture and organic content, </w:t>
      </w:r>
      <w:r w:rsidR="00BF7F78">
        <w:t>microorganisms,</w:t>
      </w:r>
      <w:r w:rsidR="00DB6E4A">
        <w:t xml:space="preserve"> and</w:t>
      </w:r>
      <w:r w:rsidR="000120F5">
        <w:t xml:space="preserve"> specific composition of the soil will al</w:t>
      </w:r>
      <w:r w:rsidR="00BF7F78">
        <w:t>so</w:t>
      </w:r>
      <w:r w:rsidR="000120F5">
        <w:t xml:space="preserve"> cause variations in the severity of </w:t>
      </w:r>
      <w:r w:rsidR="00D21044">
        <w:t>LIB metal contamination</w:t>
      </w:r>
      <w:r w:rsidR="00301FC4">
        <w:t xml:space="preserve"> in soil</w:t>
      </w:r>
      <w:r w:rsidR="00D21044">
        <w:t>.</w:t>
      </w:r>
      <w:r w:rsidR="00C37299">
        <w:t xml:space="preserve">  </w:t>
      </w:r>
      <w:r w:rsidR="00F93906">
        <w:t xml:space="preserve">The </w:t>
      </w:r>
      <w:r w:rsidR="0063618B">
        <w:t>adsorption</w:t>
      </w:r>
      <w:r w:rsidR="00C34C1F">
        <w:t xml:space="preserve"> rate</w:t>
      </w:r>
      <w:r w:rsidR="00F93906">
        <w:t xml:space="preserve"> of the LIB metals </w:t>
      </w:r>
      <w:r w:rsidR="001A65E1">
        <w:t>based on soil pH can be used as part of a risk assessment for</w:t>
      </w:r>
      <w:r w:rsidR="00DD3DCE">
        <w:t xml:space="preserve"> proposed</w:t>
      </w:r>
      <w:r w:rsidR="001A65E1">
        <w:t xml:space="preserve"> </w:t>
      </w:r>
      <w:r w:rsidR="004C02E0">
        <w:t>landfill</w:t>
      </w:r>
      <w:r w:rsidR="000A00E0">
        <w:t xml:space="preserve"> and </w:t>
      </w:r>
      <w:r w:rsidR="00DD3DCE">
        <w:t xml:space="preserve">LIB/e-waste </w:t>
      </w:r>
      <w:r w:rsidR="000A00E0">
        <w:t>recycling center</w:t>
      </w:r>
      <w:r w:rsidR="00DD3DCE">
        <w:t xml:space="preserve"> locations.</w:t>
      </w:r>
    </w:p>
    <w:p w14:paraId="182109A2" w14:textId="77777777" w:rsidR="00CE0588" w:rsidRDefault="00CE0588" w:rsidP="00B53B6C">
      <w:pPr>
        <w:jc w:val="both"/>
      </w:pPr>
    </w:p>
    <w:p w14:paraId="69EDABCE" w14:textId="2443E5F0" w:rsidR="00B57F32" w:rsidRDefault="00F84424" w:rsidP="00F84424">
      <w:pPr>
        <w:pStyle w:val="Heading2"/>
        <w:numPr>
          <w:ilvl w:val="0"/>
          <w:numId w:val="0"/>
        </w:numPr>
      </w:pPr>
      <w:bookmarkStart w:id="181" w:name="_Toc71224018"/>
      <w:r>
        <w:t>5.</w:t>
      </w:r>
      <w:r w:rsidR="00B57F32">
        <w:t>2 Water Analysis Discussion</w:t>
      </w:r>
      <w:bookmarkEnd w:id="181"/>
    </w:p>
    <w:p w14:paraId="3707E153" w14:textId="7D5D5627" w:rsidR="002A1C72" w:rsidRDefault="00B57F32" w:rsidP="0017483D">
      <w:pPr>
        <w:jc w:val="both"/>
      </w:pPr>
      <w:r>
        <w:tab/>
      </w:r>
      <w:r w:rsidR="00F73F15">
        <w:t xml:space="preserve">The hypothesis for the water aspect of this study states that the leaching of LIB metals will be more significant in acidic water than in basic water, with copper and cobalt having the highest leaching concentration. </w:t>
      </w:r>
      <w:r w:rsidR="0017483D">
        <w:t xml:space="preserve">The analysis of LIB metals, excluding cobalt, in pH amended water over a 24 week time period </w:t>
      </w:r>
      <w:r w:rsidR="00297C3B">
        <w:t>provided statistical results between the two groups (p &lt;0.05)</w:t>
      </w:r>
      <w:r w:rsidR="00920E02">
        <w:t>.  Similar to the soil</w:t>
      </w:r>
      <w:r w:rsidR="007F4C85">
        <w:t xml:space="preserve"> experimental</w:t>
      </w:r>
      <w:r w:rsidR="00920E02">
        <w:t xml:space="preserve"> </w:t>
      </w:r>
      <w:r w:rsidR="007F4C85">
        <w:t>results, c</w:t>
      </w:r>
      <w:r w:rsidR="009C7657">
        <w:t xml:space="preserve">obalt was </w:t>
      </w:r>
      <w:r w:rsidR="00297C3B">
        <w:t>below detectable limits of</w:t>
      </w:r>
      <w:r w:rsidR="009C7657">
        <w:t xml:space="preserve"> the </w:t>
      </w:r>
      <w:r w:rsidR="000C50A5">
        <w:t>XRF</w:t>
      </w:r>
      <w:r w:rsidR="00920E02">
        <w:t>.</w:t>
      </w:r>
      <w:r w:rsidR="0017483D">
        <w:t xml:space="preserve">  </w:t>
      </w:r>
      <w:r w:rsidR="002A1C72">
        <w:t xml:space="preserve">Overall, there was significantly </w:t>
      </w:r>
      <w:r w:rsidR="00A3083B">
        <w:t>more</w:t>
      </w:r>
      <w:r w:rsidR="002A1C72">
        <w:t xml:space="preserve"> leaching of copper, manganese, and nickel metals into the acidic water compared to the basic water, while there was a significantly larger leaching of aluminum into the basic water compared to the acidic water</w:t>
      </w:r>
      <w:r w:rsidR="00ED1F36">
        <w:t xml:space="preserve">. </w:t>
      </w:r>
      <w:r w:rsidR="004034EE">
        <w:t xml:space="preserve"> The best fit line for each metal was a logistic growth rate.  Though this equation cannot provide adequate information for the rate constant and solubility limits, it does provide insight into the leaching trends of each LIB metal.  This insight can be utilized to develop estimations on the contamination impact via leaching LIB metals have on the environment.</w:t>
      </w:r>
      <w:r w:rsidR="002E5094">
        <w:t xml:space="preserve">  The comparison between new LIB and post 24 week time period in the water is shown in Table A.5.  The decrease in both acidic water and basic water LIB metal is consistent with the experimental result</w:t>
      </w:r>
      <w:r w:rsidR="001C342B">
        <w:t>s, that leaching of LIB metals occurred</w:t>
      </w:r>
      <w:r w:rsidR="002E5094">
        <w:t xml:space="preserve">.  </w:t>
      </w:r>
      <w:r w:rsidR="001C342B">
        <w:t xml:space="preserve">There is only a slight </w:t>
      </w:r>
      <w:r w:rsidR="001C342B">
        <w:lastRenderedPageBreak/>
        <w:t>difference between the acidic and basic water LIB, which demonstrates a near equal dissolution ability at both pH values.  Thus, the difference of LIB metals in solution between the acidic and basic water is more based on the solubility of the metal species at each pH rather than the mobility of the metal out of the LIB into solution.</w:t>
      </w:r>
    </w:p>
    <w:p w14:paraId="6ADAB288" w14:textId="56062BED" w:rsidR="00A75148" w:rsidRPr="00E14FC6" w:rsidRDefault="00A75148" w:rsidP="0017483D">
      <w:pPr>
        <w:jc w:val="both"/>
      </w:pPr>
      <w:r>
        <w:tab/>
      </w:r>
      <w:r w:rsidR="00906AB5">
        <w:t xml:space="preserve">Copper leaching in the acidic water was shown to be more significant compared to the basic water.  At the end of 24 weeks, the average concentration of copper in the acidic water </w:t>
      </w:r>
      <w:r w:rsidR="00906AB5" w:rsidRPr="00BD79E1">
        <w:t xml:space="preserve">was </w:t>
      </w:r>
      <w:r w:rsidR="00BD79E1" w:rsidRPr="00BD79E1">
        <w:t>0.722</w:t>
      </w:r>
      <w:r w:rsidR="00246CBE" w:rsidRPr="00BD79E1">
        <w:t xml:space="preserve"> mg/L and in the basic water was </w:t>
      </w:r>
      <w:r w:rsidR="00BD79E1" w:rsidRPr="00BD79E1">
        <w:t>0.160</w:t>
      </w:r>
      <w:r w:rsidR="00246CBE" w:rsidRPr="00BD79E1">
        <w:t xml:space="preserve"> mg/L</w:t>
      </w:r>
      <w:r w:rsidR="00246CBE">
        <w:t>.</w:t>
      </w:r>
      <w:r w:rsidR="009C7C3D">
        <w:t xml:space="preserve">  </w:t>
      </w:r>
      <w:r w:rsidR="00D3021B">
        <w:t xml:space="preserve">These </w:t>
      </w:r>
      <w:r w:rsidR="00214C31">
        <w:t xml:space="preserve">concentrations are in a static volume, whereas in the environment, there will be a </w:t>
      </w:r>
      <w:r w:rsidR="002E017A">
        <w:t>dynamic volume of water, from rain runoff and river flow, which will cause a dilution.</w:t>
      </w:r>
      <w:r w:rsidR="006D3D85">
        <w:t xml:space="preserve">  As a comparison, </w:t>
      </w:r>
      <w:r w:rsidR="005F6C91">
        <w:t xml:space="preserve">the </w:t>
      </w:r>
      <w:r w:rsidR="007D170D">
        <w:t xml:space="preserve">surface flow in </w:t>
      </w:r>
      <w:r w:rsidR="00966DDC">
        <w:t>the Lianjiang</w:t>
      </w:r>
      <w:r w:rsidR="00567B99">
        <w:t xml:space="preserve"> River</w:t>
      </w:r>
      <w:r w:rsidR="005F6C91">
        <w:t xml:space="preserve"> near the e-waste recycling center in</w:t>
      </w:r>
      <w:r w:rsidR="006D3D85">
        <w:t xml:space="preserve"> Guiyu, China</w:t>
      </w:r>
      <w:r w:rsidR="00D90F7C">
        <w:t>, with a</w:t>
      </w:r>
      <w:r w:rsidR="00BF557C">
        <w:t xml:space="preserve"> </w:t>
      </w:r>
      <w:r w:rsidR="00D90F7C">
        <w:t>pH of 6.44,</w:t>
      </w:r>
      <w:r w:rsidR="005F6C91">
        <w:t xml:space="preserve"> contain</w:t>
      </w:r>
      <w:r w:rsidR="00A042A1">
        <w:t xml:space="preserve">ed </w:t>
      </w:r>
      <w:r w:rsidR="00FF0F54">
        <w:t xml:space="preserve">an average </w:t>
      </w:r>
      <w:r w:rsidR="007D170D">
        <w:t>1.2 mg/L</w:t>
      </w:r>
      <w:r w:rsidR="005108AE">
        <w:t>,</w:t>
      </w:r>
      <w:r w:rsidR="002329EB">
        <w:t xml:space="preserve"> while the river sediment</w:t>
      </w:r>
      <w:r w:rsidR="00A8643C">
        <w:t>, with a pH of 6.26</w:t>
      </w:r>
      <w:r w:rsidR="00BF557C">
        <w:t>,</w:t>
      </w:r>
      <w:r w:rsidR="002329EB">
        <w:t xml:space="preserve"> contained </w:t>
      </w:r>
      <w:r w:rsidR="000E3E8A">
        <w:t>1</w:t>
      </w:r>
      <w:r w:rsidR="00E14FC6">
        <w:t>,</w:t>
      </w:r>
      <w:r w:rsidR="000E3E8A">
        <w:t>070 mg/kg</w:t>
      </w:r>
      <w:r w:rsidR="00F015A5">
        <w:t xml:space="preserve">.  </w:t>
      </w:r>
      <w:r w:rsidR="00561A52">
        <w:t>The amount of precipitation</w:t>
      </w:r>
      <w:r w:rsidR="00CA1CFE">
        <w:t xml:space="preserve"> </w:t>
      </w:r>
      <w:r w:rsidR="00561A52">
        <w:t>change</w:t>
      </w:r>
      <w:r w:rsidR="00CA1CFE">
        <w:t>d</w:t>
      </w:r>
      <w:r w:rsidR="00561A52">
        <w:t xml:space="preserve"> the </w:t>
      </w:r>
      <w:r w:rsidR="00CA1CFE">
        <w:t xml:space="preserve">copper </w:t>
      </w:r>
      <w:r w:rsidR="00561A52">
        <w:t>surface water concentration</w:t>
      </w:r>
      <w:r w:rsidR="000773E9">
        <w:t>, increasing in the rainy season compared to the dry season and regular river flow</w:t>
      </w:r>
      <w:r w:rsidR="004940E8">
        <w:t>,</w:t>
      </w:r>
      <w:r w:rsidR="00DB6D52">
        <w:t xml:space="preserve"> </w:t>
      </w:r>
      <w:r w:rsidR="004940E8">
        <w:t xml:space="preserve">showing the </w:t>
      </w:r>
      <w:r w:rsidR="004311B1">
        <w:t xml:space="preserve">copper concentration </w:t>
      </w:r>
      <w:r w:rsidR="00E852BF">
        <w:t xml:space="preserve">in the surface water is not </w:t>
      </w:r>
      <w:r w:rsidR="00DE1208">
        <w:t xml:space="preserve">at </w:t>
      </w:r>
      <w:r w:rsidR="0019298D">
        <w:t xml:space="preserve">the </w:t>
      </w:r>
      <w:r w:rsidR="00DE1208">
        <w:t xml:space="preserve">saturation </w:t>
      </w:r>
      <w:r w:rsidR="0019298D">
        <w:t xml:space="preserve">point and can </w:t>
      </w:r>
      <w:r w:rsidR="00D65B93">
        <w:t>contain a higher amount of copper</w:t>
      </w:r>
      <w:r w:rsidR="001D445E">
        <w:t xml:space="preserve"> </w:t>
      </w:r>
      <w:r w:rsidR="000E3E8A">
        <w:fldChar w:fldCharType="begin" w:fldLock="1"/>
      </w:r>
      <w:r w:rsidR="00711D78">
        <w:instrText>ADDIN CSL_CITATION {"citationItems":[{"id":"ITEM-1","itemData":{"DOI":"10.2134/jeq2008.0398","ISSN":"0047-2425","PMID":"19549938","abstract":"This study evaluated the effect of electronic waste (e-waste) recycling activities at a regional center, Guiyu, Guangdong, China on heavy metal pollution in the surrounding waterway system. Surface water and sediment collected from the Lianjiang River and its tributaries were analyzed for concentrations of Cu, Pb, Ni, Cd, Hg, and As. Spatially, heavy metals in water and sediment samples decreased downstream of Lianjiang River from Guiyu to the estuary at Haimen Bay. Temporally, heavy metal concentrations in the surface water were high in the rainy season and low in the dry season. In particular, concentrations of Cu from surface water in the Guiyu area were 2.4 to 131 times the reference background concentration, followed in descending order by Ni, Cd, Pb, Hg, and As. However, when compared with China's Environmental Quality Standard, Cd was considered the most harmful element, followed by Hg, Pb, and Cu. Concentrations of Cu in sediment samples in the Guiyu area were 3.2 to 429 times the reference background concentration, followed by Ni, Hg, Pb, Cd, and As. Our findings suggested that high concentrations of heavy metal observed in Guiyu, Lianjiang River and the Haimen Bay could be attributed to the direct effects of e-waste recycling in Guiyu.","author":[{"dropping-particle":"","family":"Guo","given":"Yan","non-dropping-particle":"","parse-names":false,"suffix":""},{"dropping-particle":"","family":"Huang","given":"Changjiang","non-dropping-particle":"","parse-names":false,"suffix":""},{"dropping-particle":"","family":"Zhang","given":"Hong","non-dropping-particle":"","parse-names":false,"suffix":""},{"dropping-particle":"","family":"Dong","given":"Qiaoxiang","non-dropping-particle":"","parse-names":false,"suffix":""}],"container-title":"Journal of Environmental Quality","id":"ITEM-1","issue":"4","issued":{"date-parts":[["2009"]]},"page":"1617-1626","title":"Heavy Metal Contamination from Electronic Waste Recycling at Guiyu, Southeastern China","type":"article-journal","volume":"38"},"uris":["http://www.mendeley.com/documents/?uuid=e91f2baf-2412-4400-8324-da4ff4a2aeab"]},{"id":"ITEM-2","itemData":{"DOI":"10.1016/j.envpol.2006.05.017","author":[{"dropping-particle":"","family":"Wong","given":"C.","non-dropping-particle":"","parse-names":false,"suffix":""},{"dropping-particle":"","family":"Wu","given":"S.","non-dropping-particle":"","parse-names":false,"suffix":""},{"dropping-particle":"","family":"Duzgoren-Aydin","given":"N.","non-dropping-particle":"","parse-names":false,"suffix":""},{"dropping-particle":"","family":"Aydin","given":"A.","non-dropping-particle":"","parse-names":false,"suffix":""},{"dropping-particle":"","family":"Wong","given":"M.","non-dropping-particle":"","parse-names":false,"suffix":""}],"container-title":"Environmental Pollution","id":"ITEM-2","issued":{"date-parts":[["2007"]]},"page":"434-442","title":"Trace metal contamination of sediments in an e-waste processing village in China","type":"article-journal","volume":"145"},"uris":["http://www.mendeley.com/documents/?uuid=04ad3fc2-b269-4cae-8c8d-5cae061407f9"]}],"mendeley":{"formattedCitation":"(Guo et al., 2009; Wong et al., 2007)","plainTextFormattedCitation":"(Guo et al., 2009; Wong et al., 2007)","previouslyFormattedCitation":"(Guo et al., 2009; Wong et al., 2007)"},"properties":{"noteIndex":0},"schema":"https://github.com/citation-style-language/schema/raw/master/csl-citation.json"}</w:instrText>
      </w:r>
      <w:r w:rsidR="000E3E8A">
        <w:fldChar w:fldCharType="separate"/>
      </w:r>
      <w:r w:rsidR="000E3E8A" w:rsidRPr="000E3E8A">
        <w:rPr>
          <w:noProof/>
        </w:rPr>
        <w:t>(Guo et al., 2009; Wong et al., 2007)</w:t>
      </w:r>
      <w:r w:rsidR="000E3E8A">
        <w:fldChar w:fldCharType="end"/>
      </w:r>
      <w:r w:rsidR="000E3E8A">
        <w:t xml:space="preserve">.  These </w:t>
      </w:r>
      <w:r w:rsidR="00567B99">
        <w:t xml:space="preserve">concentrations in the Lianjiang River </w:t>
      </w:r>
      <w:r w:rsidR="00B47EC2">
        <w:t>support this study</w:t>
      </w:r>
      <w:r w:rsidR="009921B3">
        <w:t xml:space="preserve"> </w:t>
      </w:r>
      <w:r w:rsidR="00950A11">
        <w:t xml:space="preserve">because </w:t>
      </w:r>
      <w:r w:rsidR="00E852BF">
        <w:t>of the</w:t>
      </w:r>
      <w:r w:rsidR="00FC59DE">
        <w:t xml:space="preserve"> copper concentration in the surface water is not at the equilibrium capacity</w:t>
      </w:r>
      <w:r w:rsidR="003E48CA">
        <w:t xml:space="preserve"> and is capable of a higher leaching threshold.</w:t>
      </w:r>
      <w:r w:rsidR="00246CBE">
        <w:t xml:space="preserve"> </w:t>
      </w:r>
      <w:r w:rsidR="0046204D">
        <w:t xml:space="preserve"> </w:t>
      </w:r>
      <w:r w:rsidR="006219ED">
        <w:t xml:space="preserve">The </w:t>
      </w:r>
      <w:r w:rsidR="004C3A9C">
        <w:t xml:space="preserve">toxicity of copper is mainly due to </w:t>
      </w:r>
      <w:r w:rsidR="00755AB0">
        <w:t>the copper ion</w:t>
      </w:r>
      <w:r w:rsidR="005756D1">
        <w:t xml:space="preserve">, which is </w:t>
      </w:r>
      <w:r w:rsidR="007837B3">
        <w:t xml:space="preserve">at higher concentrations in acidic water </w:t>
      </w:r>
      <w:r w:rsidR="00711D78">
        <w:fldChar w:fldCharType="begin" w:fldLock="1"/>
      </w:r>
      <w:r w:rsidR="00D1460F">
        <w:instrText>ADDIN CSL_CITATION {"citationItems":[{"id":"ITEM-1","itemData":{"DOI":"10.1201/9781420061888_ch123","abstract":"Agency for Toxic Substances and Disease Registry (ATSDR). 2008. Toxicological profile for Aluminum. Atlanta, GA: U.S. Department of Health and Human Services, Public Health Service","author":[{"dropping-particle":"","family":"Control","given":"Center for Disease","non-dropping-particle":"","parse-names":false,"suffix":""}],"container-title":"Center for Disease Control","id":"ITEM-1","issued":{"date-parts":[["2011"]]},"number-of-pages":"1-314","title":"Toxicological profile for copper","type":"report"},"uris":["http://www.mendeley.com/documents/?uuid=7d28a4a7-0ea6-4c7a-8830-11eeee501562"]}],"mendeley":{"formattedCitation":"(Control, 2011b)","plainTextFormattedCitation":"(Control, 2011b)","previouslyFormattedCitation":"(Control, 2011b)"},"properties":{"noteIndex":0},"schema":"https://github.com/citation-style-language/schema/raw/master/csl-citation.json"}</w:instrText>
      </w:r>
      <w:r w:rsidR="00711D78">
        <w:fldChar w:fldCharType="separate"/>
      </w:r>
      <w:r w:rsidR="00C245C5" w:rsidRPr="00C245C5">
        <w:rPr>
          <w:noProof/>
        </w:rPr>
        <w:t>(Control, 2011b)</w:t>
      </w:r>
      <w:r w:rsidR="00711D78">
        <w:fldChar w:fldCharType="end"/>
      </w:r>
      <w:r w:rsidR="00711D78">
        <w:t xml:space="preserve">.  </w:t>
      </w:r>
      <w:r w:rsidR="0042253A">
        <w:t>As pH increases, the solubility of copper decreases</w:t>
      </w:r>
      <w:r w:rsidR="00D41DD7">
        <w:t xml:space="preserve"> and copper minerals begin to precipitate out of solution. </w:t>
      </w:r>
      <w:r w:rsidR="00830BCC">
        <w:t xml:space="preserve"> The results of this study confirm the </w:t>
      </w:r>
      <w:r w:rsidR="002E6BF6">
        <w:t xml:space="preserve">solubility trends between acidic and basic pH while determining the leaching rate </w:t>
      </w:r>
      <w:r w:rsidR="006A0D19">
        <w:t>of copper for both pH groups.</w:t>
      </w:r>
      <w:r w:rsidR="00125071">
        <w:t xml:space="preserve">  The best fit line used for the leaching of copper was a </w:t>
      </w:r>
      <w:r w:rsidR="00DC358C">
        <w:t>logistic growth</w:t>
      </w:r>
      <w:r w:rsidR="00125071">
        <w:t xml:space="preserve"> rate.  This reaction rate determined a rate constant </w:t>
      </w:r>
      <w:r w:rsidR="00125071" w:rsidRPr="00BD79E1">
        <w:t xml:space="preserve">of </w:t>
      </w:r>
      <w:r w:rsidR="00DC358C" w:rsidRPr="00BD79E1">
        <w:t>0.</w:t>
      </w:r>
      <w:r w:rsidR="00DA4F1A">
        <w:t>236</w:t>
      </w:r>
      <w:r w:rsidR="00125071" w:rsidRPr="00BD79E1">
        <w:t xml:space="preserve"> and a solubility limit of </w:t>
      </w:r>
      <w:r w:rsidR="00BD79E1" w:rsidRPr="00BD79E1">
        <w:t>0.</w:t>
      </w:r>
      <w:r w:rsidR="00DA4F1A">
        <w:t>802</w:t>
      </w:r>
      <w:r w:rsidR="00125071" w:rsidRPr="00BD79E1">
        <w:t xml:space="preserve"> mg/L for acidic water and </w:t>
      </w:r>
      <w:r w:rsidR="00BD79E1" w:rsidRPr="00BD79E1">
        <w:t>0.</w:t>
      </w:r>
      <w:r w:rsidR="00DA4F1A">
        <w:t>173</w:t>
      </w:r>
      <w:r w:rsidR="00125071" w:rsidRPr="00BD79E1">
        <w:t xml:space="preserve"> mg/L for basic water.  Th</w:t>
      </w:r>
      <w:r w:rsidR="00125071">
        <w:t xml:space="preserve">e rate constant value is in range of previous </w:t>
      </w:r>
      <w:r w:rsidR="00125071">
        <w:lastRenderedPageBreak/>
        <w:t xml:space="preserve">literature and the decrease in the solubility limit as pH increases coincides with previous literature, though different properties of water, such as ionic strength, produce different rate constants and solubility limits </w:t>
      </w:r>
      <w:r w:rsidR="00125071">
        <w:fldChar w:fldCharType="begin" w:fldLock="1"/>
      </w:r>
      <w:r w:rsidR="00B221BA">
        <w:instrText>ADDIN CSL_CITATION {"citationItems":[{"id":"ITEM-1","itemData":{"DOI":"10.3390/min10100873","ISSN":"2075163X","abstract":"Mining activity produces a series of wastes that must be treated to avoid environmental pollution. In addition, some of these mining wastes still contain metallic elements that are interesting for their extraction with new less expensive techniques and that can work with low mineral grades, such as hydrometallurgy. This study evaluates the suitability of Copper recovery in mining wastes, coming from waste dump, with a high percentage of metal oxides and granite. This recovery is carried out through leaching in 0.05, 0.10, 0.15 and 0.20 molar Sulphuric Acid solutions, at ambient temperature and atmospheric pressure. The exposure of the waste to the solution was made for 96 h, taking measurements of the leaching and evaluating the increase in Copper concentration every 24 h. The results reflected a good Copper recovery rate with concentrations up to 1.9 g/L. The best results were obtained for the 0.20 molar Sulphuric Acid solutions, producing a stability in the Copper concentration after 72 h. Other elements in smaller proportion as the Zinc were also recovered. Therefore, a process of recovery of Copper was obtained with a robust, versatile and economic technique in mining residues that currently represent an environmental pollution.","author":[{"dropping-particle":"","family":"Terrones‐saeta","given":"Juan María","non-dropping-particle":"","parse-names":false,"suffix":""},{"dropping-particle":"","family":"Suárez‐macías","given":"Jorge","non-dropping-particle":"","parse-names":false,"suffix":""},{"dropping-particle":"","family":"Linares Del Río","given":"Francisco Javier","non-dropping-particle":"","parse-names":false,"suffix":""},{"dropping-particle":"","family":"Corpas‐iglesias","given":"Francisco Antonio","non-dropping-particle":"","parse-names":false,"suffix":""}],"container-title":"Minerals","id":"ITEM-1","issue":"10","issued":{"date-parts":[["2020"]]},"page":"1-23","title":"Study of copper leaching from mining waste in acidic media, at ambient temperature and atmospheric pressure","type":"article-journal","volume":"10"},"uris":["http://www.mendeley.com/documents/?uuid=af096a7c-177b-4af6-b324-0535e1fd7d92"]}],"mendeley":{"formattedCitation":"(Terrones‐saeta et al., 2020)","plainTextFormattedCitation":"(Terrones‐saeta et al., 2020)","previouslyFormattedCitation":"(Terrones‐saeta et al., 2020)"},"properties":{"noteIndex":0},"schema":"https://github.com/citation-style-language/schema/raw/master/csl-citation.json"}</w:instrText>
      </w:r>
      <w:r w:rsidR="00125071">
        <w:fldChar w:fldCharType="separate"/>
      </w:r>
      <w:r w:rsidR="003B0F88" w:rsidRPr="003B0F88">
        <w:rPr>
          <w:noProof/>
        </w:rPr>
        <w:t>(Terrones‐saeta et al., 2020)</w:t>
      </w:r>
      <w:r w:rsidR="00125071">
        <w:fldChar w:fldCharType="end"/>
      </w:r>
      <w:r w:rsidR="00125071">
        <w:t xml:space="preserve">.  The rate constant and solubility limit of copper in water can be used to estimate and predict contamination concentrations of LIB metals </w:t>
      </w:r>
      <w:r w:rsidR="00E14FC6">
        <w:t xml:space="preserve">in water systems </w:t>
      </w:r>
      <w:r w:rsidR="00125071">
        <w:t>surrounding landfills and recycling centers.</w:t>
      </w:r>
      <w:r w:rsidR="00921130">
        <w:t xml:space="preserve">  </w:t>
      </w:r>
      <w:r w:rsidR="00921130">
        <w:rPr>
          <w:rFonts w:cs="Times New Roman"/>
        </w:rPr>
        <w:t xml:space="preserve">With these results, the contamination risk of copper into water systems in </w:t>
      </w:r>
      <w:r w:rsidR="00086639">
        <w:rPr>
          <w:rFonts w:cs="Times New Roman"/>
        </w:rPr>
        <w:t>highest with acidic water, whi</w:t>
      </w:r>
      <w:r w:rsidR="0001065D">
        <w:rPr>
          <w:rFonts w:cs="Times New Roman"/>
        </w:rPr>
        <w:t xml:space="preserve">ch acidic water runoff is common at industrial </w:t>
      </w:r>
      <w:r w:rsidR="00C621F4">
        <w:rPr>
          <w:rFonts w:cs="Times New Roman"/>
        </w:rPr>
        <w:t xml:space="preserve">locations such as landfills and recycling centers </w:t>
      </w:r>
      <w:r w:rsidR="00C621F4">
        <w:rPr>
          <w:rFonts w:cs="Times New Roman"/>
        </w:rPr>
        <w:fldChar w:fldCharType="begin" w:fldLock="1"/>
      </w:r>
      <w:r w:rsidR="00125799">
        <w:rPr>
          <w:rFonts w:cs="Times New Roman"/>
        </w:rPr>
        <w:instrText>ADDIN CSL_CITATION {"citationItems":[{"id":"ITEM-1","itemData":{"DOI":"10.1007/1-4020-4494-1_4","author":[{"dropping-particle":"","family":"Mattson","given":"Mark D.","non-dropping-particle":"","parse-names":false,"suffix":""}],"container-title":"Environmental Geology. Encyclopedia of Earth Science","id":"ITEM-1","issued":{"date-parts":[["2006"]]},"page":"6-9","publisher":"Springer","publisher-place":"Dordrecht","title":"Acid lakes and rivers","type":"chapter"},"uris":["http://www.mendeley.com/documents/?uuid=42a85349-a9fb-407d-a65e-1f0dd17d0e57"]}],"mendeley":{"formattedCitation":"(Mattson, 2006)","plainTextFormattedCitation":"(Mattson, 2006)","previouslyFormattedCitation":"(Mattson, 2006)"},"properties":{"noteIndex":0},"schema":"https://github.com/citation-style-language/schema/raw/master/csl-citation.json"}</w:instrText>
      </w:r>
      <w:r w:rsidR="00C621F4">
        <w:rPr>
          <w:rFonts w:cs="Times New Roman"/>
        </w:rPr>
        <w:fldChar w:fldCharType="separate"/>
      </w:r>
      <w:r w:rsidR="00C621F4" w:rsidRPr="00C621F4">
        <w:rPr>
          <w:rFonts w:cs="Times New Roman"/>
          <w:noProof/>
        </w:rPr>
        <w:t>(Mattson, 2006)</w:t>
      </w:r>
      <w:r w:rsidR="00C621F4">
        <w:rPr>
          <w:rFonts w:cs="Times New Roman"/>
        </w:rPr>
        <w:fldChar w:fldCharType="end"/>
      </w:r>
      <w:r w:rsidR="00C621F4">
        <w:rPr>
          <w:rFonts w:cs="Times New Roman"/>
        </w:rPr>
        <w:t>.</w:t>
      </w:r>
    </w:p>
    <w:p w14:paraId="05F0514B" w14:textId="64B6C17B" w:rsidR="00A75148" w:rsidRDefault="00DC6A56" w:rsidP="00B221BA">
      <w:pPr>
        <w:jc w:val="both"/>
      </w:pPr>
      <w:r>
        <w:tab/>
      </w:r>
      <w:r w:rsidR="007336CB">
        <w:t>Manganese leaching in the acidic water was shown to be more significant compared to the basic waster.  At t</w:t>
      </w:r>
      <w:r w:rsidR="007336CB" w:rsidRPr="00BD79E1">
        <w:t xml:space="preserve">he end of 24 weeks, the average concentration of manganese in the acidic water was </w:t>
      </w:r>
      <w:r w:rsidR="00BD79E1" w:rsidRPr="00BD79E1">
        <w:t>0.503</w:t>
      </w:r>
      <w:r w:rsidR="00FB4FE9" w:rsidRPr="00BD79E1">
        <w:t xml:space="preserve"> mg/L and in the basic water was </w:t>
      </w:r>
      <w:r w:rsidR="00BD79E1" w:rsidRPr="00BD79E1">
        <w:t>0.212</w:t>
      </w:r>
      <w:r w:rsidR="00FB4FE9" w:rsidRPr="00BD79E1">
        <w:t xml:space="preserve"> mg/L.</w:t>
      </w:r>
      <w:r w:rsidR="00BD79E1">
        <w:t xml:space="preserve">  The EPA concentration limit for drinking water is 0.05 mg/L, which both of pH groups surpass, though there would a dilution factor in a real water system </w:t>
      </w:r>
      <w:r w:rsidR="00BD79E1">
        <w:fldChar w:fldCharType="begin" w:fldLock="1"/>
      </w:r>
      <w:r w:rsidR="008707F7">
        <w:instrText>ADDIN CSL_CITATION {"citationItems":[{"id":"ITEM-1","itemData":{"author":[{"dropping-particle":"","family":"Control","given":"Center for Disease","non-dropping-particle":"","parse-names":false,"suffix":""}],"id":"ITEM-1","issued":{"date-parts":[["2012"]]},"number-of-pages":"1-423","title":"Toxicological profile for manganese","type":"report"},"uris":["http://www.mendeley.com/documents/?uuid=8afa8821-ba09-42d3-86a4-66b3835b906b"]}],"mendeley":{"formattedCitation":"(Control, 2012)","plainTextFormattedCitation":"(Control, 2012)","previouslyFormattedCitation":"(Control, 2012)"},"properties":{"noteIndex":0},"schema":"https://github.com/citation-style-language/schema/raw/master/csl-citation.json"}</w:instrText>
      </w:r>
      <w:r w:rsidR="00BD79E1">
        <w:fldChar w:fldCharType="separate"/>
      </w:r>
      <w:r w:rsidR="00BD79E1" w:rsidRPr="00BD79E1">
        <w:rPr>
          <w:noProof/>
        </w:rPr>
        <w:t>(Control, 2012)</w:t>
      </w:r>
      <w:r w:rsidR="00BD79E1">
        <w:fldChar w:fldCharType="end"/>
      </w:r>
      <w:r w:rsidR="00BD79E1">
        <w:t>.</w:t>
      </w:r>
      <w:r w:rsidR="00FB4FE9" w:rsidRPr="00BD79E1">
        <w:t xml:space="preserve">  </w:t>
      </w:r>
      <w:r w:rsidR="009219EB" w:rsidRPr="00BD79E1">
        <w:t>The</w:t>
      </w:r>
      <w:r w:rsidR="00796B34">
        <w:t xml:space="preserve"> majority of manganese contamination</w:t>
      </w:r>
      <w:r w:rsidR="00F63CA0">
        <w:t xml:space="preserve"> studies have focused</w:t>
      </w:r>
      <w:r w:rsidR="00796B34">
        <w:t xml:space="preserve"> </w:t>
      </w:r>
      <w:r w:rsidR="00E95DC2">
        <w:t>on</w:t>
      </w:r>
      <w:r w:rsidR="00F63CA0">
        <w:t xml:space="preserve"> leachate water from landfills or on</w:t>
      </w:r>
      <w:r w:rsidR="00E95DC2">
        <w:t xml:space="preserve"> soil due to e-waste centers or landfills</w:t>
      </w:r>
      <w:r w:rsidR="00F63CA0">
        <w:t xml:space="preserve">, but not necessarily </w:t>
      </w:r>
      <w:r w:rsidR="007E5772">
        <w:t>water systems near e-waste cente</w:t>
      </w:r>
      <w:r w:rsidR="00D82231">
        <w:t>rs</w:t>
      </w:r>
      <w:r w:rsidR="007E5772">
        <w:t xml:space="preserve">.  </w:t>
      </w:r>
      <w:r w:rsidR="005365D8">
        <w:t xml:space="preserve">However, landfill leachate </w:t>
      </w:r>
      <w:r w:rsidR="00D42D84">
        <w:t xml:space="preserve">into surrounding water systems is valid for comparison.  </w:t>
      </w:r>
      <w:r w:rsidR="00A45445">
        <w:t xml:space="preserve">A municipal </w:t>
      </w:r>
      <w:r w:rsidR="00A01CA1">
        <w:t xml:space="preserve">solid waste site in </w:t>
      </w:r>
      <w:r w:rsidR="004F74BD">
        <w:t>Tepi, Ethiopia,</w:t>
      </w:r>
      <w:r w:rsidR="00424439">
        <w:t xml:space="preserve"> was studied to have a manganese leachate concentration of </w:t>
      </w:r>
      <w:r w:rsidR="004F74BD">
        <w:t>0.66</w:t>
      </w:r>
      <w:r w:rsidR="00424439">
        <w:t xml:space="preserve"> mg/L, where the WHO wastewater discharge limit is 0.2 mg/L</w:t>
      </w:r>
      <w:r w:rsidR="00AC0813">
        <w:t xml:space="preserve">.  </w:t>
      </w:r>
      <w:r w:rsidR="00D41B0B">
        <w:t xml:space="preserve">With dilution into the nearby </w:t>
      </w:r>
      <w:r w:rsidR="008F4D69">
        <w:t>water system</w:t>
      </w:r>
      <w:r w:rsidR="00D41B0B">
        <w:t xml:space="preserve">, </w:t>
      </w:r>
      <w:r w:rsidR="008F4D69">
        <w:t xml:space="preserve">the </w:t>
      </w:r>
      <w:r w:rsidR="004F74BD">
        <w:t>downstream concentration was 0.4 mg/L, double the WHO limit</w:t>
      </w:r>
      <w:r w:rsidR="007205B9">
        <w:t xml:space="preserve"> </w:t>
      </w:r>
      <w:r w:rsidR="00890124">
        <w:fldChar w:fldCharType="begin" w:fldLock="1"/>
      </w:r>
      <w:r w:rsidR="00361ADB">
        <w:instrText>ADDIN CSL_CITATION {"citationItems":[{"id":"ITEM-1","itemData":{"DOI":"10.1155/2020/5157046","ISSN":"16879813","PMID":"32587623","abstract":"An increase in urban population and the rising demand for food and other essentials perpetuate a rise in the amount of waste being generated daily by each household. In Ethiopia, this waste is eventually thrown into open dump sites. It can cause severe impact on soil and surface water quality. As a result, it becomes the probable source of human health risk through food chain. Therefore, this study was aimed at assessing the effect of a solid waste dump site on surrounding soil and river water quality in Tepi town, Southwest Ethiopia. Three surface water, one leachate, and four soil samples were collected and analyzed. Six heavy metals for surface water and leachate samples and four heavy metals for soil samples were measured by flame atomic absorption spectroscopy. In addition, physiochemical parameters were analyzed using standard methods. The data were analyzed statistically using Origin pro version 8.0 computer software packages. The pH of soil was slightly basic ranging from 8 ± 0.1 to 8.7 ± 0.21. Electrical conductivity was lower at 60 meters (1800 ± 0.5 μs/cm) and higher in the other sample sites (3490 ± 0.66-4920 ± 1.04 μs/cm). The concentration of heavy metals in soil samples revealed cadmium (0.53 ± 0.01-2.26 ± 0.02 mg/kg), zinc (623.93 ± 0.29-859.41 ± 0.02 mg/kg), lead (3.26 ± 0.25-57.560.26 mg/kg), and copper (204.06 ± 0.06-337.11 ± 0.01 mg/kg). Lead, cadmium, manganese, nickel, copper, and zinc were found in the leachate water; nickel and manganese were found in the nearby river water; BOD5 and COD for both leachate and stream water samples were found to be higher than standard guideline values. The finding suggested that solid waste open dump site adversely affects soil and water quality in the study area and becomes a probable source of risk for human health via the food chain.","author":[{"dropping-particle":"","family":"Mekonnen","given":"Besufekad","non-dropping-particle":"","parse-names":false,"suffix":""},{"dropping-particle":"","family":"Haddis","given":"Alemayehu","non-dropping-particle":"","parse-names":false,"suffix":""},{"dropping-particle":"","family":"Zeine","given":"Wuhib","non-dropping-particle":"","parse-names":false,"suffix":""}],"container-title":"Journal of Environmental and Public Health","id":"ITEM-1","issued":{"date-parts":[["2020"]]},"title":"Assessment of the Effect of Solid Waste Dump Site on Surrounding Soil and River Water Quality in Tepi Town, Southwest Ethiopia","type":"article-journal","volume":"2020"},"uris":["http://www.mendeley.com/documents/?uuid=5e176a3b-7fe7-414e-866c-f2f8be645226"]}],"mendeley":{"formattedCitation":"(Mekonnen et al., 2020)","plainTextFormattedCitation":"(Mekonnen et al., 2020)","previouslyFormattedCitation":"(Mekonnen et al., 2020)"},"properties":{"noteIndex":0},"schema":"https://github.com/citation-style-language/schema/raw/master/csl-citation.json"}</w:instrText>
      </w:r>
      <w:r w:rsidR="00890124">
        <w:fldChar w:fldCharType="separate"/>
      </w:r>
      <w:r w:rsidR="00890124" w:rsidRPr="00890124">
        <w:rPr>
          <w:noProof/>
        </w:rPr>
        <w:t>(Mekonnen et al., 2020)</w:t>
      </w:r>
      <w:r w:rsidR="00890124">
        <w:fldChar w:fldCharType="end"/>
      </w:r>
      <w:r w:rsidR="007205B9">
        <w:t xml:space="preserve">.  </w:t>
      </w:r>
      <w:r w:rsidR="00BA7E89">
        <w:t>E</w:t>
      </w:r>
      <w:r w:rsidR="00890124">
        <w:t xml:space="preserve">levated level of manganese in </w:t>
      </w:r>
      <w:r w:rsidR="00945565">
        <w:t xml:space="preserve">drinking </w:t>
      </w:r>
      <w:r w:rsidR="00890124">
        <w:t>water systems ha</w:t>
      </w:r>
      <w:r w:rsidR="00BA7E89">
        <w:t>ve been linked to a higher prevalence of neurological disorders after</w:t>
      </w:r>
      <w:r w:rsidR="00945565">
        <w:t xml:space="preserve"> chronic exposure to the drinking water </w:t>
      </w:r>
      <w:r w:rsidR="00945565">
        <w:fldChar w:fldCharType="begin" w:fldLock="1"/>
      </w:r>
      <w:r w:rsidR="00D354F9">
        <w:instrText>ADDIN CSL_CITATION {"citationItems":[{"id":"ITEM-1","itemData":{"abstract":"Manganese occurs naturally in the environment and is widely distributed in air, water and soil. It is not found in the elemental form in the environment, but can exist in several oxidation states. Manganese may be present in water in the environment from natural sources (rock and soil weathering) or as a result of human activities (such as mining, industrial discharges and landfill leaching). Manganese is used in various industries, including in the steel industry, in the manufacture of various products (e.g., fireworks, dry-cell batteries, fertilizers, fungicides and cosmetics and paints). In its permanganate form, it is also used as an oxidizing agent in the treatment of drinking water. This guideline technical document reviews and assesses all identified health risks associated with manganese in drinking water. It incorporates new studies and approaches and takes into consideration the availability of appropriate treatment technology. Based on this review, the proposed drinking water guideline for manganese is a maximum acceptable concentration (MAC) of 0.1 mg/L (100 µg/L), based on infants, the most sensitive population. During its fall 2015 meeting, the Federal-Provincial-Territorial Committee on Drinking Water reviewed the guideline technical document on manganese and gave approval for this document to undergo public consultation.","author":[{"dropping-particle":"","family":"World Health Organization","given":"","non-dropping-particle":"","parse-names":false,"suffix":""}],"container-title":"WHO Guidelines for Drinking-water Quality","id":"ITEM-1","issued":{"date-parts":[["2011"]]},"page":"1-21","title":"Manganese in Drinking-water","type":"chapter"},"uris":["http://www.mendeley.com/documents/?uuid=1cdf51de-0d6c-4144-a69e-015ba8c93f79"]}],"mendeley":{"formattedCitation":"(World Health Organization, 2011)","plainTextFormattedCitation":"(World Health Organization, 2011)","previouslyFormattedCitation":"(World Health Organization, 2011)"},"properties":{"noteIndex":0},"schema":"https://github.com/citation-style-language/schema/raw/master/csl-citation.json"}</w:instrText>
      </w:r>
      <w:r w:rsidR="00945565">
        <w:fldChar w:fldCharType="separate"/>
      </w:r>
      <w:r w:rsidR="00945565" w:rsidRPr="00945565">
        <w:rPr>
          <w:noProof/>
        </w:rPr>
        <w:t>(World Health Organization, 2011)</w:t>
      </w:r>
      <w:r w:rsidR="00945565">
        <w:fldChar w:fldCharType="end"/>
      </w:r>
      <w:r w:rsidR="00945565">
        <w:t>.</w:t>
      </w:r>
      <w:r w:rsidR="00297C3B">
        <w:t xml:space="preserve">  </w:t>
      </w:r>
      <w:r w:rsidR="00F313AC">
        <w:t>Manganese is mainly transported in rivers as suspended sediments</w:t>
      </w:r>
      <w:r w:rsidR="00781417">
        <w:t>, generally as Mn(IV)</w:t>
      </w:r>
      <w:r w:rsidR="00F313AC">
        <w:t xml:space="preserve">, due to the pH </w:t>
      </w:r>
      <w:r w:rsidR="00CA33A2">
        <w:t xml:space="preserve">generally being neutral to slightly alkaline.  However, </w:t>
      </w:r>
      <w:r w:rsidR="00781417">
        <w:t>in low dissolved oxygen waters, manganese is able to be reduced into the more soluble Mn(II)</w:t>
      </w:r>
      <w:r w:rsidR="0007098C">
        <w:t xml:space="preserve"> and bioaccumulate in the plants and marine life</w:t>
      </w:r>
      <w:r w:rsidR="00361ADB">
        <w:t xml:space="preserve"> </w:t>
      </w:r>
      <w:r w:rsidR="00361ADB">
        <w:fldChar w:fldCharType="begin" w:fldLock="1"/>
      </w:r>
      <w:r w:rsidR="00945565">
        <w:instrText>ADDIN CSL_CITATION {"citationItems":[{"id":"ITEM-1","itemData":{"ISSN":"10206167","abstract":"This CICAD on manganese and its compounds (environmental aspects) was based primarily on the report Toxicological profile for manganese (update), prepared by the Agency for Toxic Substances and Disease Registry of the US Department of Health and Human Services (ATSDR, 2000). Secondary sources of information included CICAD No. 12 on manganese and its compounds (IPCS, 1999a) and data identified following a comprehensive literature search of relevant databases conducted up to December 2002 to identify any relevant references published subsequent to those incorporated in these two reports. For information regarding the assessment of human health effects of manganese, the reader should refer to CICAD No. 12 (IPCS, 1999a). Manganese fungicides have been referred to in the document for source and fate information only, and no attempt has been made to evaluate this group of chemicals for environmental effect. Information on the preparation and peer review of the source document is presented in Appendix 1. Information on the peer review of this CICAD is presented in Appendix 2. This CICAD was considered and approved as an international assessment at a meeting of the Final Review Board, held in Varna, Bulgaria, on 8-11 September 2003. Participants at the Final Review Board meeting are presented in Appendix 3. International Chemical Safety Cards on selected manganese compounds (ICSCs 174, 175, 290, 754, 977, 1169, and 1398), produced by the International Programme on Chemical Safety in a separate, peer-reviewed process (IPCS, 1999b,c, 2001, 2003a,b,c,d), have also been reproduced in this document.","author":[{"dropping-particle":"","family":"Howe","given":"P. D.","non-dropping-particle":"","parse-names":false,"suffix":""},{"dropping-particle":"","family":"Malcom","given":"H. M.","non-dropping-particle":"","parse-names":false,"suffix":""},{"dropping-particle":"","family":"Dobson","given":"D.","non-dropping-particle":"","parse-names":false,"suffix":""}],"container-title":"World Health Organization","id":"ITEM-1","issued":{"date-parts":[["2005"]]},"number-of-pages":"1-70","title":"Manganese and its compounds: Environmental aspects","type":"report"},"uris":["http://www.mendeley.com/documents/?uuid=e22b63b0-4aa7-4bba-8b3f-a07e65f6cf4e"]}],"mendeley":{"formattedCitation":"(Howe et al., 2005)","plainTextFormattedCitation":"(Howe et al., 2005)","previouslyFormattedCitation":"(Howe et al., 2005)"},"properties":{"noteIndex":0},"schema":"https://github.com/citation-style-language/schema/raw/master/csl-citation.json"}</w:instrText>
      </w:r>
      <w:r w:rsidR="00361ADB">
        <w:fldChar w:fldCharType="separate"/>
      </w:r>
      <w:r w:rsidR="00361ADB" w:rsidRPr="00361ADB">
        <w:rPr>
          <w:noProof/>
        </w:rPr>
        <w:t xml:space="preserve">(Howe et al., </w:t>
      </w:r>
      <w:r w:rsidR="00361ADB" w:rsidRPr="00361ADB">
        <w:rPr>
          <w:noProof/>
        </w:rPr>
        <w:lastRenderedPageBreak/>
        <w:t>2005)</w:t>
      </w:r>
      <w:r w:rsidR="00361ADB">
        <w:fldChar w:fldCharType="end"/>
      </w:r>
      <w:r w:rsidR="00361ADB">
        <w:t>.</w:t>
      </w:r>
      <w:r w:rsidR="00FE6302">
        <w:t xml:space="preserve">  The severity of manganese leaching in this study </w:t>
      </w:r>
      <w:r w:rsidR="00FC5DEA">
        <w:t xml:space="preserve">can be used </w:t>
      </w:r>
      <w:r w:rsidR="00002C1F">
        <w:t xml:space="preserve">as a guide </w:t>
      </w:r>
      <w:r w:rsidR="009F1638">
        <w:t>to estimate</w:t>
      </w:r>
      <w:r w:rsidR="00E42F59">
        <w:t xml:space="preserve"> the contamination risk over time</w:t>
      </w:r>
      <w:r w:rsidR="00002C1F">
        <w:t xml:space="preserve"> of LIB into surrounding water systems</w:t>
      </w:r>
      <w:r w:rsidR="00C45A00">
        <w:t>.</w:t>
      </w:r>
      <w:r w:rsidR="00B221BA">
        <w:t xml:space="preserve">  The best fit line used for the leaching of manganese was a logistic growth rate.  This reaction rate determined a rate constant of </w:t>
      </w:r>
      <w:r w:rsidR="00B221BA" w:rsidRPr="00BD79E1">
        <w:t>0.2</w:t>
      </w:r>
      <w:r w:rsidR="00DA4F1A">
        <w:t>36</w:t>
      </w:r>
      <w:r w:rsidR="00B221BA" w:rsidRPr="00BD79E1">
        <w:t xml:space="preserve"> and a solubility limit of </w:t>
      </w:r>
      <w:r w:rsidR="00BD79E1" w:rsidRPr="00BD79E1">
        <w:t>0.</w:t>
      </w:r>
      <w:r w:rsidR="00DA4F1A">
        <w:t>557</w:t>
      </w:r>
      <w:r w:rsidR="00B221BA" w:rsidRPr="00BD79E1">
        <w:t xml:space="preserve"> mg/L for acidic water and </w:t>
      </w:r>
      <w:r w:rsidR="00BD79E1" w:rsidRPr="00BD79E1">
        <w:t>0.</w:t>
      </w:r>
      <w:r w:rsidR="00DA4F1A">
        <w:t>216</w:t>
      </w:r>
      <w:r w:rsidR="00B221BA" w:rsidRPr="00BD79E1">
        <w:t xml:space="preserve"> mg/L for basic water.  The</w:t>
      </w:r>
      <w:r w:rsidR="00B221BA">
        <w:t xml:space="preserve"> rate constant value is in range of previous literature and the decrease in the solubility limit as pH increases coincides with previous literature, though different properties of water, such as ionic strength, produce different rate constants and solubility limits </w:t>
      </w:r>
      <w:r w:rsidR="00B221BA">
        <w:fldChar w:fldCharType="begin" w:fldLock="1"/>
      </w:r>
      <w:r w:rsidR="00B221BA">
        <w:instrText>ADDIN CSL_CITATION {"citationItems":[{"id":"ITEM-1","itemData":{"DOI":"10.3390/min10100873","ISSN":"2075163X","abstract":"Mining activity produces a series of wastes that must be treated to avoid environmental pollution. In addition, some of these mining wastes still contain metallic elements that are interesting for their extraction with new less expensive techniques and that can work with low mineral grades, such as hydrometallurgy. This study evaluates the suitability of Copper recovery in mining wastes, coming from waste dump, with a high percentage of metal oxides and granite. This recovery is carried out through leaching in 0.05, 0.10, 0.15 and 0.20 molar Sulphuric Acid solutions, at ambient temperature and atmospheric pressure. The exposure of the waste to the solution was made for 96 h, taking measurements of the leaching and evaluating the increase in Copper concentration every 24 h. The results reflected a good Copper recovery rate with concentrations up to 1.9 g/L. The best results were obtained for the 0.20 molar Sulphuric Acid solutions, producing a stability in the Copper concentration after 72 h. Other elements in smaller proportion as the Zinc were also recovered. Therefore, a process of recovery of Copper was obtained with a robust, versatile and economic technique in mining residues that currently represent an environmental pollution.","author":[{"dropping-particle":"","family":"Terrones‐saeta","given":"Juan María","non-dropping-particle":"","parse-names":false,"suffix":""},{"dropping-particle":"","family":"Suárez‐macías","given":"Jorge","non-dropping-particle":"","parse-names":false,"suffix":""},{"dropping-particle":"","family":"Linares Del Río","given":"Francisco Javier","non-dropping-particle":"","parse-names":false,"suffix":""},{"dropping-particle":"","family":"Corpas‐iglesias","given":"Francisco Antonio","non-dropping-particle":"","parse-names":false,"suffix":""}],"container-title":"Minerals","id":"ITEM-1","issue":"10","issued":{"date-parts":[["2020"]]},"page":"1-23","title":"Study of copper leaching from mining waste in acidic media, at ambient temperature and atmospheric pressure","type":"article-journal","volume":"10"},"uris":["http://www.mendeley.com/documents/?uuid=af096a7c-177b-4af6-b324-0535e1fd7d92"]}],"mendeley":{"formattedCitation":"(Terrones‐saeta et al., 2020)","plainTextFormattedCitation":"(Terrones‐saeta et al., 2020)","previouslyFormattedCitation":"(Terrones‐saeta et al., 2020)"},"properties":{"noteIndex":0},"schema":"https://github.com/citation-style-language/schema/raw/master/csl-citation.json"}</w:instrText>
      </w:r>
      <w:r w:rsidR="00B221BA">
        <w:fldChar w:fldCharType="separate"/>
      </w:r>
      <w:r w:rsidR="00B221BA" w:rsidRPr="003B0F88">
        <w:rPr>
          <w:noProof/>
        </w:rPr>
        <w:t>(Terrones‐saeta et al., 2020)</w:t>
      </w:r>
      <w:r w:rsidR="00B221BA">
        <w:fldChar w:fldCharType="end"/>
      </w:r>
      <w:r w:rsidR="00B221BA">
        <w:t>.</w:t>
      </w:r>
      <w:r w:rsidR="00697075">
        <w:t xml:space="preserve">  </w:t>
      </w:r>
      <w:r w:rsidR="00697075" w:rsidRPr="0083594A">
        <w:t>These solubility limits are</w:t>
      </w:r>
      <w:r w:rsidR="0083594A" w:rsidRPr="0083594A">
        <w:t xml:space="preserve"> in range with previously reported values</w:t>
      </w:r>
      <w:r w:rsidR="00B221BA" w:rsidRPr="0083594A">
        <w:t xml:space="preserve"> </w:t>
      </w:r>
      <w:r w:rsidR="00247962" w:rsidRPr="0083594A">
        <w:fldChar w:fldCharType="begin" w:fldLock="1"/>
      </w:r>
      <w:r w:rsidR="00F67693" w:rsidRPr="0083594A">
        <w:instrText>ADDIN CSL_CITATION {"citationItems":[{"id":"ITEM-1","itemData":{"ISBN":"0370446720","author":[{"dropping-particle":"","family":"Duarte","given":"Renata Sanotos","non-dropping-particle":"","parse-names":false,"suffix":""},{"dropping-particle":"","family":"Lima","given":"Rosa Malena Fernandes","non-dropping-particle":"","parse-names":false,"suffix":""},{"dropping-particle":"","family":"Leao","given":"Versaine Albis","non-dropping-particle":"","parse-names":false,"suffix":""}],"container-title":"Mining","id":"ITEM-1","issue":"4","issued":{"date-parts":[["2015"]]},"page":"463-469","title":"Effect of inorganic and organic depressants on the cationic flotation and surface charge of rhodonite-rhodochrosite","type":"article-journal","volume":"68"},"uris":["http://www.mendeley.com/documents/?uuid=237956dd-864c-4ffb-a8bd-6dde5ba3d8ce"]}],"mendeley":{"formattedCitation":"(Duarte et al., 2015)","plainTextFormattedCitation":"(Duarte et al., 2015)","previouslyFormattedCitation":"(Duarte et al., 2015)"},"properties":{"noteIndex":0},"schema":"https://github.com/citation-style-language/schema/raw/master/csl-citation.json"}</w:instrText>
      </w:r>
      <w:r w:rsidR="00247962" w:rsidRPr="0083594A">
        <w:fldChar w:fldCharType="separate"/>
      </w:r>
      <w:r w:rsidR="00247962" w:rsidRPr="0083594A">
        <w:rPr>
          <w:noProof/>
        </w:rPr>
        <w:t>(Duarte et al., 2015)</w:t>
      </w:r>
      <w:r w:rsidR="00247962" w:rsidRPr="0083594A">
        <w:fldChar w:fldCharType="end"/>
      </w:r>
      <w:r w:rsidR="00247962" w:rsidRPr="0083594A">
        <w:t>.</w:t>
      </w:r>
      <w:r w:rsidR="0083594A">
        <w:t xml:space="preserve"> </w:t>
      </w:r>
      <w:r w:rsidR="00E14FC6">
        <w:t xml:space="preserve"> The rate constant and solubility limit of manganese in water can be used to estimate and predict contamination concentrations of LIB metals in water systems surrounding landfills and recycling centers.</w:t>
      </w:r>
      <w:r w:rsidR="007A0912">
        <w:t xml:space="preserve">  The slow initial leaching may be caused by </w:t>
      </w:r>
      <w:r w:rsidR="006331B8">
        <w:t xml:space="preserve">the </w:t>
      </w:r>
      <w:r w:rsidR="00A83E7E">
        <w:t xml:space="preserve">requirement of a </w:t>
      </w:r>
      <w:r w:rsidR="004706B0">
        <w:t>reducing agent for</w:t>
      </w:r>
      <w:r w:rsidR="00CD5BAB">
        <w:t xml:space="preserve"> MnO</w:t>
      </w:r>
      <w:r w:rsidR="00CD5BAB">
        <w:rPr>
          <w:vertAlign w:val="subscript"/>
        </w:rPr>
        <w:t>2</w:t>
      </w:r>
      <w:r w:rsidR="00CD5BAB">
        <w:t xml:space="preserve">, the </w:t>
      </w:r>
      <w:r w:rsidR="00814D69">
        <w:t>manganese species in the LIB.</w:t>
      </w:r>
      <w:r w:rsidR="001919EB">
        <w:t xml:space="preserve">  </w:t>
      </w:r>
      <w:r w:rsidR="004706B0">
        <w:t>In disposed LIB, where the oxidation state of manganese ranges from +4 to +2, there will likely be a higher leaching rate due to t</w:t>
      </w:r>
      <w:r w:rsidR="009C551C">
        <w:t xml:space="preserve">he soluble reduced form of manganese.  </w:t>
      </w:r>
    </w:p>
    <w:p w14:paraId="0547D043" w14:textId="2B55C629" w:rsidR="00A75148" w:rsidRDefault="00DC6A56" w:rsidP="00F67693">
      <w:pPr>
        <w:jc w:val="both"/>
      </w:pPr>
      <w:r>
        <w:tab/>
      </w:r>
      <w:r w:rsidR="0024658F">
        <w:t xml:space="preserve">Nickel leaching in the acidic water </w:t>
      </w:r>
      <w:r w:rsidR="000851C5">
        <w:t>was shown to be more significant compared to the basic water.  At the end of 24 weeks, the average concen</w:t>
      </w:r>
      <w:r w:rsidR="000851C5" w:rsidRPr="009F0AED">
        <w:t>tration of nickel in the acidic water was</w:t>
      </w:r>
      <w:r w:rsidR="009F0AED" w:rsidRPr="009F0AED">
        <w:t xml:space="preserve"> 1.159</w:t>
      </w:r>
      <w:r w:rsidR="003566B4" w:rsidRPr="009F0AED">
        <w:t xml:space="preserve"> mg/L and in the basic water wa</w:t>
      </w:r>
      <w:r w:rsidR="009F0AED" w:rsidRPr="009F0AED">
        <w:t>s 0.067</w:t>
      </w:r>
      <w:r w:rsidR="003566B4" w:rsidRPr="009F0AED">
        <w:t xml:space="preserve"> mg/L.</w:t>
      </w:r>
      <w:r w:rsidR="003566B4">
        <w:t xml:space="preserve">  </w:t>
      </w:r>
      <w:r w:rsidR="00860D9D">
        <w:t>The leaching of nickel</w:t>
      </w:r>
      <w:r w:rsidR="00450093">
        <w:t xml:space="preserve"> into water systems near landfills and recycling centers from LIB </w:t>
      </w:r>
      <w:r w:rsidR="00FA2462">
        <w:t>will be diluted</w:t>
      </w:r>
      <w:r w:rsidR="003C5305">
        <w:t xml:space="preserve"> from rain runoff and other water sources, however, the concentration of nickel may be well above </w:t>
      </w:r>
      <w:r w:rsidR="00732D95">
        <w:t xml:space="preserve">set </w:t>
      </w:r>
      <w:r w:rsidR="003E4EE9">
        <w:t>surface water</w:t>
      </w:r>
      <w:r w:rsidR="003C5305">
        <w:t xml:space="preserve"> </w:t>
      </w:r>
      <w:r w:rsidR="00732D95">
        <w:t>guidelines and limits.</w:t>
      </w:r>
      <w:r w:rsidR="003E4EE9">
        <w:t xml:space="preserve">  The Lianjiang River near the e-waste center in Guiyu, China </w:t>
      </w:r>
      <w:r w:rsidR="00EB7A31">
        <w:t>had</w:t>
      </w:r>
      <w:r w:rsidR="00D17E74">
        <w:t xml:space="preserve"> a nickel concentration of 1.4 mg/L</w:t>
      </w:r>
      <w:r w:rsidR="00EB7A31">
        <w:t>, well above the 0.</w:t>
      </w:r>
      <w:r w:rsidR="00DD7AAA">
        <w:t>02 mg/L</w:t>
      </w:r>
      <w:r w:rsidR="002A4DD6">
        <w:t xml:space="preserve"> WHO </w:t>
      </w:r>
      <w:r w:rsidR="002361C4">
        <w:t xml:space="preserve">limit </w:t>
      </w:r>
      <w:r w:rsidR="00723E53">
        <w:fldChar w:fldCharType="begin" w:fldLock="1"/>
      </w:r>
      <w:r w:rsidR="00AB3B85">
        <w:instrText>ADDIN CSL_CITATION {"citationItems":[{"id":"ITEM-1","itemData":{"DOI":"10.1016/j.envpol.2006.05.017","author":[{"dropping-particle":"","family":"Wong","given":"C.","non-dropping-particle":"","parse-names":false,"suffix":""},{"dropping-particle":"","family":"Wu","given":"S.","non-dropping-particle":"","parse-names":false,"suffix":""},{"dropping-particle":"","family":"Duzgoren-Aydin","given":"N.","non-dropping-particle":"","parse-names":false,"suffix":""},{"dropping-particle":"","family":"Aydin","given":"A.","non-dropping-particle":"","parse-names":false,"suffix":""},{"dropping-particle":"","family":"Wong","given":"M.","non-dropping-particle":"","parse-names":false,"suffix":""}],"container-title":"Environmental Pollution","id":"ITEM-1","issued":{"date-parts":[["2007"]]},"page":"434-442","title":"Trace metal contamination of sediments in an e-waste processing village in China","type":"article-journal","volume":"145"},"uris":["http://www.mendeley.com/documents/?uuid=04ad3fc2-b269-4cae-8c8d-5cae061407f9"]},{"id":"ITEM-2","itemData":{"DOI":"10.2134/jeq2008.0398","ISSN":"0047-2425","PMID":"19549938","abstract":"This study evaluated the effect of electronic waste (e-waste) recycling activities at a regional center, Guiyu, Guangdong, China on heavy metal pollution in the surrounding waterway system. Surface water and sediment collected from the Lianjiang River and its tributaries were analyzed for concentrations of Cu, Pb, Ni, Cd, Hg, and As. Spatially, heavy metals in water and sediment samples decreased downstream of Lianjiang River from Guiyu to the estuary at Haimen Bay. Temporally, heavy metal concentrations in the surface water were high in the rainy season and low in the dry season. In particular, concentrations of Cu from surface water in the Guiyu area were 2.4 to 131 times the reference background concentration, followed in descending order by Ni, Cd, Pb, Hg, and As. However, when compared with China's Environmental Quality Standard, Cd was considered the most harmful element, followed by Hg, Pb, and Cu. Concentrations of Cu in sediment samples in the Guiyu area were 3.2 to 429 times the reference background concentration, followed by Ni, Hg, Pb, Cd, and As. Our findings suggested that high concentrations of heavy metal observed in Guiyu, Lianjiang River and the Haimen Bay could be attributed to the direct effects of e-waste recycling in Guiyu.","author":[{"dropping-particle":"","family":"Guo","given":"Yan","non-dropping-particle":"","parse-names":false,"suffix":""},{"dropping-particle":"","family":"Huang","given":"Changjiang","non-dropping-particle":"","parse-names":false,"suffix":""},{"dropping-particle":"","family":"Zhang","given":"Hong","non-dropping-particle":"","parse-names":false,"suffix":""},{"dropping-particle":"","family":"Dong","given":"Qiaoxiang","non-dropping-particle":"","parse-names":false,"suffix":""}],"container-title":"Journal of Environmental Quality","id":"ITEM-2","issue":"4","issued":{"date-parts":[["2009"]]},"page":"1617-1626","title":"Heavy Metal Contamination from Electronic Waste Recycling at Guiyu, Southeastern China","type":"article-journal","volume":"38"},"uris":["http://www.mendeley.com/documents/?uuid=e91f2baf-2412-4400-8324-da4ff4a2aeab"]}],"mendeley":{"formattedCitation":"(Guo et al., 2009; Wong et al., 2007)","plainTextFormattedCitation":"(Guo et al., 2009; Wong et al., 2007)","previouslyFormattedCitation":"(Guo et al., 2009; Wong et al., 2007)"},"properties":{"noteIndex":0},"schema":"https://github.com/citation-style-language/schema/raw/master/csl-citation.json"}</w:instrText>
      </w:r>
      <w:r w:rsidR="00723E53">
        <w:fldChar w:fldCharType="separate"/>
      </w:r>
      <w:r w:rsidR="00723E53" w:rsidRPr="00723E53">
        <w:rPr>
          <w:noProof/>
        </w:rPr>
        <w:t>(Guo et al., 2009; Wong et al., 2007)</w:t>
      </w:r>
      <w:r w:rsidR="00723E53">
        <w:fldChar w:fldCharType="end"/>
      </w:r>
      <w:r w:rsidR="00723E53">
        <w:t xml:space="preserve">.  </w:t>
      </w:r>
      <w:r w:rsidR="003D5E24">
        <w:t>The dominant</w:t>
      </w:r>
      <w:r w:rsidR="00666709">
        <w:t xml:space="preserve"> nickel</w:t>
      </w:r>
      <w:r w:rsidR="003D5E24">
        <w:t xml:space="preserve"> species in acidic water</w:t>
      </w:r>
      <w:r w:rsidR="00666709">
        <w:t xml:space="preserve"> are </w:t>
      </w:r>
      <w:r w:rsidR="00877537">
        <w:t>Ni</w:t>
      </w:r>
      <w:r w:rsidR="00877537">
        <w:rPr>
          <w:vertAlign w:val="superscript"/>
        </w:rPr>
        <w:t>2+</w:t>
      </w:r>
      <w:r w:rsidR="004430A8">
        <w:t>, which has been shown to be toxic in animal studies</w:t>
      </w:r>
      <w:r w:rsidR="00014A54">
        <w:t xml:space="preserve">.  The less-soluble nickel species that dominate in </w:t>
      </w:r>
      <w:r w:rsidR="00600A7F">
        <w:t>basic water has a lower toxicity to animals because</w:t>
      </w:r>
      <w:r w:rsidR="00AF205C">
        <w:t xml:space="preserve"> </w:t>
      </w:r>
      <w:r w:rsidR="00AF205C">
        <w:lastRenderedPageBreak/>
        <w:t xml:space="preserve">they </w:t>
      </w:r>
      <w:r w:rsidR="00AB3B85">
        <w:t xml:space="preserve">are less reactive to the gastrointestinal digestive processes </w:t>
      </w:r>
      <w:r w:rsidR="00AB3B85">
        <w:fldChar w:fldCharType="begin" w:fldLock="1"/>
      </w:r>
      <w:r w:rsidR="00D1460F">
        <w:instrText>ADDIN CSL_CITATION {"citationItems":[{"id":"ITEM-1","itemData":{"ISBN":"8004471544","ISSN":"1942-0994","PMID":"1007","author":[{"dropping-particle":"","family":"Control","given":"Center for Disease","non-dropping-particle":"","parse-names":false,"suffix":""}],"container-title":"Center for Disease Control","id":"ITEM-1","issued":{"date-parts":[["2011"]]},"number-of-pages":"1-397","title":"Toxicological profile for nickel","type":"report"},"uris":["http://www.mendeley.com/documents/?uuid=e0c5a2c5-2a54-4e10-9456-281be034f2f7"]}],"mendeley":{"formattedCitation":"(Control, 2011c)","plainTextFormattedCitation":"(Control, 2011c)","previouslyFormattedCitation":"(Control, 2011c)"},"properties":{"noteIndex":0},"schema":"https://github.com/citation-style-language/schema/raw/master/csl-citation.json"}</w:instrText>
      </w:r>
      <w:r w:rsidR="00AB3B85">
        <w:fldChar w:fldCharType="separate"/>
      </w:r>
      <w:r w:rsidR="00C245C5" w:rsidRPr="00C245C5">
        <w:rPr>
          <w:noProof/>
        </w:rPr>
        <w:t>(Control, 2011c)</w:t>
      </w:r>
      <w:r w:rsidR="00AB3B85">
        <w:fldChar w:fldCharType="end"/>
      </w:r>
      <w:r w:rsidR="00AB3B85">
        <w:t>.</w:t>
      </w:r>
      <w:r w:rsidR="00B221BA">
        <w:t xml:space="preserve">  The best fit line used for the leaching of </w:t>
      </w:r>
      <w:r w:rsidR="00B9591B">
        <w:t>nickel</w:t>
      </w:r>
      <w:r w:rsidR="00B221BA">
        <w:t xml:space="preserve"> was a logistic growth rate.  This reaction rate d</w:t>
      </w:r>
      <w:r w:rsidR="00B221BA" w:rsidRPr="009F0AED">
        <w:t>etermined a rate constant of 0.</w:t>
      </w:r>
      <w:r w:rsidR="004034EE">
        <w:t>236</w:t>
      </w:r>
      <w:r w:rsidR="00B221BA" w:rsidRPr="009F0AED">
        <w:t xml:space="preserve"> and a solubility limit of</w:t>
      </w:r>
      <w:r w:rsidR="009F0AED" w:rsidRPr="009F0AED">
        <w:t xml:space="preserve"> 1.</w:t>
      </w:r>
      <w:r w:rsidR="004034EE">
        <w:t>127</w:t>
      </w:r>
      <w:r w:rsidR="00B221BA" w:rsidRPr="009F0AED">
        <w:t xml:space="preserve"> mg/L for acidic water and </w:t>
      </w:r>
      <w:r w:rsidR="009F0AED" w:rsidRPr="009F0AED">
        <w:t>0.0</w:t>
      </w:r>
      <w:r w:rsidR="004034EE">
        <w:t>58</w:t>
      </w:r>
      <w:r w:rsidR="00B221BA" w:rsidRPr="009F0AED">
        <w:t xml:space="preserve"> mg/L for basic</w:t>
      </w:r>
      <w:r w:rsidR="00B221BA">
        <w:t xml:space="preserve"> water.  The rate constant value is in range of previous literature and the decrease in the solubility limit as pH increases coincides with previous literature, though different properties of water, such as ionic strength, produce different rate constants and solubility </w:t>
      </w:r>
      <w:r w:rsidR="00B221BA" w:rsidRPr="009F0AED">
        <w:t xml:space="preserve">limits </w:t>
      </w:r>
      <w:r w:rsidR="00B221BA" w:rsidRPr="009F0AED">
        <w:fldChar w:fldCharType="begin" w:fldLock="1"/>
      </w:r>
      <w:r w:rsidR="00B221BA" w:rsidRPr="009F0AED">
        <w:instrText>ADDIN CSL_CITATION {"citationItems":[{"id":"ITEM-1","itemData":{"DOI":"10.3390/min10100873","ISSN":"2075163X","abstract":"Mining activity produces a series of wastes that must be treated to avoid environmental pollution. In addition, some of these mining wastes still contain metallic elements that are interesting for their extraction with new less expensive techniques and that can work with low mineral grades, such as hydrometallurgy. This study evaluates the suitability of Copper recovery in mining wastes, coming from waste dump, with a high percentage of metal oxides and granite. This recovery is carried out through leaching in 0.05, 0.10, 0.15 and 0.20 molar Sulphuric Acid solutions, at ambient temperature and atmospheric pressure. The exposure of the waste to the solution was made for 96 h, taking measurements of the leaching and evaluating the increase in Copper concentration every 24 h. The results reflected a good Copper recovery rate with concentrations up to 1.9 g/L. The best results were obtained for the 0.20 molar Sulphuric Acid solutions, producing a stability in the Copper concentration after 72 h. Other elements in smaller proportion as the Zinc were also recovered. Therefore, a process of recovery of Copper was obtained with a robust, versatile and economic technique in mining residues that currently represent an environmental pollution.","author":[{"dropping-particle":"","family":"Terrones‐saeta","given":"Juan María","non-dropping-particle":"","parse-names":false,"suffix":""},{"dropping-particle":"","family":"Suárez‐macías","given":"Jorge","non-dropping-particle":"","parse-names":false,"suffix":""},{"dropping-particle":"","family":"Linares Del Río","given":"Francisco Javier","non-dropping-particle":"","parse-names":false,"suffix":""},{"dropping-particle":"","family":"Corpas‐iglesias","given":"Francisco Antonio","non-dropping-particle":"","parse-names":false,"suffix":""}],"container-title":"Minerals","id":"ITEM-1","issue":"10","issued":{"date-parts":[["2020"]]},"page":"1-23","title":"Study of copper leaching from mining waste in acidic media, at ambient temperature and atmospheric pressure","type":"article-journal","volume":"10"},"uris":["http://www.mendeley.com/documents/?uuid=af096a7c-177b-4af6-b324-0535e1fd7d92"]}],"mendeley":{"formattedCitation":"(Terrones‐saeta et al., 2020)","plainTextFormattedCitation":"(Terrones‐saeta et al., 2020)","previouslyFormattedCitation":"(Terrones‐saeta et al., 2020)"},"properties":{"noteIndex":0},"schema":"https://github.com/citation-style-language/schema/raw/master/csl-citation.json"}</w:instrText>
      </w:r>
      <w:r w:rsidR="00B221BA" w:rsidRPr="009F0AED">
        <w:fldChar w:fldCharType="separate"/>
      </w:r>
      <w:r w:rsidR="00B221BA" w:rsidRPr="009F0AED">
        <w:rPr>
          <w:noProof/>
        </w:rPr>
        <w:t>(Terrones‐saeta et al., 2020)</w:t>
      </w:r>
      <w:r w:rsidR="00B221BA" w:rsidRPr="009F0AED">
        <w:fldChar w:fldCharType="end"/>
      </w:r>
      <w:r w:rsidR="00B221BA" w:rsidRPr="009F0AED">
        <w:t xml:space="preserve">.  </w:t>
      </w:r>
      <w:r w:rsidR="009F0AED" w:rsidRPr="009F0AED">
        <w:t xml:space="preserve">These solubility limits are in range with previously reported values </w:t>
      </w:r>
      <w:r w:rsidR="00B221BA" w:rsidRPr="009F0AED">
        <w:fldChar w:fldCharType="begin" w:fldLock="1"/>
      </w:r>
      <w:r w:rsidR="00B9591B" w:rsidRPr="009F0AED">
        <w:instrText>ADDIN CSL_CITATION {"citationItems":[{"id":"ITEM-1","itemData":{"DOI":"10.1515/ract-2017-2762","ISSN":"00338230","abstract":"The solubility of β-Ni(OH)2(cr) was investigated at T=(22±2)°C in the absence and presence of α-isosaccharinic acid (ISA), the main degradation product of cellulose under alkaline pH conditions. Batch solubility experiments were performed from undersaturation conditions under inert gas (Ar) atmosphere. Solubility experiments in the absence of ISA were conducted in 0.5 and 3.0 M NaCl-NaOH solutions at 7.5≤ pHm ≤13 (with pHm=-log10[H+]). XRD analyses of selected solid phases collected after completing the solubility experiments (300 days) confirmed that β-Ni(OH)2(cr) remains as solid phase controlling the solubility of Ni(II) in all investigated conditions. Based on the slope analysis (log10[Ni] vs. pHm) of the solubility data and solid phase characterization, the equilibrium reactions β-Ni(OH)2(cr)+2 H+Ni2++2 H2O(l) and β-Ni(OH)2(cr)Ni(OH)2(aq) were identified as controlling the solubility of Ni(II) within the investigated pHm region. The conditional equilibrium constants determined from the solubility experiments at different ionic strengths were evaluated with the specific ion interaction theory (SIT). In contrast to the current thermodynamic selection in the NEA-TDB, solubility data collected in the present work does not support the formation of the anionic hydrolysis species Ni(OH)3- up to pHm ≤13.0. Solubility experiments in the presence of ISA were conducted in 0.5 M NaCl-NaOH-NaISA solutions with 0.01 M≤[NaISA] ≤0.2 M and 9≤ pHm ≤13. XRD analyses confirmed that β-Ni(OH)2(cr) is also the solid phase controlling the solubility of Ni(II) in the presence of ISA. Solubility data of all investigated systems can be properly explained with chemical and thermodynamic models including the formation of the complexes NiOHISA(aq), Ni(OH)2ISA- and Ni(OH)3ISA2-. The reported data confirm the low solubility (&lt;10-7 M) of Ni(II) in hyperalkaline pH conditions representative of cementitious environments (10≤ pH ≤13), which increases to up to 10-5 M in the presence of 0.2 M NaISA. These results significantly improve source term estimations for Ni(II) in environments relevant for the disposal of low and intermediate level radioactive waste (L/ILW). The chemical and thermodynamic models derived in this work can be implemented in geochemical models/calculations, and provide further confidence in the safety analysis of repositories for the disposal of L/ILW.","author":[{"dropping-particle":"","family":"González-Siso","given":"Maria Rosa","non-dropping-particle":"","parse-names":false,"suffix":""},{"dropping-particle":"","family":"Gaona","given":"Xavier","non-dropping-particle":"","parse-names":false,"suffix":""},{"dropping-particle":"","family":"Duro","given":"Lara","non-dropping-particle":"","parse-names":false,"suffix":""},{"dropping-particle":"","family":"Altmaier","given":"Marcus","non-dropping-particle":"","parse-names":false,"suffix":""},{"dropping-particle":"","family":"Bruno","given":"Jordi","non-dropping-particle":"","parse-names":false,"suffix":""}],"container-title":"Radiochimica Acta","id":"ITEM-1","issue":"1","issued":{"date-parts":[["2018"]]},"page":"31-45","title":"Thermodynamic model of Ni(II) solubility, hydrolysis and complex formation with ISA","type":"article-journal","volume":"106"},"uris":["http://www.mendeley.com/documents/?uuid=97cbfb5a-93f3-48e7-ae30-5bbc59b45fdd"]}],"mendeley":{"formattedCitation":"(González-Siso et al., 2018)","plainTextFormattedCitation":"(González-Siso et al., 2018)","previouslyFormattedCitation":"(González-Siso et al., 2018)"},"properties":{"noteIndex":0},"schema":"https://github.com/citation-style-language/schema/raw/master/csl-citation.json"}</w:instrText>
      </w:r>
      <w:r w:rsidR="00B221BA" w:rsidRPr="009F0AED">
        <w:fldChar w:fldCharType="separate"/>
      </w:r>
      <w:r w:rsidR="00B221BA" w:rsidRPr="009F0AED">
        <w:rPr>
          <w:noProof/>
        </w:rPr>
        <w:t>(González-Siso et al., 2018)</w:t>
      </w:r>
      <w:r w:rsidR="00B221BA" w:rsidRPr="009F0AED">
        <w:fldChar w:fldCharType="end"/>
      </w:r>
      <w:r w:rsidR="00B221BA" w:rsidRPr="009F0AED">
        <w:t xml:space="preserve">.  </w:t>
      </w:r>
      <w:r w:rsidR="00E14FC6">
        <w:t>The rate constant and solubility limit of nickel in water can be used to estimate and predict contamination concentrations of LIB metals in water systems surrounding landfills and recycling centers.</w:t>
      </w:r>
      <w:r w:rsidR="009521B2">
        <w:rPr>
          <w:rFonts w:cs="Times New Roman"/>
        </w:rPr>
        <w:t xml:space="preserve">  </w:t>
      </w:r>
      <w:r w:rsidR="00B81350">
        <w:rPr>
          <w:rFonts w:cs="Times New Roman"/>
        </w:rPr>
        <w:t xml:space="preserve">With these results, </w:t>
      </w:r>
      <w:r w:rsidR="00D27F24">
        <w:rPr>
          <w:rFonts w:cs="Times New Roman"/>
        </w:rPr>
        <w:t xml:space="preserve">the acidic water poses the highest </w:t>
      </w:r>
      <w:r w:rsidR="008E2B6C">
        <w:rPr>
          <w:rFonts w:cs="Times New Roman"/>
        </w:rPr>
        <w:t>contamination risk of nickel</w:t>
      </w:r>
      <w:r w:rsidR="0009554A">
        <w:rPr>
          <w:rFonts w:cs="Times New Roman"/>
        </w:rPr>
        <w:t xml:space="preserve"> from LIB</w:t>
      </w:r>
      <w:r w:rsidR="008E2B6C">
        <w:rPr>
          <w:rFonts w:cs="Times New Roman"/>
        </w:rPr>
        <w:t xml:space="preserve"> into the water systems</w:t>
      </w:r>
      <w:r w:rsidR="00D27F24">
        <w:rPr>
          <w:rFonts w:cs="Times New Roman"/>
        </w:rPr>
        <w:t xml:space="preserve"> surrounding landfills and recycling centers.</w:t>
      </w:r>
    </w:p>
    <w:p w14:paraId="69CABB2C" w14:textId="7D8304A1" w:rsidR="00A75148" w:rsidRPr="00B9591B" w:rsidRDefault="00A75148" w:rsidP="0017483D">
      <w:pPr>
        <w:jc w:val="both"/>
        <w:rPr>
          <w:rFonts w:cs="Times New Roman"/>
        </w:rPr>
      </w:pPr>
      <w:r>
        <w:tab/>
      </w:r>
      <w:r w:rsidR="00122670">
        <w:t xml:space="preserve">Aluminum </w:t>
      </w:r>
      <w:r w:rsidR="00F86AC4">
        <w:t>leaching</w:t>
      </w:r>
      <w:r w:rsidR="00822367">
        <w:t xml:space="preserve"> in the </w:t>
      </w:r>
      <w:r w:rsidR="00BA725C">
        <w:t xml:space="preserve">basic water was shown to be more significant compared to the acidic water.  At the end of 24 weeks, the </w:t>
      </w:r>
      <w:r w:rsidR="004A248F">
        <w:t xml:space="preserve">average </w:t>
      </w:r>
      <w:r w:rsidR="00BA725C">
        <w:t>concentra</w:t>
      </w:r>
      <w:r w:rsidR="00BA725C" w:rsidRPr="009F0AED">
        <w:t xml:space="preserve">tion of aluminum </w:t>
      </w:r>
      <w:r w:rsidR="00997131" w:rsidRPr="009F0AED">
        <w:t xml:space="preserve">in the basic water was </w:t>
      </w:r>
      <w:r w:rsidR="009F0AED" w:rsidRPr="009F0AED">
        <w:t>3.970</w:t>
      </w:r>
      <w:r w:rsidR="004A248F" w:rsidRPr="009F0AED">
        <w:t xml:space="preserve"> mg/</w:t>
      </w:r>
      <w:r w:rsidR="00816D55" w:rsidRPr="009F0AED">
        <w:t>L</w:t>
      </w:r>
      <w:r w:rsidR="004A248F" w:rsidRPr="009F0AED">
        <w:t xml:space="preserve"> and in the acidic water was </w:t>
      </w:r>
      <w:r w:rsidR="009F0AED" w:rsidRPr="009F0AED">
        <w:t>1.689</w:t>
      </w:r>
      <w:r w:rsidR="004A248F" w:rsidRPr="009F0AED">
        <w:t xml:space="preserve"> mg/</w:t>
      </w:r>
      <w:r w:rsidR="00816D55" w:rsidRPr="009F0AED">
        <w:t>L</w:t>
      </w:r>
      <w:r w:rsidR="004A248F" w:rsidRPr="009F0AED">
        <w:t>.</w:t>
      </w:r>
      <w:r w:rsidR="00882829" w:rsidRPr="009F0AED">
        <w:t xml:space="preserve">  Unlike</w:t>
      </w:r>
      <w:r w:rsidR="00882829">
        <w:t xml:space="preserve"> </w:t>
      </w:r>
      <w:r w:rsidR="00ED1F36">
        <w:t>the other LIB</w:t>
      </w:r>
      <w:r w:rsidR="00882829">
        <w:t xml:space="preserve"> metals that </w:t>
      </w:r>
      <w:r w:rsidR="00C86BD5">
        <w:t xml:space="preserve">have </w:t>
      </w:r>
      <w:r w:rsidR="00ED1F36">
        <w:t>much higher solubility</w:t>
      </w:r>
      <w:r w:rsidR="003E7830">
        <w:t xml:space="preserve"> in the acidic pH range</w:t>
      </w:r>
      <w:r w:rsidR="00ED1F36">
        <w:t xml:space="preserve"> than the basic pH range</w:t>
      </w:r>
      <w:r w:rsidR="003E7830">
        <w:t>, aluminum solubility v</w:t>
      </w:r>
      <w:r w:rsidR="006376BE">
        <w:t>aries depending on pH, with free ion</w:t>
      </w:r>
      <w:r w:rsidR="007F1729">
        <w:t xml:space="preserve"> Al</w:t>
      </w:r>
      <w:r w:rsidR="007F1729">
        <w:rPr>
          <w:vertAlign w:val="superscript"/>
        </w:rPr>
        <w:t>3+</w:t>
      </w:r>
      <w:r w:rsidR="007F1729">
        <w:t xml:space="preserve"> as the dominant species in acidic water and</w:t>
      </w:r>
      <w:r w:rsidR="00EF2975">
        <w:t xml:space="preserve"> aluminum hydroxide</w:t>
      </w:r>
      <w:r w:rsidR="00C77F24">
        <w:t>, Al(OH)</w:t>
      </w:r>
      <w:r w:rsidR="00C77F24">
        <w:rPr>
          <w:vertAlign w:val="subscript"/>
        </w:rPr>
        <w:t>4</w:t>
      </w:r>
      <w:r w:rsidR="00431481">
        <w:rPr>
          <w:rFonts w:cs="Times New Roman"/>
          <w:vertAlign w:val="superscript"/>
        </w:rPr>
        <w:t>⁻</w:t>
      </w:r>
      <w:r w:rsidR="00CD2F4B">
        <w:rPr>
          <w:rFonts w:cs="Times New Roman"/>
        </w:rPr>
        <w:t xml:space="preserve">.  </w:t>
      </w:r>
      <w:r w:rsidR="00496AD2">
        <w:rPr>
          <w:rFonts w:cs="Times New Roman"/>
        </w:rPr>
        <w:t>As mentioned in</w:t>
      </w:r>
      <w:r w:rsidR="00B16CE3">
        <w:rPr>
          <w:rFonts w:cs="Times New Roman"/>
        </w:rPr>
        <w:t xml:space="preserve"> Chapter 4.1, Al</w:t>
      </w:r>
      <w:r w:rsidR="00B16CE3">
        <w:rPr>
          <w:rFonts w:cs="Times New Roman"/>
          <w:vertAlign w:val="superscript"/>
        </w:rPr>
        <w:t>3+</w:t>
      </w:r>
      <w:r w:rsidR="00B16CE3">
        <w:rPr>
          <w:rFonts w:cs="Times New Roman"/>
        </w:rPr>
        <w:t xml:space="preserve"> </w:t>
      </w:r>
      <w:r w:rsidR="00814B76">
        <w:rPr>
          <w:rFonts w:cs="Times New Roman"/>
        </w:rPr>
        <w:t xml:space="preserve">is </w:t>
      </w:r>
      <w:r w:rsidR="00FF3E60">
        <w:rPr>
          <w:rFonts w:cs="Times New Roman"/>
        </w:rPr>
        <w:t>bioavailable for</w:t>
      </w:r>
      <w:r w:rsidR="00814B76">
        <w:rPr>
          <w:rFonts w:cs="Times New Roman"/>
        </w:rPr>
        <w:t xml:space="preserve"> plants, which is then toxic</w:t>
      </w:r>
      <w:r w:rsidR="00BF074B">
        <w:rPr>
          <w:rFonts w:cs="Times New Roman"/>
        </w:rPr>
        <w:t xml:space="preserve"> to the root</w:t>
      </w:r>
      <w:r w:rsidR="00FF3E60">
        <w:rPr>
          <w:rFonts w:cs="Times New Roman"/>
        </w:rPr>
        <w:t>s by preventing essential cellular functions</w:t>
      </w:r>
      <w:r w:rsidR="00237502">
        <w:rPr>
          <w:rFonts w:cs="Times New Roman"/>
        </w:rPr>
        <w:t xml:space="preserve"> </w:t>
      </w:r>
      <w:r w:rsidR="00E738D8">
        <w:rPr>
          <w:rFonts w:cs="Times New Roman"/>
        </w:rPr>
        <w:fldChar w:fldCharType="begin" w:fldLock="1"/>
      </w:r>
      <w:r w:rsidR="00DD07DA">
        <w:rPr>
          <w:rFonts w:cs="Times New Roman"/>
        </w:rPr>
        <w:instrText>ADDIN CSL_CITATION {"citationItems":[{"id":"ITEM-1","itemData":{"DOI":"10.1016/j.scitotenv.2008.07.042","ISSN":"00489697","PMID":"18762325","abstract":"Isotope dilution is a useful technique to determine the potential phytoavailability of an element in soil. This method involves equilibrating an isotope with soil and then sampling the labile metal pool by analysis of the soil solution (E value) or plants growing in the soil (L value). The work reported here was conducted to evaluate the distribution coefficient (Kd), and the potential phytoavailability (E value) of cobalt (Co) in eight soils subjected to the atmospheric deposition of anthropogenic Co. Multiple regression analyses demonstrated that the Kd of isotopically exchangeable Co in these soils was best modelled with two parameters: soil pH and organic carbon (OC) content (log Kd = 0.85(pH) + 1.1(logOC) - 5.0, R2 = 0.94, p &lt; 0.01). Cobalt E values ranged from 1.5 to 37% of total soil Co concentrations. No evidence was obtained to suggest that Co(III), if present, was isotopically exchangeable in these soils and it was concluded that the Co E values consisted solely of Co(II). Cobalt L values, measured with Triticum aestivum L. (46 days), of two of these soils (varying in soil pH, e.g. 5.0 and 7.2) were statistically (p &lt; 0.05) different to E values. However, when changes of bulk soil pH on Co E values were considered, the two values were statistically (p &lt; 0.05) similar indicating that processes affecting soil pH during plant growth can alter isotopically exchangeable concentrations of Co. © 2008 Elsevier B.V. All rights reserved.","author":[{"dropping-particle":"","family":"Bakkaus","given":"Estelle","non-dropping-particle":"","parse-names":false,"suffix":""},{"dropping-particle":"","family":"Collins","given":"Richard N.","non-dropping-particle":"","parse-names":false,"suffix":""},{"dropping-particle":"","family":"Morel","given":"Jean Louis","non-dropping-particle":"","parse-names":false,"suffix":""},{"dropping-particle":"","family":"Gouget","given":"Barbara","non-dropping-particle":"","parse-names":false,"suffix":""}],"container-title":"Science of the Total Environment","id":"ITEM-1","issue":"1-2","issued":{"date-parts":[["2008"]]},"page":"108-115","title":"Potential phytoavailability of anthropogenic cobalt in soils as measured by isotope dilution techniques","type":"article-journal","volume":"406"},"uris":["http://www.mendeley.com/documents/?uuid=c0df8be8-eef1-4854-b228-c880d48d7523"]},{"id":"ITEM-2","itemData":{"author":[{"dropping-particle":"","family":"Kinraide","given":"Thomas B","non-dropping-particle":"","parse-names":false,"suffix":""}],"container-title":"Plant Physiology","id":"ITEM-2","issued":{"date-parts":[["1990"]]},"page":"1620-1625","title":"Assessing the rhizotoxicity of the aluminate ion, Al(OH)4-","type":"article-journal","volume":"94"},"uris":["http://www.mendeley.com/documents/?uuid=0894faed-52e2-48bf-a2bb-5d1ba2ba2495"]},{"id":"ITEM-3","itemData":{"DOI":"10.1016/s0074-7696(00)00001-2","ISSN":"00747696","PMID":"10965465","abstract":"Aluminum is the major element in the soil and exists as a stable complex with oxygen and silicate in neutral and weakly acidic soil. When the soil pH is lower than 4.5-5.0, Al is solubilized in the soil water and absorbed by plant roots. Absorbed Al inhibits root elongation severely, and the elongation of roots exposed to Al3- as low as μmol level is inhibited within an hour(s). Thus much research has been conducted to understand the mechanism of Al toxicity and tolerance. Al is located specifically at the root apex. Al-sensitive plants absorb more Al than do Al-tolerant plants, and thus the exclusion mechanism of Al is the major idea for Al tolerance. The understanding of Al stress in plants is important for stable food production in future. Al is a complicated ion in its chemical form and biological function. In this chapter, mechanisms of Al toxicity and tolerance proposed during the past few decades as well as future topics are described from physiological and molecular points of view. (C) 2000 Academic Press.","author":[{"dropping-particle":"","family":"Matsumoto","given":"H.","non-dropping-particle":"","parse-names":false,"suffix":""}],"container-title":"International Review of Cytology","id":"ITEM-3","issued":{"date-parts":[["2000"]]},"page":"1-46","title":"Cell biology of aluminum toxicity tolerance in higher plants","type":"article-journal","volume":"200"},"uris":["http://www.mendeley.com/documents/?uuid=6fcdb6ab-b331-48f0-81d8-f463c6b90feb"]},{"id":"ITEM-4","itemData":{"ISSN":"00385832","abstract":"Gerasimov is displeased because his proposed paper on the new Soviet soil classification was rejected for the Edmonton International Congress. He feels that this is because the organisers wished to avoid discussion of the US classification, and unfavourable comparison with the more genetic Soviet approach. He therefore prints his observations on several topics based on an unpublished paper presented at the 22nd International Geographical Congress. These include disputing the claim that Hilgard has any claim over Dokuchayev in the early development of soil science; rejection of the US 7th Classification; and some encouragement to the Canadians in so far as their inadequate soil classification has some genetic elements. -Keith Clayton","author":[{"dropping-particle":"","family":"Panda","given":"S. K.","non-dropping-particle":"","parse-names":false,"suffix":""},{"dropping-particle":"","family":"Baluska","given":"F.","non-dropping-particle":"","parse-names":false,"suffix":""},{"dropping-particle":"","family":"Matsumoto","given":"H.","non-dropping-particle":"","parse-names":false,"suffix":""}],"container-title":"Plant Signaling &amp; Behavior","id":"ITEM-4","issue":"7","issued":{"date-parts":[["2009"]]},"page":"592-597","title":"Aluminum stress signaling in plants","type":"article-journal","volume":"4"},"uris":["http://www.mendeley.com/documents/?uuid=353e86e7-1a3e-484e-abf8-3979e8208fc6"]}],"mendeley":{"formattedCitation":"(Bakkaus et al., 2008; Kinraide, 1990; Matsumoto, 2000; Panda et al., 2009)","plainTextFormattedCitation":"(Bakkaus et al., 2008; Kinraide, 1990; Matsumoto, 2000; Panda et al., 2009)","previouslyFormattedCitation":"(Bakkaus et al., 2008; Kinraide, 1990; Matsumoto, 2000; Panda et al., 2009)"},"properties":{"noteIndex":0},"schema":"https://github.com/citation-style-language/schema/raw/master/csl-citation.json"}</w:instrText>
      </w:r>
      <w:r w:rsidR="00E738D8">
        <w:rPr>
          <w:rFonts w:cs="Times New Roman"/>
        </w:rPr>
        <w:fldChar w:fldCharType="separate"/>
      </w:r>
      <w:r w:rsidR="00E738D8" w:rsidRPr="00E738D8">
        <w:rPr>
          <w:rFonts w:cs="Times New Roman"/>
          <w:noProof/>
        </w:rPr>
        <w:t>(Bakkaus et al., 2008; Kinraide, 1990; Matsumoto, 2000; Panda et al., 2009)</w:t>
      </w:r>
      <w:r w:rsidR="00E738D8">
        <w:rPr>
          <w:rFonts w:cs="Times New Roman"/>
        </w:rPr>
        <w:fldChar w:fldCharType="end"/>
      </w:r>
      <w:r w:rsidR="00533430">
        <w:rPr>
          <w:rFonts w:cs="Times New Roman"/>
        </w:rPr>
        <w:t xml:space="preserve">.  </w:t>
      </w:r>
      <w:r w:rsidR="001B12BC">
        <w:t>Al(OH)</w:t>
      </w:r>
      <w:r w:rsidR="001B12BC">
        <w:rPr>
          <w:vertAlign w:val="subscript"/>
        </w:rPr>
        <w:t>4</w:t>
      </w:r>
      <w:r w:rsidR="001B12BC">
        <w:rPr>
          <w:rFonts w:cs="Times New Roman"/>
          <w:vertAlign w:val="superscript"/>
        </w:rPr>
        <w:t>⁻</w:t>
      </w:r>
      <w:r w:rsidR="001B12BC">
        <w:rPr>
          <w:rFonts w:cs="Times New Roman"/>
        </w:rPr>
        <w:t xml:space="preserve">, </w:t>
      </w:r>
      <w:r w:rsidR="002509CE">
        <w:rPr>
          <w:rFonts w:cs="Times New Roman"/>
        </w:rPr>
        <w:t xml:space="preserve">though, </w:t>
      </w:r>
      <w:r w:rsidR="009313BC">
        <w:rPr>
          <w:rFonts w:cs="Times New Roman"/>
        </w:rPr>
        <w:t xml:space="preserve">has no known toxicity to plants </w:t>
      </w:r>
      <w:r w:rsidR="00DD07DA">
        <w:rPr>
          <w:rFonts w:cs="Times New Roman"/>
        </w:rPr>
        <w:fldChar w:fldCharType="begin" w:fldLock="1"/>
      </w:r>
      <w:r w:rsidR="00605336">
        <w:rPr>
          <w:rFonts w:cs="Times New Roman"/>
        </w:rPr>
        <w:instrText>ADDIN CSL_CITATION {"citationItems":[{"id":"ITEM-1","itemData":{"author":[{"dropping-particle":"","family":"Kinraide","given":"Thomas B","non-dropping-particle":"","parse-names":false,"suffix":""}],"container-title":"Plant Physiology","id":"ITEM-1","issued":{"date-parts":[["1990"]]},"page":"1620-1625","title":"Assessing the rhizotoxicity of the aluminate ion, Al(OH)4-","type":"article-journal","volume":"94"},"uris":["http://www.mendeley.com/documents/?uuid=0894faed-52e2-48bf-a2bb-5d1ba2ba2495"]},{"id":"ITEM-2","itemData":{"DOI":"10.1007/s11104-005-2229-0","ISSN":"0032079X","abstract":"Although monomeric Al species are often toxic in acidic soils, the effects of the aluminate ion (Al(OH)4-) on roots grown in alkaline media are still unclear. Dilute, alkaline (pH 9.5) nutrient solutions were used to investigate the effects of Al(OH)4- on root growth of mungbean (Vigna radiata L.). Root growth was reduced by 13% after 3 d growth in solutions with an Al(OH)4- activity of 16 μM and no detectable polycationic Al (Al13). This decrease in root growth was associated with the formation of lesions on the root tips (due to the rupturing of the epidermal and outer cortical cells) and a slight limitation to root hair growth (particularly on the lateral roots). When roots displaying these symptoms were transferred to fresh Al(OH)4- solutions for a further 12 h, no root tip lesions were observed and root hair growth on the lateral roots improved. The symptoms were similar to those induced by Al 13 at concentrations as low as 0.50 μM Al which are below the detection limit of the ferron method. Thus, Al(OH)4- is considered to be non-toxic, with the observed reduction in root growth in solutions containing Al(OH)4- due to the gradual formation of toxic Al13 in the bulk nutrient solution resulting from the acidification of the alkaline nutrient solution by the plant roots. © 2004 Kluwer Academic Publishers.","author":[{"dropping-particle":"","family":"Kopittke","given":"P. M.","non-dropping-particle":"","parse-names":false,"suffix":""},{"dropping-particle":"","family":"Menzies","given":"N. W.","non-dropping-particle":"","parse-names":false,"suffix":""},{"dropping-particle":"","family":"Blamey","given":"F. P.C.","non-dropping-particle":"","parse-names":false,"suffix":""}],"container-title":"Plant and Soil","id":"ITEM-2","issued":{"date-parts":[["2004"]]},"page":"177-186","title":"Rhizotoxicity of aluminate and polycationic aluminium at high pH","type":"article-journal","volume":"266"},"uris":["http://www.mendeley.com/documents/?uuid=35aec5e3-271b-4b90-9157-3268da72a1f0"]}],"mendeley":{"formattedCitation":"(Kinraide, 1990; Kopittke et al., 2004)","plainTextFormattedCitation":"(Kinraide, 1990; Kopittke et al., 2004)","previouslyFormattedCitation":"(Kinraide, 1990; Kopittke et al., 2004)"},"properties":{"noteIndex":0},"schema":"https://github.com/citation-style-language/schema/raw/master/csl-citation.json"}</w:instrText>
      </w:r>
      <w:r w:rsidR="00DD07DA">
        <w:rPr>
          <w:rFonts w:cs="Times New Roman"/>
        </w:rPr>
        <w:fldChar w:fldCharType="separate"/>
      </w:r>
      <w:r w:rsidR="00DD07DA" w:rsidRPr="00DD07DA">
        <w:rPr>
          <w:rFonts w:cs="Times New Roman"/>
          <w:noProof/>
        </w:rPr>
        <w:t>(Kinraide, 1990; Kopittke et al., 2004)</w:t>
      </w:r>
      <w:r w:rsidR="00DD07DA">
        <w:rPr>
          <w:rFonts w:cs="Times New Roman"/>
        </w:rPr>
        <w:fldChar w:fldCharType="end"/>
      </w:r>
      <w:r w:rsidR="00DD07DA">
        <w:rPr>
          <w:rFonts w:cs="Times New Roman"/>
        </w:rPr>
        <w:t xml:space="preserve">.  </w:t>
      </w:r>
      <w:r w:rsidR="00CB727B">
        <w:rPr>
          <w:rFonts w:cs="Times New Roman"/>
        </w:rPr>
        <w:t xml:space="preserve">The results of this study show a </w:t>
      </w:r>
      <w:r w:rsidR="00592F78">
        <w:rPr>
          <w:rFonts w:cs="Times New Roman"/>
        </w:rPr>
        <w:t xml:space="preserve">high </w:t>
      </w:r>
      <w:r w:rsidR="00B46CC7">
        <w:rPr>
          <w:rFonts w:cs="Times New Roman"/>
        </w:rPr>
        <w:t>leaching of aluminum at both pH groups,</w:t>
      </w:r>
      <w:r w:rsidR="00672CE5">
        <w:rPr>
          <w:rFonts w:cs="Times New Roman"/>
        </w:rPr>
        <w:t xml:space="preserve"> which poses </w:t>
      </w:r>
      <w:r w:rsidR="00EC733E">
        <w:rPr>
          <w:rFonts w:cs="Times New Roman"/>
        </w:rPr>
        <w:t xml:space="preserve">a high contamination risk for the surrounding area and water systems.  </w:t>
      </w:r>
      <w:r w:rsidR="005353AC">
        <w:rPr>
          <w:rFonts w:cs="Times New Roman"/>
        </w:rPr>
        <w:t>Even though</w:t>
      </w:r>
      <w:r w:rsidR="00D42B49">
        <w:rPr>
          <w:rFonts w:cs="Times New Roman"/>
        </w:rPr>
        <w:t xml:space="preserve"> </w:t>
      </w:r>
      <w:r w:rsidR="001863E1">
        <w:rPr>
          <w:rFonts w:cs="Times New Roman"/>
        </w:rPr>
        <w:t>over 90% of</w:t>
      </w:r>
      <w:r w:rsidR="005B44BD">
        <w:rPr>
          <w:rFonts w:cs="Times New Roman"/>
        </w:rPr>
        <w:t xml:space="preserve"> the world’s</w:t>
      </w:r>
      <w:r w:rsidR="001863E1">
        <w:rPr>
          <w:rFonts w:cs="Times New Roman"/>
        </w:rPr>
        <w:t xml:space="preserve"> </w:t>
      </w:r>
      <w:r w:rsidR="006200FB">
        <w:rPr>
          <w:rFonts w:cs="Times New Roman"/>
        </w:rPr>
        <w:t>lakes and streams are neutral to basic pH, high concentration</w:t>
      </w:r>
      <w:r w:rsidR="007962A1">
        <w:rPr>
          <w:rFonts w:cs="Times New Roman"/>
        </w:rPr>
        <w:t>s</w:t>
      </w:r>
      <w:r w:rsidR="006200FB">
        <w:rPr>
          <w:rFonts w:cs="Times New Roman"/>
        </w:rPr>
        <w:t xml:space="preserve"> of </w:t>
      </w:r>
      <w:r w:rsidR="009856C0">
        <w:t>Al(OH)</w:t>
      </w:r>
      <w:r w:rsidR="009856C0">
        <w:rPr>
          <w:vertAlign w:val="subscript"/>
        </w:rPr>
        <w:t>4</w:t>
      </w:r>
      <w:r w:rsidR="009856C0">
        <w:rPr>
          <w:rFonts w:cs="Times New Roman"/>
          <w:vertAlign w:val="superscript"/>
        </w:rPr>
        <w:t>⁻</w:t>
      </w:r>
      <w:r w:rsidR="00A151A4">
        <w:rPr>
          <w:rFonts w:cs="Times New Roman"/>
        </w:rPr>
        <w:t xml:space="preserve"> </w:t>
      </w:r>
      <w:r w:rsidR="005B44BD">
        <w:rPr>
          <w:rFonts w:cs="Times New Roman"/>
        </w:rPr>
        <w:t>still p</w:t>
      </w:r>
      <w:r w:rsidR="00D372FC">
        <w:rPr>
          <w:rFonts w:cs="Times New Roman"/>
        </w:rPr>
        <w:t xml:space="preserve">ose a risk because the body of water may </w:t>
      </w:r>
      <w:r w:rsidR="009830ED">
        <w:rPr>
          <w:rFonts w:cs="Times New Roman"/>
        </w:rPr>
        <w:t>become acidic</w:t>
      </w:r>
      <w:r w:rsidR="00ED1F36">
        <w:rPr>
          <w:rFonts w:cs="Times New Roman"/>
        </w:rPr>
        <w:t xml:space="preserve"> over </w:t>
      </w:r>
      <w:r w:rsidR="00ED1F36">
        <w:rPr>
          <w:rFonts w:cs="Times New Roman"/>
        </w:rPr>
        <w:lastRenderedPageBreak/>
        <w:t>time</w:t>
      </w:r>
      <w:r w:rsidR="00E370C4">
        <w:rPr>
          <w:rFonts w:cs="Times New Roman"/>
        </w:rPr>
        <w:t xml:space="preserve"> and convert </w:t>
      </w:r>
      <w:r w:rsidR="00F17B20">
        <w:rPr>
          <w:rFonts w:cs="Times New Roman"/>
        </w:rPr>
        <w:t>it to</w:t>
      </w:r>
      <w:r w:rsidR="00E370C4">
        <w:rPr>
          <w:rFonts w:cs="Times New Roman"/>
        </w:rPr>
        <w:t xml:space="preserve"> Al</w:t>
      </w:r>
      <w:r w:rsidR="00E370C4">
        <w:rPr>
          <w:rFonts w:cs="Times New Roman"/>
          <w:vertAlign w:val="superscript"/>
        </w:rPr>
        <w:t>3+</w:t>
      </w:r>
      <w:r w:rsidR="00F17B20">
        <w:rPr>
          <w:rFonts w:cs="Times New Roman"/>
        </w:rPr>
        <w:t xml:space="preserve">.  </w:t>
      </w:r>
      <w:r w:rsidR="00B4608E">
        <w:rPr>
          <w:rFonts w:cs="Times New Roman"/>
        </w:rPr>
        <w:t xml:space="preserve">Bodies of water are acidified via natural or anthropogenic </w:t>
      </w:r>
      <w:r w:rsidR="007B7219">
        <w:rPr>
          <w:rFonts w:cs="Times New Roman"/>
        </w:rPr>
        <w:t>contaminants, including organic acids from decomposing plants and erosion products from bedrock</w:t>
      </w:r>
      <w:r w:rsidR="000754A6">
        <w:rPr>
          <w:rFonts w:cs="Times New Roman"/>
        </w:rPr>
        <w:t xml:space="preserve"> or acid rain due to air pollution and acid mine drainage </w:t>
      </w:r>
      <w:r w:rsidR="00605336">
        <w:rPr>
          <w:rFonts w:cs="Times New Roman"/>
        </w:rPr>
        <w:fldChar w:fldCharType="begin" w:fldLock="1"/>
      </w:r>
      <w:r w:rsidR="00605460">
        <w:rPr>
          <w:rFonts w:cs="Times New Roman"/>
        </w:rPr>
        <w:instrText>ADDIN CSL_CITATION {"citationItems":[{"id":"ITEM-1","itemData":{"DOI":"10.1007/1-4020-4494-1_4","author":[{"dropping-particle":"","family":"Mattson","given":"Mark D.","non-dropping-particle":"","parse-names":false,"suffix":""}],"container-title":"Environmental Geology. Encyclopedia of Earth Science","id":"ITEM-1","issued":{"date-parts":[["2006"]]},"page":"6-9","publisher":"Springer","publisher-place":"Dordrecht","title":"Acid lakes and rivers","type":"chapter"},"uris":["http://www.mendeley.com/documents/?uuid=42a85349-a9fb-407d-a65e-1f0dd17d0e57"]}],"mendeley":{"formattedCitation":"(Mattson, 2006)","plainTextFormattedCitation":"(Mattson, 2006)","previouslyFormattedCitation":"(Mattson, 2006)"},"properties":{"noteIndex":0},"schema":"https://github.com/citation-style-language/schema/raw/master/csl-citation.json"}</w:instrText>
      </w:r>
      <w:r w:rsidR="00605336">
        <w:rPr>
          <w:rFonts w:cs="Times New Roman"/>
        </w:rPr>
        <w:fldChar w:fldCharType="separate"/>
      </w:r>
      <w:r w:rsidR="008A7477" w:rsidRPr="008A7477">
        <w:rPr>
          <w:rFonts w:cs="Times New Roman"/>
          <w:noProof/>
        </w:rPr>
        <w:t>(Mattson, 2006)</w:t>
      </w:r>
      <w:r w:rsidR="00605336">
        <w:rPr>
          <w:rFonts w:cs="Times New Roman"/>
        </w:rPr>
        <w:fldChar w:fldCharType="end"/>
      </w:r>
      <w:r w:rsidR="00B60670">
        <w:rPr>
          <w:rFonts w:cs="Times New Roman"/>
        </w:rPr>
        <w:t>.</w:t>
      </w:r>
      <w:r w:rsidR="00794A62">
        <w:rPr>
          <w:rFonts w:cs="Times New Roman"/>
        </w:rPr>
        <w:t xml:space="preserve">  </w:t>
      </w:r>
      <w:r w:rsidR="00B9591B">
        <w:t xml:space="preserve">The best fit line used for the leaching of aluminum was a logistic growth rate.  This </w:t>
      </w:r>
      <w:r w:rsidR="00B9591B" w:rsidRPr="009F0AED">
        <w:t>reaction rate determined a rate constant of 0.</w:t>
      </w:r>
      <w:r w:rsidR="004034EE">
        <w:t>236</w:t>
      </w:r>
      <w:r w:rsidR="00B9591B" w:rsidRPr="009F0AED">
        <w:t xml:space="preserve"> and a solubility limit of </w:t>
      </w:r>
      <w:r w:rsidR="009F0AED" w:rsidRPr="009F0AED">
        <w:t>1.</w:t>
      </w:r>
      <w:r w:rsidR="004034EE">
        <w:t>596</w:t>
      </w:r>
      <w:r w:rsidR="00B9591B" w:rsidRPr="009F0AED">
        <w:t xml:space="preserve"> mg/L for acidic water and </w:t>
      </w:r>
      <w:r w:rsidR="004034EE">
        <w:t>3.604</w:t>
      </w:r>
      <w:r w:rsidR="00B9591B" w:rsidRPr="009F0AED">
        <w:t xml:space="preserve"> mg/L for basic water.  The rate constant value is in range of previous literature and the de</w:t>
      </w:r>
      <w:r w:rsidR="00B9591B">
        <w:t>crease in the solubility limit as pH increases coincides with previous literature, though different properties of water, such as ionic strength, produce different rate con</w:t>
      </w:r>
      <w:r w:rsidR="00B9591B" w:rsidRPr="009F0AED">
        <w:t xml:space="preserve">stants and solubility limits </w:t>
      </w:r>
      <w:r w:rsidR="00B9591B" w:rsidRPr="009F0AED">
        <w:fldChar w:fldCharType="begin" w:fldLock="1"/>
      </w:r>
      <w:r w:rsidR="00B9591B" w:rsidRPr="009F0AED">
        <w:instrText>ADDIN CSL_CITATION {"citationItems":[{"id":"ITEM-1","itemData":{"DOI":"10.3390/min10100873","ISSN":"2075163X","abstract":"Mining activity produces a series of wastes that must be treated to avoid environmental pollution. In addition, some of these mining wastes still contain metallic elements that are interesting for their extraction with new less expensive techniques and that can work with low mineral grades, such as hydrometallurgy. This study evaluates the suitability of Copper recovery in mining wastes, coming from waste dump, with a high percentage of metal oxides and granite. This recovery is carried out through leaching in 0.05, 0.10, 0.15 and 0.20 molar Sulphuric Acid solutions, at ambient temperature and atmospheric pressure. The exposure of the waste to the solution was made for 96 h, taking measurements of the leaching and evaluating the increase in Copper concentration every 24 h. The results reflected a good Copper recovery rate with concentrations up to 1.9 g/L. The best results were obtained for the 0.20 molar Sulphuric Acid solutions, producing a stability in the Copper concentration after 72 h. Other elements in smaller proportion as the Zinc were also recovered. Therefore, a process of recovery of Copper was obtained with a robust, versatile and economic technique in mining residues that currently represent an environmental pollution.","author":[{"dropping-particle":"","family":"Terrones‐saeta","given":"Juan María","non-dropping-particle":"","parse-names":false,"suffix":""},{"dropping-particle":"","family":"Suárez‐macías","given":"Jorge","non-dropping-particle":"","parse-names":false,"suffix":""},{"dropping-particle":"","family":"Linares Del Río","given":"Francisco Javier","non-dropping-particle":"","parse-names":false,"suffix":""},{"dropping-particle":"","family":"Corpas‐iglesias","given":"Francisco Antonio","non-dropping-particle":"","parse-names":false,"suffix":""}],"container-title":"Minerals","id":"ITEM-1","issue":"10","issued":{"date-parts":[["2020"]]},"page":"1-23","title":"Study of copper leaching from mining waste in acidic media, at ambient temperature and atmospheric pressure","type":"article-journal","volume":"10"},"uris":["http://www.mendeley.com/documents/?uuid=af096a7c-177b-4af6-b324-0535e1fd7d92"]}],"mendeley":{"formattedCitation":"(Terrones‐saeta et al., 2020)","plainTextFormattedCitation":"(Terrones‐saeta et al., 2020)","previouslyFormattedCitation":"(Terrones‐saeta et al., 2020)"},"properties":{"noteIndex":0},"schema":"https://github.com/citation-style-language/schema/raw/master/csl-citation.json"}</w:instrText>
      </w:r>
      <w:r w:rsidR="00B9591B" w:rsidRPr="009F0AED">
        <w:fldChar w:fldCharType="separate"/>
      </w:r>
      <w:r w:rsidR="00B9591B" w:rsidRPr="009F0AED">
        <w:rPr>
          <w:noProof/>
        </w:rPr>
        <w:t>(Terrones‐saeta et al., 2020)</w:t>
      </w:r>
      <w:r w:rsidR="00B9591B" w:rsidRPr="009F0AED">
        <w:fldChar w:fldCharType="end"/>
      </w:r>
      <w:r w:rsidR="00B9591B" w:rsidRPr="009F0AED">
        <w:t xml:space="preserve">.  </w:t>
      </w:r>
      <w:r w:rsidR="009F0AED" w:rsidRPr="009F0AED">
        <w:t xml:space="preserve">These solubility limits are in range with previously reported values </w:t>
      </w:r>
      <w:r w:rsidR="00B9591B" w:rsidRPr="009F0AED">
        <w:fldChar w:fldCharType="begin" w:fldLock="1"/>
      </w:r>
      <w:r w:rsidR="00F729C5" w:rsidRPr="009F0AED">
        <w:instrText>ADDIN CSL_CITATION {"citationItems":[{"id":"ITEM-1","itemData":{"author":[{"dropping-particle":"","family":"Bensadok","given":"K.","non-dropping-particle":"","parse-names":false,"suffix":""},{"dropping-particle":"","family":"Benammar","given":"S.","non-dropping-particle":"","parse-names":false,"suffix":""},{"dropping-particle":"","family":"Lapicque","given":"F.","non-dropping-particle":"","parse-names":false,"suffix":""},{"dropping-particle":"","family":"Nezzal","given":"G.","non-dropping-particle":"","parse-names":false,"suffix":""}],"container-title":"Journal of Hazardous Materials","id":"ITEM-1","issued":{"date-parts":[["2008"]]},"page":"423-430","title":"Electrocoagulation of cutting oil emulsions using aluminum plate electrodes","type":"article-journal","volume":"452"},"uris":["http://www.mendeley.com/documents/?uuid=81a5f228-b9db-45e0-a00e-a445ff07153c"]}],"mendeley":{"formattedCitation":"(Bensadok et al., 2008)","plainTextFormattedCitation":"(Bensadok et al., 2008)","previouslyFormattedCitation":"(Bensadok et al., 2008)"},"properties":{"noteIndex":0},"schema":"https://github.com/citation-style-language/schema/raw/master/csl-citation.json"}</w:instrText>
      </w:r>
      <w:r w:rsidR="00B9591B" w:rsidRPr="009F0AED">
        <w:fldChar w:fldCharType="separate"/>
      </w:r>
      <w:r w:rsidR="00B9591B" w:rsidRPr="009F0AED">
        <w:rPr>
          <w:noProof/>
        </w:rPr>
        <w:t>(Bensadok et al., 2008)</w:t>
      </w:r>
      <w:r w:rsidR="00B9591B" w:rsidRPr="009F0AED">
        <w:fldChar w:fldCharType="end"/>
      </w:r>
      <w:r w:rsidR="00B9591B" w:rsidRPr="009F0AED">
        <w:t xml:space="preserve">.  </w:t>
      </w:r>
      <w:r w:rsidR="00E14FC6">
        <w:t xml:space="preserve">The rate constant and solubility limit of </w:t>
      </w:r>
      <w:r w:rsidR="00F67693">
        <w:t>aluminum</w:t>
      </w:r>
      <w:r w:rsidR="00E14FC6">
        <w:t xml:space="preserve"> in water can be used to estimate and predict contamination concentrations of LIB metals in water systems surrounding landfills and recycling centers.</w:t>
      </w:r>
    </w:p>
    <w:p w14:paraId="22FA0F07" w14:textId="0752E472" w:rsidR="00201D6C" w:rsidRDefault="001E0586" w:rsidP="0017483D">
      <w:pPr>
        <w:jc w:val="both"/>
      </w:pPr>
      <w:r>
        <w:tab/>
      </w:r>
      <w:r w:rsidR="00201D6C">
        <w:t>Cobalt leaching into the acidic and basic water was below the detection limit by the XRF.  As previously stated, this was not due to instrument</w:t>
      </w:r>
      <w:r w:rsidR="00297C3B">
        <w:t>al error as confirmed by</w:t>
      </w:r>
      <w:r w:rsidR="00201D6C">
        <w:t xml:space="preserve"> measur</w:t>
      </w:r>
      <w:r w:rsidR="00297C3B">
        <w:t xml:space="preserve">ements using </w:t>
      </w:r>
      <w:r w:rsidR="00874BC9">
        <w:t>water</w:t>
      </w:r>
      <w:r w:rsidR="00201D6C">
        <w:t xml:space="preserve"> amended with LIB powder.</w:t>
      </w:r>
      <w:r w:rsidR="00E21A65" w:rsidRPr="00E21A65">
        <w:t xml:space="preserve"> </w:t>
      </w:r>
      <w:r w:rsidR="00E21A65">
        <w:t xml:space="preserve"> One possible explanation for the inability to detect cobalt is the large presence of iron.  Spectral interference between iron and cobalt occurs due to the K</w:t>
      </w:r>
      <w:r w:rsidR="00E21A65">
        <w:rPr>
          <w:rFonts w:cs="Times New Roman"/>
          <w:vertAlign w:val="subscript"/>
        </w:rPr>
        <w:t>β</w:t>
      </w:r>
      <w:r w:rsidR="00E21A65">
        <w:t xml:space="preserve"> line of iron overlapping the K</w:t>
      </w:r>
      <w:r w:rsidR="00E21A65">
        <w:rPr>
          <w:rFonts w:cs="Times New Roman"/>
          <w:vertAlign w:val="subscript"/>
        </w:rPr>
        <w:t>α</w:t>
      </w:r>
      <w:r w:rsidR="00E21A65">
        <w:t xml:space="preserve"> line of cobalt </w:t>
      </w:r>
      <w:r w:rsidR="00E21A65">
        <w:fldChar w:fldCharType="begin" w:fldLock="1"/>
      </w:r>
      <w:r w:rsidR="00E21A65">
        <w:instrText>ADDIN CSL_CITATION {"citationItems":[{"id":"ITEM-1","itemData":{"author":[{"dropping-particle":"","family":"Agency","given":"Environmental Protection","non-dropping-particle":"","parse-names":false,"suffix":""}],"container-title":"Environmental Protection Agency","id":"ITEM-1","issue":"February","issued":{"date-parts":[["2007"]]},"number-of-pages":"1-32","title":"Field portable X-ray fluorescence for the determination of elemental concentrations in soil and sediment","type":"report"},"uris":["http://www.mendeley.com/documents/?uuid=2babedda-9858-490d-8a07-0cdd888b9d11"]}],"mendeley":{"formattedCitation":"(Agency, 2007)","plainTextFormattedCitation":"(Agency, 2007)","previouslyFormattedCitation":"(Agency, 2007)"},"properties":{"noteIndex":0},"schema":"https://github.com/citation-style-language/schema/raw/master/csl-citation.json"}</w:instrText>
      </w:r>
      <w:r w:rsidR="00E21A65">
        <w:fldChar w:fldCharType="separate"/>
      </w:r>
      <w:r w:rsidR="00E21A65" w:rsidRPr="003F339E">
        <w:rPr>
          <w:noProof/>
        </w:rPr>
        <w:t>(Agency, 2007)</w:t>
      </w:r>
      <w:r w:rsidR="00E21A65">
        <w:fldChar w:fldCharType="end"/>
      </w:r>
      <w:r w:rsidR="00E21A65">
        <w:t>.  When iron is in large quantities compared to cobalt, the XRF loses its ability to detect cobalt’s K</w:t>
      </w:r>
      <w:r w:rsidR="00E21A65">
        <w:rPr>
          <w:rFonts w:cs="Times New Roman"/>
          <w:vertAlign w:val="subscript"/>
        </w:rPr>
        <w:t>α</w:t>
      </w:r>
      <w:r w:rsidR="00E21A65">
        <w:t xml:space="preserve"> line.  With the analysis of the LIB pieces, iron was detected, though it should not be present in the LIB.  Using the standard reference material, 2709a, the XRF analysis of the LIB piece (3.42% iron) aligned with the reference sheet (3.36% iron), so the iron levels are authentic.  Thus, the iron present results in the inability to detect cobalt.</w:t>
      </w:r>
      <w:r w:rsidR="00201D6C">
        <w:t xml:space="preserve">  </w:t>
      </w:r>
      <w:r w:rsidR="007F137B">
        <w:t xml:space="preserve">Leachate water from landfills and recycling centers containing cobalt </w:t>
      </w:r>
      <w:r w:rsidR="00F94456">
        <w:t xml:space="preserve">poses a risk on the ecosystem </w:t>
      </w:r>
      <w:r w:rsidR="00B7563B">
        <w:t xml:space="preserve">in and around the water system the leachate enters.  </w:t>
      </w:r>
      <w:r w:rsidR="005101BD">
        <w:t>Leachate from a</w:t>
      </w:r>
      <w:r w:rsidR="00B7563B">
        <w:t xml:space="preserve"> municipal </w:t>
      </w:r>
      <w:r w:rsidR="00B52E6B">
        <w:t xml:space="preserve">solid </w:t>
      </w:r>
      <w:r w:rsidR="00B52E6B">
        <w:lastRenderedPageBreak/>
        <w:t xml:space="preserve">waste dumpsite near </w:t>
      </w:r>
      <w:r w:rsidR="00A01CA1">
        <w:t>Ibadan</w:t>
      </w:r>
      <w:r w:rsidR="00B52E6B">
        <w:t xml:space="preserve">, </w:t>
      </w:r>
      <w:r w:rsidR="005101BD">
        <w:t>Nigeria was analyzed for the heavy metal content</w:t>
      </w:r>
      <w:r w:rsidR="00324A59">
        <w:t xml:space="preserve">.  The </w:t>
      </w:r>
      <w:r w:rsidR="00AF4C99">
        <w:t xml:space="preserve">average </w:t>
      </w:r>
      <w:r w:rsidR="00324A59">
        <w:t xml:space="preserve">pH of the leachate </w:t>
      </w:r>
      <w:r w:rsidR="00AF4C99">
        <w:t>was 9.25</w:t>
      </w:r>
      <w:r w:rsidR="004058EC">
        <w:t xml:space="preserve"> with an average cobalt concentration of </w:t>
      </w:r>
      <w:r w:rsidR="00B274A0">
        <w:t xml:space="preserve">23.09 </w:t>
      </w:r>
      <w:r w:rsidR="00B274A0">
        <w:rPr>
          <w:rFonts w:cs="Times New Roman"/>
        </w:rPr>
        <w:t>μ</w:t>
      </w:r>
      <w:r w:rsidR="00B274A0">
        <w:t>g/L</w:t>
      </w:r>
      <w:r w:rsidR="005B5642">
        <w:t>,</w:t>
      </w:r>
      <w:r w:rsidR="001F66AD">
        <w:t xml:space="preserve"> with a WHO discharge limit of 50 </w:t>
      </w:r>
      <w:r w:rsidR="001F66AD">
        <w:rPr>
          <w:rFonts w:cs="Times New Roman"/>
        </w:rPr>
        <w:t>μ</w:t>
      </w:r>
      <w:r w:rsidR="001F66AD">
        <w:t>g/L</w:t>
      </w:r>
      <w:r w:rsidR="005B5642">
        <w:t xml:space="preserve"> </w:t>
      </w:r>
      <w:r w:rsidR="00125799">
        <w:fldChar w:fldCharType="begin" w:fldLock="1"/>
      </w:r>
      <w:r w:rsidR="00723E53">
        <w:instrText>ADDIN CSL_CITATION {"citationItems":[{"id":"ITEM-1","itemData":{"DOI":"10.1007/s10661-019-7886-1","ISSN":"15732959","PMID":"31691045","abstract":"Municipal solid waste (MSW) dumpsite constitutes a major anthropogenic point source of leachate contamination to the ambient groundwater and poses a significant threat to the geo-ecosystem. This study investigated the pollution of groundwater by leachate emanating from Aba-Eku MSW dumpsite in Ibadan, Nigeria, using bacteriological, hydrochemical, and geophysical techniques. There is a diversity of bacteria in the leachate and the dominant phyla being proteobacteria (83%) and firmicutes (17%). The mean concentrations (mg/L) of Mn, Fe, Al, Cu, Mo, and Cr in the leachate samples were above the World Health Organization wastewater discharge limits. The hydrochemical parameters of the groundwater samples around the dumpsite were generally within the permissible limits, except for K and Cl−; which invariably indicate major inputs from water-rock interaction and minor contributions from the dumpsite. Three geoelectrical layers were indicated from the vertical electrical sounding data, which are the topsoil, the lateritic clay layer, and the weathered basement. Low resistivity values of 5–33 Ωm and 3–24 Ωm were obtained within 2 m and 5.5 m depths for the topsoil and the lateritic layer, respectively; while the 2-D subsurface model reveals leachate plume beyond 5 m. Although the MSW leachate is heterogeneous, the hydrochemical data show that the aquifer around the dumpsite has not been seriously polluted with the leachate, but there is a continuous percolation of leachate into the soil subsurface, based on the geophysical findings. Discontinuing waste dumping and groundwater extraction, which would over time reduce the leachate plume, are measures to enhance the groundwater quality in the area.","author":[{"dropping-particle":"","family":"Aromolaran","given":"Olukemi","non-dropping-particle":"","parse-names":false,"suffix":""},{"dropping-particle":"","family":"Fagade","given":"Obasola E.","non-dropping-particle":"","parse-names":false,"suffix":""},{"dropping-particle":"","family":"Aromolaran","given":"Olawale K.","non-dropping-particle":"","parse-names":false,"suffix":""},{"dropping-particle":"","family":"Faleye","given":"Emmanuel T.","non-dropping-particle":"","parse-names":false,"suffix":""},{"dropping-particle":"","family":"Faerber","given":"Harald","non-dropping-particle":"","parse-names":false,"suffix":""}],"container-title":"Environmental Monitoring and Assessment","id":"ITEM-1","issue":"12","issued":{"date-parts":[["2019"]]},"publisher":"Environmental Monitoring and Assessment","title":"Assessment of groundwater pollution near Aba-Eku municipal solid waste dumpsite","type":"article-journal","volume":"191"},"uris":["http://www.mendeley.com/documents/?uuid=383a353a-c240-452b-95df-0761adc608f3"]}],"mendeley":{"formattedCitation":"(Aromolaran et al., 2019)","plainTextFormattedCitation":"(Aromolaran et al., 2019)","previouslyFormattedCitation":"(Aromolaran et al., 2019)"},"properties":{"noteIndex":0},"schema":"https://github.com/citation-style-language/schema/raw/master/csl-citation.json"}</w:instrText>
      </w:r>
      <w:r w:rsidR="00125799">
        <w:fldChar w:fldCharType="separate"/>
      </w:r>
      <w:r w:rsidR="00125799" w:rsidRPr="00125799">
        <w:rPr>
          <w:noProof/>
        </w:rPr>
        <w:t>(Aromolaran et al., 2019)</w:t>
      </w:r>
      <w:r w:rsidR="00125799">
        <w:fldChar w:fldCharType="end"/>
      </w:r>
      <w:r w:rsidR="00125799">
        <w:t xml:space="preserve">.  </w:t>
      </w:r>
      <w:r w:rsidR="00923329">
        <w:t xml:space="preserve">The leachate discharge from this dumpsite </w:t>
      </w:r>
      <w:r w:rsidR="00DF090F">
        <w:t xml:space="preserve">and the </w:t>
      </w:r>
      <w:r w:rsidR="00371935">
        <w:t>LIB results</w:t>
      </w:r>
      <w:r w:rsidR="00F72905">
        <w:t xml:space="preserve"> from</w:t>
      </w:r>
      <w:r w:rsidR="00DF090F">
        <w:t xml:space="preserve"> this study</w:t>
      </w:r>
      <w:r w:rsidR="00923329">
        <w:t xml:space="preserve"> </w:t>
      </w:r>
      <w:r w:rsidR="005A3F4B">
        <w:t>can be u</w:t>
      </w:r>
      <w:r w:rsidR="00C43488">
        <w:t xml:space="preserve">sed </w:t>
      </w:r>
      <w:r w:rsidR="0024658F">
        <w:t>for future</w:t>
      </w:r>
      <w:r w:rsidR="00C43488">
        <w:t xml:space="preserve"> research </w:t>
      </w:r>
      <w:r w:rsidR="0024658F">
        <w:t>to determine the contamination risk of cobalt into the water systems surrounding landfills and recycling centers.</w:t>
      </w:r>
    </w:p>
    <w:p w14:paraId="0969DD69" w14:textId="0E00B1ED" w:rsidR="00DB308B" w:rsidRDefault="00440786" w:rsidP="0017483D">
      <w:pPr>
        <w:jc w:val="both"/>
      </w:pPr>
      <w:r>
        <w:tab/>
      </w:r>
      <w:r w:rsidR="00D47579">
        <w:t xml:space="preserve">The results of the water analysis support the hypothesis of this study, concluding </w:t>
      </w:r>
      <w:r w:rsidR="00D1751A">
        <w:t>the acidic water</w:t>
      </w:r>
      <w:r w:rsidR="002C0EEF">
        <w:t xml:space="preserve"> caused a higher leaching rate </w:t>
      </w:r>
      <w:r w:rsidR="006D6882">
        <w:t>of copper, nickel, and manganese</w:t>
      </w:r>
      <w:r w:rsidR="002A426C">
        <w:t xml:space="preserve"> compared to the basic water</w:t>
      </w:r>
      <w:r w:rsidR="006D6882">
        <w:t xml:space="preserve">.  </w:t>
      </w:r>
      <w:r w:rsidR="00326482">
        <w:t>Aluminum had a higher leaching rate in the basic water</w:t>
      </w:r>
      <w:r w:rsidR="002A426C">
        <w:t xml:space="preserve"> than the </w:t>
      </w:r>
      <w:r w:rsidR="004B275F">
        <w:t>acidic water, presumably</w:t>
      </w:r>
      <w:r w:rsidR="005777AC">
        <w:t xml:space="preserve"> </w:t>
      </w:r>
      <w:r w:rsidR="003F75B5">
        <w:t xml:space="preserve">due to the </w:t>
      </w:r>
      <w:r w:rsidR="00407F04">
        <w:t>solubility of aluminum hydroxides</w:t>
      </w:r>
      <w:r w:rsidR="00264A3A">
        <w:t>.</w:t>
      </w:r>
      <w:r w:rsidR="00DC2B35">
        <w:t xml:space="preserve">  The chelation and filtration process pose</w:t>
      </w:r>
      <w:r w:rsidR="00787333">
        <w:t xml:space="preserve">s a risk for error because </w:t>
      </w:r>
      <w:r w:rsidR="0003411E">
        <w:t xml:space="preserve">of &lt;100% efficiency in precipitating the dissolved metals to </w:t>
      </w:r>
      <w:r w:rsidR="00ED473B">
        <w:t xml:space="preserve">collect onto the filter paper.  </w:t>
      </w:r>
      <w:r w:rsidR="00242B44">
        <w:t xml:space="preserve">If the metal species was not </w:t>
      </w:r>
      <w:r w:rsidR="00207FB2">
        <w:t xml:space="preserve">suitable for chelation, it </w:t>
      </w:r>
      <w:r w:rsidR="008B048E">
        <w:t>may</w:t>
      </w:r>
      <w:r w:rsidR="00207FB2">
        <w:t xml:space="preserve"> not precipitate </w:t>
      </w:r>
      <w:r w:rsidR="00A71498">
        <w:t xml:space="preserve">and be included in the XRF analysis.  </w:t>
      </w:r>
      <w:r w:rsidR="006F6693">
        <w:t xml:space="preserve">With this said, the standard deviation values </w:t>
      </w:r>
      <w:r w:rsidR="00771F53">
        <w:t xml:space="preserve">conclude that near equal chelating and filtering efficiency </w:t>
      </w:r>
      <w:r w:rsidR="00D62A9B">
        <w:t xml:space="preserve">over all samples was achieved so the experimental results are </w:t>
      </w:r>
      <w:r w:rsidR="007B6E7D">
        <w:t>still valid</w:t>
      </w:r>
      <w:r w:rsidR="000C44CE">
        <w:t xml:space="preserve"> for estimating leaching ability of the LIB metals</w:t>
      </w:r>
      <w:r w:rsidR="007B6E7D">
        <w:t>.</w:t>
      </w:r>
      <w:r w:rsidR="00264A3A">
        <w:t xml:space="preserve">  Although </w:t>
      </w:r>
      <w:r w:rsidR="000636A7">
        <w:t xml:space="preserve">this study focused on water pH, alkalinity, dissolved oxygen, dissolved organic matter, and </w:t>
      </w:r>
      <w:r w:rsidR="000A5ED3">
        <w:t xml:space="preserve">other variables </w:t>
      </w:r>
      <w:r w:rsidR="000636A7">
        <w:t>will also cause variations in the severity of LIB metal contamination in water systems.</w:t>
      </w:r>
      <w:r w:rsidR="00A84F59">
        <w:t xml:space="preserve">  </w:t>
      </w:r>
      <w:r w:rsidR="004168E8">
        <w:t xml:space="preserve">Since </w:t>
      </w:r>
      <w:r w:rsidR="009425C9">
        <w:t xml:space="preserve">natural </w:t>
      </w:r>
      <w:r w:rsidR="00776CCC">
        <w:t xml:space="preserve">water systems have a regular </w:t>
      </w:r>
      <w:r w:rsidR="00816DEA">
        <w:t>water flow</w:t>
      </w:r>
      <w:r w:rsidR="00C85966">
        <w:t>,</w:t>
      </w:r>
      <w:r w:rsidR="00816DEA">
        <w:t xml:space="preserve"> </w:t>
      </w:r>
      <w:r w:rsidR="00C85966">
        <w:t>such</w:t>
      </w:r>
      <w:r w:rsidR="00816DEA">
        <w:t xml:space="preserve"> as a stream or </w:t>
      </w:r>
      <w:r w:rsidR="006D4182">
        <w:t>rain runoff,</w:t>
      </w:r>
      <w:r w:rsidR="004168E8">
        <w:t xml:space="preserve"> there will be a</w:t>
      </w:r>
      <w:r w:rsidR="00C85966">
        <w:t xml:space="preserve"> dilution of the </w:t>
      </w:r>
      <w:r w:rsidR="00312B67">
        <w:t>leaching values in this study</w:t>
      </w:r>
      <w:r w:rsidR="00A84F59">
        <w:t>.  Nonetheless,</w:t>
      </w:r>
      <w:r w:rsidR="00312B67">
        <w:t xml:space="preserve"> the </w:t>
      </w:r>
      <w:r w:rsidR="00C93331">
        <w:t xml:space="preserve">compounding of </w:t>
      </w:r>
      <w:r w:rsidR="00A0691A">
        <w:t>disposed LIB into the same location</w:t>
      </w:r>
      <w:r w:rsidR="006734D0">
        <w:t xml:space="preserve"> over time contains the same </w:t>
      </w:r>
      <w:r w:rsidR="00251BE1">
        <w:t xml:space="preserve">leaching risks </w:t>
      </w:r>
      <w:r w:rsidR="002A7F58">
        <w:t xml:space="preserve">determined </w:t>
      </w:r>
      <w:r w:rsidR="00DB308B">
        <w:t xml:space="preserve">in this </w:t>
      </w:r>
      <w:r w:rsidR="0089143D">
        <w:t>study</w:t>
      </w:r>
      <w:r w:rsidR="00DB308B">
        <w:t xml:space="preserve">.  </w:t>
      </w:r>
    </w:p>
    <w:p w14:paraId="5BD2478C" w14:textId="499F167A" w:rsidR="00E610FB" w:rsidRPr="00E610FB" w:rsidRDefault="00E610FB" w:rsidP="00E610FB">
      <w:pPr>
        <w:pStyle w:val="Heading2"/>
      </w:pPr>
      <w:bookmarkStart w:id="182" w:name="_Toc71224019"/>
      <w:r>
        <w:t>5.3 MINEQL+ Modeling Discussion</w:t>
      </w:r>
      <w:bookmarkEnd w:id="182"/>
    </w:p>
    <w:p w14:paraId="1DA9A840" w14:textId="5775B432" w:rsidR="00A33BE9" w:rsidRDefault="00F84424" w:rsidP="00F84424">
      <w:pPr>
        <w:pStyle w:val="Heading3"/>
        <w:numPr>
          <w:ilvl w:val="0"/>
          <w:numId w:val="0"/>
        </w:numPr>
      </w:pPr>
      <w:bookmarkStart w:id="183" w:name="_Toc71224020"/>
      <w:r>
        <w:t>5.</w:t>
      </w:r>
      <w:r w:rsidR="001A23AB">
        <w:t>3.1 Soil Modeling</w:t>
      </w:r>
      <w:bookmarkEnd w:id="183"/>
    </w:p>
    <w:p w14:paraId="4C9BC472" w14:textId="31D0F3C3" w:rsidR="001A23AB" w:rsidRDefault="008760FD" w:rsidP="007611F1">
      <w:pPr>
        <w:jc w:val="both"/>
      </w:pPr>
      <w:r>
        <w:tab/>
      </w:r>
      <w:r w:rsidR="00F90FF9">
        <w:t xml:space="preserve">The MINEQL+ modeling of LIB in acidic and basic soil was able to model and predict the </w:t>
      </w:r>
      <w:r w:rsidR="00FD26E7">
        <w:t>adsorbed species</w:t>
      </w:r>
      <w:r w:rsidR="00B96ADB">
        <w:t xml:space="preserve"> and relative abundance of copper, manganese, nickel, aluminum, and cobalt</w:t>
      </w:r>
      <w:r w:rsidR="000E1089">
        <w:t xml:space="preserve"> to </w:t>
      </w:r>
      <w:r w:rsidR="000E1089">
        <w:lastRenderedPageBreak/>
        <w:t>one another.</w:t>
      </w:r>
      <w:r w:rsidR="00601849">
        <w:t xml:space="preserve">  With the pC – pH diagrams produced by </w:t>
      </w:r>
      <w:r w:rsidR="0004591D">
        <w:t>MINEQL+’s two-layer model</w:t>
      </w:r>
      <w:r w:rsidR="00601849">
        <w:t>, the dominant species throughout the pH range of 4 to 10 can be reliably used to presume which metals will have the highest adsorption rate and contamination risk.</w:t>
      </w:r>
      <w:r w:rsidR="00B331BD">
        <w:t xml:space="preserve">  </w:t>
      </w:r>
      <w:r>
        <w:t>MINEQL+ uses thermodynamic parameters to determine the equilibrium states of all species of interest.  However, since kinetic parameters of the chemical reactions are not modeled, the timeline to reach equilibrium is not known.  Equilibration can range from seconds to months because even if the reactions are thermodynamically favorable, the kinetics determine the rate of reaction</w:t>
      </w:r>
      <w:r w:rsidR="00002691">
        <w:t xml:space="preserve"> </w:t>
      </w:r>
      <w:r w:rsidR="00002691">
        <w:fldChar w:fldCharType="begin" w:fldLock="1"/>
      </w:r>
      <w:r w:rsidR="00D44E3A">
        <w:instrText>ADDIN CSL_CITATION {"citationItems":[{"id":"ITEM-1","itemData":{"DOI":"10.1016/S0016-7037(02)00907-9","ISSN":"00167037","abstract":"Additions of the low occurence stable isotopes 61Ni, 65Cu, and 68Zn were used as tracers to determine the exchange kinetics of metals between dissolved and particulate forms in laboratory studies of natural water and suspended sediments from South San Francisco Bay, CA. Dissolved metal isotope additions were made so that the isotope ratios (rather than total metal partitioning) were significantly altered from initial ambient conditions. Dissolved metal concentrations were determined using an organic ligand sequential extraction technique followed by analysis with high-resolution inductively coupled plasma mass spectrometry (HR-ICPMS). Exchangeable particulate concentrations were extracted using a 20% acetic acid leach followed by determination using HR-ICPMS. Equilibrium and kinetic sorption parameters were quantified according to a general model for trace metal partitioning assuming pseudo-first-order kinetics. Partition coefficients (KD) were tracked as a function of time over the fortnight experiment. For Ni, Cu, and Zn the initial ambient KD values were found to be 103.65, 103.88, and 104.52 L kg-1, respectively. As a result of the dissolved metal isotope additions, the partition coefficients for all three metals dropped and then increased back to near ambient KD values after 14 days. Curve-fitting concentration versus time profiles from both dissolved and exchangeable particulate data sets allowed determination of kinetic rate constants. The best estimates of forward and backward kinetic rate constants for Ni, Cu, and Zn respectively are k'f = 0.03, 0.07, 0.12 d-1 and kb = 0.13, 0.12, 0.15 d-1. These results predict that sorption equilibria in South Bay should be reached on the order of a month for Ni, on the order of 3 weeks for Cu, and on the order of 2 weeks for Zn. Together, the dissolved and exchangeable particulate data indicate more sluggish sorption kinetics for Ni than for Cu and Zn and suggest that different chemical forms control the speciation of these three metals in South Bay. Order of magnitude metal sorption exchange rates were estimated using these kinetic results. These calculations indicate that sorption exchange between dissolved and suspended particulate phases can cause dynamic internal cycling of these metals in South San Francisco Bay. Copyright © 2002 Elsevier Science Ltd.","author":[{"dropping-particle":"","family":"Gee","given":"Alison K.","non-dropping-particle":"","parse-names":false,"suffix":""},{"dropping-particle":"","family":"Bruland","given":"Kenneth W.","non-dropping-particle":"","parse-names":false,"suffix":""}],"container-title":"Geochimica et Cosmochimica Acta","id":"ITEM-1","issue":"17","issued":{"date-parts":[["2002"]]},"page":"3063-3083","title":"Tracing Ni, Cu, and Zn kinetics and equilibrium partitioning between dissolved and particulate phases in South San Francisco Bay, California, using stable isotopes and high-resolution inductively coupled plasma mass spectrometry","type":"article-journal","volume":"66"},"uris":["http://www.mendeley.com/documents/?uuid=56114d96-4028-44fe-864c-ac83c5002889"]},{"id":"ITEM-2","itemData":{"DOI":"10.1016/0016-7037(84)90382-X","ISSN":"00167037","abstract":"Distinctive uptake mechanisms of different radiotracers by red clays in seawater are elucidated from the magnitude and change of distribution coefficients (Kd) for up to 17 γ-emitting radiotracers as functions of equilibration time, suspended particle concentration and compositions of solids and seawaters. The adsorption of ionic metals onto colloids and subsequent coagulation of colloids onto larger particles are the dominant removal processes of metals in the aquatic environments of low suspended particle concentration. © 1984.","author":[{"dropping-particle":"","family":"Li","given":"Yuan Hui","non-dropping-particle":"","parse-names":false,"suffix":""},{"dropping-particle":"","family":"Burkhardt","given":"Linda","non-dropping-particle":"","parse-names":false,"suffix":""},{"dropping-particle":"","family":"Buchholtz","given":"Marilyn","non-dropping-particle":"","parse-names":false,"suffix":""},{"dropping-particle":"","family":"O'Hara","given":"Patricia","non-dropping-particle":"","parse-names":false,"suffix":""},{"dropping-particle":"","family":"Santschi","given":"Peter H.","non-dropping-particle":"","parse-names":false,"suffix":""}],"container-title":"Geochimica et Cosmochimica Acta","id":"ITEM-2","issue":"10","issued":{"date-parts":[["1984"]]},"page":"2011-2019","title":"Partition of radiotracers between suspended particles and seawater","type":"article-journal","volume":"48"},"uris":["http://www.mendeley.com/documents/?uuid=ba784aa9-b98b-43c1-aaa1-fb52e89ced3d"]}],"mendeley":{"formattedCitation":"(Gee &amp; Bruland, 2002; Y. H. Li et al., 1984)","plainTextFormattedCitation":"(Gee &amp; Bruland, 2002; Y. H. Li et al., 1984)","previouslyFormattedCitation":"(Gee &amp; Bruland, 2002; Y. H. Li et al., 1984)"},"properties":{"noteIndex":0},"schema":"https://github.com/citation-style-language/schema/raw/master/csl-citation.json"}</w:instrText>
      </w:r>
      <w:r w:rsidR="00002691">
        <w:fldChar w:fldCharType="separate"/>
      </w:r>
      <w:r w:rsidR="00002691" w:rsidRPr="00FD645B">
        <w:rPr>
          <w:noProof/>
        </w:rPr>
        <w:t>(Gee &amp; Bruland, 2002; Y. H. Li et al., 1984)</w:t>
      </w:r>
      <w:r w:rsidR="00002691">
        <w:fldChar w:fldCharType="end"/>
      </w:r>
      <w:r>
        <w:t xml:space="preserve">.  </w:t>
      </w:r>
      <w:r w:rsidR="00B331BD">
        <w:t>MINEQL+ modeled the thermodynamic equilibrium of the system to determine the species at the pH values while the experimental results determine the rate at which equilibrium is reached</w:t>
      </w:r>
      <w:r w:rsidR="00002691">
        <w:t xml:space="preserve">.  </w:t>
      </w:r>
    </w:p>
    <w:p w14:paraId="5F2D6F5C" w14:textId="1C6AC7A0" w:rsidR="00470257" w:rsidRDefault="00470257" w:rsidP="007611F1">
      <w:pPr>
        <w:jc w:val="both"/>
      </w:pPr>
      <w:r>
        <w:tab/>
        <w:t xml:space="preserve">The parameters used for this MINEQL+ </w:t>
      </w:r>
      <w:r w:rsidR="00697CDB">
        <w:t xml:space="preserve">model </w:t>
      </w:r>
      <w:proofErr w:type="gramStart"/>
      <w:r w:rsidR="00697CDB">
        <w:t>were</w:t>
      </w:r>
      <w:proofErr w:type="gramEnd"/>
      <w:r w:rsidR="00697CDB">
        <w:t xml:space="preserve"> based on previous adsorption studies in </w:t>
      </w:r>
      <w:r w:rsidR="001D5F79">
        <w:t>different soil and mineral content</w:t>
      </w:r>
      <w:r w:rsidR="00494FDF">
        <w:t xml:space="preserve"> </w:t>
      </w:r>
      <w:r w:rsidR="00AD0C8D">
        <w:t>then altered with each iteration to mirror the experimental results</w:t>
      </w:r>
      <w:r w:rsidR="007274D4">
        <w:t>, resulting in LogK</w:t>
      </w:r>
      <w:r w:rsidR="007274D4">
        <w:rPr>
          <w:vertAlign w:val="superscript"/>
        </w:rPr>
        <w:t>1</w:t>
      </w:r>
      <w:r w:rsidR="007274D4">
        <w:t xml:space="preserve"> equaling 1 and LogK</w:t>
      </w:r>
      <w:r w:rsidR="007274D4">
        <w:rPr>
          <w:vertAlign w:val="superscript"/>
        </w:rPr>
        <w:t>2</w:t>
      </w:r>
      <w:r w:rsidR="007274D4">
        <w:t xml:space="preserve"> equaling -8.2</w:t>
      </w:r>
      <w:r w:rsidR="00AD0C8D">
        <w:t xml:space="preserve">.  </w:t>
      </w:r>
      <w:r w:rsidR="001D6D1C">
        <w:t xml:space="preserve">The </w:t>
      </w:r>
      <w:r w:rsidR="006717CF">
        <w:t xml:space="preserve">surface complexation constants, LogK, were relatively </w:t>
      </w:r>
      <w:r w:rsidR="002E2B58">
        <w:t xml:space="preserve">consistent between quartz, feldspar, and kaolinite, </w:t>
      </w:r>
      <w:r w:rsidR="00A75D6E">
        <w:t>allowing for a simpler iteration process.  The ionic strength was chosen to</w:t>
      </w:r>
      <w:r w:rsidR="00890AB5">
        <w:t xml:space="preserve"> represent salts and other ions in the soil, yet not overwhelm the adsorption chemistry between the soil particles and metal ions.  </w:t>
      </w:r>
      <w:r w:rsidR="00AF0780">
        <w:t xml:space="preserve">The solids concentration at 1 g/L was </w:t>
      </w:r>
      <w:r w:rsidR="00F04AB7">
        <w:t xml:space="preserve">verified as adequate by increasing it tenfold and seeing negligible difference.  </w:t>
      </w:r>
    </w:p>
    <w:p w14:paraId="7ED29373" w14:textId="2E57CE3A" w:rsidR="00677486" w:rsidRDefault="00677486" w:rsidP="007611F1">
      <w:pPr>
        <w:jc w:val="both"/>
      </w:pPr>
      <w:r>
        <w:tab/>
      </w:r>
      <w:r w:rsidR="00F80744">
        <w:t xml:space="preserve">The results of modeling the adsorption of copper into acidic and basic soil </w:t>
      </w:r>
      <w:r w:rsidR="00EA2CDD">
        <w:t xml:space="preserve">confirmed the experimental results.  </w:t>
      </w:r>
      <w:r w:rsidR="00507E70">
        <w:t xml:space="preserve">The model </w:t>
      </w:r>
      <w:r w:rsidR="006237DA">
        <w:t xml:space="preserve">shows an </w:t>
      </w:r>
      <w:r w:rsidR="00B60526">
        <w:t xml:space="preserve">increase of adsorbed copper (I) and (II) ions in the higher pH range.  </w:t>
      </w:r>
      <w:r w:rsidR="000E662F">
        <w:t xml:space="preserve">This supports the </w:t>
      </w:r>
      <w:r w:rsidR="006862DD">
        <w:t xml:space="preserve">adsorption </w:t>
      </w:r>
      <w:r w:rsidR="0013505A">
        <w:t>timeline determined by the soil sample results</w:t>
      </w:r>
      <w:r w:rsidR="006862DD">
        <w:t xml:space="preserve">, having a higher adsorption of copper </w:t>
      </w:r>
      <w:r w:rsidR="00D6053E">
        <w:t xml:space="preserve">in the basic soil.  Analyzing the </w:t>
      </w:r>
      <w:r w:rsidR="002A6FD5">
        <w:t xml:space="preserve">major </w:t>
      </w:r>
      <w:r w:rsidR="00BB715D">
        <w:t xml:space="preserve">species </w:t>
      </w:r>
      <w:r w:rsidR="002A6FD5">
        <w:t xml:space="preserve">of copper in the </w:t>
      </w:r>
      <w:r w:rsidR="00BB715D">
        <w:t>pC – pH diagram</w:t>
      </w:r>
      <w:r w:rsidR="002A6FD5">
        <w:t xml:space="preserve">, </w:t>
      </w:r>
      <w:r w:rsidR="00352D31">
        <w:t xml:space="preserve">concludes that desorption decreases with pH because there is less </w:t>
      </w:r>
      <w:r w:rsidR="00352D31">
        <w:lastRenderedPageBreak/>
        <w:t xml:space="preserve">competition from </w:t>
      </w:r>
      <w:r w:rsidR="00BD296E">
        <w:t xml:space="preserve">protons </w:t>
      </w:r>
      <w:r w:rsidR="00113670">
        <w:t>as well as</w:t>
      </w:r>
      <w:r w:rsidR="00BD296E">
        <w:t xml:space="preserve"> the </w:t>
      </w:r>
      <w:r w:rsidR="00A37C71">
        <w:t xml:space="preserve">copper ions and </w:t>
      </w:r>
      <w:r w:rsidR="00703FB9">
        <w:t xml:space="preserve">binding sites’ strong </w:t>
      </w:r>
      <w:r w:rsidR="00A37C71">
        <w:t xml:space="preserve">attractive force </w:t>
      </w:r>
      <w:r w:rsidR="00344D2F">
        <w:t>toward one another</w:t>
      </w:r>
      <w:r w:rsidR="00695E22">
        <w:t xml:space="preserve">.  </w:t>
      </w:r>
      <w:r w:rsidR="00A5142E">
        <w:t xml:space="preserve">The </w:t>
      </w:r>
      <w:r w:rsidR="008E37FE">
        <w:t>XRF results of copper may not fully be adsorbed copper, as copper oxides and hydroxides</w:t>
      </w:r>
      <w:r w:rsidR="00A07360">
        <w:t xml:space="preserve"> precipitate out a</w:t>
      </w:r>
      <w:r w:rsidR="009C5E69">
        <w:t xml:space="preserve">s pH increases, </w:t>
      </w:r>
      <w:r w:rsidR="00070DA9">
        <w:t xml:space="preserve">which are then integrating, but not necessarily </w:t>
      </w:r>
      <w:r w:rsidR="0087360D">
        <w:t>binding to the soil particles</w:t>
      </w:r>
      <w:r w:rsidR="001C2ECB">
        <w:t xml:space="preserve"> </w:t>
      </w:r>
      <w:r w:rsidR="00010967">
        <w:fldChar w:fldCharType="begin" w:fldLock="1"/>
      </w:r>
      <w:r w:rsidR="00583CA3">
        <w:instrText>ADDIN CSL_CITATION {"citationItems":[{"id":"ITEM-1","itemData":{"author":[{"dropping-particle":"","family":"McDowell","given":"L.","non-dropping-particle":"","parse-names":false,"suffix":""},{"dropping-particle":"","family":"Johnston","given":"H.","non-dropping-particle":"","parse-names":false,"suffix":""}],"container-title":"Journal of the American Society of Mining and Reclamation","id":"ITEM-1","issue":"10","issued":{"date-parts":[["1936"]]},"page":"2009-2014","title":"The solubility of cupric oxide in alkali and the second dissociation constant of cupric acid. The analysis of very small amounts of copper","type":"article-journal","volume":"58"},"uris":["http://www.mendeley.com/documents/?uuid=e59ef9b7-560e-4ba4-abb9-5231249da544"]}],"mendeley":{"formattedCitation":"(McDowell &amp; Johnston, 1936)","plainTextFormattedCitation":"(McDowell &amp; Johnston, 1936)","previouslyFormattedCitation":"(McDowell &amp; Johnston, 1936)"},"properties":{"noteIndex":0},"schema":"https://github.com/citation-style-language/schema/raw/master/csl-citation.json"}</w:instrText>
      </w:r>
      <w:r w:rsidR="00010967">
        <w:fldChar w:fldCharType="separate"/>
      </w:r>
      <w:r w:rsidR="00010967" w:rsidRPr="00010967">
        <w:rPr>
          <w:noProof/>
        </w:rPr>
        <w:t>(McDowell &amp; Johnston, 1936)</w:t>
      </w:r>
      <w:r w:rsidR="00010967">
        <w:fldChar w:fldCharType="end"/>
      </w:r>
      <w:r w:rsidR="0087360D">
        <w:t xml:space="preserve">.  </w:t>
      </w:r>
      <w:r w:rsidR="00311379">
        <w:t xml:space="preserve">Nonetheless, </w:t>
      </w:r>
      <w:r w:rsidR="00010967">
        <w:t xml:space="preserve">the </w:t>
      </w:r>
      <w:proofErr w:type="gramStart"/>
      <w:r w:rsidR="00010967">
        <w:t>results</w:t>
      </w:r>
      <w:proofErr w:type="gramEnd"/>
      <w:r w:rsidR="00010967">
        <w:t xml:space="preserve"> from this model verifies the experimental results of </w:t>
      </w:r>
      <w:r w:rsidR="00343193">
        <w:t>a higher adsorption of copper into basic soil.</w:t>
      </w:r>
    </w:p>
    <w:p w14:paraId="4DDE9C92" w14:textId="018EB797" w:rsidR="00677486" w:rsidRPr="00007EE0" w:rsidRDefault="00677486" w:rsidP="007611F1">
      <w:pPr>
        <w:jc w:val="both"/>
      </w:pPr>
      <w:r>
        <w:tab/>
      </w:r>
      <w:r w:rsidR="00900325">
        <w:t xml:space="preserve">The results of modeling the adsorption of manganese into acidic and basic soil confirmed the experimental results.  </w:t>
      </w:r>
      <w:r w:rsidR="00CC5A37">
        <w:t xml:space="preserve">MINEQL+ </w:t>
      </w:r>
      <w:r w:rsidR="002B1453">
        <w:t xml:space="preserve">predicted a </w:t>
      </w:r>
      <w:r w:rsidR="00007EE0">
        <w:t xml:space="preserve">relatively </w:t>
      </w:r>
      <w:r w:rsidR="002B1453">
        <w:t>high adsorption of Mn</w:t>
      </w:r>
      <w:r w:rsidR="00007EE0">
        <w:rPr>
          <w:vertAlign w:val="superscript"/>
        </w:rPr>
        <w:t>3+</w:t>
      </w:r>
      <w:r w:rsidR="00007EE0">
        <w:t xml:space="preserve"> over the pH range </w:t>
      </w:r>
      <w:r w:rsidR="00A7285E">
        <w:t>4-10</w:t>
      </w:r>
      <w:r w:rsidR="0089111B">
        <w:t xml:space="preserve">, minimizing the </w:t>
      </w:r>
      <w:r w:rsidR="000A2CBE">
        <w:t xml:space="preserve">expected difference between the acidic and basic soil groups.  </w:t>
      </w:r>
      <w:r w:rsidR="00802DF0">
        <w:t>The remaining major species are manganese hydroxides</w:t>
      </w:r>
      <w:r w:rsidR="007605B8">
        <w:t xml:space="preserve">, which begin to decrease in solubility </w:t>
      </w:r>
      <w:r w:rsidR="00545B5F">
        <w:t xml:space="preserve">after approximately pH 9.  </w:t>
      </w:r>
      <w:r w:rsidR="00911786">
        <w:t xml:space="preserve">It can be concluded that </w:t>
      </w:r>
      <w:r w:rsidR="00264CBE">
        <w:t xml:space="preserve">manganese is not a severe rick for contamination due to the adsorptive capabilities to the soil as well as the </w:t>
      </w:r>
      <w:r w:rsidR="00462ACB">
        <w:t xml:space="preserve">manganese oxides that are very stable </w:t>
      </w:r>
      <w:r w:rsidR="005842F3">
        <w:t xml:space="preserve">compounds </w:t>
      </w:r>
      <w:r w:rsidR="00583CA3">
        <w:fldChar w:fldCharType="begin" w:fldLock="1"/>
      </w:r>
      <w:r w:rsidR="00BF487E">
        <w:instrText>ADDIN CSL_CITATION {"citationItems":[{"id":"ITEM-1","itemData":{"ISBN":"1667A","author":[{"dropping-particle":"","family":"Hem","given":"John","non-dropping-particle":"","parse-names":false,"suffix":""}],"container-title":"US Geological survey water-supply paper 1667-A","id":"ITEM-1","issued":{"date-parts":[["1963"]]},"page":"71","title":"Chemical equilibria and rates of manganese oxidation - Chemistry of Manganese in Natural Water","type":"article-journal"},"uris":["http://www.mendeley.com/documents/?uuid=f1622e25-6e9e-4c47-9a97-b2b4e34a7c21"]}],"mendeley":{"formattedCitation":"(Hem, 1963)","plainTextFormattedCitation":"(Hem, 1963)","previouslyFormattedCitation":"(Hem, 1963)"},"properties":{"noteIndex":0},"schema":"https://github.com/citation-style-language/schema/raw/master/csl-citation.json"}</w:instrText>
      </w:r>
      <w:r w:rsidR="00583CA3">
        <w:fldChar w:fldCharType="separate"/>
      </w:r>
      <w:r w:rsidR="00583CA3" w:rsidRPr="00583CA3">
        <w:rPr>
          <w:noProof/>
        </w:rPr>
        <w:t>(Hem, 1963)</w:t>
      </w:r>
      <w:r w:rsidR="00583CA3">
        <w:fldChar w:fldCharType="end"/>
      </w:r>
      <w:r w:rsidR="00462ACB">
        <w:t>.</w:t>
      </w:r>
    </w:p>
    <w:p w14:paraId="2F97DA88" w14:textId="6E1F3F90" w:rsidR="00677486" w:rsidRDefault="00677486" w:rsidP="007611F1">
      <w:pPr>
        <w:jc w:val="both"/>
      </w:pPr>
      <w:r>
        <w:tab/>
      </w:r>
      <w:r w:rsidR="00AF299F">
        <w:t xml:space="preserve">The results of modeling the adsorption of nickel into acidic and basic soil confirmed the experimental results.  </w:t>
      </w:r>
      <w:r w:rsidR="00253B32">
        <w:t xml:space="preserve">At the end of 24 weeks, though the basic soil group had a higher </w:t>
      </w:r>
      <w:r w:rsidR="00541B0C">
        <w:t>concentration of nickel compared to the acidic soil group, after five weeks</w:t>
      </w:r>
      <w:r w:rsidR="0024384C">
        <w:t xml:space="preserve">, each pH group has the approximately same increasing slope.  </w:t>
      </w:r>
      <w:r w:rsidR="006F1FB7">
        <w:t>The model shows</w:t>
      </w:r>
      <w:r w:rsidR="0024384C">
        <w:t xml:space="preserve"> this </w:t>
      </w:r>
      <w:r w:rsidR="00121C40">
        <w:t xml:space="preserve">equal adsorption </w:t>
      </w:r>
      <w:r w:rsidR="006F1FB7">
        <w:t xml:space="preserve">with the major nickel species </w:t>
      </w:r>
      <w:r w:rsidR="0081465F">
        <w:t xml:space="preserve">keeping relatively the same solubility until a slight drop after pH 8.  The small difference in solubility, aiding in the adsorption, </w:t>
      </w:r>
      <w:r w:rsidR="00D03B31">
        <w:t>supports the experimental results.</w:t>
      </w:r>
    </w:p>
    <w:p w14:paraId="371BF7A7" w14:textId="1D2828B4" w:rsidR="00677486" w:rsidRDefault="00677486" w:rsidP="007611F1">
      <w:pPr>
        <w:jc w:val="both"/>
      </w:pPr>
      <w:r>
        <w:tab/>
      </w:r>
      <w:r w:rsidR="00D03B31">
        <w:t xml:space="preserve">The results of modeling the adsorption of aluminum into acidic and basic soil confirmed the experimental results.  </w:t>
      </w:r>
      <w:r w:rsidR="005304C0">
        <w:t xml:space="preserve">Although adsorption increases at a steady pace with increasing pH, </w:t>
      </w:r>
      <w:r w:rsidR="00A04CC2">
        <w:t>th</w:t>
      </w:r>
      <w:r w:rsidR="00437D77">
        <w:t xml:space="preserve">e mobility of aluminum </w:t>
      </w:r>
      <w:r w:rsidR="00A87318">
        <w:t>in both basic and acidic media provides a near equal adsorption and integration into the soil</w:t>
      </w:r>
      <w:r w:rsidR="00081947">
        <w:t xml:space="preserve">, </w:t>
      </w:r>
      <w:r w:rsidR="00D3280B">
        <w:t>mirroring the soil sample results.</w:t>
      </w:r>
      <w:r w:rsidR="00A87318">
        <w:t xml:space="preserve">  </w:t>
      </w:r>
      <w:r w:rsidR="00EA587D">
        <w:t>Future research could be performed to identify which aluminum species dominate</w:t>
      </w:r>
      <w:r w:rsidR="00A04CC2">
        <w:t xml:space="preserve"> the integration into the soil to determine the </w:t>
      </w:r>
      <w:r w:rsidR="00A04CC2">
        <w:lastRenderedPageBreak/>
        <w:t>contamination risk</w:t>
      </w:r>
      <w:r w:rsidR="00EB6728">
        <w:t xml:space="preserve">.  Aluminum </w:t>
      </w:r>
      <w:r w:rsidR="00D865E2">
        <w:t>had a very high control soil concentration, due to the alumin</w:t>
      </w:r>
      <w:r w:rsidR="000F1CA0">
        <w:t xml:space="preserve">osilicates and other aluminum minerals naturally occurring </w:t>
      </w:r>
      <w:r w:rsidR="005B4F1E">
        <w:t xml:space="preserve">in soil.  </w:t>
      </w:r>
    </w:p>
    <w:p w14:paraId="6D057188" w14:textId="02705D60" w:rsidR="00677486" w:rsidRDefault="00214C13" w:rsidP="007611F1">
      <w:pPr>
        <w:jc w:val="both"/>
      </w:pPr>
      <w:r>
        <w:tab/>
        <w:t xml:space="preserve">The results of modeling the adsorption of cobalt into acidic and basic soil is an accurate representation of the system at equilibrium.  Though cobalt was not detected by the XRF in the experimental samples, this adsorption diagram will adequately predict the </w:t>
      </w:r>
      <w:r w:rsidR="00EC5762">
        <w:t xml:space="preserve">degree to which cobalt integrates into the soil and the mobility it has for </w:t>
      </w:r>
      <w:r w:rsidR="000B3E1E">
        <w:t xml:space="preserve">plant uptake.  </w:t>
      </w:r>
      <w:r w:rsidR="009379EB">
        <w:t>Cobalt (</w:t>
      </w:r>
      <w:r w:rsidR="007A4983">
        <w:t>III)</w:t>
      </w:r>
      <w:r w:rsidR="009379EB">
        <w:t xml:space="preserve"> had a high adsorption throughout the pH range</w:t>
      </w:r>
      <w:r w:rsidR="007A4983">
        <w:t xml:space="preserve"> while cobalt (II) had a lower adsorption, with a decrease in </w:t>
      </w:r>
      <w:r w:rsidR="00DB496F">
        <w:t xml:space="preserve">mildly alkaline soil.  With this MINEQL+ model, the </w:t>
      </w:r>
      <w:r w:rsidR="0081054D">
        <w:t>adsorption capabilities of this soil based on pH can be used to predict the contamination risk of cobalt</w:t>
      </w:r>
      <w:r w:rsidR="007D2DCA">
        <w:t xml:space="preserve"> at landfills and recycling centers.</w:t>
      </w:r>
    </w:p>
    <w:p w14:paraId="56918DEC" w14:textId="7ABB1F33" w:rsidR="001A23AB" w:rsidRDefault="00927237" w:rsidP="007611F1">
      <w:pPr>
        <w:jc w:val="both"/>
      </w:pPr>
      <w:r>
        <w:tab/>
        <w:t>The MINEQL+ m</w:t>
      </w:r>
      <w:r w:rsidR="00A236CF">
        <w:t xml:space="preserve">odeling of the LIB in acidic and basic soil </w:t>
      </w:r>
      <w:r w:rsidR="00A342DC">
        <w:t xml:space="preserve">can be reliably used to predict the </w:t>
      </w:r>
      <w:r w:rsidR="00AC0D97">
        <w:t xml:space="preserve">adsorption profile and contamination risk. </w:t>
      </w:r>
      <w:r w:rsidR="006A6210">
        <w:t xml:space="preserve"> Future research </w:t>
      </w:r>
      <w:r w:rsidR="008D105F">
        <w:t xml:space="preserve">with MINEQL+ is </w:t>
      </w:r>
      <w:r w:rsidR="006D063F">
        <w:t>recommended</w:t>
      </w:r>
      <w:r w:rsidR="008D105F">
        <w:t xml:space="preserve"> to </w:t>
      </w:r>
      <w:r w:rsidR="006D063F">
        <w:t xml:space="preserve">predict the adsorption </w:t>
      </w:r>
      <w:r w:rsidR="00BF2E0D">
        <w:t>and contamination risk of different LIB compositions.</w:t>
      </w:r>
    </w:p>
    <w:p w14:paraId="77A8DE6F" w14:textId="77777777" w:rsidR="007611F1" w:rsidRDefault="007611F1" w:rsidP="007611F1">
      <w:pPr>
        <w:jc w:val="both"/>
      </w:pPr>
    </w:p>
    <w:p w14:paraId="4906BF8F" w14:textId="4682BDB8" w:rsidR="001A23AB" w:rsidRDefault="00F84424" w:rsidP="001B6872">
      <w:pPr>
        <w:pStyle w:val="Heading3"/>
        <w:numPr>
          <w:ilvl w:val="0"/>
          <w:numId w:val="0"/>
        </w:numPr>
      </w:pPr>
      <w:bookmarkStart w:id="184" w:name="_Toc71224021"/>
      <w:r>
        <w:t>5.</w:t>
      </w:r>
      <w:r w:rsidR="001A23AB">
        <w:t>3.2 Water Modeling</w:t>
      </w:r>
      <w:bookmarkEnd w:id="184"/>
    </w:p>
    <w:p w14:paraId="278CD2BD" w14:textId="73C9B9E8" w:rsidR="00C77075" w:rsidRDefault="001A23AB" w:rsidP="007611F1">
      <w:pPr>
        <w:jc w:val="both"/>
      </w:pPr>
      <w:r>
        <w:tab/>
      </w:r>
      <w:r w:rsidR="00DA66A1">
        <w:t xml:space="preserve">The MINEQL+ modeling of the LIB </w:t>
      </w:r>
      <w:r w:rsidR="009B0655">
        <w:t xml:space="preserve">in </w:t>
      </w:r>
      <w:r w:rsidR="00812649">
        <w:t xml:space="preserve">acidic and basic water was able to </w:t>
      </w:r>
      <w:r w:rsidR="00B9131D">
        <w:t>model and predict the soluble species and relative abundance</w:t>
      </w:r>
      <w:r w:rsidR="00F8389E">
        <w:t xml:space="preserve"> of copper, manganese, nickel, aluminum, and cobalt</w:t>
      </w:r>
      <w:r w:rsidR="00346E19">
        <w:t xml:space="preserve"> to one another</w:t>
      </w:r>
      <w:r w:rsidR="00F8389E">
        <w:t>.</w:t>
      </w:r>
      <w:r w:rsidR="00DB0C25">
        <w:t xml:space="preserve">  </w:t>
      </w:r>
      <w:r w:rsidR="00F7518E">
        <w:t>With the pC – pH diagrams</w:t>
      </w:r>
      <w:r w:rsidR="00BA561E">
        <w:t xml:space="preserve"> produced by MINEQL+, the dominant species throughout the pH range of 4 to 10</w:t>
      </w:r>
      <w:r w:rsidR="0037042D">
        <w:t xml:space="preserve"> can be reliably used to </w:t>
      </w:r>
      <w:r w:rsidR="00781290">
        <w:t xml:space="preserve">presume </w:t>
      </w:r>
      <w:r w:rsidR="00FE1372">
        <w:t>which metal</w:t>
      </w:r>
      <w:r w:rsidR="00601849">
        <w:t>s</w:t>
      </w:r>
      <w:r w:rsidR="00FE1372">
        <w:t xml:space="preserve"> will have the highest leaching rate and contamination risk</w:t>
      </w:r>
      <w:r w:rsidR="000D7E9B">
        <w:t>.</w:t>
      </w:r>
      <w:r w:rsidR="008760FD">
        <w:t xml:space="preserve">  </w:t>
      </w:r>
      <w:r w:rsidR="00DE5347">
        <w:t>Similarly in the adsorption</w:t>
      </w:r>
      <w:r w:rsidR="000B0878">
        <w:t xml:space="preserve"> rate</w:t>
      </w:r>
      <w:r w:rsidR="00DE5347">
        <w:t xml:space="preserve"> of metals to soils, the </w:t>
      </w:r>
      <w:r w:rsidR="000B0878">
        <w:t>leaching</w:t>
      </w:r>
      <w:r w:rsidR="00DE5347">
        <w:t xml:space="preserve"> </w:t>
      </w:r>
      <w:r w:rsidR="000B0878">
        <w:t xml:space="preserve">rate </w:t>
      </w:r>
      <w:r w:rsidR="00DE5347">
        <w:t xml:space="preserve">of metals into water </w:t>
      </w:r>
      <w:r w:rsidR="000B0878">
        <w:t>is based on kinetics</w:t>
      </w:r>
      <w:r w:rsidR="00002691">
        <w:t xml:space="preserve"> </w:t>
      </w:r>
      <w:r w:rsidR="00002691">
        <w:fldChar w:fldCharType="begin" w:fldLock="1"/>
      </w:r>
      <w:r w:rsidR="00002691">
        <w:instrText>ADDIN CSL_CITATION {"citationItems":[{"id":"ITEM-1","itemData":{"DOI":"10.1016/0016-7037(88)90111-1","ISSN":"00167037","abstract":"Removal of four radiotracers (46Sc, 113Sn, 65Zn and 230Th) by natural particulates in Puget Sound seawater was carefully studied under controlled laboratory conditions. In order to analyze closely the sorption kinetics of these metals, and to determine the relative importance of different rate controlling processes, time dependent particulate and dissolved concentrations were obtained from about 1 min. to 100 days. Very fast sorption for each metal was followed by much slower and extended uptake. Overall metal sorption rates for the faster uptake reactions are proportional to their final distribution coefficient, Kd∞. Times to reach 90% of final fraction sorbed range from &lt;1 min for Sn to about 6 days for Zn. Sorption rate variations for the different metals indicate particle residence time as a master variable in scavenging, and the rate versus Kd∞ relationship allows Th to be used as an analogue for other scavenged metals. Linearizing the sorption data to an overall first order reaction model suggests that for our experiments four distinct processes exist with characteristic time periods of &lt;1 min, ~20 min, ~4 hrs and several days. The results suggest that scavenging is affected by both surface chemical properties and biological activity. In general, stronger binding metals sorb rapidly via chemical and physical processes, while metals with weaker particle associations are taken up much more slowly and may be controlled biologically. Two uptake models and the theoretical limits of rate controlling processes such as surface reactions, diffusion and mass transfer are also discussed. © 1988.","author":[{"dropping-particle":"","family":"Jannasch","given":"Hans W.","non-dropping-particle":"","parse-names":false,"suffix":""},{"dropping-particle":"","family":"Honeyman","given":"Bruce D.","non-dropping-particle":"","parse-names":false,"suffix":""},{"dropping-particle":"","family":"Balistrieri","given":"Laurie S.","non-dropping-particle":"","parse-names":false,"suffix":""},{"dropping-particle":"","family":"James W.","given":"Murray","non-dropping-particle":"","parse-names":false,"suffix":""}],"container-title":"Geochimica et Cosmochimica Acta","id":"ITEM-1","issue":"2","issued":{"date-parts":[["1988"]]},"page":"567-577","title":"Kinetics of trace element uptake by marine particles","type":"article-journal","volume":"52"},"uris":["http://www.mendeley.com/documents/?uuid=1cf4dcbe-6f29-4727-a822-96525e465ed7"]},{"id":"ITEM-2","itemData":{"DOI":"10.1016/0016-7037(84)90407-1","ISSN":"00167037","abstract":"The partitioning of radioactive trace elements between seawater and particulate matter from surface sediments and sediment traps was investigated in laboratory experiments. For the elements Na, Zn, Se, Sr, Cd, Sn, Sb, Cs, Ba, Hg, Th and Pa (group I) constant distribution coefficients (Kd) were found after a few days of equilibration, whereas the elements Be, Mn, Co and Fe (group II) showed an increasing Kd over the whole time of observation of 108 days. The time dependence of Kd is described by an adsorption-desorption equilibrium (group I elements), followed by a lattice transport reaction step (group II elements). The reaction rate constants are compared to Mn oxidation rates and to adsorption rate constants derived from in situ measurements of the U Th disequilibrium as available from literature. © 1984.","author":[{"dropping-particle":"","family":"Nyffeler","given":"Urs P.","non-dropping-particle":"","parse-names":false,"suffix":""},{"dropping-particle":"","family":"Li","given":"Yuan Hui","non-dropping-particle":"","parse-names":false,"suffix":""},{"dropping-particle":"","family":"Santschi","given":"Peter H.","non-dropping-particle":"","parse-names":false,"suffix":""}],"container-title":"Geochimica et Cosmochimica Acta","id":"ITEM-2","issue":"7","issued":{"date-parts":[["1984"]]},"page":"1513-1522","title":"A kinetic approach to describe trace-element distribution between particles and solution in natural aquatic systems","type":"article-journal","volume":"48"},"uris":["http://www.mendeley.com/documents/?uuid=755c1cea-c6a0-4763-890f-a8f818bb60a7"]}],"mendeley":{"formattedCitation":"(Jannasch et al., 1988; Nyffeler et al., 1984)","plainTextFormattedCitation":"(Jannasch et al., 1988; Nyffeler et al., 1984)","previouslyFormattedCitation":"(Jannasch et al., 1988; Nyffeler et al., 1984)"},"properties":{"noteIndex":0},"schema":"https://github.com/citation-style-language/schema/raw/master/csl-citation.json"}</w:instrText>
      </w:r>
      <w:r w:rsidR="00002691">
        <w:fldChar w:fldCharType="separate"/>
      </w:r>
      <w:r w:rsidR="00002691" w:rsidRPr="00111CEC">
        <w:rPr>
          <w:noProof/>
        </w:rPr>
        <w:t>(Jannasch et al., 1988; Nyffeler et al., 1984)</w:t>
      </w:r>
      <w:r w:rsidR="00002691">
        <w:fldChar w:fldCharType="end"/>
      </w:r>
      <w:r w:rsidR="000B0878">
        <w:t xml:space="preserve">.  MINEQL+ </w:t>
      </w:r>
      <w:r w:rsidR="00B25919">
        <w:t xml:space="preserve">modeled the thermodynamic equilibrium of the system to determine the species at </w:t>
      </w:r>
      <w:r w:rsidR="009372C7">
        <w:t>the pH value</w:t>
      </w:r>
      <w:r w:rsidR="00FB5472">
        <w:t>s</w:t>
      </w:r>
      <w:r w:rsidR="009372C7">
        <w:t xml:space="preserve"> while the experimental results </w:t>
      </w:r>
      <w:r w:rsidR="00FB5472">
        <w:t>determine the rate at which equilibrium is reached.</w:t>
      </w:r>
      <w:r w:rsidR="00156F7F">
        <w:t xml:space="preserve">  </w:t>
      </w:r>
    </w:p>
    <w:p w14:paraId="14417DAB" w14:textId="22370275" w:rsidR="00677486" w:rsidRDefault="0009494C" w:rsidP="007611F1">
      <w:pPr>
        <w:ind w:firstLine="720"/>
        <w:jc w:val="both"/>
      </w:pPr>
      <w:r>
        <w:lastRenderedPageBreak/>
        <w:t xml:space="preserve">The parameters </w:t>
      </w:r>
      <w:r w:rsidR="002B0BEC">
        <w:t>for ionic strength correction and the Ca</w:t>
      </w:r>
      <w:r w:rsidR="002B0BEC">
        <w:rPr>
          <w:vertAlign w:val="superscript"/>
        </w:rPr>
        <w:t>2+</w:t>
      </w:r>
      <w:r w:rsidR="002B0BEC">
        <w:t xml:space="preserve"> and SO</w:t>
      </w:r>
      <w:r w:rsidR="002B0BEC">
        <w:rPr>
          <w:vertAlign w:val="subscript"/>
        </w:rPr>
        <w:t>4</w:t>
      </w:r>
      <w:r w:rsidR="002B0BEC">
        <w:rPr>
          <w:vertAlign w:val="superscript"/>
        </w:rPr>
        <w:t>2</w:t>
      </w:r>
      <w:r w:rsidR="006E7EC4">
        <w:rPr>
          <w:rFonts w:cs="Times New Roman"/>
          <w:vertAlign w:val="superscript"/>
        </w:rPr>
        <w:t>⁻</w:t>
      </w:r>
      <w:r w:rsidR="002B0BEC">
        <w:t xml:space="preserve"> concentrations </w:t>
      </w:r>
      <w:r w:rsidR="00573067">
        <w:t xml:space="preserve">were chosen based on using </w:t>
      </w:r>
      <w:r w:rsidR="00302324">
        <w:t>UltraPure</w:t>
      </w:r>
      <w:r w:rsidR="00573067">
        <w:t xml:space="preserve"> water that </w:t>
      </w:r>
      <w:r w:rsidR="00DD3BA9">
        <w:t>contained a small amount of alkalinity</w:t>
      </w:r>
      <w:r w:rsidR="00B375A6">
        <w:t xml:space="preserve"> and the addition of </w:t>
      </w:r>
      <w:r w:rsidR="00375049">
        <w:t>the calcium hydroxide and sulfuric acid to amend the pH</w:t>
      </w:r>
      <w:r w:rsidR="00360BD1">
        <w:t xml:space="preserve"> </w:t>
      </w:r>
      <w:r w:rsidR="00403C1D">
        <w:fldChar w:fldCharType="begin" w:fldLock="1"/>
      </w:r>
      <w:r w:rsidR="008A7477">
        <w:instrText>ADDIN CSL_CITATION {"citationItems":[{"id":"ITEM-1","itemData":{"author":[{"dropping-particle":"","family":"Goldberg","given":"S.","non-dropping-particle":"","parse-names":false,"suffix":""},{"dropping-particle":"","family":"Criscenti","given":"L.","non-dropping-particle":"","parse-names":false,"suffix":""}],"container-title":"Biophysico-Chemical Processes of Heavy Metals and Metalloids in Soil Environments","id":"ITEM-1","issued":{"date-parts":[["2007"]]},"page":"216-252","title":"Modeling adsorption of metals and metalloids by soil components","type":"chapter"},"uris":["http://www.mendeley.com/documents/?uuid=e2c74605-c67b-4056-b76c-4a2b3041c05b"]}],"mendeley":{"formattedCitation":"(Goldberg &amp; Criscenti, 2007)","plainTextFormattedCitation":"(Goldberg &amp; Criscenti, 2007)","previouslyFormattedCitation":"(Goldberg &amp; Criscenti, 2007)"},"properties":{"noteIndex":0},"schema":"https://github.com/citation-style-language/schema/raw/master/csl-citation.json"}</w:instrText>
      </w:r>
      <w:r w:rsidR="00403C1D">
        <w:fldChar w:fldCharType="separate"/>
      </w:r>
      <w:r w:rsidR="00403C1D" w:rsidRPr="00403C1D">
        <w:rPr>
          <w:noProof/>
        </w:rPr>
        <w:t>(Goldberg &amp; Criscenti, 2007)</w:t>
      </w:r>
      <w:r w:rsidR="00403C1D">
        <w:fldChar w:fldCharType="end"/>
      </w:r>
      <w:r w:rsidR="00375049">
        <w:t>.</w:t>
      </w:r>
      <w:r w:rsidR="003A557C">
        <w:t xml:space="preserve">  </w:t>
      </w:r>
      <w:r w:rsidR="0014389D">
        <w:t>The starting concentrat</w:t>
      </w:r>
      <w:r w:rsidR="004071DE">
        <w:t>ion of the metal ion was zero</w:t>
      </w:r>
      <w:r w:rsidR="00475E1B">
        <w:t xml:space="preserve"> and the metal oxide was a fixed solid to represent the remaining LIB in the water</w:t>
      </w:r>
      <w:r w:rsidR="0055562E">
        <w:t>.</w:t>
      </w:r>
      <w:r w:rsidR="00E97B32">
        <w:t xml:space="preserve">  Although</w:t>
      </w:r>
      <w:r w:rsidR="00E7335E">
        <w:t xml:space="preserve"> the </w:t>
      </w:r>
      <w:r w:rsidR="004F09C6">
        <w:t xml:space="preserve">nickel, cobalt, and manganese </w:t>
      </w:r>
      <w:r w:rsidR="00F5750D">
        <w:t xml:space="preserve">are in a </w:t>
      </w:r>
      <w:r w:rsidR="00911796">
        <w:t>lattice or layered structure with oxygen</w:t>
      </w:r>
      <w:r w:rsidR="00B82DBD">
        <w:t xml:space="preserve">, yielding a </w:t>
      </w:r>
      <w:r w:rsidR="00A177FE">
        <w:t>large interconnected unit between the metals</w:t>
      </w:r>
      <w:r w:rsidR="00CF0E16">
        <w:t xml:space="preserve">, </w:t>
      </w:r>
      <w:r w:rsidR="00E517C2">
        <w:t xml:space="preserve">the standard metal oxides with the correct oxidation state were </w:t>
      </w:r>
      <w:r w:rsidR="00A177FE">
        <w:t xml:space="preserve">used </w:t>
      </w:r>
      <w:r w:rsidR="00DC3457">
        <w:fldChar w:fldCharType="begin" w:fldLock="1"/>
      </w:r>
      <w:r w:rsidR="000738B4">
        <w:instrText xml:space="preserve">ADDIN CSL_CITATION {"citationItems":[{"id":"ITEM-1","itemData":{"DOI":"10.1007/s41918-019-00053-3","ISBN":"0123456789","ISSN":"2520-8489","abstract":"The demand for lithium-ion batteries (LIBs) with high mass-specific capacities, high rate capabilities and long-term cycla-bilities is driving the research and development of LIBs with nickel-rich NMC (LiNi x Mn y Co 1−x−y O 2 , x </w:instrText>
      </w:r>
      <w:r w:rsidR="000738B4">
        <w:rPr>
          <w:rFonts w:ascii="Cambria Math" w:hAnsi="Cambria Math" w:cs="Cambria Math"/>
        </w:rPr>
        <w:instrText>⩾</w:instrText>
      </w:r>
      <w:r w:rsidR="000738B4">
        <w:instrText xml:space="preserve"> 0.5) cathodes and graphite (Li x C 6) anodes. Based on this, this review will summarize recently reported and widely recognized studies of the degradation mechanisms of Ni-rich NMC cathodes and graphite anodes. And with a broad collection of proposed mechanisms on both atomic and micrometer scales, this review can supplement previous degradation studies of Ni-rich NMC batteries. In addition, this review will categorize advanced mitigation strategies for both electrodes based on different modifications in which Ni-rich NMC cathode improvement strategies involve dopants, gradient layers, surface coatings, carbon matrixes and advanced synthesis methods, whereas graphite anode improvement strategies involve surface coatings, charge/discharge protocols and electrolyte volume estimations. Electrolyte components that can facilitate the stabilization of anodic solid electrolyte interfaces are also reviewed, and trade-offs between modification techniques as well as controversies are discussed for a deeper understanding of the mitigation strategies of Ni-rich NMC/graphite LIBs. Furthermore, this review will present various physical and electrochemical diagnostic tools that are vital in the elucidation of degradation mechanisms during operation to supplement future degradation studies. Finally, this review will summarize current research focuses and propose future research directions.","author":[{"dropping-particle":"","family":"Li","given":"Tianyu","non-dropping-particle":"","parse-names":false,"suffix":""},{"dropping-particle":"","family":"Yuan","given":"Xiao-Zi","non-dropping-particle":"","parse-names":false,"suffix":""},{"dropping-particle":"","family":"Zhang","given":"Lei","non-dropping-particle":"","parse-names":false,"suffix":""},{"dropping-particle":"","family":"Song","given":"Datong","non-dropping-particle":"","parse-names":false,"suffix":""},{"dropping-particle":"","family":"Shi","given":"Kaiyuan","non-dropping-particle":"","parse-names":false,"suffix":""},{"dropping-particle":"","family":"Bock","given":"Christina","non-dropping-particle":"","parse-names":false,"suffix":""}],"container-title":"Electrochemical Energy Reviews","id":"ITEM-1","issue":"1","issued":{"date-parts":[["2019"]]},"number-of-pages":"43-80","publisher":"Springer Singapore","title":"Degradation Mechanisms and Mitigation Strategies of Nickel-Rich NMC-Based Lithium-Ion Batteries","type":"book","volume":"3"},"uris":["http://www.mendeley.com/documents/?uuid=fae30c39-668b-48f4-8a08-3e63895c8960"]}],"mendeley":{"formattedCitation":"(T. Li et al., 2019)","plainTextFormattedCitation":"(T. Li et al., 2019)","previouslyFormattedCitation":"(T. Li et al., 2019)"},"properties":{"noteIndex":0},"schema":"https://github.com/citation-style-language/schema/raw/master/csl-citation.json"}</w:instrText>
      </w:r>
      <w:r w:rsidR="00DC3457">
        <w:fldChar w:fldCharType="separate"/>
      </w:r>
      <w:r w:rsidR="00DC3457" w:rsidRPr="00DC3457">
        <w:rPr>
          <w:noProof/>
        </w:rPr>
        <w:t>(T. Li et al., 2019)</w:t>
      </w:r>
      <w:r w:rsidR="00DC3457">
        <w:fldChar w:fldCharType="end"/>
      </w:r>
      <w:r w:rsidR="0055562E">
        <w:t xml:space="preserve"> This </w:t>
      </w:r>
      <w:r w:rsidR="00705B17">
        <w:t>resulted in the beginning ion concentration at pH 4 to be 1 M, or LogC = 0 on the pC – pH diagram.</w:t>
      </w:r>
      <w:r w:rsidR="00B42785" w:rsidRPr="00B42785">
        <w:t xml:space="preserve"> </w:t>
      </w:r>
      <w:r w:rsidR="00B42785">
        <w:t xml:space="preserve"> </w:t>
      </w:r>
      <w:r w:rsidR="00C53BE2">
        <w:t xml:space="preserve">The comparison between MINEQL+ predicted concentration values and experimental concentration values </w:t>
      </w:r>
      <w:r w:rsidR="00177D49">
        <w:t xml:space="preserve">for acidic and basic water are </w:t>
      </w:r>
      <w:r w:rsidR="00C53BE2">
        <w:t>in Figure</w:t>
      </w:r>
      <w:r w:rsidR="00177D49">
        <w:t>s</w:t>
      </w:r>
      <w:r w:rsidR="00C53BE2">
        <w:t xml:space="preserve"> A.15</w:t>
      </w:r>
      <w:r w:rsidR="00177D49">
        <w:t xml:space="preserve"> and A.16, respectively</w:t>
      </w:r>
      <w:r w:rsidR="00C53BE2">
        <w:t>.  Th</w:t>
      </w:r>
      <w:r w:rsidR="001D3BAF">
        <w:t xml:space="preserve">e disparities between the model and experimental values may be due to the metal oxides chosen as the fixed solids, </w:t>
      </w:r>
      <w:r w:rsidR="00177D49">
        <w:t>which may have influenced the overall solubility of other metal compounds that were not necessarily considered by MINEQL+</w:t>
      </w:r>
      <w:r w:rsidR="00B42785">
        <w:t>.</w:t>
      </w:r>
      <w:r w:rsidR="001C342B">
        <w:t xml:space="preserve">  </w:t>
      </w:r>
      <w:r w:rsidR="00CD4C90">
        <w:t xml:space="preserve">MINEQL+ may not always have every component and species available to consider, thus the model concentrations may be higher or lower than experimental values </w:t>
      </w:r>
      <w:r w:rsidR="00CD4C90">
        <w:fldChar w:fldCharType="begin" w:fldLock="1"/>
      </w:r>
      <w:r w:rsidR="003C7B4D">
        <w:instrText>ADDIN CSL_CITATION {"citationItems":[{"id":"ITEM-1","itemData":{"abstract":"Bauxite residue (red mud), a by-product of the Bayer process for refining bauxite to alumina, is highly alkaline (pH~13) and its treatment and management pose environmental challenges on alumina industry. Neutralising red mud by carbon dioxide (CO2) over a range of different operating conditions is necessary in order to optimise the carbonation process and determine the volume of CO2 captured by red mud. The objective of this work is to optimise the red mud carbonation in range of different operating conditions with the intent of establishing the optimal ratio of red mud and CO2 in the carbonation process. The carbonation process will be implemented in a reactor system that is designed to safely operate over the range of relevant parameters (materials of construction, temperature, pressure, residence time, etc.), and that must be controlled under the desired experimental conditions. Red mud compositions will be examined before and after carbonation by using analyses and titration methods, X-ray diffraction, Scanning Electron Microscopy (SEM), and Transmission Electron Microscopy (TEM), Atomic Absorption Spectroscopy (AAS) measurement, etc. to investigate the effects of these compositions and physical characteristics on the carbonation process. Finally, an estimate of potential mass of red mud reduced and the volume of CO2 captured by the mud will be carried out through the alkalinity calculation and analysis methods. Overall, the project will provide alumina refineries with data on optimisation of the red mud carbonation process under different operating conditions, and with the optimal ratio of red mud and CO2 in accordance with these conditions. It also contributes a significant part to the red mud minimisation and management strategy via the estimation of CO2 captured and mass of neutralised red mud.","author":[{"dropping-particle":"","family":"Tran","given":"Cuong Phuoc","non-dropping-particle":"","parse-names":false,"suffix":""}],"id":"ITEM-1","issued":{"date-parts":[["2016"]]},"number-of-pages":"1-224","publisher":"The University of Adelaide","title":"Red Mud Minimisation and Management for the Alumina Industry by the Carbonation Method","type":"thesis"},"uris":["http://www.mendeley.com/documents/?uuid=4829c916-765e-48f9-bd55-bccb1e846757"]}],"mendeley":{"formattedCitation":"(Tran, 2016)","plainTextFormattedCitation":"(Tran, 2016)","previouslyFormattedCitation":"(Tran, 2016)"},"properties":{"noteIndex":0},"schema":"https://github.com/citation-style-language/schema/raw/master/csl-citation.json"}</w:instrText>
      </w:r>
      <w:r w:rsidR="00CD4C90">
        <w:fldChar w:fldCharType="separate"/>
      </w:r>
      <w:r w:rsidR="00CD4C90" w:rsidRPr="00CD4C90">
        <w:rPr>
          <w:noProof/>
        </w:rPr>
        <w:t>(Tran, 2016)</w:t>
      </w:r>
      <w:r w:rsidR="00CD4C90">
        <w:fldChar w:fldCharType="end"/>
      </w:r>
      <w:r w:rsidR="00CD4C90">
        <w:t>.  In this study’s comparison, certain metal species may not have been considered that have a higher solubility than the species used in the model.  In addition to this, though UltraPure water was used, there may have been unknown dissolved species to affect the solubility of these metals, causing a difference between the MINEQL+ model and experimental results.</w:t>
      </w:r>
      <w:r w:rsidR="005D1E70">
        <w:t xml:space="preserve">  Although </w:t>
      </w:r>
      <w:r w:rsidR="007F74BD">
        <w:t xml:space="preserve">solubility </w:t>
      </w:r>
      <w:r w:rsidR="00BD55EF">
        <w:t xml:space="preserve">relies on </w:t>
      </w:r>
      <w:r w:rsidR="0075089D">
        <w:t xml:space="preserve">temperature, </w:t>
      </w:r>
      <w:r w:rsidR="003E17AE">
        <w:t xml:space="preserve">common ion effect, </w:t>
      </w:r>
      <w:r w:rsidR="006702C5">
        <w:t xml:space="preserve">redox potential, and other parameters in addition to pH, </w:t>
      </w:r>
      <w:r w:rsidR="00DB7198">
        <w:t xml:space="preserve">MINEQL+ models are beneficial to </w:t>
      </w:r>
      <w:r w:rsidR="00301B96">
        <w:t>predict</w:t>
      </w:r>
      <w:r w:rsidR="00183693">
        <w:t xml:space="preserve"> solubility products in </w:t>
      </w:r>
      <w:r w:rsidR="00301B96">
        <w:t>specific environments</w:t>
      </w:r>
      <w:r w:rsidR="00183693">
        <w:t>.</w:t>
      </w:r>
    </w:p>
    <w:p w14:paraId="27FD1C57" w14:textId="3E69FC9B" w:rsidR="00AE0354" w:rsidRPr="00BE67F2" w:rsidRDefault="00677486" w:rsidP="007611F1">
      <w:pPr>
        <w:jc w:val="both"/>
      </w:pPr>
      <w:r>
        <w:tab/>
      </w:r>
      <w:r w:rsidR="00DA01A9">
        <w:t xml:space="preserve">The results of </w:t>
      </w:r>
      <w:r w:rsidR="0027599E">
        <w:t xml:space="preserve">modeling the leaching of copper into acidic and basic water confirmed the </w:t>
      </w:r>
      <w:r w:rsidR="004E2634">
        <w:t xml:space="preserve">experimental results.  The </w:t>
      </w:r>
      <w:r w:rsidR="009D7954">
        <w:t xml:space="preserve">solubility of </w:t>
      </w:r>
      <w:r w:rsidR="00D818C4">
        <w:t>C</w:t>
      </w:r>
      <w:r w:rsidR="00CA11DE">
        <w:t xml:space="preserve">u(II) </w:t>
      </w:r>
      <w:r w:rsidR="00FC48F9">
        <w:t xml:space="preserve">is highest in </w:t>
      </w:r>
      <w:r w:rsidR="00C170A9">
        <w:t xml:space="preserve">acidic water, mainly in the form of </w:t>
      </w:r>
      <w:r w:rsidR="009D48EB">
        <w:t xml:space="preserve">free </w:t>
      </w:r>
      <w:r w:rsidR="00C170A9">
        <w:lastRenderedPageBreak/>
        <w:t>Cu</w:t>
      </w:r>
      <w:r w:rsidR="00C170A9">
        <w:rPr>
          <w:vertAlign w:val="superscript"/>
        </w:rPr>
        <w:t>2+</w:t>
      </w:r>
      <w:r w:rsidR="00C170A9">
        <w:t xml:space="preserve">.  </w:t>
      </w:r>
      <w:r w:rsidR="005317C2">
        <w:t xml:space="preserve">There are dissolved copper </w:t>
      </w:r>
      <w:r w:rsidR="00791450">
        <w:t xml:space="preserve">minerals at the low pH range, however, they are </w:t>
      </w:r>
      <w:r w:rsidR="00132696">
        <w:t xml:space="preserve">thermodynamically stable and not </w:t>
      </w:r>
      <w:r w:rsidR="00933088">
        <w:t>capable to be taken up by plants</w:t>
      </w:r>
      <w:r w:rsidR="00D354F9">
        <w:t xml:space="preserve"> </w:t>
      </w:r>
      <w:r w:rsidR="00D354F9">
        <w:fldChar w:fldCharType="begin" w:fldLock="1"/>
      </w:r>
      <w:r w:rsidR="00D1460F">
        <w:instrText>ADDIN CSL_CITATION {"citationItems":[{"id":"ITEM-1","itemData":{"author":[{"dropping-particle":"","family":"Dabinett","given":"T.","non-dropping-particle":"","parse-names":false,"suffix":""},{"dropping-particle":"","family":"Humberstone","given":"D.","non-dropping-particle":"","parse-names":false,"suffix":""},{"dropping-particle":"","family":"Leverett","given":"P.","non-dropping-particle":"","parse-names":false,"suffix":""},{"dropping-particle":"","family":"Williams","given":"P.","non-dropping-particle":"","parse-names":false,"suffix":""}],"container-title":"Pure and Applied Chemistry","id":"ITEM-1","issue":"6","issued":{"date-parts":[["2008"]]},"page":"1317-1323","title":"Synthesis and stability of wroewolfeite, Cu4SO4(OH)6.2H2O","type":"article-journal","volume":"80"},"uris":["http://www.mendeley.com/documents/?uuid=c916471f-b595-4dc4-ad4d-69647811728a"]},{"id":"ITEM-2","itemData":{"DOI":"10.1201/9781420061888_ch123","abstract":"Agency for Toxic Substances and Disease Registry (ATSDR). 2008. Toxicological profile for Aluminum. Atlanta, GA: U.S. Department of Health and Human Services, Public Health Service","author":[{"dropping-particle":"","family":"Control","given":"Center for Disease","non-dropping-particle":"","parse-names":false,"suffix":""}],"container-title":"Center for Disease Control","id":"ITEM-2","issued":{"date-parts":[["2011"]]},"number-of-pages":"1-314","title":"Toxicological profile for copper","type":"report"},"uris":["http://www.mendeley.com/documents/?uuid=7d28a4a7-0ea6-4c7a-8830-11eeee501562"]}],"mendeley":{"formattedCitation":"(Control, 2011b; Dabinett et al., 2008)","plainTextFormattedCitation":"(Control, 2011b; Dabinett et al., 2008)","previouslyFormattedCitation":"(Control, 2011b; Dabinett et al., 2008)"},"properties":{"noteIndex":0},"schema":"https://github.com/citation-style-language/schema/raw/master/csl-citation.json"}</w:instrText>
      </w:r>
      <w:r w:rsidR="00D354F9">
        <w:fldChar w:fldCharType="separate"/>
      </w:r>
      <w:r w:rsidR="00C245C5" w:rsidRPr="00C245C5">
        <w:rPr>
          <w:noProof/>
        </w:rPr>
        <w:t>(Control, 2011b; Dabinett et al., 2008)</w:t>
      </w:r>
      <w:r w:rsidR="00D354F9">
        <w:fldChar w:fldCharType="end"/>
      </w:r>
      <w:r w:rsidR="00841FF8">
        <w:t xml:space="preserve">.  </w:t>
      </w:r>
      <w:r w:rsidR="00F55E64">
        <w:t xml:space="preserve">As the pH increases, </w:t>
      </w:r>
      <w:r w:rsidR="00794CD5">
        <w:t>[</w:t>
      </w:r>
      <w:r w:rsidR="00F55E64">
        <w:t>Cu</w:t>
      </w:r>
      <w:r w:rsidR="00F55E64">
        <w:rPr>
          <w:vertAlign w:val="superscript"/>
        </w:rPr>
        <w:t>2+</w:t>
      </w:r>
      <w:r w:rsidR="00794CD5">
        <w:t xml:space="preserve">] </w:t>
      </w:r>
      <w:r w:rsidR="00F55E64">
        <w:t>decreases</w:t>
      </w:r>
      <w:r w:rsidR="0083279F">
        <w:t xml:space="preserve"> and </w:t>
      </w:r>
      <w:r w:rsidR="00794CD5">
        <w:t>[</w:t>
      </w:r>
      <w:r w:rsidR="0083279F">
        <w:t>Cu</w:t>
      </w:r>
      <w:r w:rsidR="00E8494B">
        <w:t>(</w:t>
      </w:r>
      <w:r w:rsidR="0083279F">
        <w:t>OH</w:t>
      </w:r>
      <w:r w:rsidR="00E8494B">
        <w:t>)</w:t>
      </w:r>
      <w:r w:rsidR="00E8494B">
        <w:rPr>
          <w:rFonts w:cs="Times New Roman"/>
        </w:rPr>
        <w:t>⁻</w:t>
      </w:r>
      <w:r w:rsidR="00794CD5">
        <w:t xml:space="preserve">] </w:t>
      </w:r>
      <w:r w:rsidR="0083279F">
        <w:t>increases</w:t>
      </w:r>
      <w:r w:rsidR="00E8494B">
        <w:t xml:space="preserve"> because of the </w:t>
      </w:r>
      <w:r w:rsidR="008F4407">
        <w:t>additional hydroxide ions.  However, the solubility of Cu(OH)</w:t>
      </w:r>
      <w:r w:rsidR="008F4407">
        <w:rPr>
          <w:rFonts w:cs="Times New Roman"/>
        </w:rPr>
        <w:t>⁻</w:t>
      </w:r>
      <w:r w:rsidR="008F4407">
        <w:t xml:space="preserve"> is </w:t>
      </w:r>
      <w:r w:rsidR="001B1FA6">
        <w:t xml:space="preserve">much lower than </w:t>
      </w:r>
      <w:r w:rsidR="009D48EB">
        <w:t xml:space="preserve">free </w:t>
      </w:r>
      <w:r w:rsidR="00BE67F2">
        <w:t>Cu</w:t>
      </w:r>
      <w:r w:rsidR="00BE67F2">
        <w:rPr>
          <w:vertAlign w:val="superscript"/>
        </w:rPr>
        <w:t>2+</w:t>
      </w:r>
      <w:r w:rsidR="00BE67F2">
        <w:t xml:space="preserve">, so the overall soluble </w:t>
      </w:r>
      <w:r w:rsidR="009A0B5C">
        <w:t>Cu</w:t>
      </w:r>
      <w:r w:rsidR="009A0B5C">
        <w:rPr>
          <w:vertAlign w:val="superscript"/>
        </w:rPr>
        <w:t>2+</w:t>
      </w:r>
      <w:r w:rsidR="00BE67F2">
        <w:t xml:space="preserve"> concentration </w:t>
      </w:r>
      <w:r w:rsidR="009D48EB">
        <w:t xml:space="preserve">decreases.  </w:t>
      </w:r>
      <w:r w:rsidR="009A0B5C">
        <w:t xml:space="preserve">The water </w:t>
      </w:r>
      <w:r w:rsidR="00AE1162">
        <w:t xml:space="preserve">based LIB leaching </w:t>
      </w:r>
      <w:r w:rsidR="00A419AA">
        <w:t xml:space="preserve">experimental results align with the MINEQL+ pC – pH diagram because the concentration of </w:t>
      </w:r>
      <w:r w:rsidR="00E40660">
        <w:t xml:space="preserve">soluble copper was much higher in the acidic water compared to the basic water.  </w:t>
      </w:r>
      <w:r w:rsidR="00CB1E40">
        <w:t xml:space="preserve">The pC – pH diagram </w:t>
      </w:r>
      <w:r w:rsidR="001A4A75">
        <w:t xml:space="preserve">can be used </w:t>
      </w:r>
      <w:r w:rsidR="000B7961">
        <w:t xml:space="preserve">in the prediction of </w:t>
      </w:r>
      <w:r w:rsidR="00544007">
        <w:t xml:space="preserve">major </w:t>
      </w:r>
      <w:r w:rsidR="000B7961">
        <w:t>copper species</w:t>
      </w:r>
      <w:r w:rsidR="00544007">
        <w:t xml:space="preserve"> </w:t>
      </w:r>
      <w:r w:rsidR="002C4394">
        <w:t xml:space="preserve">at a certain pH </w:t>
      </w:r>
      <w:r w:rsidR="004739A6">
        <w:t>to aid in the LIB contamination risk assessment.</w:t>
      </w:r>
    </w:p>
    <w:p w14:paraId="6ACF7B42" w14:textId="77777777" w:rsidR="00344B7F" w:rsidRDefault="00677486" w:rsidP="007611F1">
      <w:pPr>
        <w:jc w:val="both"/>
      </w:pPr>
      <w:r>
        <w:tab/>
      </w:r>
      <w:r w:rsidR="004739A6">
        <w:t xml:space="preserve">The results of modeling the leaching of manganese into acidic and basic water confirmed the experimental results.  </w:t>
      </w:r>
      <w:r w:rsidR="00DA29A4">
        <w:t>MINEQL+ does not have Mn(IV)</w:t>
      </w:r>
      <w:r w:rsidR="00EA267C">
        <w:t>, the oxidation</w:t>
      </w:r>
    </w:p>
    <w:p w14:paraId="39CF52C7" w14:textId="1E5CD7CC" w:rsidR="00DE7227" w:rsidRDefault="00EA267C" w:rsidP="007611F1">
      <w:pPr>
        <w:jc w:val="both"/>
      </w:pPr>
      <w:r>
        <w:t xml:space="preserve"> state in new LIB,</w:t>
      </w:r>
      <w:r w:rsidR="00DA29A4">
        <w:t xml:space="preserve"> preloaded on the components list</w:t>
      </w:r>
      <w:r w:rsidR="00D65EB8">
        <w:t>;</w:t>
      </w:r>
      <w:r w:rsidR="00DA29A4">
        <w:t xml:space="preserve"> </w:t>
      </w:r>
      <w:r w:rsidR="00D65EB8">
        <w:t>therefore,</w:t>
      </w:r>
      <w:r w:rsidR="0017311A">
        <w:t xml:space="preserve"> the reduction of Mn(IV) to Mn(II) was modeled to determine the availability of Mn(II) for the formation of all potential manganese species</w:t>
      </w:r>
      <w:r w:rsidR="005D0127">
        <w:t>.</w:t>
      </w:r>
      <w:r w:rsidR="0017311A">
        <w:t xml:space="preserve">  The reduction reaction and LogK value used were provided by </w:t>
      </w:r>
      <w:r w:rsidR="0017311A">
        <w:fldChar w:fldCharType="begin" w:fldLock="1"/>
      </w:r>
      <w:r w:rsidR="00EE3307">
        <w:instrText>ADDIN CSL_CITATION {"citationItems":[{"id":"ITEM-1","itemData":{"DOI":"10.1016/0016-7037(93)90107-8","ISSN":"00167037","abstract":"The transport of Fe and Mn observed in a laboratory column filled with sections of riverbed sediments and fine grained aquifer materials is modeled for steady-state conditions. The simulated processes include oxidation of organic matter by O2 and NO-3 in the riverbed sediment section, reductive dissolution of Fe and Mn (hydr) oxides, and precipitation of dissolved Fe and Mn, mainly as amorphous FeS. Local equilibrium for aqueous species is assumed. Kinetic reactions are used in the calculations for the oxidation of organic matter and for dissolution and precipitation of minerals. The observed concentration profiles of H+, NO-3, SO2-4, and dissolved Fe and Mn in the laboratory column are reasonably explained by the model. The most sensitive model parameters are the rate constant for decomposition of organic matter and those for the dissolution of Fe and Mn (hydr) oxides. The results of a sensitivity analysis suggest that the decomposition rate of organic matter is responsible for the observed seasonal variations in concentrations of dissolved Fe and Mn in river-recharged aquifers, such as at Glattfelden in Switzerland. The observed reactions are mediated by bacteria. © 1993.","author":[{"dropping-particle":"","family":"Matsunaga","given":"T.","non-dropping-particle":"","parse-names":false,"suffix":""},{"dropping-particle":"","family":"Karametaxas","given":"G.","non-dropping-particle":"","parse-names":false,"suffix":""},{"dropping-particle":"","family":"Gunten","given":"H. R.","non-dropping-particle":"von","parse-names":false,"suffix":""},{"dropping-particle":"","family":"Lichtner","given":"P. C.","non-dropping-particle":"","parse-names":false,"suffix":""}],"container-title":"Geochimica et Cosmochimica Acta","id":"ITEM-1","issue":"8","issued":{"date-parts":[["1993"]]},"page":"1691-1704","title":"Redox chemistry of iron and manganese minerals in river-recharged aquifers: A model interpretation of a column experiment","type":"article-journal","volume":"57"},"uris":["http://www.mendeley.com/documents/?uuid=5ec309ec-af66-41af-acc4-e74dae06ef30"]}],"mendeley":{"formattedCitation":"(Matsunaga et al., 1993)","manualFormatting":"Matsunaga et al., (1993)","plainTextFormattedCitation":"(Matsunaga et al., 1993)","previouslyFormattedCitation":"(Matsunaga et al., 1993)"},"properties":{"noteIndex":0},"schema":"https://github.com/citation-style-language/schema/raw/master/csl-citation.json"}</w:instrText>
      </w:r>
      <w:r w:rsidR="0017311A">
        <w:fldChar w:fldCharType="separate"/>
      </w:r>
      <w:r w:rsidR="0017311A" w:rsidRPr="0017311A">
        <w:rPr>
          <w:noProof/>
        </w:rPr>
        <w:t xml:space="preserve">Matsunaga et al., </w:t>
      </w:r>
      <w:r w:rsidR="0017311A">
        <w:rPr>
          <w:noProof/>
        </w:rPr>
        <w:t>(</w:t>
      </w:r>
      <w:r w:rsidR="0017311A" w:rsidRPr="0017311A">
        <w:rPr>
          <w:noProof/>
        </w:rPr>
        <w:t>1993)</w:t>
      </w:r>
      <w:r w:rsidR="0017311A">
        <w:fldChar w:fldCharType="end"/>
      </w:r>
      <w:r w:rsidR="005771E6">
        <w:t>, as MnO</w:t>
      </w:r>
      <w:r w:rsidR="005771E6">
        <w:rPr>
          <w:vertAlign w:val="subscript"/>
        </w:rPr>
        <w:t>2</w:t>
      </w:r>
      <w:r w:rsidR="005771E6">
        <w:t xml:space="preserve"> converting to Mn</w:t>
      </w:r>
      <w:r w:rsidR="005771E6">
        <w:rPr>
          <w:vertAlign w:val="superscript"/>
        </w:rPr>
        <w:t>2+</w:t>
      </w:r>
      <w:r w:rsidR="005771E6">
        <w:t xml:space="preserve"> ion and LogK value of -0.13.</w:t>
      </w:r>
      <w:r w:rsidR="0017311A">
        <w:t xml:space="preserve"> </w:t>
      </w:r>
      <w:r w:rsidR="005771E6">
        <w:t xml:space="preserve"> </w:t>
      </w:r>
      <w:r w:rsidR="0017311A">
        <w:t xml:space="preserve">The </w:t>
      </w:r>
      <w:r w:rsidR="00D65EB8">
        <w:t xml:space="preserve">model </w:t>
      </w:r>
      <w:r w:rsidR="0017311A">
        <w:t xml:space="preserve">results </w:t>
      </w:r>
      <w:r w:rsidR="00D65EB8">
        <w:t>showing the reduction occurring at all pH values allow the use of Mn</w:t>
      </w:r>
      <w:r w:rsidR="005771E6">
        <w:t>(II) and Mn(III) in solution to determine the extent of leaching into the water.</w:t>
      </w:r>
      <w:r w:rsidR="005D0127">
        <w:t xml:space="preserve">  </w:t>
      </w:r>
      <w:r w:rsidR="00C92E6E">
        <w:t>Th</w:t>
      </w:r>
      <w:r w:rsidR="00D92318">
        <w:t xml:space="preserve">e pC – pH diagram </w:t>
      </w:r>
      <w:r w:rsidR="00A633C4">
        <w:t>shows a higher concentration of Mn(II) in acidic water</w:t>
      </w:r>
      <w:r w:rsidR="00B56CFB">
        <w:t xml:space="preserve"> while there is an increase in Mn(II) hydroxides</w:t>
      </w:r>
      <w:r w:rsidR="000216E3">
        <w:t xml:space="preserve"> and the </w:t>
      </w:r>
      <w:r w:rsidR="0031254C">
        <w:t>total percent of Mn(III) increases</w:t>
      </w:r>
      <w:r w:rsidR="00B56CFB">
        <w:t xml:space="preserve"> as the pH increases.  </w:t>
      </w:r>
      <w:r w:rsidR="0031254C">
        <w:t xml:space="preserve">This </w:t>
      </w:r>
      <w:r w:rsidR="0096136D">
        <w:t>exchange between free Mn(II) ions and free Mn(III) ions</w:t>
      </w:r>
      <w:r w:rsidR="00AF04F6">
        <w:t xml:space="preserve"> reduces the availability to plants, </w:t>
      </w:r>
      <w:r w:rsidR="00D1460F">
        <w:t xml:space="preserve">preventing accumulation and toxic effects </w:t>
      </w:r>
      <w:r w:rsidR="00D1460F">
        <w:fldChar w:fldCharType="begin" w:fldLock="1"/>
      </w:r>
      <w:r w:rsidR="00111CEC">
        <w:instrText>ADDIN CSL_CITATION {"citationItems":[{"id":"ITEM-1","itemData":{"author":[{"dropping-particle":"","family":"Control","given":"Center for Disease","non-dropping-particle":"","parse-names":false,"suffix":""}],"id":"ITEM-1","issued":{"date-parts":[["2012"]]},"number-of-pages":"1-423","title":"Toxicological profile for manganese","type":"report"},"uris":["http://www.mendeley.com/documents/?uuid=8afa8821-ba09-42d3-86a4-66b3835b906b"]}],"mendeley":{"formattedCitation":"(Control, 2012)","plainTextFormattedCitation":"(Control, 2012)","previouslyFormattedCitation":"(Control, 2012)"},"properties":{"noteIndex":0},"schema":"https://github.com/citation-style-language/schema/raw/master/csl-citation.json"}</w:instrText>
      </w:r>
      <w:r w:rsidR="00D1460F">
        <w:fldChar w:fldCharType="separate"/>
      </w:r>
      <w:r w:rsidR="00D1460F" w:rsidRPr="00D1460F">
        <w:rPr>
          <w:noProof/>
        </w:rPr>
        <w:t>(Control, 2012)</w:t>
      </w:r>
      <w:r w:rsidR="00D1460F">
        <w:fldChar w:fldCharType="end"/>
      </w:r>
      <w:r w:rsidR="005D2EB1">
        <w:t xml:space="preserve">.  </w:t>
      </w:r>
      <w:r w:rsidR="00616E48">
        <w:t xml:space="preserve">The experimental results show </w:t>
      </w:r>
      <w:r w:rsidR="002F62C5">
        <w:t xml:space="preserve">a higher concentration of manganese at </w:t>
      </w:r>
      <w:r w:rsidR="000C727E">
        <w:t xml:space="preserve">the acidic pH, concluding that </w:t>
      </w:r>
      <w:r w:rsidR="003A4E8B">
        <w:t xml:space="preserve">LIB manganese contamination risk </w:t>
      </w:r>
      <w:r w:rsidR="00160A34">
        <w:t>can be accurately predicted with this pC – pH diagram.</w:t>
      </w:r>
    </w:p>
    <w:p w14:paraId="361B3840" w14:textId="5510381A" w:rsidR="00677486" w:rsidRPr="00A41D82" w:rsidRDefault="00677486" w:rsidP="007611F1">
      <w:pPr>
        <w:jc w:val="both"/>
      </w:pPr>
      <w:r>
        <w:lastRenderedPageBreak/>
        <w:tab/>
      </w:r>
      <w:r w:rsidR="00DE3A54">
        <w:t xml:space="preserve">The results of modeling the leaching of </w:t>
      </w:r>
      <w:r w:rsidR="00961040">
        <w:t>nickel</w:t>
      </w:r>
      <w:r w:rsidR="00DE3A54">
        <w:t xml:space="preserve"> into acidic and basic water </w:t>
      </w:r>
      <w:r w:rsidR="00552A13">
        <w:t xml:space="preserve">confirmed the experimental results.  The solubility of Ni(II) </w:t>
      </w:r>
      <w:r w:rsidR="00D62AEC">
        <w:t>is highest in acidic water</w:t>
      </w:r>
      <w:r w:rsidR="00A41D82">
        <w:t>, dominantly as free Ni</w:t>
      </w:r>
      <w:r w:rsidR="00A41D82">
        <w:rPr>
          <w:vertAlign w:val="superscript"/>
        </w:rPr>
        <w:t>2+</w:t>
      </w:r>
      <w:r w:rsidR="003B2F11">
        <w:t xml:space="preserve">.  The MINEQL+ model </w:t>
      </w:r>
      <w:r w:rsidR="00EC4A7F">
        <w:t>shows dissolved nickel minerals at the low pH, however, the</w:t>
      </w:r>
      <w:r w:rsidR="00184BC6">
        <w:t xml:space="preserve">y are thermodynamically stable and not </w:t>
      </w:r>
      <w:r w:rsidR="003E4B69">
        <w:t>taken up by plants</w:t>
      </w:r>
      <w:r w:rsidR="00122A3B">
        <w:t xml:space="preserve"> </w:t>
      </w:r>
      <w:r w:rsidR="000738B4">
        <w:fldChar w:fldCharType="begin" w:fldLock="1"/>
      </w:r>
      <w:r w:rsidR="00D1460F">
        <w:instrText>ADDIN CSL_CITATION {"citationItems":[{"id":"ITEM-1","itemData":{"ISBN":"8004471544","ISSN":"1942-0994","PMID":"1007","author":[{"dropping-particle":"","family":"Control","given":"Center for Disease","non-dropping-particle":"","parse-names":false,"suffix":""}],"container-title":"Center for Disease Control","id":"ITEM-1","issued":{"date-parts":[["2011"]]},"number-of-pages":"1-397","title":"Toxicological profile for nickel","type":"report"},"uris":["http://www.mendeley.com/documents/?uuid=e0c5a2c5-2a54-4e10-9456-281be034f2f7"]}],"mendeley":{"formattedCitation":"(Control, 2011c)","plainTextFormattedCitation":"(Control, 2011c)","previouslyFormattedCitation":"(Control, 2011c)"},"properties":{"noteIndex":0},"schema":"https://github.com/citation-style-language/schema/raw/master/csl-citation.json"}</w:instrText>
      </w:r>
      <w:r w:rsidR="000738B4">
        <w:fldChar w:fldCharType="separate"/>
      </w:r>
      <w:r w:rsidR="00C245C5" w:rsidRPr="00C245C5">
        <w:rPr>
          <w:noProof/>
        </w:rPr>
        <w:t>(Control, 2011c)</w:t>
      </w:r>
      <w:r w:rsidR="000738B4">
        <w:fldChar w:fldCharType="end"/>
      </w:r>
      <w:r w:rsidR="00DE7227">
        <w:t xml:space="preserve">.  </w:t>
      </w:r>
      <w:r w:rsidR="007F4D31">
        <w:t xml:space="preserve">As pH increases, </w:t>
      </w:r>
      <w:r w:rsidR="001A1CE9">
        <w:t>solubility decreases for most nickel species</w:t>
      </w:r>
      <w:r w:rsidR="00EA0C79">
        <w:t xml:space="preserve">, precipitating </w:t>
      </w:r>
      <w:r w:rsidR="00A072A9">
        <w:t xml:space="preserve">into the sediment.  </w:t>
      </w:r>
      <w:r w:rsidR="004B6F7D">
        <w:t xml:space="preserve">As the pH </w:t>
      </w:r>
      <w:r w:rsidR="0062451A">
        <w:t xml:space="preserve">holds in the alkaline range, nickel does not pose an immediate risk to the plants and animals that </w:t>
      </w:r>
      <w:r w:rsidR="003332EA">
        <w:t xml:space="preserve">use the </w:t>
      </w:r>
      <w:r w:rsidR="00B560DD">
        <w:t xml:space="preserve">water system.  </w:t>
      </w:r>
      <w:r w:rsidR="00D73956">
        <w:t xml:space="preserve">Over </w:t>
      </w:r>
      <w:r w:rsidR="00275F25">
        <w:t xml:space="preserve">a large portion of the pH range, nickel poses a contamination risk through leaching into the </w:t>
      </w:r>
      <w:r w:rsidR="000B77BE">
        <w:t>water systems</w:t>
      </w:r>
      <w:r w:rsidR="0012266D">
        <w:t>.</w:t>
      </w:r>
    </w:p>
    <w:p w14:paraId="51EC2B2F" w14:textId="6EB27D37" w:rsidR="00DE59E9" w:rsidRDefault="00677486" w:rsidP="007611F1">
      <w:pPr>
        <w:jc w:val="both"/>
      </w:pPr>
      <w:r>
        <w:tab/>
      </w:r>
      <w:r w:rsidR="00DE59E9">
        <w:t xml:space="preserve">The results of modeling the leaching of aluminum into acidic and basic water </w:t>
      </w:r>
      <w:r w:rsidR="006F4D5F">
        <w:t>were</w:t>
      </w:r>
      <w:r w:rsidR="00EE53D6">
        <w:t xml:space="preserve"> </w:t>
      </w:r>
      <w:r w:rsidR="002D779C">
        <w:t>considerably</w:t>
      </w:r>
      <w:r w:rsidR="006D0428">
        <w:t xml:space="preserve"> </w:t>
      </w:r>
      <w:r w:rsidR="00BE779B">
        <w:t xml:space="preserve">different.  The </w:t>
      </w:r>
      <w:r w:rsidR="003F04BC">
        <w:t>pC – pH diagram</w:t>
      </w:r>
      <w:r w:rsidR="004E54DB">
        <w:t xml:space="preserve"> predict</w:t>
      </w:r>
      <w:r w:rsidR="00651517">
        <w:t>ed</w:t>
      </w:r>
      <w:r w:rsidR="004E54DB">
        <w:t xml:space="preserve"> </w:t>
      </w:r>
      <w:r w:rsidR="00157609">
        <w:t>a</w:t>
      </w:r>
      <w:r w:rsidR="00136959">
        <w:t xml:space="preserve"> solubility of total Al</w:t>
      </w:r>
      <w:r w:rsidR="00136959">
        <w:rPr>
          <w:vertAlign w:val="superscript"/>
        </w:rPr>
        <w:t>3+</w:t>
      </w:r>
      <w:r w:rsidR="00EE53D6">
        <w:t xml:space="preserve"> </w:t>
      </w:r>
      <w:r w:rsidR="00651517">
        <w:t>in the acidic water</w:t>
      </w:r>
      <w:r w:rsidR="004F11D8">
        <w:t xml:space="preserve"> </w:t>
      </w:r>
      <w:r w:rsidR="00213AF3">
        <w:t xml:space="preserve">higher than </w:t>
      </w:r>
      <w:r w:rsidR="00EC7D00">
        <w:t>the basic water</w:t>
      </w:r>
      <w:r w:rsidR="001F71DF">
        <w:t xml:space="preserve">, though that was not the case with the experimental results.  The </w:t>
      </w:r>
      <w:r w:rsidR="00934D21">
        <w:t xml:space="preserve">possibility of the </w:t>
      </w:r>
      <w:r w:rsidR="003F04BC">
        <w:t>acidic</w:t>
      </w:r>
      <w:r w:rsidR="00934D21">
        <w:t xml:space="preserve"> water having a </w:t>
      </w:r>
      <w:r w:rsidR="003F04BC">
        <w:t>lower</w:t>
      </w:r>
      <w:r w:rsidR="00934D21">
        <w:t xml:space="preserve"> experimental result</w:t>
      </w:r>
      <w:r w:rsidR="003F04BC">
        <w:t xml:space="preserve"> than the model</w:t>
      </w:r>
      <w:r w:rsidR="00934D21">
        <w:t xml:space="preserve"> may be due to the </w:t>
      </w:r>
      <w:r w:rsidR="00E60CFC">
        <w:t xml:space="preserve">APDC </w:t>
      </w:r>
      <w:r w:rsidR="00842A0C">
        <w:t xml:space="preserve">not chelating all of the aluminum </w:t>
      </w:r>
      <w:r w:rsidR="002D779C">
        <w:t xml:space="preserve">ionic </w:t>
      </w:r>
      <w:r w:rsidR="00842A0C">
        <w:t xml:space="preserve">compounds in the solution. </w:t>
      </w:r>
      <w:r w:rsidR="00EE7CAE">
        <w:t xml:space="preserve">Previous literature for </w:t>
      </w:r>
      <w:r w:rsidR="005B4F6B">
        <w:t xml:space="preserve">aluminum pC – pH diagrams with sulfate included </w:t>
      </w:r>
      <w:r w:rsidR="00DE5DF0">
        <w:t xml:space="preserve">confirm the MINEQL+ model in this study is correct </w:t>
      </w:r>
      <w:r w:rsidR="00DE5DF0">
        <w:fldChar w:fldCharType="begin" w:fldLock="1"/>
      </w:r>
      <w:r w:rsidR="00DC3457">
        <w:instrText>ADDIN CSL_CITATION {"citationItems":[{"id":"ITEM-1","itemData":{"DOI":"10.21000/jasmr06020378","ISBN":"9781622760855","ISSN":"23288744","abstract":"Water-quality data for discharges from 140 abandoned mines in the Bituminous and Anthracite Coalfields of Pennsylvania illustrate relations among pH, sulfate, and dissolved metal concentrations. The pH for the 140 samples ranged from 2.7 to 7.3, with two modes at pH 2.5 to 4 (acidic) and 6 to 7 (near neutral). Generally, flow rates were smaller and solute concentrations were greater for low-pH samples; flow rates increased with pH. Although the pH distribution was similar for the bituminous and anthracite subsets, the bituminous discharges had smaller median flow rates, greater concentrations of sulfate, iron, and aluminum, and smaller concentrations of barium and lead than anthracite discharges with the same pH values. The observed relations between the pH and constituent concentrations can be attributed to (1) dilution of acidic water by alkaline ground water; (2) solubility control of aluminum, iron, manganese, barium, and lead by hydroxide, sulfate, and/or carbonate minerals; and (3) aqueous sulfate-complex formation. The formation of AlSO 4+ and AlHSO 4+2 complexes adds to the total dissolved aluminum concentration at pH of equilibrium with aluminum hydroxide or hydroxysulfate minerals and can account for 10 to 20 times greater concentrations of dissolved aluminum in bituminous discharges compared to anthracite discharges at similar pH. Sulfate complexation also can account for 10 to 30 times greater concentrations of dissolved ferric iron concentrations at equilibrium with ferrihydrite (Fe(OH) 3) and/or schwertmannite (Fe 8O 8(OH) 4.5(SO 4) 1.75) at pH of 3 to 5. In contrast, lower barium and lead concentrations in bituminous than anthracite discharges indicates elevated sulfate concentration could decrease mobility of these metals by the formation of insoluble minerals such as barite (BaSO 4) or anglesite (PbSO 4). Most samples were saturated with barite, but none were saturated with anglesite. Hence, lead concentrations could be controlled by coprecipitation with barite and/or by adsorption to schwertmannite or another sulfate-bearing oxide.","author":[{"dropping-particle":"","family":"Cravotta","given":"Charles A.","non-dropping-particle":"","parse-names":false,"suffix":""}],"container-title":"Journal of the American Society of Mining and Reclamation","id":"ITEM-1","issued":{"date-parts":[["2006"]]},"page":"378-404","title":"Relations among pH, sulfate, and metals concentrations in Anthracite and Bituminous coal-mine discharges, Pennsylvania","type":"article-journal","volume":"1"},"uris":["http://www.mendeley.com/documents/?uuid=183a305e-da5b-4b15-8f25-ec88947a4f1e"]}],"mendeley":{"formattedCitation":"(Cravotta, 2006)","plainTextFormattedCitation":"(Cravotta, 2006)","previouslyFormattedCitation":"(Cravotta, 2006)"},"properties":{"noteIndex":0},"schema":"https://github.com/citation-style-language/schema/raw/master/csl-citation.json"}</w:instrText>
      </w:r>
      <w:r w:rsidR="00DE5DF0">
        <w:fldChar w:fldCharType="separate"/>
      </w:r>
      <w:r w:rsidR="00DE5DF0" w:rsidRPr="00DE5DF0">
        <w:rPr>
          <w:noProof/>
        </w:rPr>
        <w:t>(Cravotta, 2006)</w:t>
      </w:r>
      <w:r w:rsidR="00DE5DF0">
        <w:fldChar w:fldCharType="end"/>
      </w:r>
      <w:r w:rsidR="00916E30">
        <w:t xml:space="preserve">. </w:t>
      </w:r>
      <w:r w:rsidR="00CD1B4A">
        <w:t xml:space="preserve"> </w:t>
      </w:r>
      <w:r w:rsidR="00597E04">
        <w:t xml:space="preserve">Future research to </w:t>
      </w:r>
      <w:r w:rsidR="00DA5CD0">
        <w:t>replicate</w:t>
      </w:r>
      <w:r w:rsidR="009C3A88">
        <w:t xml:space="preserve"> the experimental results </w:t>
      </w:r>
      <w:r w:rsidR="00AC53BD">
        <w:t xml:space="preserve">to confirm the </w:t>
      </w:r>
      <w:r w:rsidR="008C2375">
        <w:t xml:space="preserve">solubility differences with the model </w:t>
      </w:r>
      <w:r w:rsidR="005538BC">
        <w:t xml:space="preserve">would be needed.  Nonetheless, the pC – pH diagram can be used in the prediction of major aluminum species at a certain pH to aid in the LIB contamination risk assessment.  </w:t>
      </w:r>
    </w:p>
    <w:p w14:paraId="6902DCC6" w14:textId="04DE8A13" w:rsidR="001C5A54" w:rsidRDefault="009C1AFB" w:rsidP="007611F1">
      <w:pPr>
        <w:jc w:val="both"/>
      </w:pPr>
      <w:r>
        <w:tab/>
        <w:t xml:space="preserve">The results of modeling the leaching of cobalt into acidic and basic water </w:t>
      </w:r>
      <w:r w:rsidR="004453CA">
        <w:t>is an accurate representation of the system at equilibrium.  Though cobalt was</w:t>
      </w:r>
      <w:r w:rsidR="00685595">
        <w:t xml:space="preserve"> not able to be detected by the XRF in the experimental samples, this pC – pH diagram </w:t>
      </w:r>
      <w:r w:rsidR="00CB40A2">
        <w:t xml:space="preserve">will adequately predict the major </w:t>
      </w:r>
      <w:r w:rsidR="00B16FBF">
        <w:t xml:space="preserve">cobalt species.  </w:t>
      </w:r>
      <w:r w:rsidR="00105A0A">
        <w:t>T</w:t>
      </w:r>
      <w:r w:rsidR="00421E66">
        <w:t>he oxidation state of cobalt on this diagram is o</w:t>
      </w:r>
      <w:r w:rsidR="0000218A">
        <w:t>nly Co(II),</w:t>
      </w:r>
      <w:r w:rsidR="00C20F4E">
        <w:t xml:space="preserve"> </w:t>
      </w:r>
      <w:r w:rsidR="007E3E2C">
        <w:t xml:space="preserve">because </w:t>
      </w:r>
      <w:r w:rsidR="0000218A">
        <w:t>Co(III)</w:t>
      </w:r>
      <w:r w:rsidR="007E1914">
        <w:t xml:space="preserve"> is over </w:t>
      </w:r>
      <w:r w:rsidR="00D309F1">
        <w:t xml:space="preserve">Log10 less in concentration, </w:t>
      </w:r>
      <w:r w:rsidR="00746BC1">
        <w:t>supporting</w:t>
      </w:r>
      <w:r w:rsidR="003D7B0A">
        <w:t xml:space="preserve"> the work of</w:t>
      </w:r>
      <w:r w:rsidR="00746BC1">
        <w:t xml:space="preserve"> </w:t>
      </w:r>
      <w:r w:rsidR="003D7B0A">
        <w:fldChar w:fldCharType="begin" w:fldLock="1"/>
      </w:r>
      <w:r w:rsidR="00C245C5">
        <w:instrText>ADDIN CSL_CITATION {"citationItems":[{"id":"ITEM-1","itemData":{"DOI":"10.1016/j.scitotenv.2008.07.042","ISSN":"00489697","PMID":"18762325","abstract":"Isotope dilution is a useful technique to determine the potential phytoavailability of an element in soil. This method involves equilibrating an isotope with soil and then sampling the labile metal pool by analysis of the soil solution (E value) or plants growing in the soil (L value). The work reported here was conducted to evaluate the distribution coefficient (Kd), and the potential phytoavailability (E value) of cobalt (Co) in eight soils subjected to the atmospheric deposition of anthropogenic Co. Multiple regression analyses demonstrated that the Kd of isotopically exchangeable Co in these soils was best modelled with two parameters: soil pH and organic carbon (OC) content (log Kd = 0.85(pH) + 1.1(logOC) - 5.0, R2 = 0.94, p &lt; 0.01). Cobalt E values ranged from 1.5 to 37% of total soil Co concentrations. No evidence was obtained to suggest that Co(III), if present, was isotopically exchangeable in these soils and it was concluded that the Co E values consisted solely of Co(II). Cobalt L values, measured with Triticum aestivum L. (46 days), of two of these soils (varying in soil pH, e.g. 5.0 and 7.2) were statistically (p &lt; 0.05) different to E values. However, when changes of bulk soil pH on Co E values were considered, the two values were statistically (p &lt; 0.05) similar indicating that processes affecting soil pH during plant growth can alter isotopically exchangeable concentrations of Co. © 2008 Elsevier B.V. All rights reserved.","author":[{"dropping-particle":"","family":"Bakkaus","given":"Estelle","non-dropping-particle":"","parse-names":false,"suffix":""},{"dropping-particle":"","family":"Collins","given":"Richard N.","non-dropping-particle":"","parse-names":false,"suffix":""},{"dropping-particle":"","family":"Morel","given":"Jean Louis","non-dropping-particle":"","parse-names":false,"suffix":""},{"dropping-particle":"","family":"Gouget","given":"Barbara","non-dropping-particle":"","parse-names":false,"suffix":""}],"container-title":"Science of the Total Environment","id":"ITEM-1","issue":"1-2","issued":{"date-parts":[["2008"]]},"page":"108-115","title":"Potential phytoavailability of anthropogenic cobalt in soils as measured by isotope dilution techniques","type":"article-journal","volume":"406"},"uris":["http://www.mendeley.com/documents/?uuid=c0df8be8-eef1-4854-b228-c880d48d7523"]}],"mendeley":{"formattedCitation":"(Bakkaus et al., 2008)","manualFormatting":"Bakkaus et al., 2008","plainTextFormattedCitation":"(Bakkaus et al., 2008)","previouslyFormattedCitation":"(Bakkaus et al., 2008)"},"properties":{"noteIndex":0},"schema":"https://github.com/citation-style-language/schema/raw/master/csl-citation.json"}</w:instrText>
      </w:r>
      <w:r w:rsidR="003D7B0A">
        <w:fldChar w:fldCharType="separate"/>
      </w:r>
      <w:r w:rsidR="003D7B0A" w:rsidRPr="003D7B0A">
        <w:rPr>
          <w:noProof/>
        </w:rPr>
        <w:t>Bakkaus et al., 2008</w:t>
      </w:r>
      <w:r w:rsidR="003D7B0A">
        <w:fldChar w:fldCharType="end"/>
      </w:r>
      <w:r w:rsidR="003D7B0A">
        <w:t xml:space="preserve">.  </w:t>
      </w:r>
      <w:r w:rsidR="00D42DD2">
        <w:t xml:space="preserve">As with the other LIB metals, cobalt </w:t>
      </w:r>
      <w:r w:rsidR="00D42DD2">
        <w:lastRenderedPageBreak/>
        <w:t xml:space="preserve">has a higher solubility in acidic conditions, with the </w:t>
      </w:r>
      <w:r w:rsidR="00544914">
        <w:t>mainly in the form of free Co</w:t>
      </w:r>
      <w:r w:rsidR="00544914">
        <w:rPr>
          <w:vertAlign w:val="superscript"/>
        </w:rPr>
        <w:t>2+</w:t>
      </w:r>
      <w:r w:rsidR="00544914">
        <w:t xml:space="preserve">.  As pH increases, </w:t>
      </w:r>
      <w:r w:rsidR="00F3346A">
        <w:t xml:space="preserve">cobalt hydroxides become prevalent, </w:t>
      </w:r>
      <w:r w:rsidR="009E5BA9">
        <w:t xml:space="preserve">diminishing the potential toxicity to </w:t>
      </w:r>
      <w:r w:rsidR="00B1226F">
        <w:t xml:space="preserve">vegetation and </w:t>
      </w:r>
      <w:r w:rsidR="00C245C5">
        <w:t xml:space="preserve">animals </w:t>
      </w:r>
      <w:r w:rsidR="00C245C5">
        <w:fldChar w:fldCharType="begin" w:fldLock="1"/>
      </w:r>
      <w:r w:rsidR="00D1460F">
        <w:instrText>ADDIN CSL_CITATION {"citationItems":[{"id":"ITEM-1","itemData":{"DOI":"10.1007/BF02856575","ISSN":"00068101","abstract":"Cobalt, a transition element, is an essential component of several enzymes and co-enzymes. It has been shown to affect growth and metabolism of plants, in different degrees, depending on the concentration and status of cobalt in rhizosphere and soil. Cobalt interacts with other elements to form complexes. The cytotoxic and phytotoxic activities of cobalt and its compounds depend on the physico-chemical properties of these complexes, including their electronic structure, ion parameters (charge-size relations) and coordination. Thus, the competitive absorption and mutual activation of associated metals influence the action of cobalt on various phytochemical reactions. The distribution of cobalt in plants is entirely species-dependent. The uptake is controlled by different mechanisms in different species. Biosorption involves ion-exchange mechanism in algae, but in fungi both metabolism-independent and -dependent processes are operative. Physical conditions like salinity, temperature, pH of the medium, and presence of other metals influence the process of uptake and accumulation in algae, fungi, and mosses. Toxic concentrations inhibit active ion transport. In higher plants, absorption of Co2+ by roots involves active transport. Transport through the cortical cells is operated by both passive diffusion and active process. In the xylem, the metal is mainly transported by the transpirational flow. Distribution through the sieve tubes is acropetal by complexing with organic compounds. The lower mobility of Co2+ in plants restricts its transport to leaves from stems. Cobalt is not found at the active site of any respiratory chain enzymes. Two sites of action of Co2+ are found in mitochondrial respiration since it induces different responses toward different substrates like α-keto glutarate and succinate. In lower organisms, Co2+ inhibits tetraphyrrole biosynthesis, but in higher plants it probably participates in chlorophyll b formation. Exogenously added metal causes morphological damage in plastids and changes in the chlorophyll contents. It also inhibits starch grain differentiation and alters the structure and number of chloroplasts per unit area of leaf. The role of cobalt in photosynthesis is controversial. Its toxic effect takes place by inhibition of PS2 activity and hence Hill reaction. It inhibits either the reaction centre or component of PS2 acceptor by modifying secondary quinone electron acceptor Qb site. Co2+ reduces the export of photoassimilat…","author":[{"dropping-particle":"","family":"Palit","given":"Syamasri","non-dropping-particle":"","parse-names":false,"suffix":""},{"dropping-particle":"","family":"Sharma","given":"Archana","non-dropping-particle":"","parse-names":false,"suffix":""},{"dropping-particle":"","family":"Talukder","given":"Geeta","non-dropping-particle":"","parse-names":false,"suffix":""}],"container-title":"The Botanical Review","id":"ITEM-1","issue":"2","issued":{"date-parts":[["1994"]]},"page":"149-181","title":"Effects of cobalt on plants","type":"article-journal","volume":"60"},"uris":["http://www.mendeley.com/documents/?uuid=e490402f-ec0a-4cda-b3a9-b80f9fe42aab"]},{"id":"ITEM-2","itemData":{"ISSN":"1464410X","author":[{"dropping-particle":"","family":"Control","given":"Center for Disease","non-dropping-particle":"","parse-names":false,"suffix":""}],"container-title":"Center for Disease Control","id":"ITEM-2","issued":{"date-parts":[["2011"]]},"number-of-pages":"1-22","title":"Toxicological profile for cobalt","type":"report"},"uris":["http://www.mendeley.com/documents/?uuid=9355d2f7-29d6-44a0-b6e6-32d8b92e7781"]}],"mendeley":{"formattedCitation":"(Control, 2011a; Palit et al., 1994)","plainTextFormattedCitation":"(Control, 2011a; Palit et al., 1994)","previouslyFormattedCitation":"(Control, 2011a; Palit et al., 1994)"},"properties":{"noteIndex":0},"schema":"https://github.com/citation-style-language/schema/raw/master/csl-citation.json"}</w:instrText>
      </w:r>
      <w:r w:rsidR="00C245C5">
        <w:fldChar w:fldCharType="separate"/>
      </w:r>
      <w:r w:rsidR="00C245C5" w:rsidRPr="00C245C5">
        <w:rPr>
          <w:noProof/>
        </w:rPr>
        <w:t>(Control, 2011a; Palit et al., 1994)</w:t>
      </w:r>
      <w:r w:rsidR="00C245C5">
        <w:fldChar w:fldCharType="end"/>
      </w:r>
      <w:r w:rsidR="00C245C5">
        <w:t xml:space="preserve">.  </w:t>
      </w:r>
      <w:r w:rsidR="001C5A54">
        <w:t xml:space="preserve">The pC – pH diagram can be used in the prediction of major </w:t>
      </w:r>
      <w:r w:rsidR="00961040">
        <w:t>cobalt</w:t>
      </w:r>
      <w:r w:rsidR="001C5A54">
        <w:t xml:space="preserve"> species at a certain pH to aid in the LIB contamination risk assessment.</w:t>
      </w:r>
    </w:p>
    <w:p w14:paraId="31CC5FDA" w14:textId="493C10C6" w:rsidR="00E56E69" w:rsidRPr="001A23AB" w:rsidRDefault="00DA66A1" w:rsidP="007611F1">
      <w:pPr>
        <w:jc w:val="both"/>
      </w:pPr>
      <w:r>
        <w:tab/>
      </w:r>
      <w:r w:rsidR="00154380">
        <w:t xml:space="preserve">The combination of each </w:t>
      </w:r>
      <w:r w:rsidR="008D725F">
        <w:t>LIB metal into a single model produced the total metal ion concentration over the pH range</w:t>
      </w:r>
      <w:r w:rsidR="00020FF1">
        <w:t xml:space="preserve">.  This </w:t>
      </w:r>
      <w:r w:rsidR="00B637DC">
        <w:t>combination</w:t>
      </w:r>
      <w:r w:rsidR="00287789">
        <w:t xml:space="preserve"> model </w:t>
      </w:r>
      <w:r w:rsidR="00074DE6">
        <w:t>compares</w:t>
      </w:r>
      <w:r w:rsidR="00287789">
        <w:t xml:space="preserve"> the leaching risk of each metal </w:t>
      </w:r>
      <w:r w:rsidR="00074DE6">
        <w:t xml:space="preserve">to one another normalized to the same beginning concentration.  </w:t>
      </w:r>
      <w:r w:rsidR="001A4D50">
        <w:t xml:space="preserve">The </w:t>
      </w:r>
      <w:r w:rsidR="00985C5B">
        <w:t xml:space="preserve">two </w:t>
      </w:r>
      <w:r w:rsidR="001A4D50">
        <w:t xml:space="preserve">highest leaching risk </w:t>
      </w:r>
      <w:r w:rsidR="004A1E20">
        <w:t>at pH 10</w:t>
      </w:r>
      <w:r w:rsidR="001A4D50">
        <w:t xml:space="preserve"> according to the model aluminum</w:t>
      </w:r>
      <w:r w:rsidR="00985C5B">
        <w:t xml:space="preserve"> and manganese</w:t>
      </w:r>
      <w:r w:rsidR="004A1E20">
        <w:t>, which align with the experimental results</w:t>
      </w:r>
      <w:r w:rsidR="002D779C">
        <w:t>.</w:t>
      </w:r>
      <w:r w:rsidR="00D258F5">
        <w:t xml:space="preserve">  MINEQL+ is a powerful tool to aid in the modeling of experimental results and the prediction of end results with potential variable changes.</w:t>
      </w:r>
      <w:r w:rsidR="004A1E20">
        <w:t xml:space="preserve">  </w:t>
      </w:r>
      <w:r w:rsidR="005D521F">
        <w:t>The concentration of metal</w:t>
      </w:r>
      <w:r w:rsidR="00BF5203">
        <w:t xml:space="preserve">s in the LIB </w:t>
      </w:r>
      <w:r w:rsidR="0043596D">
        <w:t>require consideration because they vary between each other, causing the MINEQL+ model</w:t>
      </w:r>
      <w:r w:rsidR="003742C9">
        <w:t xml:space="preserve"> to have a qualitative conclusion on the leaching and contamination risk</w:t>
      </w:r>
      <w:r w:rsidR="00EE6B35">
        <w:t xml:space="preserve"> these metals </w:t>
      </w:r>
      <w:r w:rsidR="00CC4467">
        <w:t>possess.</w:t>
      </w:r>
    </w:p>
    <w:p w14:paraId="4B0B2864" w14:textId="77777777" w:rsidR="00E755A5" w:rsidRDefault="00E755A5">
      <w:pPr>
        <w:rPr>
          <w:b/>
          <w:bCs/>
        </w:rPr>
      </w:pPr>
      <w:r>
        <w:rPr>
          <w:b/>
          <w:bCs/>
        </w:rPr>
        <w:br w:type="page"/>
      </w:r>
    </w:p>
    <w:p w14:paraId="57998727" w14:textId="036EFAB1" w:rsidR="00AD7F4D" w:rsidRPr="002A4ADE" w:rsidRDefault="00F84424" w:rsidP="008F23B0">
      <w:pPr>
        <w:pStyle w:val="Heading1"/>
      </w:pPr>
      <w:bookmarkStart w:id="185" w:name="_Toc71224022"/>
      <w:r>
        <w:lastRenderedPageBreak/>
        <w:t xml:space="preserve">Chapter </w:t>
      </w:r>
      <w:r w:rsidR="00AD7F4D" w:rsidRPr="002A4ADE">
        <w:t>V</w:t>
      </w:r>
      <w:r w:rsidR="00ED00EF">
        <w:t>I</w:t>
      </w:r>
      <w:r w:rsidR="00AD7F4D" w:rsidRPr="002A4ADE">
        <w:t>: Conclusions and Future Work</w:t>
      </w:r>
      <w:bookmarkEnd w:id="185"/>
    </w:p>
    <w:p w14:paraId="37E2CFF7" w14:textId="7871D5DC" w:rsidR="00AD7F4D" w:rsidRDefault="00F84424" w:rsidP="00F84424">
      <w:pPr>
        <w:pStyle w:val="Heading2"/>
        <w:numPr>
          <w:ilvl w:val="0"/>
          <w:numId w:val="0"/>
        </w:numPr>
      </w:pPr>
      <w:bookmarkStart w:id="186" w:name="_Toc71224023"/>
      <w:r>
        <w:t>6.</w:t>
      </w:r>
      <w:r w:rsidR="00AD7F4D" w:rsidRPr="002A4ADE">
        <w:t>1</w:t>
      </w:r>
      <w:r w:rsidR="00C81DD8">
        <w:t xml:space="preserve"> </w:t>
      </w:r>
      <w:r w:rsidR="00AD7F4D" w:rsidRPr="002A4ADE">
        <w:t>Conclusions</w:t>
      </w:r>
      <w:bookmarkEnd w:id="186"/>
    </w:p>
    <w:p w14:paraId="24C2768C" w14:textId="18FBE102" w:rsidR="007F29EA" w:rsidRDefault="00B53B6C" w:rsidP="00B57F32">
      <w:pPr>
        <w:jc w:val="both"/>
      </w:pPr>
      <w:r>
        <w:tab/>
      </w:r>
      <w:r w:rsidR="00A82478">
        <w:t xml:space="preserve">The </w:t>
      </w:r>
      <w:r w:rsidR="004D4858">
        <w:t>increased</w:t>
      </w:r>
      <w:r w:rsidR="00A82478">
        <w:t xml:space="preserve"> use of LIB in everyday life from cell phones, electric vehicles, and power storage creates a greater need to safely dispose and recycle them when they reach their end of life.  This need can be resolved </w:t>
      </w:r>
      <w:r w:rsidR="0019059E">
        <w:t>with</w:t>
      </w:r>
      <w:r w:rsidR="00A82478">
        <w:t xml:space="preserve"> a proactive approach by municipalities to prevent LIB entering the municipal waste systems, a </w:t>
      </w:r>
      <w:r w:rsidR="0019059E">
        <w:t>curbing of illegal dumpsites</w:t>
      </w:r>
      <w:r w:rsidR="00A82478">
        <w:t xml:space="preserve">, and improved transport and recycling techniques to prevent contamination of the areas surrounding the recycling centers </w:t>
      </w:r>
      <w:r w:rsidR="0019059E">
        <w:fldChar w:fldCharType="begin" w:fldLock="1"/>
      </w:r>
      <w:r w:rsidR="004065FE">
        <w:instrText>ADDIN CSL_CITATION {"citationItems":[{"id":"ITEM-1","itemData":{"author":[{"dropping-particle":"","family":"Timpane","given":"Michael","non-dropping-particle":"","parse-names":false,"suffix":""}],"container-title":"Environmental Protection Agency","id":"ITEM-1","issued":{"date-parts":[["2018"]]},"title":"Lithium Ion Batteries in the Solid Waste System","type":"report"},"uris":["http://www.mendeley.com/documents/?uuid=e117adcb-dc73-411a-9c6c-0635b546dc85"]},{"id":"ITEM-2","itemData":{"DOI":"10.4324/9780429051340-10","ISBN":"9780429707735","ISSN":"1381-1169","abstract":"This chapter discusses Canada's uranium resources, domestic demand, industry structure, and related government policy. Energy is extracted from uranium by a nuclear, rather than a chemical, reaction, as in hydrocarbon combustion. The uranium industry is also under stricter government control than are most commodity industries, partly because of the relationship of uranium to nuclear weapons and the risk of their proliferation. In a US-Canadian context, uranium-related issues can be aggregated into the categories of bilateral trade, international trade, and nonproliferation. An understanding of the structure of the nuclear-power-reactor fuel cycle is important to an understanding of the world uranium market because, as already indicated, demand for uranium for other uses is very small. The economics of reprocessing and recycling the recovered uranium and plutonium in the current generation of reactors is quite uncertain today but probably unfavorable. By 1974 the situation had been totally transformed: prices were rising steeply, and Canadian uranium was in great demand.","author":[{"dropping-particle":"","family":"Alloway","given":"Brian J.","non-dropping-particle":"","parse-names":false,"suffix":""}],"container-title":"Natural Resources in U.S.-canadian Relations, Volume 2: Patterns and Trends in Resource Supplies and Policies","edition":"3rd Editio","id":"ITEM-2","issued":{"date-parts":[["2019"]]},"number-of-pages":"615","publisher":"Springer","publisher-place":"New York","title":"Heavy Metals in Soils","type":"book","volume":"2"},"uris":["http://www.mendeley.com/documents/?uuid=970c4dde-98c6-4860-94ae-29c806fe4065"]},{"id":"ITEM-3","itemData":{"author":[{"dropping-particle":"","family":"Agency","given":"Environmental Protection","non-dropping-particle":"","parse-names":false,"suffix":""}],"id":"ITEM-3","issue":"103","issued":{"date-parts":[["1987"]]},"number-of-pages":"20218-20311","title":"Liners and leak detection for hazardous waste land disposal units","type":"report","volume":"52"},"uris":["http://www.mendeley.com/documents/?uuid=d320aa21-34b6-4892-9e70-fcc9b2c22f67"]},{"id":"ITEM-4","itemData":{"ISSN":"00319422","abstract":"Four new botcinolide derivatives 4-O-methylbolcinolide, 3-O-acetyl-5-O- methylbotcinolide, 3-O-acetyl-2-epibotcinolide and 2-epibotcinolide have been isolated from the plant pathogen, Botrytis cinerea. Their structures have been established by extensive spectroscopic methods.","author":[{"dropping-particle":"","family":"Garthe","given":"James W.","non-dropping-particle":"","parse-names":false,"suffix":""},{"dropping-particle":"","family":"Swistock","given":"Bryan R.","non-dropping-particle":"","parse-names":false,"suffix":""}],"container-title":"Penn State College of Agricultural Sciences","id":"ITEM-4","issued":{"date-parts":[["2005"]]},"page":"1-27","title":"Roadside dumps and water quality","type":"article-magazine"},"uris":["http://www.mendeley.com/documents/?uuid=d781e25c-d6d3-4423-830a-fb7168adb91c"]}],"mendeley":{"formattedCitation":"(Agency, 1987; Alloway, 2019; Garthe &amp; Swistock, 2005; Timpane, 2018)","plainTextFormattedCitation":"(Agency, 1987; Alloway, 2019; Garthe &amp; Swistock, 2005; Timpane, 2018)","previouslyFormattedCitation":"(Agency, 1987; Alloway, 2019; Garthe &amp; Swistock, 2005; Timpane, 2018)"},"properties":{"noteIndex":0},"schema":"https://github.com/citation-style-language/schema/raw/master/csl-citation.json"}</w:instrText>
      </w:r>
      <w:r w:rsidR="0019059E">
        <w:fldChar w:fldCharType="separate"/>
      </w:r>
      <w:r w:rsidR="0019059E" w:rsidRPr="0019059E">
        <w:rPr>
          <w:noProof/>
        </w:rPr>
        <w:t>(Agency, 1987; Alloway, 2019; Garthe &amp; Swistock, 2005; Timpane, 2018)</w:t>
      </w:r>
      <w:r w:rsidR="0019059E">
        <w:fldChar w:fldCharType="end"/>
      </w:r>
      <w:r w:rsidR="00A82478">
        <w:t>.  The metal contamination from electronic waste</w:t>
      </w:r>
      <w:r w:rsidR="0019059E">
        <w:t xml:space="preserve"> and other types of batteries has been well documented to cause detrimental environmental and human health effects</w:t>
      </w:r>
      <w:r w:rsidR="00F27BA6">
        <w:t xml:space="preserve"> </w:t>
      </w:r>
      <w:r w:rsidR="00F27BA6">
        <w:fldChar w:fldCharType="begin" w:fldLock="1"/>
      </w:r>
      <w:r w:rsidR="00890124">
        <w:instrText>ADDIN CSL_CITATION {"citationItems":[{"id":"ITEM-1","itemData":{"DOI":"10.1016/j.ecoenv.2008.02.026","ISSN":"01476513","abstract":"Lithium concentrations in the surface and underground waters may be higher than general environment in places where lithium-rich brines and minerals occur, and in places where lithium batteries are disposed of. This review has indicated that lithium is not expected to bioaccumulate and its human and environmental toxicity are low. Lithium is not a dietary mineral for plants but it does stimulate plant growth. Large doses of lithium (up to 10 mg/L in serum) are given to patients with bipolar disorder. At 10 mg/L of blood, a person is mildly lithium poisoned. At 15 mg/L they experience confusion and speech impairment, and at 20 mg/L Li there is a risk of death. A provisional recommended daily intake of 14.3 μg/kg body weight lithium for an adult has been suggested. Crown Copyright © 2008.","author":[{"dropping-particle":"","family":"Aral","given":"Hal","non-dropping-particle":"","parse-names":false,"suffix":""},{"dropping-particle":"","family":"Vecchio-Sadus","given":"Angelica","non-dropping-particle":"","parse-names":false,"suffix":""}],"container-title":"Ecotoxicology and Environmental Safety","id":"ITEM-1","issue":"3","issued":{"date-parts":[["2008"]]},"page":"349-356","title":"Toxicity of lithium to humans and the environment-A literature review","type":"article-journal","volume":"70"},"uris":["http://www.mendeley.com/documents/?uuid=b7743b09-ce86-4456-8e97-0fa1bcb69800"]},{"id":"ITEM-2","itemData":{"DOI":"10.1021/tx900338d","ISSN":"0893228X","abstract":"Copper and iron are essential but also toxic metals. Their essentiality is known, but their toxicity, except for the genetic overload diseases, Wilson's disease and hemochromatosis, is not so well known. Yet, their toxicities are so general in the population that they are a looming public health problem in diseases of aging and in the aging process itself. Both metals are transition elements, and their resulting redox properties have been used during evolution in the development of oxidative energy generation. But both contribute to the production of excess damaging oxidant radicals. Evolution has kept stores of copper and iron in excess during the reproductive years because they are so vital to life. But the oxidant damage from these excess stores of metals builds up as we age, and natural selection ceases to act after about age 50 since diseases after that do not contribute to reproductive fitness. Diseases of aging such as Alzheimer's disease, other neurodegenerative diseases, arteriosclerosis, diabetes mellitus, and others may all be contributed to by excess copper and iron. A very disturbing study has found that in the general population those in the highest fifth of copper intake, if they are also eating a relatively high fat diet, lose cognition at over three times the normal rate. Inorganic copper in drinking water and in supplements is handled differently than food copper and is therefore more toxic. Trace amounts of copper in drinking water, less than one-tenth of that allowed in human drinking water by the Environmental Protection Agency, greatly enhanced an Alzheimer's-like disease in an animal model. In the last part of this review, I will provide advice on how to lower risks from copper and iron toxicity. © 2010 American Chemical Society.","author":[{"dropping-particle":"","family":"Brewer","given":"George J.","non-dropping-particle":"","parse-names":false,"suffix":""}],"container-title":"Chemical Research in Toxicology","id":"ITEM-2","issue":"2","issued":{"date-parts":[["2010"]]},"page":"319-326","title":"Risks of copper and iron toxicity during aging in humans","type":"article-journal","volume":"23"},"uris":["http://www.mendeley.com/documents/?uuid=a453e1fa-a516-418c-8d7d-8400c9769089"]},{"id":"ITEM-3","itemData":{"DOI":"10.3238/arztebl.2017.0653","author":[{"dropping-particle":"","family":"Klotz","given":"Katrin","non-dropping-particle":"","parse-names":false,"suffix":""},{"dropping-particle":"","family":"Weistenhöfer","given":"Wobbeke","non-dropping-particle":"","parse-names":false,"suffix":""},{"dropping-particle":"","family":"Neff","given":"Frauke","non-dropping-particle":"","parse-names":false,"suffix":""},{"dropping-particle":"","family":"Hartwig","given":"Andrea","non-dropping-particle":"","parse-names":false,"suffix":""},{"dropping-particle":"Van","family":"Thriel","given":"Christoph","non-dropping-particle":"","parse-names":false,"suffix":""},{"dropping-particle":"","family":"Drexler","given":"Hans","non-dropping-particle":"","parse-names":false,"suffix":""}],"container-title":"Deutsches Ärzteblatt International","id":"ITEM-3","issue":"39","issued":{"date-parts":[["2017"]]},"page":"653-660","title":"The Health Effects of Aluminum Exposure","type":"article-journal","volume":"114"},"uris":["http://www.mendeley.com/documents/?uuid=b88e1c6f-9071-4378-8f22-2955b2b74758"]},{"id":"ITEM-4","itemData":{"abstract":"Soil pH and organic matter are key soil parameters. This Nutrient Management Module explains how each affects soil fertility. The appendix at the end of this bulletin lists additional resources.","author":[{"dropping-particle":"","family":"McCauley","given":"A.","non-dropping-particle":"","parse-names":false,"suffix":""},{"dropping-particle":"","family":"Jones","given":"C","non-dropping-particle":"","parse-names":false,"suffix":""},{"dropping-particle":"","family":"Olson-Rutz","given":"K","non-dropping-particle":"","parse-names":false,"suffix":""}],"container-title":"Nutrient Management","id":"ITEM-4","issue":"8","issued":{"date-parts":[["2017"]]},"page":"1-16","title":"Soil pH and organic matter","type":"entry-encyclopedia"},"uris":["http://www.mendeley.com/documents/?uuid=b58aa6bd-be53-4fb2-9513-aa88b67ee19a"]}],"mendeley":{"formattedCitation":"(Aral &amp; Vecchio-Sadus, 2008; Brewer, 2010; Klotz et al., 2017; McCauley et al., 2017)","plainTextFormattedCitation":"(Aral &amp; Vecchio-Sadus, 2008; Brewer, 2010; Klotz et al., 2017; McCauley et al., 2017)","previouslyFormattedCitation":"(Aral &amp; Vecchio-Sadus, 2008; Brewer, 2010; Klotz et al., 2017; McCauley et al., 2017)"},"properties":{"noteIndex":0},"schema":"https://github.com/citation-style-language/schema/raw/master/csl-citation.json"}</w:instrText>
      </w:r>
      <w:r w:rsidR="00F27BA6">
        <w:fldChar w:fldCharType="separate"/>
      </w:r>
      <w:r w:rsidR="00F27BA6" w:rsidRPr="00F27BA6">
        <w:rPr>
          <w:noProof/>
        </w:rPr>
        <w:t>(Aral &amp; Vecchio-Sadus, 2008; Brewer, 2010; Klotz et al., 2017; McCauley et al., 2017)</w:t>
      </w:r>
      <w:r w:rsidR="00F27BA6">
        <w:fldChar w:fldCharType="end"/>
      </w:r>
      <w:r w:rsidR="0019059E">
        <w:t xml:space="preserve">.  </w:t>
      </w:r>
      <w:r w:rsidR="00D35A3A">
        <w:t>Analyses have been performed</w:t>
      </w:r>
      <w:r w:rsidR="00811E68">
        <w:t xml:space="preserve"> on the soil and water systems surrounding landfills and e-waste recycling centers to determine the </w:t>
      </w:r>
      <w:r w:rsidR="00956637">
        <w:t xml:space="preserve">contamination that had </w:t>
      </w:r>
      <w:r w:rsidR="007D72E9">
        <w:t>occurred up to that time point</w:t>
      </w:r>
      <w:r w:rsidR="00FD7B40">
        <w:t>.  However,</w:t>
      </w:r>
      <w:r w:rsidR="00956637">
        <w:t xml:space="preserve"> </w:t>
      </w:r>
      <w:r w:rsidR="004D4858">
        <w:t xml:space="preserve">long term analysis on the leaching and adsorption rate of </w:t>
      </w:r>
      <w:r w:rsidR="00956637">
        <w:t xml:space="preserve">LIB into water and soil </w:t>
      </w:r>
      <w:r w:rsidR="00FD7B40">
        <w:t xml:space="preserve">based on pH has not </w:t>
      </w:r>
      <w:r w:rsidR="009B7BB3">
        <w:t xml:space="preserve">been completed.  This study </w:t>
      </w:r>
      <w:r w:rsidR="001B45BF">
        <w:t xml:space="preserve">successfully determines the leaching and adsorption rate for copper, manganese, nickel, and aluminum from </w:t>
      </w:r>
      <w:r w:rsidR="00B42F30">
        <w:t xml:space="preserve">NMC </w:t>
      </w:r>
      <w:r w:rsidR="001B45BF">
        <w:t>LIB.</w:t>
      </w:r>
    </w:p>
    <w:p w14:paraId="12F60162" w14:textId="40EFE6C7" w:rsidR="001A6508" w:rsidRDefault="001A6508" w:rsidP="001A6508">
      <w:pPr>
        <w:ind w:firstLine="720"/>
        <w:jc w:val="both"/>
        <w:rPr>
          <w:szCs w:val="32"/>
        </w:rPr>
      </w:pPr>
      <w:r>
        <w:tab/>
        <w:t>To reiterate</w:t>
      </w:r>
      <w:r w:rsidR="000855E1">
        <w:t>,</w:t>
      </w:r>
      <w:r>
        <w:t xml:space="preserve"> the</w:t>
      </w:r>
      <w:r w:rsidRPr="00E755A5">
        <w:rPr>
          <w:szCs w:val="32"/>
        </w:rPr>
        <w:t xml:space="preserve"> first hypothesis for this </w:t>
      </w:r>
      <w:r>
        <w:rPr>
          <w:szCs w:val="32"/>
        </w:rPr>
        <w:t>study</w:t>
      </w:r>
      <w:r w:rsidRPr="00E755A5">
        <w:rPr>
          <w:szCs w:val="32"/>
        </w:rPr>
        <w:t xml:space="preserve"> states that the integration </w:t>
      </w:r>
      <w:r>
        <w:rPr>
          <w:szCs w:val="32"/>
        </w:rPr>
        <w:t xml:space="preserve">and adsorption </w:t>
      </w:r>
      <w:r w:rsidRPr="00E755A5">
        <w:rPr>
          <w:szCs w:val="32"/>
        </w:rPr>
        <w:t xml:space="preserve">of LIB metals (manganese, cobalt, nickel, aluminum, and copper) into pH amended soil over a 24 week time period will be more significant in basic soil than acidic soil.  Specifically, the copper and nickel will have the highest </w:t>
      </w:r>
      <w:r>
        <w:rPr>
          <w:szCs w:val="32"/>
        </w:rPr>
        <w:t>adsorption rates</w:t>
      </w:r>
      <w:r w:rsidRPr="00E755A5">
        <w:rPr>
          <w:szCs w:val="32"/>
        </w:rPr>
        <w:t xml:space="preserve"> onto the soil compared to the other metals, notably at the basic pH range.  </w:t>
      </w:r>
    </w:p>
    <w:p w14:paraId="221ECAB7" w14:textId="3915064D" w:rsidR="001A6508" w:rsidRDefault="001A6508" w:rsidP="000855E1">
      <w:pPr>
        <w:ind w:firstLine="720"/>
        <w:jc w:val="both"/>
        <w:rPr>
          <w:szCs w:val="32"/>
        </w:rPr>
      </w:pPr>
      <w:r w:rsidRPr="00E755A5">
        <w:rPr>
          <w:szCs w:val="32"/>
        </w:rPr>
        <w:t xml:space="preserve">The second hypothesis for this </w:t>
      </w:r>
      <w:r>
        <w:rPr>
          <w:szCs w:val="32"/>
        </w:rPr>
        <w:t>study</w:t>
      </w:r>
      <w:r w:rsidRPr="00E755A5">
        <w:rPr>
          <w:szCs w:val="32"/>
        </w:rPr>
        <w:t xml:space="preserve"> states that the dissolution of LIB metals into pH amended water over a 24 week time period will be more significant in acidic </w:t>
      </w:r>
      <w:r>
        <w:rPr>
          <w:szCs w:val="32"/>
        </w:rPr>
        <w:t>water</w:t>
      </w:r>
      <w:r w:rsidRPr="00E755A5">
        <w:rPr>
          <w:szCs w:val="32"/>
        </w:rPr>
        <w:t xml:space="preserve"> than basic </w:t>
      </w:r>
      <w:r>
        <w:rPr>
          <w:szCs w:val="32"/>
        </w:rPr>
        <w:lastRenderedPageBreak/>
        <w:t>water</w:t>
      </w:r>
      <w:r w:rsidRPr="00E755A5">
        <w:rPr>
          <w:szCs w:val="32"/>
        </w:rPr>
        <w:t xml:space="preserve">.  Specifically, cobalt and copper will have a higher </w:t>
      </w:r>
      <w:r>
        <w:rPr>
          <w:szCs w:val="32"/>
        </w:rPr>
        <w:t>leaching rate</w:t>
      </w:r>
      <w:r w:rsidRPr="00E755A5">
        <w:rPr>
          <w:szCs w:val="32"/>
        </w:rPr>
        <w:t xml:space="preserve"> in the acidic water compared to the other metals.</w:t>
      </w:r>
    </w:p>
    <w:p w14:paraId="769F9508" w14:textId="77777777" w:rsidR="00CE0588" w:rsidRPr="000855E1" w:rsidRDefault="00CE0588" w:rsidP="000855E1">
      <w:pPr>
        <w:ind w:firstLine="720"/>
        <w:jc w:val="both"/>
        <w:rPr>
          <w:szCs w:val="32"/>
        </w:rPr>
      </w:pPr>
    </w:p>
    <w:p w14:paraId="135106AF" w14:textId="30161CA9" w:rsidR="00AD7F4D" w:rsidRDefault="00F84424" w:rsidP="00E610FB">
      <w:pPr>
        <w:pStyle w:val="Heading3"/>
        <w:numPr>
          <w:ilvl w:val="0"/>
          <w:numId w:val="0"/>
        </w:numPr>
      </w:pPr>
      <w:bookmarkStart w:id="187" w:name="_Toc71224024"/>
      <w:r>
        <w:t>6.</w:t>
      </w:r>
      <w:r w:rsidR="00AD7F4D" w:rsidRPr="002A4ADE">
        <w:t>1.1</w:t>
      </w:r>
      <w:r w:rsidR="00C81DD8">
        <w:t xml:space="preserve"> </w:t>
      </w:r>
      <w:r w:rsidR="001B3A97">
        <w:t>Adsorption</w:t>
      </w:r>
      <w:r w:rsidR="00AD7F4D" w:rsidRPr="002A4ADE">
        <w:t xml:space="preserve"> Rate of Li-ion Batteries into Soil</w:t>
      </w:r>
      <w:bookmarkEnd w:id="187"/>
    </w:p>
    <w:p w14:paraId="56876690" w14:textId="0BE809D2" w:rsidR="00B53B6C" w:rsidRDefault="00B53B6C" w:rsidP="00B53B6C">
      <w:pPr>
        <w:jc w:val="both"/>
      </w:pPr>
      <w:r>
        <w:tab/>
      </w:r>
      <w:r w:rsidR="00D23245">
        <w:t xml:space="preserve">The adsorption </w:t>
      </w:r>
      <w:r w:rsidR="002B67D0">
        <w:t>of LIB metals over a 24 week period provides essential insight on the contamination risk of improperly disposed LIB</w:t>
      </w:r>
      <w:r w:rsidR="00981888">
        <w:t xml:space="preserve">.  When normalized to the control soils, </w:t>
      </w:r>
      <w:r w:rsidR="00484A72">
        <w:t xml:space="preserve">copper and nickel had the highest adsorption into the soil, however, aluminum </w:t>
      </w:r>
      <w:r w:rsidR="00ED192D">
        <w:t>had the highest adsorption outright</w:t>
      </w:r>
      <w:r w:rsidR="00525EF1">
        <w:t xml:space="preserve"> and cobalt was below detectible limits for all time periods</w:t>
      </w:r>
      <w:r w:rsidR="00ED192D">
        <w:t xml:space="preserve">.  </w:t>
      </w:r>
      <w:r w:rsidR="00525EF1">
        <w:t xml:space="preserve">Aluminum </w:t>
      </w:r>
      <w:r w:rsidR="005F474B">
        <w:t>had a</w:t>
      </w:r>
      <w:r w:rsidR="00ED192D">
        <w:t xml:space="preserve"> higher surface area</w:t>
      </w:r>
      <w:r w:rsidR="004806E4">
        <w:t xml:space="preserve"> compared to</w:t>
      </w:r>
      <w:r w:rsidR="003E71FE">
        <w:t xml:space="preserve"> the other metals that share </w:t>
      </w:r>
      <w:r w:rsidR="002100A8">
        <w:t>the same surface area as well as aluminum</w:t>
      </w:r>
      <w:r w:rsidR="009716C8">
        <w:t xml:space="preserve"> not being constrained by the oxide lattice or layering </w:t>
      </w:r>
      <w:r w:rsidR="00827456">
        <w:t xml:space="preserve">configuration in which nickel, manganese, and cobalt exist.  </w:t>
      </w:r>
      <w:r w:rsidR="008B4582">
        <w:t xml:space="preserve">Overall, the </w:t>
      </w:r>
      <w:r w:rsidR="002B3338">
        <w:t xml:space="preserve">higher </w:t>
      </w:r>
      <w:r w:rsidR="008B4582">
        <w:t>adsorption</w:t>
      </w:r>
      <w:r w:rsidR="001F089B">
        <w:t xml:space="preserve"> </w:t>
      </w:r>
      <w:r w:rsidR="008B4582">
        <w:t xml:space="preserve">and integration </w:t>
      </w:r>
      <w:r w:rsidR="001F089B">
        <w:t xml:space="preserve">rate </w:t>
      </w:r>
      <w:r w:rsidR="008B4582">
        <w:t>of LIB metals into basic soil</w:t>
      </w:r>
      <w:r w:rsidR="002B3338">
        <w:t xml:space="preserve"> </w:t>
      </w:r>
      <w:r w:rsidR="008B4582">
        <w:t xml:space="preserve"> will reduce their mobility and availability for plant uptake and </w:t>
      </w:r>
      <w:r w:rsidR="002B3338">
        <w:t>animal consumption.</w:t>
      </w:r>
    </w:p>
    <w:p w14:paraId="5FCD64A0" w14:textId="77777777" w:rsidR="00CE0588" w:rsidRPr="00B53B6C" w:rsidRDefault="00CE0588" w:rsidP="00B53B6C">
      <w:pPr>
        <w:jc w:val="both"/>
      </w:pPr>
    </w:p>
    <w:p w14:paraId="267A13C9" w14:textId="278BBD57" w:rsidR="00AD7F4D" w:rsidRDefault="00E610FB" w:rsidP="00E610FB">
      <w:pPr>
        <w:pStyle w:val="Heading3"/>
        <w:numPr>
          <w:ilvl w:val="0"/>
          <w:numId w:val="0"/>
        </w:numPr>
      </w:pPr>
      <w:bookmarkStart w:id="188" w:name="_Toc71224025"/>
      <w:r>
        <w:t>6</w:t>
      </w:r>
      <w:r w:rsidR="00F84424">
        <w:t>.</w:t>
      </w:r>
      <w:r w:rsidR="00AD7F4D" w:rsidRPr="002A4ADE">
        <w:t>1.2</w:t>
      </w:r>
      <w:r w:rsidR="00C81DD8">
        <w:t xml:space="preserve"> </w:t>
      </w:r>
      <w:r w:rsidR="00AD7F4D" w:rsidRPr="002A4ADE">
        <w:t>Leaching Rate of Li-ion Batteries into Water</w:t>
      </w:r>
      <w:bookmarkEnd w:id="188"/>
    </w:p>
    <w:p w14:paraId="2A6B7254" w14:textId="408ACE95" w:rsidR="00B53B6C" w:rsidRDefault="00B53B6C" w:rsidP="00B53B6C">
      <w:pPr>
        <w:jc w:val="both"/>
      </w:pPr>
      <w:r>
        <w:tab/>
      </w:r>
      <w:r w:rsidR="001F089B">
        <w:t xml:space="preserve">The leaching of LIB metals over a 24 week period </w:t>
      </w:r>
      <w:r w:rsidR="00376F09">
        <w:t xml:space="preserve">will aid in the </w:t>
      </w:r>
      <w:r w:rsidR="004011AC">
        <w:t>identification of potential contaminated water systems</w:t>
      </w:r>
      <w:r w:rsidR="00B77D9C">
        <w:t xml:space="preserve"> surrounding landfills and recycling centers.  Excluding cobalt due to </w:t>
      </w:r>
      <w:r w:rsidR="008139F8">
        <w:t>being below detection limit, every LIB metal had significant leaching,</w:t>
      </w:r>
      <w:r w:rsidR="004506CF">
        <w:t xml:space="preserve"> well above some concentration limits</w:t>
      </w:r>
      <w:r w:rsidR="00A205E2">
        <w:t xml:space="preserve"> set by the EPA and WHO.  Copper, nickel, and manganese all had a significantly higher leaching rate </w:t>
      </w:r>
      <w:r w:rsidR="00C82850">
        <w:t xml:space="preserve">when comparing acidic to basic conditions.  </w:t>
      </w:r>
      <w:r w:rsidR="00E06717">
        <w:t xml:space="preserve">Aluminum had a higher leaching rate in the basic water compared to the acidic water.  </w:t>
      </w:r>
    </w:p>
    <w:p w14:paraId="2823F0F0" w14:textId="77777777" w:rsidR="00CE0588" w:rsidRPr="00B53B6C" w:rsidRDefault="00CE0588" w:rsidP="00B53B6C">
      <w:pPr>
        <w:jc w:val="both"/>
      </w:pPr>
    </w:p>
    <w:p w14:paraId="3455BFF1" w14:textId="03109EC4" w:rsidR="00AD7F4D" w:rsidRDefault="00F84424" w:rsidP="00E610FB">
      <w:pPr>
        <w:pStyle w:val="Heading3"/>
        <w:numPr>
          <w:ilvl w:val="0"/>
          <w:numId w:val="0"/>
        </w:numPr>
      </w:pPr>
      <w:bookmarkStart w:id="189" w:name="_Toc71224026"/>
      <w:r>
        <w:lastRenderedPageBreak/>
        <w:t>6.</w:t>
      </w:r>
      <w:r w:rsidR="00AD7F4D" w:rsidRPr="002A4ADE">
        <w:t>1.3</w:t>
      </w:r>
      <w:r w:rsidR="00C81DD8">
        <w:t xml:space="preserve"> </w:t>
      </w:r>
      <w:r w:rsidR="00AD7F4D" w:rsidRPr="002A4ADE">
        <w:t>Comparison of MINEQL+ Model to Sample Data</w:t>
      </w:r>
      <w:bookmarkEnd w:id="189"/>
    </w:p>
    <w:p w14:paraId="0A4B8398" w14:textId="61AB7BF1" w:rsidR="00B53B6C" w:rsidRDefault="00B53B6C" w:rsidP="007611F1">
      <w:pPr>
        <w:jc w:val="both"/>
      </w:pPr>
      <w:r>
        <w:tab/>
      </w:r>
      <w:r w:rsidR="006778C8">
        <w:t xml:space="preserve">MINEQL+ successfully modeled the soil and water groups </w:t>
      </w:r>
      <w:r w:rsidR="000C5137">
        <w:t>used in this study</w:t>
      </w:r>
      <w:r w:rsidR="00F64232">
        <w:t xml:space="preserve"> with pC – pH diagrams of individual metals as well as the LIB metals in one reaction simulation to </w:t>
      </w:r>
      <w:r w:rsidR="005345D6">
        <w:t xml:space="preserve">view any reaction competition between them that will </w:t>
      </w:r>
      <w:r w:rsidR="00660EA0">
        <w:t>alter the solubility and adsorption abilities</w:t>
      </w:r>
      <w:r w:rsidR="000C5137">
        <w:t>.  The model is capable of predicting the</w:t>
      </w:r>
      <w:r w:rsidR="00957E05">
        <w:t xml:space="preserve"> integrat</w:t>
      </w:r>
      <w:r w:rsidR="00C90457">
        <w:t>ion</w:t>
      </w:r>
      <w:r w:rsidR="00957E05">
        <w:t xml:space="preserve"> of LIB metals into the soil and the </w:t>
      </w:r>
      <w:r w:rsidR="000C5137">
        <w:t xml:space="preserve"> </w:t>
      </w:r>
      <w:r w:rsidR="00A71769">
        <w:t>leaching based on</w:t>
      </w:r>
      <w:r w:rsidR="00957E05">
        <w:t xml:space="preserve"> water pH.</w:t>
      </w:r>
      <w:r w:rsidR="00C90457">
        <w:t xml:space="preserve">  The </w:t>
      </w:r>
      <w:r w:rsidR="00474935">
        <w:t>surface complexation constants, LogK</w:t>
      </w:r>
      <w:r w:rsidR="00474935">
        <w:rPr>
          <w:vertAlign w:val="superscript"/>
        </w:rPr>
        <w:t>1</w:t>
      </w:r>
      <w:r w:rsidR="00474935">
        <w:t xml:space="preserve"> and LogK</w:t>
      </w:r>
      <w:r w:rsidR="00474935">
        <w:rPr>
          <w:vertAlign w:val="superscript"/>
        </w:rPr>
        <w:t>2</w:t>
      </w:r>
      <w:r w:rsidR="000C1201">
        <w:t xml:space="preserve">, were </w:t>
      </w:r>
      <w:r w:rsidR="00D120B5">
        <w:t>confirmed to match</w:t>
      </w:r>
      <w:r w:rsidR="000C1201">
        <w:t xml:space="preserve"> previous literature, as 1 and -8.2, respectively.  </w:t>
      </w:r>
      <w:r w:rsidR="00D120B5">
        <w:t>Determining the values</w:t>
      </w:r>
      <w:r w:rsidR="009B31F6">
        <w:t xml:space="preserve"> for this soil will </w:t>
      </w:r>
      <w:r w:rsidR="002B1193">
        <w:t xml:space="preserve">provide future opportunities of research and </w:t>
      </w:r>
      <w:r w:rsidR="00FA7CBB">
        <w:t>modeling equilibrium reactions.</w:t>
      </w:r>
    </w:p>
    <w:p w14:paraId="0ABEA472" w14:textId="77777777" w:rsidR="00CE0588" w:rsidRPr="00474935" w:rsidRDefault="00CE0588" w:rsidP="00284901"/>
    <w:p w14:paraId="76F6F9CF" w14:textId="46725069" w:rsidR="00B53B6C" w:rsidRDefault="00F84424" w:rsidP="00E610FB">
      <w:pPr>
        <w:pStyle w:val="Heading3"/>
        <w:numPr>
          <w:ilvl w:val="0"/>
          <w:numId w:val="0"/>
        </w:numPr>
      </w:pPr>
      <w:bookmarkStart w:id="190" w:name="_Toc71224027"/>
      <w:r>
        <w:t>6.</w:t>
      </w:r>
      <w:r w:rsidR="00B53B6C">
        <w:t>1.</w:t>
      </w:r>
      <w:r w:rsidR="00284901">
        <w:t>4</w:t>
      </w:r>
      <w:r w:rsidR="00B53B6C">
        <w:t xml:space="preserve"> Final Comments</w:t>
      </w:r>
      <w:bookmarkEnd w:id="190"/>
    </w:p>
    <w:p w14:paraId="65F1F8BE" w14:textId="4B6BF8F9" w:rsidR="00B53B6C" w:rsidRPr="00B53B6C" w:rsidRDefault="00284901" w:rsidP="007611F1">
      <w:pPr>
        <w:jc w:val="both"/>
      </w:pPr>
      <w:r>
        <w:tab/>
      </w:r>
      <w:r w:rsidR="00E43612">
        <w:t xml:space="preserve">Based on this study, future research is needed to </w:t>
      </w:r>
      <w:r w:rsidR="00EB15E5">
        <w:t>measure and create a leaching and adsor</w:t>
      </w:r>
      <w:r w:rsidR="005C490E">
        <w:t>ption</w:t>
      </w:r>
      <w:r w:rsidR="00EB15E5">
        <w:t xml:space="preserve"> rate for cobalt </w:t>
      </w:r>
      <w:r w:rsidR="006964EE">
        <w:t>in acidic and basic conditions.</w:t>
      </w:r>
      <w:r w:rsidR="005C490E">
        <w:t xml:space="preserve">  Though solubility and adsorption trends and isotherms are known for the heavy metals that compose LIB and other electronic products, </w:t>
      </w:r>
      <w:r w:rsidR="00A90F6B">
        <w:t>the severity of the product’s leaching and adsorption into the environment needs to be evaluated.</w:t>
      </w:r>
      <w:r w:rsidR="006964EE">
        <w:t xml:space="preserve">  With the diverse </w:t>
      </w:r>
      <w:r w:rsidR="00F04C3A">
        <w:t xml:space="preserve">metal </w:t>
      </w:r>
      <w:r w:rsidR="00611763">
        <w:t xml:space="preserve">composition and configuration of electronics and batteries, </w:t>
      </w:r>
      <w:r w:rsidR="00F04C3A">
        <w:t xml:space="preserve">the metal leaching into the environment will </w:t>
      </w:r>
      <w:r w:rsidR="00593BC3">
        <w:t xml:space="preserve">differ, potentially increasing leaching into the ecosystem </w:t>
      </w:r>
      <w:r w:rsidR="0044188F">
        <w:t xml:space="preserve">or create stabilized </w:t>
      </w:r>
      <w:r w:rsidR="007D5D97">
        <w:t xml:space="preserve">compounds with soil minerals to prevent </w:t>
      </w:r>
      <w:r w:rsidR="00A828AD">
        <w:t>the toxic side effects of the metals.</w:t>
      </w:r>
      <w:r w:rsidR="00504ECA">
        <w:t xml:space="preserve">  The results from this study conclude the severity LIB can have on the environment</w:t>
      </w:r>
      <w:r w:rsidR="00B06369">
        <w:t>,</w:t>
      </w:r>
      <w:r w:rsidR="00504ECA">
        <w:t xml:space="preserve"> </w:t>
      </w:r>
      <w:r w:rsidR="00B9428A">
        <w:t xml:space="preserve">the </w:t>
      </w:r>
      <w:r w:rsidR="00504ECA">
        <w:t xml:space="preserve">need </w:t>
      </w:r>
      <w:r w:rsidR="00B06369">
        <w:t xml:space="preserve">for LIB </w:t>
      </w:r>
      <w:r w:rsidR="00504ECA">
        <w:t xml:space="preserve">to </w:t>
      </w:r>
      <w:r w:rsidR="00B9428A">
        <w:t>avoid landfills</w:t>
      </w:r>
      <w:r w:rsidR="00B06369">
        <w:t>,</w:t>
      </w:r>
      <w:r w:rsidR="00B9428A">
        <w:t xml:space="preserve"> </w:t>
      </w:r>
      <w:r w:rsidR="00F76F13">
        <w:t xml:space="preserve">and </w:t>
      </w:r>
      <w:r w:rsidR="00B06369">
        <w:t xml:space="preserve">for LIB to </w:t>
      </w:r>
      <w:r w:rsidR="00504ECA">
        <w:t xml:space="preserve">be recycled </w:t>
      </w:r>
      <w:r w:rsidR="00F76F13">
        <w:t xml:space="preserve">and processed properly to reduce contamination of the areas surrounding the </w:t>
      </w:r>
      <w:r w:rsidR="002C114C">
        <w:t>recycling centers.</w:t>
      </w:r>
    </w:p>
    <w:p w14:paraId="537C7F4D" w14:textId="6A2C9845" w:rsidR="009B293F" w:rsidRDefault="009B293F">
      <w:pPr>
        <w:rPr>
          <w:b/>
          <w:bCs/>
        </w:rPr>
      </w:pPr>
      <w:r>
        <w:rPr>
          <w:b/>
          <w:bCs/>
        </w:rPr>
        <w:br w:type="page"/>
      </w:r>
    </w:p>
    <w:p w14:paraId="3F3EDCCD" w14:textId="77777777" w:rsidR="00412C1C" w:rsidRDefault="00AD7F4D" w:rsidP="00412C1C">
      <w:pPr>
        <w:pStyle w:val="Heading1"/>
      </w:pPr>
      <w:bookmarkStart w:id="191" w:name="_Toc71224028"/>
      <w:r w:rsidRPr="00077235">
        <w:lastRenderedPageBreak/>
        <w:t>References</w:t>
      </w:r>
      <w:bookmarkEnd w:id="191"/>
    </w:p>
    <w:p w14:paraId="16007710" w14:textId="3AA778AA" w:rsidR="00854F3A" w:rsidRPr="00854F3A" w:rsidRDefault="00412C1C" w:rsidP="00854F3A">
      <w:pPr>
        <w:widowControl w:val="0"/>
        <w:autoSpaceDE w:val="0"/>
        <w:autoSpaceDN w:val="0"/>
        <w:adjustRightInd w:val="0"/>
        <w:ind w:left="720" w:hanging="720"/>
        <w:rPr>
          <w:rFonts w:cs="Times New Roman"/>
          <w:noProof/>
          <w:szCs w:val="24"/>
        </w:rPr>
      </w:pPr>
      <w:r w:rsidRPr="00854F3A">
        <w:rPr>
          <w:rFonts w:cs="Times New Roman"/>
          <w:bCs/>
          <w:szCs w:val="24"/>
        </w:rPr>
        <w:fldChar w:fldCharType="begin" w:fldLock="1"/>
      </w:r>
      <w:r w:rsidRPr="00854F3A">
        <w:rPr>
          <w:rFonts w:cs="Times New Roman"/>
          <w:bCs/>
          <w:szCs w:val="24"/>
        </w:rPr>
        <w:instrText xml:space="preserve">ADDIN Mendeley Bibliography CSL_BIBLIOGRAPHY </w:instrText>
      </w:r>
      <w:r w:rsidRPr="00854F3A">
        <w:rPr>
          <w:rFonts w:cs="Times New Roman"/>
          <w:bCs/>
          <w:szCs w:val="24"/>
        </w:rPr>
        <w:fldChar w:fldCharType="separate"/>
      </w:r>
      <w:r w:rsidR="00854F3A" w:rsidRPr="00854F3A">
        <w:rPr>
          <w:rFonts w:cs="Times New Roman"/>
          <w:noProof/>
          <w:szCs w:val="24"/>
        </w:rPr>
        <w:t xml:space="preserve">Abe, W., Isaka, S., Koike, Y., Nakano, K., Fujita, K., &amp; Nakamura, T. (2006). </w:t>
      </w:r>
      <w:r w:rsidR="00854F3A" w:rsidRPr="00854F3A">
        <w:rPr>
          <w:rFonts w:cs="Times New Roman"/>
          <w:i/>
          <w:iCs/>
          <w:noProof/>
          <w:szCs w:val="24"/>
        </w:rPr>
        <w:t>X-ray fluorescence analysis of trace metals in environmental water using preconcentration with an iminodiacetate extraction disk</w:t>
      </w:r>
      <w:r w:rsidR="00854F3A" w:rsidRPr="00854F3A">
        <w:rPr>
          <w:rFonts w:cs="Times New Roman"/>
          <w:noProof/>
          <w:szCs w:val="24"/>
        </w:rPr>
        <w:t xml:space="preserve">. </w:t>
      </w:r>
      <w:r w:rsidR="00854F3A" w:rsidRPr="00854F3A">
        <w:rPr>
          <w:rFonts w:cs="Times New Roman"/>
          <w:i/>
          <w:iCs/>
          <w:noProof/>
          <w:szCs w:val="24"/>
        </w:rPr>
        <w:t>35</w:t>
      </w:r>
      <w:r w:rsidR="00854F3A" w:rsidRPr="00854F3A">
        <w:rPr>
          <w:rFonts w:cs="Times New Roman"/>
          <w:noProof/>
          <w:szCs w:val="24"/>
        </w:rPr>
        <w:t>, 184–189. https://doi.org/10.1002/xrs.892</w:t>
      </w:r>
    </w:p>
    <w:p w14:paraId="2AE451BE"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i/>
          <w:iCs/>
          <w:noProof/>
          <w:szCs w:val="24"/>
        </w:rPr>
        <w:t>Acidifying the Soil</w:t>
      </w:r>
      <w:r w:rsidRPr="00854F3A">
        <w:rPr>
          <w:rFonts w:cs="Times New Roman"/>
          <w:noProof/>
          <w:szCs w:val="24"/>
        </w:rPr>
        <w:t>. (2012). University of California Agriculture and Natural Resources.</w:t>
      </w:r>
    </w:p>
    <w:p w14:paraId="1420B0F4"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Afolayan, A. O. (2018). Accumulation of Heavy Metals from Battery Waste in Topsoil, Surface Water, and Garden Grown Maize at Omilende Area, Olodo, Nigeria. </w:t>
      </w:r>
      <w:r w:rsidRPr="00854F3A">
        <w:rPr>
          <w:rFonts w:cs="Times New Roman"/>
          <w:i/>
          <w:iCs/>
          <w:noProof/>
          <w:szCs w:val="24"/>
        </w:rPr>
        <w:t>Global Challenges</w:t>
      </w:r>
      <w:r w:rsidRPr="00854F3A">
        <w:rPr>
          <w:rFonts w:cs="Times New Roman"/>
          <w:noProof/>
          <w:szCs w:val="24"/>
        </w:rPr>
        <w:t xml:space="preserve">, </w:t>
      </w:r>
      <w:r w:rsidRPr="00854F3A">
        <w:rPr>
          <w:rFonts w:cs="Times New Roman"/>
          <w:i/>
          <w:iCs/>
          <w:noProof/>
          <w:szCs w:val="24"/>
        </w:rPr>
        <w:t>2</w:t>
      </w:r>
      <w:r w:rsidRPr="00854F3A">
        <w:rPr>
          <w:rFonts w:cs="Times New Roman"/>
          <w:noProof/>
          <w:szCs w:val="24"/>
        </w:rPr>
        <w:t>(3), 1700090. https://doi.org/10.1002/gch2.201700090</w:t>
      </w:r>
    </w:p>
    <w:p w14:paraId="45314CB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Agency, E. P. (1982). </w:t>
      </w:r>
      <w:r w:rsidRPr="00854F3A">
        <w:rPr>
          <w:rFonts w:cs="Times New Roman"/>
          <w:i/>
          <w:iCs/>
          <w:noProof/>
          <w:szCs w:val="24"/>
        </w:rPr>
        <w:t>Hazardous Waste Management System; Standards Applicable to Owners and Operators of Hazardous Waste Treatment, Storage and Disposal Facilities; and EPA Administered Permit Programs</w:t>
      </w:r>
      <w:r w:rsidRPr="00854F3A">
        <w:rPr>
          <w:rFonts w:cs="Times New Roman"/>
          <w:noProof/>
          <w:szCs w:val="24"/>
        </w:rPr>
        <w:t xml:space="preserve"> (Vol. 47, Issue 143).</w:t>
      </w:r>
    </w:p>
    <w:p w14:paraId="0F580A2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Agency, E. P. (1987). </w:t>
      </w:r>
      <w:r w:rsidRPr="00854F3A">
        <w:rPr>
          <w:rFonts w:cs="Times New Roman"/>
          <w:i/>
          <w:iCs/>
          <w:noProof/>
          <w:szCs w:val="24"/>
        </w:rPr>
        <w:t>Liners and leak detection for hazardous waste land disposal units</w:t>
      </w:r>
      <w:r w:rsidRPr="00854F3A">
        <w:rPr>
          <w:rFonts w:cs="Times New Roman"/>
          <w:noProof/>
          <w:szCs w:val="24"/>
        </w:rPr>
        <w:t xml:space="preserve"> (Vol. 52, Issue 103).</w:t>
      </w:r>
    </w:p>
    <w:p w14:paraId="3F8A4A9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Agency, E. P. (2007). Field portable X-ray fluorescence for the determination of elemental concentrations in soil and sediment. In </w:t>
      </w:r>
      <w:r w:rsidRPr="00854F3A">
        <w:rPr>
          <w:rFonts w:cs="Times New Roman"/>
          <w:i/>
          <w:iCs/>
          <w:noProof/>
          <w:szCs w:val="24"/>
        </w:rPr>
        <w:t>Environmental Protection Agency</w:t>
      </w:r>
      <w:r w:rsidRPr="00854F3A">
        <w:rPr>
          <w:rFonts w:cs="Times New Roman"/>
          <w:noProof/>
          <w:szCs w:val="24"/>
        </w:rPr>
        <w:t xml:space="preserve"> (Issue February).</w:t>
      </w:r>
    </w:p>
    <w:p w14:paraId="375B72B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Al-Hamdan, A. Z., &amp; Reddy, K. R. (2008). Transient behavior of heavy metals in soils during electrokinetic remediation. </w:t>
      </w:r>
      <w:r w:rsidRPr="00854F3A">
        <w:rPr>
          <w:rFonts w:cs="Times New Roman"/>
          <w:i/>
          <w:iCs/>
          <w:noProof/>
          <w:szCs w:val="24"/>
        </w:rPr>
        <w:t>Chemosphere</w:t>
      </w:r>
      <w:r w:rsidRPr="00854F3A">
        <w:rPr>
          <w:rFonts w:cs="Times New Roman"/>
          <w:noProof/>
          <w:szCs w:val="24"/>
        </w:rPr>
        <w:t xml:space="preserve">, </w:t>
      </w:r>
      <w:r w:rsidRPr="00854F3A">
        <w:rPr>
          <w:rFonts w:cs="Times New Roman"/>
          <w:i/>
          <w:iCs/>
          <w:noProof/>
          <w:szCs w:val="24"/>
        </w:rPr>
        <w:t>71</w:t>
      </w:r>
      <w:r w:rsidRPr="00854F3A">
        <w:rPr>
          <w:rFonts w:cs="Times New Roman"/>
          <w:noProof/>
          <w:szCs w:val="24"/>
        </w:rPr>
        <w:t>(5), 860–871. https://doi.org/10.1016/j.chemosphere.2007.11.028</w:t>
      </w:r>
    </w:p>
    <w:p w14:paraId="4A4BDE3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Alloway, B. J. (2019). Heavy Metals in Soils. In </w:t>
      </w:r>
      <w:r w:rsidRPr="00854F3A">
        <w:rPr>
          <w:rFonts w:cs="Times New Roman"/>
          <w:i/>
          <w:iCs/>
          <w:noProof/>
          <w:szCs w:val="24"/>
        </w:rPr>
        <w:t>Natural Resources in U.S.-canadian Relations, Volume 2: Patterns and Trends in Resource Supplies and Policies</w:t>
      </w:r>
      <w:r w:rsidRPr="00854F3A">
        <w:rPr>
          <w:rFonts w:cs="Times New Roman"/>
          <w:noProof/>
          <w:szCs w:val="24"/>
        </w:rPr>
        <w:t xml:space="preserve"> (3rd Editio, Vol. 2). Springer. https://doi.org/10.4324/9780429051340-10</w:t>
      </w:r>
    </w:p>
    <w:p w14:paraId="5B98F61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Alva, A. (1999). Soil pollution. In </w:t>
      </w:r>
      <w:r w:rsidRPr="00854F3A">
        <w:rPr>
          <w:rFonts w:cs="Times New Roman"/>
          <w:i/>
          <w:iCs/>
          <w:noProof/>
          <w:szCs w:val="24"/>
        </w:rPr>
        <w:t>Environmental Geology. Encyclopedia of Earth Science</w:t>
      </w:r>
      <w:r w:rsidRPr="00854F3A">
        <w:rPr>
          <w:rFonts w:cs="Times New Roman"/>
          <w:noProof/>
          <w:szCs w:val="24"/>
        </w:rPr>
        <w:t xml:space="preserve">. </w:t>
      </w:r>
      <w:r w:rsidRPr="00854F3A">
        <w:rPr>
          <w:rFonts w:cs="Times New Roman"/>
          <w:noProof/>
          <w:szCs w:val="24"/>
        </w:rPr>
        <w:lastRenderedPageBreak/>
        <w:t>Springer.</w:t>
      </w:r>
    </w:p>
    <w:p w14:paraId="1625B1D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Aral, H., &amp; Vecchio-Sadus, A. (2008). Toxicity of lithium to humans and the environment-A literature review. </w:t>
      </w:r>
      <w:r w:rsidRPr="00854F3A">
        <w:rPr>
          <w:rFonts w:cs="Times New Roman"/>
          <w:i/>
          <w:iCs/>
          <w:noProof/>
          <w:szCs w:val="24"/>
        </w:rPr>
        <w:t>Ecotoxicology and Environmental Safety</w:t>
      </w:r>
      <w:r w:rsidRPr="00854F3A">
        <w:rPr>
          <w:rFonts w:cs="Times New Roman"/>
          <w:noProof/>
          <w:szCs w:val="24"/>
        </w:rPr>
        <w:t xml:space="preserve">, </w:t>
      </w:r>
      <w:r w:rsidRPr="00854F3A">
        <w:rPr>
          <w:rFonts w:cs="Times New Roman"/>
          <w:i/>
          <w:iCs/>
          <w:noProof/>
          <w:szCs w:val="24"/>
        </w:rPr>
        <w:t>70</w:t>
      </w:r>
      <w:r w:rsidRPr="00854F3A">
        <w:rPr>
          <w:rFonts w:cs="Times New Roman"/>
          <w:noProof/>
          <w:szCs w:val="24"/>
        </w:rPr>
        <w:t>(3), 349–356. https://doi.org/10.1016/j.ecoenv.2008.02.026</w:t>
      </w:r>
    </w:p>
    <w:p w14:paraId="3F2444A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Aromolaran, O., Fagade, O. E., Aromolaran, O. K., Faleye, E. T., &amp; Faerber, H. (2019). Assessment of groundwater pollution near Aba-Eku municipal solid waste dumpsite. </w:t>
      </w:r>
      <w:r w:rsidRPr="00854F3A">
        <w:rPr>
          <w:rFonts w:cs="Times New Roman"/>
          <w:i/>
          <w:iCs/>
          <w:noProof/>
          <w:szCs w:val="24"/>
        </w:rPr>
        <w:t>Environmental Monitoring and Assessment</w:t>
      </w:r>
      <w:r w:rsidRPr="00854F3A">
        <w:rPr>
          <w:rFonts w:cs="Times New Roman"/>
          <w:noProof/>
          <w:szCs w:val="24"/>
        </w:rPr>
        <w:t xml:space="preserve">, </w:t>
      </w:r>
      <w:r w:rsidRPr="00854F3A">
        <w:rPr>
          <w:rFonts w:cs="Times New Roman"/>
          <w:i/>
          <w:iCs/>
          <w:noProof/>
          <w:szCs w:val="24"/>
        </w:rPr>
        <w:t>191</w:t>
      </w:r>
      <w:r w:rsidRPr="00854F3A">
        <w:rPr>
          <w:rFonts w:cs="Times New Roman"/>
          <w:noProof/>
          <w:szCs w:val="24"/>
        </w:rPr>
        <w:t>(12). https://doi.org/10.1007/s10661-019-7886-1</w:t>
      </w:r>
    </w:p>
    <w:p w14:paraId="6D6A48F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Bakkaus, E., Collins, R. N., Morel, J. L., &amp; Gouget, B. (2008). Potential phytoavailability of anthropogenic cobalt in soils as measured by isotope dilution techniques. </w:t>
      </w:r>
      <w:r w:rsidRPr="00854F3A">
        <w:rPr>
          <w:rFonts w:cs="Times New Roman"/>
          <w:i/>
          <w:iCs/>
          <w:noProof/>
          <w:szCs w:val="24"/>
        </w:rPr>
        <w:t>Science of the Total Environment</w:t>
      </w:r>
      <w:r w:rsidRPr="00854F3A">
        <w:rPr>
          <w:rFonts w:cs="Times New Roman"/>
          <w:noProof/>
          <w:szCs w:val="24"/>
        </w:rPr>
        <w:t xml:space="preserve">, </w:t>
      </w:r>
      <w:r w:rsidRPr="00854F3A">
        <w:rPr>
          <w:rFonts w:cs="Times New Roman"/>
          <w:i/>
          <w:iCs/>
          <w:noProof/>
          <w:szCs w:val="24"/>
        </w:rPr>
        <w:t>406</w:t>
      </w:r>
      <w:r w:rsidRPr="00854F3A">
        <w:rPr>
          <w:rFonts w:cs="Times New Roman"/>
          <w:noProof/>
          <w:szCs w:val="24"/>
        </w:rPr>
        <w:t>(1–2), 108–115. https://doi.org/10.1016/j.scitotenv.2008.07.042</w:t>
      </w:r>
    </w:p>
    <w:p w14:paraId="217E9343"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Bastos, R. O., Melquiades, F. L., &amp; Biasi, G. E. V. (2012). Correction for the effect of soil moisture on in situ XRF analysis using low-energy background. </w:t>
      </w:r>
      <w:r w:rsidRPr="00854F3A">
        <w:rPr>
          <w:rFonts w:cs="Times New Roman"/>
          <w:i/>
          <w:iCs/>
          <w:noProof/>
          <w:szCs w:val="24"/>
        </w:rPr>
        <w:t>X-Ray Spectrometry</w:t>
      </w:r>
      <w:r w:rsidRPr="00854F3A">
        <w:rPr>
          <w:rFonts w:cs="Times New Roman"/>
          <w:noProof/>
          <w:szCs w:val="24"/>
        </w:rPr>
        <w:t xml:space="preserve">, </w:t>
      </w:r>
      <w:r w:rsidRPr="00854F3A">
        <w:rPr>
          <w:rFonts w:cs="Times New Roman"/>
          <w:i/>
          <w:iCs/>
          <w:noProof/>
          <w:szCs w:val="24"/>
        </w:rPr>
        <w:t>41</w:t>
      </w:r>
      <w:r w:rsidRPr="00854F3A">
        <w:rPr>
          <w:rFonts w:cs="Times New Roman"/>
          <w:noProof/>
          <w:szCs w:val="24"/>
        </w:rPr>
        <w:t>, 304–307.</w:t>
      </w:r>
    </w:p>
    <w:p w14:paraId="0FE42F4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Beckingham, L. E., Mitnick, E. H., Steefel, C. I., Zhang, S., Voltolini, M., Alexander, M., Yang, L., Cole, D. R., Sheets, J. M., Ajo-franklin, J. B., Depaolo, D. J., &amp; Mito, S. (2016). Evaluation of mineral reactive surface area estimates for prediction of reactivity of a multi-mineral sediment.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188</w:t>
      </w:r>
      <w:r w:rsidRPr="00854F3A">
        <w:rPr>
          <w:rFonts w:cs="Times New Roman"/>
          <w:noProof/>
          <w:szCs w:val="24"/>
        </w:rPr>
        <w:t>, 310–329.</w:t>
      </w:r>
    </w:p>
    <w:p w14:paraId="3FF7A57E"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Bensadok, K., Benammar, S., Lapicque, F., &amp; Nezzal, G. (2008). Electrocoagulation of cutting oil emulsions using aluminum plate electrodes. </w:t>
      </w:r>
      <w:r w:rsidRPr="00854F3A">
        <w:rPr>
          <w:rFonts w:cs="Times New Roman"/>
          <w:i/>
          <w:iCs/>
          <w:noProof/>
          <w:szCs w:val="24"/>
        </w:rPr>
        <w:t>Journal of Hazardous Materials</w:t>
      </w:r>
      <w:r w:rsidRPr="00854F3A">
        <w:rPr>
          <w:rFonts w:cs="Times New Roman"/>
          <w:noProof/>
          <w:szCs w:val="24"/>
        </w:rPr>
        <w:t xml:space="preserve">, </w:t>
      </w:r>
      <w:r w:rsidRPr="00854F3A">
        <w:rPr>
          <w:rFonts w:cs="Times New Roman"/>
          <w:i/>
          <w:iCs/>
          <w:noProof/>
          <w:szCs w:val="24"/>
        </w:rPr>
        <w:t>452</w:t>
      </w:r>
      <w:r w:rsidRPr="00854F3A">
        <w:rPr>
          <w:rFonts w:cs="Times New Roman"/>
          <w:noProof/>
          <w:szCs w:val="24"/>
        </w:rPr>
        <w:t>, 423–430.</w:t>
      </w:r>
    </w:p>
    <w:p w14:paraId="1A94AAA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Bradl, H. B. (2004). Adsorption of heavy metal ions on soils and soils constituents. </w:t>
      </w:r>
      <w:r w:rsidRPr="00854F3A">
        <w:rPr>
          <w:rFonts w:cs="Times New Roman"/>
          <w:i/>
          <w:iCs/>
          <w:noProof/>
          <w:szCs w:val="24"/>
        </w:rPr>
        <w:t>Journal of Colloid and Interface Science</w:t>
      </w:r>
      <w:r w:rsidRPr="00854F3A">
        <w:rPr>
          <w:rFonts w:cs="Times New Roman"/>
          <w:noProof/>
          <w:szCs w:val="24"/>
        </w:rPr>
        <w:t xml:space="preserve">, </w:t>
      </w:r>
      <w:r w:rsidRPr="00854F3A">
        <w:rPr>
          <w:rFonts w:cs="Times New Roman"/>
          <w:i/>
          <w:iCs/>
          <w:noProof/>
          <w:szCs w:val="24"/>
        </w:rPr>
        <w:t>277</w:t>
      </w:r>
      <w:r w:rsidRPr="00854F3A">
        <w:rPr>
          <w:rFonts w:cs="Times New Roman"/>
          <w:noProof/>
          <w:szCs w:val="24"/>
        </w:rPr>
        <w:t>(1), 1–18. https://doi.org/10.1016/j.jcis.2004.04.005</w:t>
      </w:r>
    </w:p>
    <w:p w14:paraId="5464181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lastRenderedPageBreak/>
        <w:t xml:space="preserve">Brewer, G. J. (2010). Risks of copper and iron toxicity during aging in humans. </w:t>
      </w:r>
      <w:r w:rsidRPr="00854F3A">
        <w:rPr>
          <w:rFonts w:cs="Times New Roman"/>
          <w:i/>
          <w:iCs/>
          <w:noProof/>
          <w:szCs w:val="24"/>
        </w:rPr>
        <w:t>Chemical Research in Toxicology</w:t>
      </w:r>
      <w:r w:rsidRPr="00854F3A">
        <w:rPr>
          <w:rFonts w:cs="Times New Roman"/>
          <w:noProof/>
          <w:szCs w:val="24"/>
        </w:rPr>
        <w:t xml:space="preserve">, </w:t>
      </w:r>
      <w:r w:rsidRPr="00854F3A">
        <w:rPr>
          <w:rFonts w:cs="Times New Roman"/>
          <w:i/>
          <w:iCs/>
          <w:noProof/>
          <w:szCs w:val="24"/>
        </w:rPr>
        <w:t>23</w:t>
      </w:r>
      <w:r w:rsidRPr="00854F3A">
        <w:rPr>
          <w:rFonts w:cs="Times New Roman"/>
          <w:noProof/>
          <w:szCs w:val="24"/>
        </w:rPr>
        <w:t>(2), 319–326. https://doi.org/10.1021/tx900338d</w:t>
      </w:r>
    </w:p>
    <w:p w14:paraId="1EFC3BF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i/>
          <w:iCs/>
          <w:noProof/>
          <w:szCs w:val="24"/>
        </w:rPr>
        <w:t>BU-205: Types of Lithium-ion</w:t>
      </w:r>
      <w:r w:rsidRPr="00854F3A">
        <w:rPr>
          <w:rFonts w:cs="Times New Roman"/>
          <w:noProof/>
          <w:szCs w:val="24"/>
        </w:rPr>
        <w:t>. (2019). Battery University. https://batteryuniversity.com/index.php/learn/article/types_of_lithium_ion</w:t>
      </w:r>
    </w:p>
    <w:p w14:paraId="4D961D6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Carter, M. R. (1993). </w:t>
      </w:r>
      <w:r w:rsidRPr="00854F3A">
        <w:rPr>
          <w:rFonts w:cs="Times New Roman"/>
          <w:i/>
          <w:iCs/>
          <w:noProof/>
          <w:szCs w:val="24"/>
        </w:rPr>
        <w:t>Soil Sampling and Methods of Analysis</w:t>
      </w:r>
      <w:r w:rsidRPr="00854F3A">
        <w:rPr>
          <w:rFonts w:cs="Times New Roman"/>
          <w:noProof/>
          <w:szCs w:val="24"/>
        </w:rPr>
        <w:t xml:space="preserve"> (M. R. Carter (Ed.)). Lewis Publishers.</w:t>
      </w:r>
    </w:p>
    <w:p w14:paraId="12F2864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Casalegno, C., Schifanella, O., Zennaro, E., Marroncelli, S., &amp; Chemservice, S. (2015). Collate literature data on toxicity of Chromium ( Cr ) and Nickel ( Ni ) in experimental animals and humans 1. </w:t>
      </w:r>
      <w:r w:rsidRPr="00854F3A">
        <w:rPr>
          <w:rFonts w:cs="Times New Roman"/>
          <w:i/>
          <w:iCs/>
          <w:noProof/>
          <w:szCs w:val="24"/>
        </w:rPr>
        <w:t>European Food Safety Authority</w:t>
      </w:r>
      <w:r w:rsidRPr="00854F3A">
        <w:rPr>
          <w:rFonts w:cs="Times New Roman"/>
          <w:noProof/>
          <w:szCs w:val="24"/>
        </w:rPr>
        <w:t xml:space="preserve">, </w:t>
      </w:r>
      <w:r w:rsidRPr="00854F3A">
        <w:rPr>
          <w:rFonts w:cs="Times New Roman"/>
          <w:i/>
          <w:iCs/>
          <w:noProof/>
          <w:szCs w:val="24"/>
        </w:rPr>
        <w:t>12</w:t>
      </w:r>
      <w:r w:rsidRPr="00854F3A">
        <w:rPr>
          <w:rFonts w:cs="Times New Roman"/>
          <w:noProof/>
          <w:szCs w:val="24"/>
        </w:rPr>
        <w:t>(2). https://doi.org/10.2903/sp.efsa.2015.EN-478</w:t>
      </w:r>
    </w:p>
    <w:p w14:paraId="7D1642C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Control, C. for D. (2011a). Toxicological profile for cobalt. In </w:t>
      </w:r>
      <w:r w:rsidRPr="00854F3A">
        <w:rPr>
          <w:rFonts w:cs="Times New Roman"/>
          <w:i/>
          <w:iCs/>
          <w:noProof/>
          <w:szCs w:val="24"/>
        </w:rPr>
        <w:t>Center for Disease Control</w:t>
      </w:r>
      <w:r w:rsidRPr="00854F3A">
        <w:rPr>
          <w:rFonts w:cs="Times New Roman"/>
          <w:noProof/>
          <w:szCs w:val="24"/>
        </w:rPr>
        <w:t>.</w:t>
      </w:r>
    </w:p>
    <w:p w14:paraId="5A0CEF8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Control, C. for D. (2011b). Toxicological profile for copper. In </w:t>
      </w:r>
      <w:r w:rsidRPr="00854F3A">
        <w:rPr>
          <w:rFonts w:cs="Times New Roman"/>
          <w:i/>
          <w:iCs/>
          <w:noProof/>
          <w:szCs w:val="24"/>
        </w:rPr>
        <w:t>Center for Disease Control</w:t>
      </w:r>
      <w:r w:rsidRPr="00854F3A">
        <w:rPr>
          <w:rFonts w:cs="Times New Roman"/>
          <w:noProof/>
          <w:szCs w:val="24"/>
        </w:rPr>
        <w:t>. https://doi.org/10.1201/9781420061888_ch123</w:t>
      </w:r>
    </w:p>
    <w:p w14:paraId="3D4F395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Control, C. for D. (2011c). Toxicological profile for nickel. In </w:t>
      </w:r>
      <w:r w:rsidRPr="00854F3A">
        <w:rPr>
          <w:rFonts w:cs="Times New Roman"/>
          <w:i/>
          <w:iCs/>
          <w:noProof/>
          <w:szCs w:val="24"/>
        </w:rPr>
        <w:t>Center for Disease Control</w:t>
      </w:r>
      <w:r w:rsidRPr="00854F3A">
        <w:rPr>
          <w:rFonts w:cs="Times New Roman"/>
          <w:noProof/>
          <w:szCs w:val="24"/>
        </w:rPr>
        <w:t>.</w:t>
      </w:r>
    </w:p>
    <w:p w14:paraId="2358544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Control, C. for D. (2012). </w:t>
      </w:r>
      <w:r w:rsidRPr="00854F3A">
        <w:rPr>
          <w:rFonts w:cs="Times New Roman"/>
          <w:i/>
          <w:iCs/>
          <w:noProof/>
          <w:szCs w:val="24"/>
        </w:rPr>
        <w:t>Toxicological profile for manganese</w:t>
      </w:r>
      <w:r w:rsidRPr="00854F3A">
        <w:rPr>
          <w:rFonts w:cs="Times New Roman"/>
          <w:noProof/>
          <w:szCs w:val="24"/>
        </w:rPr>
        <w:t>.</w:t>
      </w:r>
    </w:p>
    <w:p w14:paraId="0EA67AD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Coronel, E. G., Bair, D. A., Brown, C. T., &amp; Terry, R. E. (2014). Utility and limitations of portable X-ray fluorescence and field laboratory conditions on the geochemical analysis of soils and floors at areas of known human activities. </w:t>
      </w:r>
      <w:r w:rsidRPr="00854F3A">
        <w:rPr>
          <w:rFonts w:cs="Times New Roman"/>
          <w:i/>
          <w:iCs/>
          <w:noProof/>
          <w:szCs w:val="24"/>
        </w:rPr>
        <w:t>Soil Science</w:t>
      </w:r>
      <w:r w:rsidRPr="00854F3A">
        <w:rPr>
          <w:rFonts w:cs="Times New Roman"/>
          <w:noProof/>
          <w:szCs w:val="24"/>
        </w:rPr>
        <w:t xml:space="preserve">, </w:t>
      </w:r>
      <w:r w:rsidRPr="00854F3A">
        <w:rPr>
          <w:rFonts w:cs="Times New Roman"/>
          <w:i/>
          <w:iCs/>
          <w:noProof/>
          <w:szCs w:val="24"/>
        </w:rPr>
        <w:t>175</w:t>
      </w:r>
      <w:r w:rsidRPr="00854F3A">
        <w:rPr>
          <w:rFonts w:cs="Times New Roman"/>
          <w:noProof/>
          <w:szCs w:val="24"/>
        </w:rPr>
        <w:t>(5), 258–271. https://doi.org/10.1097/SS0000000000000067</w:t>
      </w:r>
    </w:p>
    <w:p w14:paraId="23C4644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Council, N. R. (2007). Assessment of the Performance of Engineered Waste Containment Barriers. In </w:t>
      </w:r>
      <w:r w:rsidRPr="00854F3A">
        <w:rPr>
          <w:rFonts w:cs="Times New Roman"/>
          <w:i/>
          <w:iCs/>
          <w:noProof/>
          <w:szCs w:val="24"/>
        </w:rPr>
        <w:t>The National Academies Press</w:t>
      </w:r>
      <w:r w:rsidRPr="00854F3A">
        <w:rPr>
          <w:rFonts w:cs="Times New Roman"/>
          <w:noProof/>
          <w:szCs w:val="24"/>
        </w:rPr>
        <w:t>. The National Academies Press. https://doi.org/10.17226/11930</w:t>
      </w:r>
    </w:p>
    <w:p w14:paraId="4047B22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Cravotta, C. A. (2006). Relations among pH, sulfate, and metals concentrations in Anthracite and </w:t>
      </w:r>
      <w:r w:rsidRPr="00854F3A">
        <w:rPr>
          <w:rFonts w:cs="Times New Roman"/>
          <w:noProof/>
          <w:szCs w:val="24"/>
        </w:rPr>
        <w:lastRenderedPageBreak/>
        <w:t xml:space="preserve">Bituminous coal-mine discharges, Pennsylvania. </w:t>
      </w:r>
      <w:r w:rsidRPr="00854F3A">
        <w:rPr>
          <w:rFonts w:cs="Times New Roman"/>
          <w:i/>
          <w:iCs/>
          <w:noProof/>
          <w:szCs w:val="24"/>
        </w:rPr>
        <w:t>Journal of the American Society of Mining and Reclamation</w:t>
      </w:r>
      <w:r w:rsidRPr="00854F3A">
        <w:rPr>
          <w:rFonts w:cs="Times New Roman"/>
          <w:noProof/>
          <w:szCs w:val="24"/>
        </w:rPr>
        <w:t xml:space="preserve">, </w:t>
      </w:r>
      <w:r w:rsidRPr="00854F3A">
        <w:rPr>
          <w:rFonts w:cs="Times New Roman"/>
          <w:i/>
          <w:iCs/>
          <w:noProof/>
          <w:szCs w:val="24"/>
        </w:rPr>
        <w:t>1</w:t>
      </w:r>
      <w:r w:rsidRPr="00854F3A">
        <w:rPr>
          <w:rFonts w:cs="Times New Roman"/>
          <w:noProof/>
          <w:szCs w:val="24"/>
        </w:rPr>
        <w:t>, 378–404. https://doi.org/10.21000/jasmr06020378</w:t>
      </w:r>
    </w:p>
    <w:p w14:paraId="198ABBD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Crook, V., Simpson, P., Rawson, B., &amp; Wake, D. (2006). Investigation of PXRF procedures for measuring contaminated land. </w:t>
      </w:r>
      <w:r w:rsidRPr="00854F3A">
        <w:rPr>
          <w:rFonts w:cs="Times New Roman"/>
          <w:i/>
          <w:iCs/>
          <w:noProof/>
          <w:szCs w:val="24"/>
        </w:rPr>
        <w:t>Health and Safety Laboratory</w:t>
      </w:r>
      <w:r w:rsidRPr="00854F3A">
        <w:rPr>
          <w:rFonts w:cs="Times New Roman"/>
          <w:noProof/>
          <w:szCs w:val="24"/>
        </w:rPr>
        <w:t xml:space="preserve">, </w:t>
      </w:r>
      <w:r w:rsidRPr="00854F3A">
        <w:rPr>
          <w:rFonts w:cs="Times New Roman"/>
          <w:i/>
          <w:iCs/>
          <w:noProof/>
          <w:szCs w:val="24"/>
        </w:rPr>
        <w:t>102</w:t>
      </w:r>
      <w:r w:rsidRPr="00854F3A">
        <w:rPr>
          <w:rFonts w:cs="Times New Roman"/>
          <w:noProof/>
          <w:szCs w:val="24"/>
        </w:rPr>
        <w:t>, 49.</w:t>
      </w:r>
    </w:p>
    <w:p w14:paraId="7A5504F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Crozier, C., &amp; Hardy, D. (2018). </w:t>
      </w:r>
      <w:r w:rsidRPr="00854F3A">
        <w:rPr>
          <w:rFonts w:cs="Times New Roman"/>
          <w:i/>
          <w:iCs/>
          <w:noProof/>
          <w:szCs w:val="24"/>
        </w:rPr>
        <w:t>Soil acidity and liming: Basic information for farmers and gardeners</w:t>
      </w:r>
      <w:r w:rsidRPr="00854F3A">
        <w:rPr>
          <w:rFonts w:cs="Times New Roman"/>
          <w:noProof/>
          <w:szCs w:val="24"/>
        </w:rPr>
        <w:t>. NC State Extension Publications.</w:t>
      </w:r>
    </w:p>
    <w:p w14:paraId="2AAD4E9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Dabinett, T., Humberstone, D., Leverett, P., &amp; Williams, P. (2008). Synthesis and stability of wroewolfeite, Cu4SO4(OH)6.2H2O. </w:t>
      </w:r>
      <w:r w:rsidRPr="00854F3A">
        <w:rPr>
          <w:rFonts w:cs="Times New Roman"/>
          <w:i/>
          <w:iCs/>
          <w:noProof/>
          <w:szCs w:val="24"/>
        </w:rPr>
        <w:t>Pure and Applied Chemistry</w:t>
      </w:r>
      <w:r w:rsidRPr="00854F3A">
        <w:rPr>
          <w:rFonts w:cs="Times New Roman"/>
          <w:noProof/>
          <w:szCs w:val="24"/>
        </w:rPr>
        <w:t xml:space="preserve">, </w:t>
      </w:r>
      <w:r w:rsidRPr="00854F3A">
        <w:rPr>
          <w:rFonts w:cs="Times New Roman"/>
          <w:i/>
          <w:iCs/>
          <w:noProof/>
          <w:szCs w:val="24"/>
        </w:rPr>
        <w:t>80</w:t>
      </w:r>
      <w:r w:rsidRPr="00854F3A">
        <w:rPr>
          <w:rFonts w:cs="Times New Roman"/>
          <w:noProof/>
          <w:szCs w:val="24"/>
        </w:rPr>
        <w:t>(6), 1317–1323.</w:t>
      </w:r>
    </w:p>
    <w:p w14:paraId="55AD4AF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Davis, M. K., Jackson, T. L., Shackley, M. S., Teague, T., &amp; Hampel, J. H. (2011). Chapter 3: Factors affecting the energy-dispersive X-ray fluorescence (EDXRF) analysis of archaeological obsidian. In </w:t>
      </w:r>
      <w:r w:rsidRPr="00854F3A">
        <w:rPr>
          <w:rFonts w:cs="Times New Roman"/>
          <w:i/>
          <w:iCs/>
          <w:noProof/>
          <w:szCs w:val="24"/>
        </w:rPr>
        <w:t>X-ray Fluorescence Spectrometry (XRF) in Geoarchaeology</w:t>
      </w:r>
      <w:r w:rsidRPr="00854F3A">
        <w:rPr>
          <w:rFonts w:cs="Times New Roman"/>
          <w:noProof/>
          <w:szCs w:val="24"/>
        </w:rPr>
        <w:t xml:space="preserve"> (pp. 45–63). Springer Press.</w:t>
      </w:r>
    </w:p>
    <w:p w14:paraId="74223B4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DeLaune, R. D., Reddy, K. R., Richardson, C. J., &amp; Megonigal, J. P. (2013). Soil Redoc Potential and pH Controllers. In </w:t>
      </w:r>
      <w:r w:rsidRPr="00854F3A">
        <w:rPr>
          <w:rFonts w:cs="Times New Roman"/>
          <w:i/>
          <w:iCs/>
          <w:noProof/>
          <w:szCs w:val="24"/>
        </w:rPr>
        <w:t>Methods in Biogeochemistry of Wetlands</w:t>
      </w:r>
      <w:r w:rsidRPr="00854F3A">
        <w:rPr>
          <w:rFonts w:cs="Times New Roman"/>
          <w:noProof/>
          <w:szCs w:val="24"/>
        </w:rPr>
        <w:t xml:space="preserve"> (pp. 107–116).</w:t>
      </w:r>
    </w:p>
    <w:p w14:paraId="6048E03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Deverel, S. J., &amp; Fujii, R. (2012). Chemistry of trace elements in soils and ground water. In </w:t>
      </w:r>
      <w:r w:rsidRPr="00854F3A">
        <w:rPr>
          <w:rFonts w:cs="Times New Roman"/>
          <w:i/>
          <w:iCs/>
          <w:noProof/>
          <w:szCs w:val="24"/>
        </w:rPr>
        <w:t>American Society of Civil Engineers, Manuals and Reports on Engineering Practice</w:t>
      </w:r>
      <w:r w:rsidRPr="00854F3A">
        <w:rPr>
          <w:rFonts w:cs="Times New Roman"/>
          <w:noProof/>
          <w:szCs w:val="24"/>
        </w:rPr>
        <w:t xml:space="preserve"> (pp. 89–137).</w:t>
      </w:r>
    </w:p>
    <w:p w14:paraId="66CDAA1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Duarte, R. S., Lima, R. M. F., &amp; Leao, V. A. (2015). Effect of inorganic and organic depressants on the cationic flotation and surface charge of rhodonite-rhodochrosite. </w:t>
      </w:r>
      <w:r w:rsidRPr="00854F3A">
        <w:rPr>
          <w:rFonts w:cs="Times New Roman"/>
          <w:i/>
          <w:iCs/>
          <w:noProof/>
          <w:szCs w:val="24"/>
        </w:rPr>
        <w:t>Mining</w:t>
      </w:r>
      <w:r w:rsidRPr="00854F3A">
        <w:rPr>
          <w:rFonts w:cs="Times New Roman"/>
          <w:noProof/>
          <w:szCs w:val="24"/>
        </w:rPr>
        <w:t xml:space="preserve">, </w:t>
      </w:r>
      <w:r w:rsidRPr="00854F3A">
        <w:rPr>
          <w:rFonts w:cs="Times New Roman"/>
          <w:i/>
          <w:iCs/>
          <w:noProof/>
          <w:szCs w:val="24"/>
        </w:rPr>
        <w:t>68</w:t>
      </w:r>
      <w:r w:rsidRPr="00854F3A">
        <w:rPr>
          <w:rFonts w:cs="Times New Roman"/>
          <w:noProof/>
          <w:szCs w:val="24"/>
        </w:rPr>
        <w:t>(4), 463–469.</w:t>
      </w:r>
    </w:p>
    <w:p w14:paraId="7B02281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Fan, Q., Li, P., &amp; Pan, D. (2019). Radionuclides sorption on typical clay minerals: Modeling and spectroscopies. </w:t>
      </w:r>
      <w:r w:rsidRPr="00854F3A">
        <w:rPr>
          <w:rFonts w:cs="Times New Roman"/>
          <w:i/>
          <w:iCs/>
          <w:noProof/>
          <w:szCs w:val="24"/>
        </w:rPr>
        <w:t>Interface Science and Technology</w:t>
      </w:r>
      <w:r w:rsidRPr="00854F3A">
        <w:rPr>
          <w:rFonts w:cs="Times New Roman"/>
          <w:noProof/>
          <w:szCs w:val="24"/>
        </w:rPr>
        <w:t xml:space="preserve">, </w:t>
      </w:r>
      <w:r w:rsidRPr="00854F3A">
        <w:rPr>
          <w:rFonts w:cs="Times New Roman"/>
          <w:i/>
          <w:iCs/>
          <w:noProof/>
          <w:szCs w:val="24"/>
        </w:rPr>
        <w:t>29</w:t>
      </w:r>
      <w:r w:rsidRPr="00854F3A">
        <w:rPr>
          <w:rFonts w:cs="Times New Roman"/>
          <w:noProof/>
          <w:szCs w:val="24"/>
        </w:rPr>
        <w:t>, 1–38.</w:t>
      </w:r>
    </w:p>
    <w:p w14:paraId="1CC8D30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Fischer, J. (1999). Soil Taxonomy A Basic System of Soil Classification for Making and </w:t>
      </w:r>
      <w:r w:rsidRPr="00854F3A">
        <w:rPr>
          <w:rFonts w:cs="Times New Roman"/>
          <w:noProof/>
          <w:szCs w:val="24"/>
        </w:rPr>
        <w:lastRenderedPageBreak/>
        <w:t xml:space="preserve">Interpreting Soil Surveys. In USDA (Ed.), </w:t>
      </w:r>
      <w:r w:rsidRPr="00854F3A">
        <w:rPr>
          <w:rFonts w:cs="Times New Roman"/>
          <w:i/>
          <w:iCs/>
          <w:noProof/>
          <w:szCs w:val="24"/>
        </w:rPr>
        <w:t>Soil Survey Staff</w:t>
      </w:r>
      <w:r w:rsidRPr="00854F3A">
        <w:rPr>
          <w:rFonts w:cs="Times New Roman"/>
          <w:noProof/>
          <w:szCs w:val="24"/>
        </w:rPr>
        <w:t xml:space="preserve"> (2nd ed.). U.S. Government Printing Office.</w:t>
      </w:r>
    </w:p>
    <w:p w14:paraId="5F5355F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Foxboro. (1999). </w:t>
      </w:r>
      <w:r w:rsidRPr="00854F3A">
        <w:rPr>
          <w:rFonts w:cs="Times New Roman"/>
          <w:i/>
          <w:iCs/>
          <w:noProof/>
          <w:szCs w:val="24"/>
        </w:rPr>
        <w:t>Conductivity ordering guide</w:t>
      </w:r>
      <w:r w:rsidRPr="00854F3A">
        <w:rPr>
          <w:rFonts w:cs="Times New Roman"/>
          <w:noProof/>
          <w:szCs w:val="24"/>
        </w:rPr>
        <w:t xml:space="preserve"> (pp. 1–2).</w:t>
      </w:r>
    </w:p>
    <w:p w14:paraId="1B1653C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Fujimori, T., Eguchi, A., Agusa, T., Tue, N. M., Suzuki, G., Takahashi, S., Viet, P. H., Tanabe, S., &amp; Takigami, H. (2016). Lead contamination in surface soil on roads from used lead–acid battery recycling in Dong Mai, Northern Vietnam. </w:t>
      </w:r>
      <w:r w:rsidRPr="00854F3A">
        <w:rPr>
          <w:rFonts w:cs="Times New Roman"/>
          <w:i/>
          <w:iCs/>
          <w:noProof/>
          <w:szCs w:val="24"/>
        </w:rPr>
        <w:t>Journal of Material Cycles and Waste Management</w:t>
      </w:r>
      <w:r w:rsidRPr="00854F3A">
        <w:rPr>
          <w:rFonts w:cs="Times New Roman"/>
          <w:noProof/>
          <w:szCs w:val="24"/>
        </w:rPr>
        <w:t xml:space="preserve">, </w:t>
      </w:r>
      <w:r w:rsidRPr="00854F3A">
        <w:rPr>
          <w:rFonts w:cs="Times New Roman"/>
          <w:i/>
          <w:iCs/>
          <w:noProof/>
          <w:szCs w:val="24"/>
        </w:rPr>
        <w:t>18</w:t>
      </w:r>
      <w:r w:rsidRPr="00854F3A">
        <w:rPr>
          <w:rFonts w:cs="Times New Roman"/>
          <w:noProof/>
          <w:szCs w:val="24"/>
        </w:rPr>
        <w:t>(4), 599–607. https://doi.org/10.1007/s10163-016-0527-7</w:t>
      </w:r>
    </w:p>
    <w:p w14:paraId="4297D739"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Fujimori, T., &amp; Takigami, H. (2014). Pollution distribution of heavy metals in surface soil at an informal electronic-waste recycling site. </w:t>
      </w:r>
      <w:r w:rsidRPr="00854F3A">
        <w:rPr>
          <w:rFonts w:cs="Times New Roman"/>
          <w:i/>
          <w:iCs/>
          <w:noProof/>
          <w:szCs w:val="24"/>
        </w:rPr>
        <w:t>Environmental Geochemistry and Health</w:t>
      </w:r>
      <w:r w:rsidRPr="00854F3A">
        <w:rPr>
          <w:rFonts w:cs="Times New Roman"/>
          <w:noProof/>
          <w:szCs w:val="24"/>
        </w:rPr>
        <w:t xml:space="preserve">, </w:t>
      </w:r>
      <w:r w:rsidRPr="00854F3A">
        <w:rPr>
          <w:rFonts w:cs="Times New Roman"/>
          <w:i/>
          <w:iCs/>
          <w:noProof/>
          <w:szCs w:val="24"/>
        </w:rPr>
        <w:t>36</w:t>
      </w:r>
      <w:r w:rsidRPr="00854F3A">
        <w:rPr>
          <w:rFonts w:cs="Times New Roman"/>
          <w:noProof/>
          <w:szCs w:val="24"/>
        </w:rPr>
        <w:t>(1), 159–168. https://doi.org/10.1007/s10653-013-9526-y</w:t>
      </w:r>
    </w:p>
    <w:p w14:paraId="562883D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Garthe, J. W., &amp; Swistock, B. R. (2005). Roadside dumps and water quality. </w:t>
      </w:r>
      <w:r w:rsidRPr="00854F3A">
        <w:rPr>
          <w:rFonts w:cs="Times New Roman"/>
          <w:i/>
          <w:iCs/>
          <w:noProof/>
          <w:szCs w:val="24"/>
        </w:rPr>
        <w:t>Penn State College of Agricultural Sciences</w:t>
      </w:r>
      <w:r w:rsidRPr="00854F3A">
        <w:rPr>
          <w:rFonts w:cs="Times New Roman"/>
          <w:noProof/>
          <w:szCs w:val="24"/>
        </w:rPr>
        <w:t>, 1–27.</w:t>
      </w:r>
    </w:p>
    <w:p w14:paraId="6B55C82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Gee, A. K., &amp; Bruland, K. W. (2002). Tracing Ni, Cu, and Zn kinetics and equilibrium partitioning between dissolved and particulate phases in South San Francisco Bay, California, using stable isotopes and high-resolution inductively coupled plasma mass spectrometry.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66</w:t>
      </w:r>
      <w:r w:rsidRPr="00854F3A">
        <w:rPr>
          <w:rFonts w:cs="Times New Roman"/>
          <w:noProof/>
          <w:szCs w:val="24"/>
        </w:rPr>
        <w:t>(17), 3063–3083. https://doi.org/10.1016/S0016-7037(02)00907-9</w:t>
      </w:r>
    </w:p>
    <w:p w14:paraId="54ECA19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Goldberg, S., &amp; Criscenti, L. (2007). Modeling adsorption of metals and metalloids by soil components. In </w:t>
      </w:r>
      <w:r w:rsidRPr="00854F3A">
        <w:rPr>
          <w:rFonts w:cs="Times New Roman"/>
          <w:i/>
          <w:iCs/>
          <w:noProof/>
          <w:szCs w:val="24"/>
        </w:rPr>
        <w:t>Biophysico-Chemical Processes of Heavy Metals and Metalloids in Soil Environments</w:t>
      </w:r>
      <w:r w:rsidRPr="00854F3A">
        <w:rPr>
          <w:rFonts w:cs="Times New Roman"/>
          <w:noProof/>
          <w:szCs w:val="24"/>
        </w:rPr>
        <w:t xml:space="preserve"> (pp. 216–252).</w:t>
      </w:r>
    </w:p>
    <w:p w14:paraId="14FEF50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González-Siso, M. R., Gaona, X., Duro, L., Altmaier, M., &amp; Bruno, J. (2018). Thermodynamic model of Ni(II) solubility, hydrolysis and complex formation with ISA. </w:t>
      </w:r>
      <w:r w:rsidRPr="00854F3A">
        <w:rPr>
          <w:rFonts w:cs="Times New Roman"/>
          <w:i/>
          <w:iCs/>
          <w:noProof/>
          <w:szCs w:val="24"/>
        </w:rPr>
        <w:t>Radiochimica Acta</w:t>
      </w:r>
      <w:r w:rsidRPr="00854F3A">
        <w:rPr>
          <w:rFonts w:cs="Times New Roman"/>
          <w:noProof/>
          <w:szCs w:val="24"/>
        </w:rPr>
        <w:t xml:space="preserve">, </w:t>
      </w:r>
      <w:r w:rsidRPr="00854F3A">
        <w:rPr>
          <w:rFonts w:cs="Times New Roman"/>
          <w:i/>
          <w:iCs/>
          <w:noProof/>
          <w:szCs w:val="24"/>
        </w:rPr>
        <w:t>106</w:t>
      </w:r>
      <w:r w:rsidRPr="00854F3A">
        <w:rPr>
          <w:rFonts w:cs="Times New Roman"/>
          <w:noProof/>
          <w:szCs w:val="24"/>
        </w:rPr>
        <w:t>(1), 31–45. https://doi.org/10.1515/ract-2017-2762</w:t>
      </w:r>
    </w:p>
    <w:p w14:paraId="140B77C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lastRenderedPageBreak/>
        <w:t xml:space="preserve">Gordeeva, V. P., Statkus, M. A., Tsysin, G. I., &amp; Zoloto, Y. A. (2003). X-ray fluorescence determination of As , Bi , Co , Cu , Fe , Ni , Pb , Se , V and Zn in natural water and soil extracts after preconcentration of their pyrrolidinedithiocarbamates on cellulose filters. </w:t>
      </w:r>
      <w:r w:rsidRPr="00854F3A">
        <w:rPr>
          <w:rFonts w:cs="Times New Roman"/>
          <w:i/>
          <w:iCs/>
          <w:noProof/>
          <w:szCs w:val="24"/>
        </w:rPr>
        <w:t>Talanta</w:t>
      </w:r>
      <w:r w:rsidRPr="00854F3A">
        <w:rPr>
          <w:rFonts w:cs="Times New Roman"/>
          <w:noProof/>
          <w:szCs w:val="24"/>
        </w:rPr>
        <w:t xml:space="preserve">, </w:t>
      </w:r>
      <w:r w:rsidRPr="00854F3A">
        <w:rPr>
          <w:rFonts w:cs="Times New Roman"/>
          <w:i/>
          <w:iCs/>
          <w:noProof/>
          <w:szCs w:val="24"/>
        </w:rPr>
        <w:t>61</w:t>
      </w:r>
      <w:r w:rsidRPr="00854F3A">
        <w:rPr>
          <w:rFonts w:cs="Times New Roman"/>
          <w:noProof/>
          <w:szCs w:val="24"/>
        </w:rPr>
        <w:t>(3), 315–329. https://doi.org/10.1016/S0039-9140(03)00271-6</w:t>
      </w:r>
    </w:p>
    <w:p w14:paraId="16FE931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Gu, F., Guo, J., Yao, X., Summers, P. A., Widijatmoko, S. D., &amp; Hall, P. (2017). An investigation of the current status of recycling spent lithium-ion batteries from consumer electronics in China. </w:t>
      </w:r>
      <w:r w:rsidRPr="00854F3A">
        <w:rPr>
          <w:rFonts w:cs="Times New Roman"/>
          <w:i/>
          <w:iCs/>
          <w:noProof/>
          <w:szCs w:val="24"/>
        </w:rPr>
        <w:t>Journal of Cleaner Production</w:t>
      </w:r>
      <w:r w:rsidRPr="00854F3A">
        <w:rPr>
          <w:rFonts w:cs="Times New Roman"/>
          <w:noProof/>
          <w:szCs w:val="24"/>
        </w:rPr>
        <w:t xml:space="preserve">, </w:t>
      </w:r>
      <w:r w:rsidRPr="00854F3A">
        <w:rPr>
          <w:rFonts w:cs="Times New Roman"/>
          <w:i/>
          <w:iCs/>
          <w:noProof/>
          <w:szCs w:val="24"/>
        </w:rPr>
        <w:t>161</w:t>
      </w:r>
      <w:r w:rsidRPr="00854F3A">
        <w:rPr>
          <w:rFonts w:cs="Times New Roman"/>
          <w:noProof/>
          <w:szCs w:val="24"/>
        </w:rPr>
        <w:t>, 765–780. https://doi.org/10.1016/j.jclepro.2017.05.181</w:t>
      </w:r>
    </w:p>
    <w:p w14:paraId="3F5CA62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Guilarte, T. (2010). Review Manganese and Parkinson ’ s Disease : A critical review and new findings. </w:t>
      </w:r>
      <w:r w:rsidRPr="00854F3A">
        <w:rPr>
          <w:rFonts w:cs="Times New Roman"/>
          <w:i/>
          <w:iCs/>
          <w:noProof/>
          <w:szCs w:val="24"/>
        </w:rPr>
        <w:t>Environmental Health Perspectives</w:t>
      </w:r>
      <w:r w:rsidRPr="00854F3A">
        <w:rPr>
          <w:rFonts w:cs="Times New Roman"/>
          <w:noProof/>
          <w:szCs w:val="24"/>
        </w:rPr>
        <w:t xml:space="preserve">, </w:t>
      </w:r>
      <w:r w:rsidRPr="00854F3A">
        <w:rPr>
          <w:rFonts w:cs="Times New Roman"/>
          <w:i/>
          <w:iCs/>
          <w:noProof/>
          <w:szCs w:val="24"/>
        </w:rPr>
        <w:t>118</w:t>
      </w:r>
      <w:r w:rsidRPr="00854F3A">
        <w:rPr>
          <w:rFonts w:cs="Times New Roman"/>
          <w:noProof/>
          <w:szCs w:val="24"/>
        </w:rPr>
        <w:t>(8), 1071–1080. https://doi.org/10.1289/ehp.0901748</w:t>
      </w:r>
    </w:p>
    <w:p w14:paraId="605E073E"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Guo, Y., Huang, C., Zhang, H., &amp; Dong, Q. (2009). Heavy Metal Contamination from Electronic Waste Recycling at Guiyu, Southeastern China. </w:t>
      </w:r>
      <w:r w:rsidRPr="00854F3A">
        <w:rPr>
          <w:rFonts w:cs="Times New Roman"/>
          <w:i/>
          <w:iCs/>
          <w:noProof/>
          <w:szCs w:val="24"/>
        </w:rPr>
        <w:t>Journal of Environmental Quality</w:t>
      </w:r>
      <w:r w:rsidRPr="00854F3A">
        <w:rPr>
          <w:rFonts w:cs="Times New Roman"/>
          <w:noProof/>
          <w:szCs w:val="24"/>
        </w:rPr>
        <w:t xml:space="preserve">, </w:t>
      </w:r>
      <w:r w:rsidRPr="00854F3A">
        <w:rPr>
          <w:rFonts w:cs="Times New Roman"/>
          <w:i/>
          <w:iCs/>
          <w:noProof/>
          <w:szCs w:val="24"/>
        </w:rPr>
        <w:t>38</w:t>
      </w:r>
      <w:r w:rsidRPr="00854F3A">
        <w:rPr>
          <w:rFonts w:cs="Times New Roman"/>
          <w:noProof/>
          <w:szCs w:val="24"/>
        </w:rPr>
        <w:t>(4), 1617–1626. https://doi.org/10.2134/jeq2008.0398</w:t>
      </w:r>
    </w:p>
    <w:p w14:paraId="1248CBC3"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He, G., Zhang, Z., Wu, X., Cui, M., Zhang, J., &amp; Huang, X. (2020). Adsorption of heavy metals on soil collected from lixisol of typical karst areas in the presence of CaCO3 and soil clay and their competition behavior. </w:t>
      </w:r>
      <w:r w:rsidRPr="00854F3A">
        <w:rPr>
          <w:rFonts w:cs="Times New Roman"/>
          <w:i/>
          <w:iCs/>
          <w:noProof/>
          <w:szCs w:val="24"/>
        </w:rPr>
        <w:t>Sustainability</w:t>
      </w:r>
      <w:r w:rsidRPr="00854F3A">
        <w:rPr>
          <w:rFonts w:cs="Times New Roman"/>
          <w:noProof/>
          <w:szCs w:val="24"/>
        </w:rPr>
        <w:t xml:space="preserve">, </w:t>
      </w:r>
      <w:r w:rsidRPr="00854F3A">
        <w:rPr>
          <w:rFonts w:cs="Times New Roman"/>
          <w:i/>
          <w:iCs/>
          <w:noProof/>
          <w:szCs w:val="24"/>
        </w:rPr>
        <w:t>12</w:t>
      </w:r>
      <w:r w:rsidRPr="00854F3A">
        <w:rPr>
          <w:rFonts w:cs="Times New Roman"/>
          <w:noProof/>
          <w:szCs w:val="24"/>
        </w:rPr>
        <w:t>(18). https://doi.org/10.3390/SU12187315</w:t>
      </w:r>
    </w:p>
    <w:p w14:paraId="0DBDC37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Hem, J. (1963). Chemical equilibria and rates of manganese oxidation - Chemistry of Manganese in Natural Water. </w:t>
      </w:r>
      <w:r w:rsidRPr="00854F3A">
        <w:rPr>
          <w:rFonts w:cs="Times New Roman"/>
          <w:i/>
          <w:iCs/>
          <w:noProof/>
          <w:szCs w:val="24"/>
        </w:rPr>
        <w:t>US Geological Survey Water-Supply Paper 1667-A</w:t>
      </w:r>
      <w:r w:rsidRPr="00854F3A">
        <w:rPr>
          <w:rFonts w:cs="Times New Roman"/>
          <w:noProof/>
          <w:szCs w:val="24"/>
        </w:rPr>
        <w:t>, 71. https://pubs.usgs.gov/wsp/1667a/report.pdf</w:t>
      </w:r>
    </w:p>
    <w:p w14:paraId="43FFAA74"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Howe, P. D., Malcom, H. M., &amp; Dobson, D. (2005). Manganese and its compounds: Environmental aspects. In </w:t>
      </w:r>
      <w:r w:rsidRPr="00854F3A">
        <w:rPr>
          <w:rFonts w:cs="Times New Roman"/>
          <w:i/>
          <w:iCs/>
          <w:noProof/>
          <w:szCs w:val="24"/>
        </w:rPr>
        <w:t>World Health Organization</w:t>
      </w:r>
      <w:r w:rsidRPr="00854F3A">
        <w:rPr>
          <w:rFonts w:cs="Times New Roman"/>
          <w:noProof/>
          <w:szCs w:val="24"/>
        </w:rPr>
        <w:t>.</w:t>
      </w:r>
    </w:p>
    <w:p w14:paraId="423B0D44"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lastRenderedPageBreak/>
        <w:t xml:space="preserve">IAEA. (1997). </w:t>
      </w:r>
      <w:r w:rsidRPr="00854F3A">
        <w:rPr>
          <w:rFonts w:cs="Times New Roman"/>
          <w:i/>
          <w:iCs/>
          <w:noProof/>
          <w:szCs w:val="24"/>
        </w:rPr>
        <w:t>Sampling , storage and sample preparation procedures for X ray fluorescence analysis of environmental materials</w:t>
      </w:r>
      <w:r w:rsidRPr="00854F3A">
        <w:rPr>
          <w:rFonts w:cs="Times New Roman"/>
          <w:noProof/>
          <w:szCs w:val="24"/>
        </w:rPr>
        <w:t xml:space="preserve"> (Vol. 2, Issue June).</w:t>
      </w:r>
    </w:p>
    <w:p w14:paraId="6E78BD7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Jacoby, M. (2019). It’s time to get serious about recycling lithium-ion batteries. </w:t>
      </w:r>
      <w:r w:rsidRPr="00854F3A">
        <w:rPr>
          <w:rFonts w:cs="Times New Roman"/>
          <w:i/>
          <w:iCs/>
          <w:noProof/>
          <w:szCs w:val="24"/>
        </w:rPr>
        <w:t>Chemical &amp; Engineering News</w:t>
      </w:r>
      <w:r w:rsidRPr="00854F3A">
        <w:rPr>
          <w:rFonts w:cs="Times New Roman"/>
          <w:noProof/>
          <w:szCs w:val="24"/>
        </w:rPr>
        <w:t>, volume 97, issue 28. https://cen.acs.org/materials/energy-storage/time-serious-recycling-lithium/97/i28</w:t>
      </w:r>
    </w:p>
    <w:p w14:paraId="2909A7A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Jang, Y. C., &amp; Townsend, T. G. (2003). Leaching of lead from computer printed wire boards and cathode ray tubes by municipal solid waste landfill leachates. </w:t>
      </w:r>
      <w:r w:rsidRPr="00854F3A">
        <w:rPr>
          <w:rFonts w:cs="Times New Roman"/>
          <w:i/>
          <w:iCs/>
          <w:noProof/>
          <w:szCs w:val="24"/>
        </w:rPr>
        <w:t>Environmental Science and Technology</w:t>
      </w:r>
      <w:r w:rsidRPr="00854F3A">
        <w:rPr>
          <w:rFonts w:cs="Times New Roman"/>
          <w:noProof/>
          <w:szCs w:val="24"/>
        </w:rPr>
        <w:t xml:space="preserve">, </w:t>
      </w:r>
      <w:r w:rsidRPr="00854F3A">
        <w:rPr>
          <w:rFonts w:cs="Times New Roman"/>
          <w:i/>
          <w:iCs/>
          <w:noProof/>
          <w:szCs w:val="24"/>
        </w:rPr>
        <w:t>37</w:t>
      </w:r>
      <w:r w:rsidRPr="00854F3A">
        <w:rPr>
          <w:rFonts w:cs="Times New Roman"/>
          <w:noProof/>
          <w:szCs w:val="24"/>
        </w:rPr>
        <w:t>(20), 4778–4784. https://doi.org/10.1021/es034155t</w:t>
      </w:r>
    </w:p>
    <w:p w14:paraId="727132F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Jannasch, H. W., Honeyman, B. D., Balistrieri, L. S., &amp; James W., M. (1988). Kinetics of trace element uptake by marine particles.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52</w:t>
      </w:r>
      <w:r w:rsidRPr="00854F3A">
        <w:rPr>
          <w:rFonts w:cs="Times New Roman"/>
          <w:noProof/>
          <w:szCs w:val="24"/>
        </w:rPr>
        <w:t>(2), 567–577. https://doi.org/10.1016/0016-7037(88)90111-1</w:t>
      </w:r>
    </w:p>
    <w:p w14:paraId="7BBC24C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Jones, C., &amp; Olson-Rutz, K. (2020). </w:t>
      </w:r>
      <w:r w:rsidRPr="00854F3A">
        <w:rPr>
          <w:rFonts w:cs="Times New Roman"/>
          <w:i/>
          <w:iCs/>
          <w:noProof/>
          <w:szCs w:val="24"/>
        </w:rPr>
        <w:t>Soil acidification: problems, causes, &amp; testing</w:t>
      </w:r>
      <w:r w:rsidRPr="00854F3A">
        <w:rPr>
          <w:rFonts w:cs="Times New Roman"/>
          <w:noProof/>
          <w:szCs w:val="24"/>
        </w:rPr>
        <w:t>. Montana State University. https://landresources.montana.edu/soilfertility/documents/PDF/sscoop/SoilAcidifProbCauseTestSS.pdf</w:t>
      </w:r>
    </w:p>
    <w:p w14:paraId="7BDB252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Kanchi, S., Singh, P., &amp; Bisetty, K. (2014). Dithiocarbamates as hazardous remediation agent: A critical review on progress in environmental chemistry for inorganic species studies of 20th century. </w:t>
      </w:r>
      <w:r w:rsidRPr="00854F3A">
        <w:rPr>
          <w:rFonts w:cs="Times New Roman"/>
          <w:i/>
          <w:iCs/>
          <w:noProof/>
          <w:szCs w:val="24"/>
        </w:rPr>
        <w:t>Arabian Journal of Chemistry</w:t>
      </w:r>
      <w:r w:rsidRPr="00854F3A">
        <w:rPr>
          <w:rFonts w:cs="Times New Roman"/>
          <w:noProof/>
          <w:szCs w:val="24"/>
        </w:rPr>
        <w:t xml:space="preserve">, </w:t>
      </w:r>
      <w:r w:rsidRPr="00854F3A">
        <w:rPr>
          <w:rFonts w:cs="Times New Roman"/>
          <w:i/>
          <w:iCs/>
          <w:noProof/>
          <w:szCs w:val="24"/>
        </w:rPr>
        <w:t>7</w:t>
      </w:r>
      <w:r w:rsidRPr="00854F3A">
        <w:rPr>
          <w:rFonts w:cs="Times New Roman"/>
          <w:noProof/>
          <w:szCs w:val="24"/>
        </w:rPr>
        <w:t>(1), 11–25. https://doi.org/10.1016/j.arabjc.2013.04.026</w:t>
      </w:r>
    </w:p>
    <w:p w14:paraId="212E358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Karlen, D. L. (2005). Productivity. In </w:t>
      </w:r>
      <w:r w:rsidRPr="00854F3A">
        <w:rPr>
          <w:rFonts w:cs="Times New Roman"/>
          <w:i/>
          <w:iCs/>
          <w:noProof/>
          <w:szCs w:val="24"/>
        </w:rPr>
        <w:t>Encyclopedia of Soils in the Environment</w:t>
      </w:r>
      <w:r w:rsidRPr="00854F3A">
        <w:rPr>
          <w:rFonts w:cs="Times New Roman"/>
          <w:noProof/>
          <w:szCs w:val="24"/>
        </w:rPr>
        <w:t xml:space="preserve"> (pp. 330–336). Academic Press.</w:t>
      </w:r>
    </w:p>
    <w:p w14:paraId="04C8FBA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Kilbride, C., Poole, J., &amp; Hutchings, T. R. (2006). A comparison of Cu, Pb, As, Cd, Zn, Fe, Ni and Mn determined by acid extraction/ICP-OES and ex situ field portable X-ray </w:t>
      </w:r>
      <w:r w:rsidRPr="00854F3A">
        <w:rPr>
          <w:rFonts w:cs="Times New Roman"/>
          <w:noProof/>
          <w:szCs w:val="24"/>
        </w:rPr>
        <w:lastRenderedPageBreak/>
        <w:t xml:space="preserve">fluorescence analyses. </w:t>
      </w:r>
      <w:r w:rsidRPr="00854F3A">
        <w:rPr>
          <w:rFonts w:cs="Times New Roman"/>
          <w:i/>
          <w:iCs/>
          <w:noProof/>
          <w:szCs w:val="24"/>
        </w:rPr>
        <w:t>Environmental Pollution</w:t>
      </w:r>
      <w:r w:rsidRPr="00854F3A">
        <w:rPr>
          <w:rFonts w:cs="Times New Roman"/>
          <w:noProof/>
          <w:szCs w:val="24"/>
        </w:rPr>
        <w:t xml:space="preserve">, </w:t>
      </w:r>
      <w:r w:rsidRPr="00854F3A">
        <w:rPr>
          <w:rFonts w:cs="Times New Roman"/>
          <w:i/>
          <w:iCs/>
          <w:noProof/>
          <w:szCs w:val="24"/>
        </w:rPr>
        <w:t>143</w:t>
      </w:r>
      <w:r w:rsidRPr="00854F3A">
        <w:rPr>
          <w:rFonts w:cs="Times New Roman"/>
          <w:noProof/>
          <w:szCs w:val="24"/>
        </w:rPr>
        <w:t>(1), 16–23. https://doi.org/10.1016/j.envpol.2005.11.013</w:t>
      </w:r>
    </w:p>
    <w:p w14:paraId="2D69F2B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Kinraide, T. B. (1990). Assessing the rhizotoxicity of the aluminate ion, Al(OH)4-. </w:t>
      </w:r>
      <w:r w:rsidRPr="00854F3A">
        <w:rPr>
          <w:rFonts w:cs="Times New Roman"/>
          <w:i/>
          <w:iCs/>
          <w:noProof/>
          <w:szCs w:val="24"/>
        </w:rPr>
        <w:t>Plant Physiology</w:t>
      </w:r>
      <w:r w:rsidRPr="00854F3A">
        <w:rPr>
          <w:rFonts w:cs="Times New Roman"/>
          <w:noProof/>
          <w:szCs w:val="24"/>
        </w:rPr>
        <w:t xml:space="preserve">, </w:t>
      </w:r>
      <w:r w:rsidRPr="00854F3A">
        <w:rPr>
          <w:rFonts w:cs="Times New Roman"/>
          <w:i/>
          <w:iCs/>
          <w:noProof/>
          <w:szCs w:val="24"/>
        </w:rPr>
        <w:t>94</w:t>
      </w:r>
      <w:r w:rsidRPr="00854F3A">
        <w:rPr>
          <w:rFonts w:cs="Times New Roman"/>
          <w:noProof/>
          <w:szCs w:val="24"/>
        </w:rPr>
        <w:t>, 1620–1625.</w:t>
      </w:r>
    </w:p>
    <w:p w14:paraId="5490CB7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Klotz, K., Weistenhöfer, W., Neff, F., Hartwig, A., Thriel, C. Van, &amp; Drexler, H. (2017). The Health Effects of Aluminum Exposure. </w:t>
      </w:r>
      <w:r w:rsidRPr="00854F3A">
        <w:rPr>
          <w:rFonts w:cs="Times New Roman"/>
          <w:i/>
          <w:iCs/>
          <w:noProof/>
          <w:szCs w:val="24"/>
        </w:rPr>
        <w:t>Deutsches Ärzteblatt International</w:t>
      </w:r>
      <w:r w:rsidRPr="00854F3A">
        <w:rPr>
          <w:rFonts w:cs="Times New Roman"/>
          <w:noProof/>
          <w:szCs w:val="24"/>
        </w:rPr>
        <w:t xml:space="preserve">, </w:t>
      </w:r>
      <w:r w:rsidRPr="00854F3A">
        <w:rPr>
          <w:rFonts w:cs="Times New Roman"/>
          <w:i/>
          <w:iCs/>
          <w:noProof/>
          <w:szCs w:val="24"/>
        </w:rPr>
        <w:t>114</w:t>
      </w:r>
      <w:r w:rsidRPr="00854F3A">
        <w:rPr>
          <w:rFonts w:cs="Times New Roman"/>
          <w:noProof/>
          <w:szCs w:val="24"/>
        </w:rPr>
        <w:t>(39), 653–660. https://doi.org/10.3238/arztebl.2017.0653</w:t>
      </w:r>
    </w:p>
    <w:p w14:paraId="51DA798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Kopittke, P. M., Menzies, N. W., &amp; Blamey, F. P. C. (2004). Rhizotoxicity of aluminate and polycationic aluminium at high pH. </w:t>
      </w:r>
      <w:r w:rsidRPr="00854F3A">
        <w:rPr>
          <w:rFonts w:cs="Times New Roman"/>
          <w:i/>
          <w:iCs/>
          <w:noProof/>
          <w:szCs w:val="24"/>
        </w:rPr>
        <w:t>Plant and Soil</w:t>
      </w:r>
      <w:r w:rsidRPr="00854F3A">
        <w:rPr>
          <w:rFonts w:cs="Times New Roman"/>
          <w:noProof/>
          <w:szCs w:val="24"/>
        </w:rPr>
        <w:t xml:space="preserve">, </w:t>
      </w:r>
      <w:r w:rsidRPr="00854F3A">
        <w:rPr>
          <w:rFonts w:cs="Times New Roman"/>
          <w:i/>
          <w:iCs/>
          <w:noProof/>
          <w:szCs w:val="24"/>
        </w:rPr>
        <w:t>266</w:t>
      </w:r>
      <w:r w:rsidRPr="00854F3A">
        <w:rPr>
          <w:rFonts w:cs="Times New Roman"/>
          <w:noProof/>
          <w:szCs w:val="24"/>
        </w:rPr>
        <w:t>, 177–186. https://doi.org/10.1007/s11104-005-2229-0</w:t>
      </w:r>
    </w:p>
    <w:p w14:paraId="4575466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Kumar, S., &amp; Trivedi, A. V. (2016). A Review on Role of Nickel in the Biological System. </w:t>
      </w:r>
      <w:r w:rsidRPr="00854F3A">
        <w:rPr>
          <w:rFonts w:cs="Times New Roman"/>
          <w:i/>
          <w:iCs/>
          <w:noProof/>
          <w:szCs w:val="24"/>
        </w:rPr>
        <w:t>International Journal of Current Microbiology and Applied Sciences</w:t>
      </w:r>
      <w:r w:rsidRPr="00854F3A">
        <w:rPr>
          <w:rFonts w:cs="Times New Roman"/>
          <w:noProof/>
          <w:szCs w:val="24"/>
        </w:rPr>
        <w:t xml:space="preserve">, </w:t>
      </w:r>
      <w:r w:rsidRPr="00854F3A">
        <w:rPr>
          <w:rFonts w:cs="Times New Roman"/>
          <w:i/>
          <w:iCs/>
          <w:noProof/>
          <w:szCs w:val="24"/>
        </w:rPr>
        <w:t>5</w:t>
      </w:r>
      <w:r w:rsidRPr="00854F3A">
        <w:rPr>
          <w:rFonts w:cs="Times New Roman"/>
          <w:noProof/>
          <w:szCs w:val="24"/>
        </w:rPr>
        <w:t>(3), 719–727. https://doi.org/10.20546/ijcmas.2016.503.084</w:t>
      </w:r>
    </w:p>
    <w:p w14:paraId="3F1B8C4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Lerner, D. (1999). Pollution, scientific aspects. In </w:t>
      </w:r>
      <w:r w:rsidRPr="00854F3A">
        <w:rPr>
          <w:rFonts w:cs="Times New Roman"/>
          <w:i/>
          <w:iCs/>
          <w:noProof/>
          <w:szCs w:val="24"/>
        </w:rPr>
        <w:t>Environmental Geology. Encyclopedia of Earth Science</w:t>
      </w:r>
      <w:r w:rsidRPr="00854F3A">
        <w:rPr>
          <w:rFonts w:cs="Times New Roman"/>
          <w:noProof/>
          <w:szCs w:val="24"/>
        </w:rPr>
        <w:t>. Springer.</w:t>
      </w:r>
    </w:p>
    <w:p w14:paraId="1EE160F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Leyssens, L., Vinck, B., Straeten, C. Van Der, Wuyts, F., &amp; Maes, L. (2017). Cobalt toxicity in humans — A review of the potential sources and systemic health e ff ects. </w:t>
      </w:r>
      <w:r w:rsidRPr="00854F3A">
        <w:rPr>
          <w:rFonts w:cs="Times New Roman"/>
          <w:i/>
          <w:iCs/>
          <w:noProof/>
          <w:szCs w:val="24"/>
        </w:rPr>
        <w:t>Toxicology</w:t>
      </w:r>
      <w:r w:rsidRPr="00854F3A">
        <w:rPr>
          <w:rFonts w:cs="Times New Roman"/>
          <w:noProof/>
          <w:szCs w:val="24"/>
        </w:rPr>
        <w:t xml:space="preserve">, </w:t>
      </w:r>
      <w:r w:rsidRPr="00854F3A">
        <w:rPr>
          <w:rFonts w:cs="Times New Roman"/>
          <w:i/>
          <w:iCs/>
          <w:noProof/>
          <w:szCs w:val="24"/>
        </w:rPr>
        <w:t>387</w:t>
      </w:r>
      <w:r w:rsidRPr="00854F3A">
        <w:rPr>
          <w:rFonts w:cs="Times New Roman"/>
          <w:noProof/>
          <w:szCs w:val="24"/>
        </w:rPr>
        <w:t>(May), 43–56. https://doi.org/10.1016/j.tox.2017.05.015</w:t>
      </w:r>
    </w:p>
    <w:p w14:paraId="475220D9"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Li, J., Duan, H., &amp; Shi, P. (2011). Heavy metal contamination of surface soil in electronic waste dismantling area: Site investigation and source-apportionment analysis. </w:t>
      </w:r>
      <w:r w:rsidRPr="00854F3A">
        <w:rPr>
          <w:rFonts w:cs="Times New Roman"/>
          <w:i/>
          <w:iCs/>
          <w:noProof/>
          <w:szCs w:val="24"/>
        </w:rPr>
        <w:t>Waste Management and Research</w:t>
      </w:r>
      <w:r w:rsidRPr="00854F3A">
        <w:rPr>
          <w:rFonts w:cs="Times New Roman"/>
          <w:noProof/>
          <w:szCs w:val="24"/>
        </w:rPr>
        <w:t xml:space="preserve">, </w:t>
      </w:r>
      <w:r w:rsidRPr="00854F3A">
        <w:rPr>
          <w:rFonts w:cs="Times New Roman"/>
          <w:i/>
          <w:iCs/>
          <w:noProof/>
          <w:szCs w:val="24"/>
        </w:rPr>
        <w:t>29</w:t>
      </w:r>
      <w:r w:rsidRPr="00854F3A">
        <w:rPr>
          <w:rFonts w:cs="Times New Roman"/>
          <w:noProof/>
          <w:szCs w:val="24"/>
        </w:rPr>
        <w:t>(7), 727–738. https://doi.org/10.1177/0734242X10397580</w:t>
      </w:r>
    </w:p>
    <w:p w14:paraId="34C3105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Li, M., Yang, B., Zhang, Z., Wang, L., &amp; Zhang, Y. (2013). Polymer gel electrolytes containing sulfur-based ionic liquids in lithium battery applications at room temperature. </w:t>
      </w:r>
      <w:r w:rsidRPr="00854F3A">
        <w:rPr>
          <w:rFonts w:cs="Times New Roman"/>
          <w:i/>
          <w:iCs/>
          <w:noProof/>
          <w:szCs w:val="24"/>
        </w:rPr>
        <w:t xml:space="preserve">Journal of </w:t>
      </w:r>
      <w:r w:rsidRPr="00854F3A">
        <w:rPr>
          <w:rFonts w:cs="Times New Roman"/>
          <w:i/>
          <w:iCs/>
          <w:noProof/>
          <w:szCs w:val="24"/>
        </w:rPr>
        <w:lastRenderedPageBreak/>
        <w:t>Applied Electrochemistry</w:t>
      </w:r>
      <w:r w:rsidRPr="00854F3A">
        <w:rPr>
          <w:rFonts w:cs="Times New Roman"/>
          <w:noProof/>
          <w:szCs w:val="24"/>
        </w:rPr>
        <w:t xml:space="preserve">, </w:t>
      </w:r>
      <w:r w:rsidRPr="00854F3A">
        <w:rPr>
          <w:rFonts w:cs="Times New Roman"/>
          <w:i/>
          <w:iCs/>
          <w:noProof/>
          <w:szCs w:val="24"/>
        </w:rPr>
        <w:t>43</w:t>
      </w:r>
      <w:r w:rsidRPr="00854F3A">
        <w:rPr>
          <w:rFonts w:cs="Times New Roman"/>
          <w:noProof/>
          <w:szCs w:val="24"/>
        </w:rPr>
        <w:t>(5), 515–521. https://doi.org/10.1007/s10800-013-0535-4</w:t>
      </w:r>
    </w:p>
    <w:p w14:paraId="3A573FA3"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Li, T., Yuan, X.-Z., Zhang, L., Song, D., Shi, K., &amp; Bock, C. (2019). Degradation Mechanisms and Mitigation Strategies of Nickel-Rich NMC-Based Lithium-Ion Batteries. In </w:t>
      </w:r>
      <w:r w:rsidRPr="00854F3A">
        <w:rPr>
          <w:rFonts w:cs="Times New Roman"/>
          <w:i/>
          <w:iCs/>
          <w:noProof/>
          <w:szCs w:val="24"/>
        </w:rPr>
        <w:t>Electrochemical Energy Reviews</w:t>
      </w:r>
      <w:r w:rsidRPr="00854F3A">
        <w:rPr>
          <w:rFonts w:cs="Times New Roman"/>
          <w:noProof/>
          <w:szCs w:val="24"/>
        </w:rPr>
        <w:t xml:space="preserve"> (Vol. 3, Issue 1). Springer Singapore. https://doi.org/10.1007/s41918-019-00053-3</w:t>
      </w:r>
    </w:p>
    <w:p w14:paraId="40311C1E"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Li, Y. H., Burkhardt, L., Buchholtz, M., O’Hara, P., &amp; Santschi, P. H. (1984). Partition of radiotracers between suspended particles and seawater.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48</w:t>
      </w:r>
      <w:r w:rsidRPr="00854F3A">
        <w:rPr>
          <w:rFonts w:cs="Times New Roman"/>
          <w:noProof/>
          <w:szCs w:val="24"/>
        </w:rPr>
        <w:t>(10), 2011–2019. https://doi.org/10.1016/0016-7037(84)90382-X</w:t>
      </w:r>
    </w:p>
    <w:p w14:paraId="371084D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Lin, F., Markus, I. M., Doeff, M. M., &amp; Xin, H. L. (2014). Chemical and structural stability of lithium-ion battery electrode materials under electron beam. </w:t>
      </w:r>
      <w:r w:rsidRPr="00854F3A">
        <w:rPr>
          <w:rFonts w:cs="Times New Roman"/>
          <w:i/>
          <w:iCs/>
          <w:noProof/>
          <w:szCs w:val="24"/>
        </w:rPr>
        <w:t>Scientific Reports</w:t>
      </w:r>
      <w:r w:rsidRPr="00854F3A">
        <w:rPr>
          <w:rFonts w:cs="Times New Roman"/>
          <w:noProof/>
          <w:szCs w:val="24"/>
        </w:rPr>
        <w:t xml:space="preserve">, </w:t>
      </w:r>
      <w:r w:rsidRPr="00854F3A">
        <w:rPr>
          <w:rFonts w:cs="Times New Roman"/>
          <w:i/>
          <w:iCs/>
          <w:noProof/>
          <w:szCs w:val="24"/>
        </w:rPr>
        <w:t>4</w:t>
      </w:r>
      <w:r w:rsidRPr="00854F3A">
        <w:rPr>
          <w:rFonts w:cs="Times New Roman"/>
          <w:noProof/>
          <w:szCs w:val="24"/>
        </w:rPr>
        <w:t>, 1–6. https://doi.org/10.1038/srep05694</w:t>
      </w:r>
    </w:p>
    <w:p w14:paraId="0FC3F83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Lin, J. (2009). </w:t>
      </w:r>
      <w:r w:rsidRPr="00854F3A">
        <w:rPr>
          <w:rFonts w:cs="Times New Roman"/>
          <w:i/>
          <w:iCs/>
          <w:noProof/>
          <w:szCs w:val="24"/>
        </w:rPr>
        <w:t>Performance of the Thermo Scientific Niton XRF Analyzer: The effects of particle size, length of analysis, water, organic matter, and soil chemistry</w:t>
      </w:r>
      <w:r w:rsidRPr="00854F3A">
        <w:rPr>
          <w:rFonts w:cs="Times New Roman"/>
          <w:noProof/>
          <w:szCs w:val="24"/>
        </w:rPr>
        <w:t>. University of California, Berkeley.</w:t>
      </w:r>
    </w:p>
    <w:p w14:paraId="6C15B82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Magdaleno, A., De Cabo, L., Arreghini, S., &amp; Salinas, C. (2014). Assessment of heavy metal contamination and water quality in an urban river from Argentina. </w:t>
      </w:r>
      <w:r w:rsidRPr="00854F3A">
        <w:rPr>
          <w:rFonts w:cs="Times New Roman"/>
          <w:i/>
          <w:iCs/>
          <w:noProof/>
          <w:szCs w:val="24"/>
        </w:rPr>
        <w:t>Brazilian Journal of Aquatic Science and Technology</w:t>
      </w:r>
      <w:r w:rsidRPr="00854F3A">
        <w:rPr>
          <w:rFonts w:cs="Times New Roman"/>
          <w:noProof/>
          <w:szCs w:val="24"/>
        </w:rPr>
        <w:t xml:space="preserve">, </w:t>
      </w:r>
      <w:r w:rsidRPr="00854F3A">
        <w:rPr>
          <w:rFonts w:cs="Times New Roman"/>
          <w:i/>
          <w:iCs/>
          <w:noProof/>
          <w:szCs w:val="24"/>
        </w:rPr>
        <w:t>18</w:t>
      </w:r>
      <w:r w:rsidRPr="00854F3A">
        <w:rPr>
          <w:rFonts w:cs="Times New Roman"/>
          <w:noProof/>
          <w:szCs w:val="24"/>
        </w:rPr>
        <w:t>(1), 113. https://doi.org/10.14210/bjast.v18n1.p113-120</w:t>
      </w:r>
    </w:p>
    <w:p w14:paraId="1846CB7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Mailloux, R., Lemire, J., &amp; Appanna, V. (2011). Hepatic response to aluminum toxicity: Dyslipidemia and liver diseases. </w:t>
      </w:r>
      <w:r w:rsidRPr="00854F3A">
        <w:rPr>
          <w:rFonts w:cs="Times New Roman"/>
          <w:i/>
          <w:iCs/>
          <w:noProof/>
          <w:szCs w:val="24"/>
        </w:rPr>
        <w:t>Experimental Cell Research</w:t>
      </w:r>
      <w:r w:rsidRPr="00854F3A">
        <w:rPr>
          <w:rFonts w:cs="Times New Roman"/>
          <w:noProof/>
          <w:szCs w:val="24"/>
        </w:rPr>
        <w:t xml:space="preserve">, </w:t>
      </w:r>
      <w:r w:rsidRPr="00854F3A">
        <w:rPr>
          <w:rFonts w:cs="Times New Roman"/>
          <w:i/>
          <w:iCs/>
          <w:noProof/>
          <w:szCs w:val="24"/>
        </w:rPr>
        <w:t>317</w:t>
      </w:r>
      <w:r w:rsidRPr="00854F3A">
        <w:rPr>
          <w:rFonts w:cs="Times New Roman"/>
          <w:noProof/>
          <w:szCs w:val="24"/>
        </w:rPr>
        <w:t>(16), 2231–2238. https://doi.org/10.1016/j.yexcr.2011.07.009</w:t>
      </w:r>
    </w:p>
    <w:p w14:paraId="6EF98F7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Mamindy-Pajany, Y., Sayen, S., Mosselmans, J. F. W., &amp; Guillon, E. (2014). Copper, nickel and zinc speciation in a biosolid-amended soil: PH adsorption edge, μ-XRF and μ-XANES </w:t>
      </w:r>
      <w:r w:rsidRPr="00854F3A">
        <w:rPr>
          <w:rFonts w:cs="Times New Roman"/>
          <w:noProof/>
          <w:szCs w:val="24"/>
        </w:rPr>
        <w:lastRenderedPageBreak/>
        <w:t xml:space="preserve">investigations. </w:t>
      </w:r>
      <w:r w:rsidRPr="00854F3A">
        <w:rPr>
          <w:rFonts w:cs="Times New Roman"/>
          <w:i/>
          <w:iCs/>
          <w:noProof/>
          <w:szCs w:val="24"/>
        </w:rPr>
        <w:t>Environmental Science and Technology</w:t>
      </w:r>
      <w:r w:rsidRPr="00854F3A">
        <w:rPr>
          <w:rFonts w:cs="Times New Roman"/>
          <w:noProof/>
          <w:szCs w:val="24"/>
        </w:rPr>
        <w:t xml:space="preserve">, </w:t>
      </w:r>
      <w:r w:rsidRPr="00854F3A">
        <w:rPr>
          <w:rFonts w:cs="Times New Roman"/>
          <w:i/>
          <w:iCs/>
          <w:noProof/>
          <w:szCs w:val="24"/>
        </w:rPr>
        <w:t>48</w:t>
      </w:r>
      <w:r w:rsidRPr="00854F3A">
        <w:rPr>
          <w:rFonts w:cs="Times New Roman"/>
          <w:noProof/>
          <w:szCs w:val="24"/>
        </w:rPr>
        <w:t>(13), 7237–7244. https://doi.org/10.1021/es5005522</w:t>
      </w:r>
    </w:p>
    <w:p w14:paraId="7700C6C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Mao, J., Liu, X., Chen, B., Luo, F., Wu, X., Jiang, D., &amp; Luo, Z. (2017). Determination of heavy metals in soil by inductively coupled plasma mass spectrometry (ICP-MS) with internal standard method. </w:t>
      </w:r>
      <w:r w:rsidRPr="00854F3A">
        <w:rPr>
          <w:rFonts w:cs="Times New Roman"/>
          <w:i/>
          <w:iCs/>
          <w:noProof/>
          <w:szCs w:val="24"/>
        </w:rPr>
        <w:t>Electronics Science Technology and Application</w:t>
      </w:r>
      <w:r w:rsidRPr="00854F3A">
        <w:rPr>
          <w:rFonts w:cs="Times New Roman"/>
          <w:noProof/>
          <w:szCs w:val="24"/>
        </w:rPr>
        <w:t xml:space="preserve">, </w:t>
      </w:r>
      <w:r w:rsidRPr="00854F3A">
        <w:rPr>
          <w:rFonts w:cs="Times New Roman"/>
          <w:i/>
          <w:iCs/>
          <w:noProof/>
          <w:szCs w:val="24"/>
        </w:rPr>
        <w:t>4</w:t>
      </w:r>
      <w:r w:rsidRPr="00854F3A">
        <w:rPr>
          <w:rFonts w:cs="Times New Roman"/>
          <w:noProof/>
          <w:szCs w:val="24"/>
        </w:rPr>
        <w:t>(1), 23–31. https://doi.org/10.18686/esta.v4i1.36</w:t>
      </w:r>
    </w:p>
    <w:p w14:paraId="73D5B8B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Massoura, S. T., Echevarria, G., Becquer, T., Ghanbaja, J., Leclere-Cessac, E., &amp; Morel, J. L. (2006). Control of nickel availability by nickel bearing minerals in natural and anthropogenic soils. </w:t>
      </w:r>
      <w:r w:rsidRPr="00854F3A">
        <w:rPr>
          <w:rFonts w:cs="Times New Roman"/>
          <w:i/>
          <w:iCs/>
          <w:noProof/>
          <w:szCs w:val="24"/>
        </w:rPr>
        <w:t>Geoderma2</w:t>
      </w:r>
      <w:r w:rsidRPr="00854F3A">
        <w:rPr>
          <w:rFonts w:cs="Times New Roman"/>
          <w:noProof/>
          <w:szCs w:val="24"/>
        </w:rPr>
        <w:t xml:space="preserve">, </w:t>
      </w:r>
      <w:r w:rsidRPr="00854F3A">
        <w:rPr>
          <w:rFonts w:cs="Times New Roman"/>
          <w:i/>
          <w:iCs/>
          <w:noProof/>
          <w:szCs w:val="24"/>
        </w:rPr>
        <w:t>136</w:t>
      </w:r>
      <w:r w:rsidRPr="00854F3A">
        <w:rPr>
          <w:rFonts w:cs="Times New Roman"/>
          <w:noProof/>
          <w:szCs w:val="24"/>
        </w:rPr>
        <w:t>, 28–37.</w:t>
      </w:r>
    </w:p>
    <w:p w14:paraId="691D611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Matsumoto, H. (2000). Cell biology of aluminum toxicity tolerance in higher plants. </w:t>
      </w:r>
      <w:r w:rsidRPr="00854F3A">
        <w:rPr>
          <w:rFonts w:cs="Times New Roman"/>
          <w:i/>
          <w:iCs/>
          <w:noProof/>
          <w:szCs w:val="24"/>
        </w:rPr>
        <w:t>International Review of Cytology</w:t>
      </w:r>
      <w:r w:rsidRPr="00854F3A">
        <w:rPr>
          <w:rFonts w:cs="Times New Roman"/>
          <w:noProof/>
          <w:szCs w:val="24"/>
        </w:rPr>
        <w:t xml:space="preserve">, </w:t>
      </w:r>
      <w:r w:rsidRPr="00854F3A">
        <w:rPr>
          <w:rFonts w:cs="Times New Roman"/>
          <w:i/>
          <w:iCs/>
          <w:noProof/>
          <w:szCs w:val="24"/>
        </w:rPr>
        <w:t>200</w:t>
      </w:r>
      <w:r w:rsidRPr="00854F3A">
        <w:rPr>
          <w:rFonts w:cs="Times New Roman"/>
          <w:noProof/>
          <w:szCs w:val="24"/>
        </w:rPr>
        <w:t>, 1–46. https://doi.org/10.1016/s0074-7696(00)00001-2</w:t>
      </w:r>
    </w:p>
    <w:p w14:paraId="2723546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Matsunaga, T., Karametaxas, G., von Gunten, H. R., &amp; Lichtner, P. C. (1993). Redox chemistry of iron and manganese minerals in river-recharged aquifers: A model interpretation of a column experiment.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57</w:t>
      </w:r>
      <w:r w:rsidRPr="00854F3A">
        <w:rPr>
          <w:rFonts w:cs="Times New Roman"/>
          <w:noProof/>
          <w:szCs w:val="24"/>
        </w:rPr>
        <w:t>(8), 1691–1704. https://doi.org/10.1016/0016-7037(93)90107-8</w:t>
      </w:r>
    </w:p>
    <w:p w14:paraId="1169B61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Mattson, M. D. (2006). Acid lakes and rivers. In </w:t>
      </w:r>
      <w:r w:rsidRPr="00854F3A">
        <w:rPr>
          <w:rFonts w:cs="Times New Roman"/>
          <w:i/>
          <w:iCs/>
          <w:noProof/>
          <w:szCs w:val="24"/>
        </w:rPr>
        <w:t>Environmental Geology. Encyclopedia of Earth Science</w:t>
      </w:r>
      <w:r w:rsidRPr="00854F3A">
        <w:rPr>
          <w:rFonts w:cs="Times New Roman"/>
          <w:noProof/>
          <w:szCs w:val="24"/>
        </w:rPr>
        <w:t xml:space="preserve"> (pp. 6–9). Springer. https://doi.org/10.1007/1-4020-4494-1_4</w:t>
      </w:r>
    </w:p>
    <w:p w14:paraId="1F7BF69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McCauley, A., Jones, C., &amp; Olson-Rutz, K. (2017). Soil pH and organic matter. In </w:t>
      </w:r>
      <w:r w:rsidRPr="00854F3A">
        <w:rPr>
          <w:rFonts w:cs="Times New Roman"/>
          <w:i/>
          <w:iCs/>
          <w:noProof/>
          <w:szCs w:val="24"/>
        </w:rPr>
        <w:t>Nutrient Management</w:t>
      </w:r>
      <w:r w:rsidRPr="00854F3A">
        <w:rPr>
          <w:rFonts w:cs="Times New Roman"/>
          <w:noProof/>
          <w:szCs w:val="24"/>
        </w:rPr>
        <w:t xml:space="preserve"> (Issue 8, pp. 1–16).</w:t>
      </w:r>
    </w:p>
    <w:p w14:paraId="71B09F7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McCumber, A., &amp; Strevett, K. A. (2017). A geospatial analysis of soil lead concentrations around regional Oklahoma airports. </w:t>
      </w:r>
      <w:r w:rsidRPr="00854F3A">
        <w:rPr>
          <w:rFonts w:cs="Times New Roman"/>
          <w:i/>
          <w:iCs/>
          <w:noProof/>
          <w:szCs w:val="24"/>
        </w:rPr>
        <w:t>Chemosphere</w:t>
      </w:r>
      <w:r w:rsidRPr="00854F3A">
        <w:rPr>
          <w:rFonts w:cs="Times New Roman"/>
          <w:noProof/>
          <w:szCs w:val="24"/>
        </w:rPr>
        <w:t xml:space="preserve">, </w:t>
      </w:r>
      <w:r w:rsidRPr="00854F3A">
        <w:rPr>
          <w:rFonts w:cs="Times New Roman"/>
          <w:i/>
          <w:iCs/>
          <w:noProof/>
          <w:szCs w:val="24"/>
        </w:rPr>
        <w:t>167</w:t>
      </w:r>
      <w:r w:rsidRPr="00854F3A">
        <w:rPr>
          <w:rFonts w:cs="Times New Roman"/>
          <w:noProof/>
          <w:szCs w:val="24"/>
        </w:rPr>
        <w:t>, 62–70. https://doi.org/10.1016/j.chemosphere.2016.09.127</w:t>
      </w:r>
    </w:p>
    <w:p w14:paraId="1FE2FF3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lastRenderedPageBreak/>
        <w:t xml:space="preserve">McDowell, L., &amp; Johnston, H. (1936). The solubility of cupric oxide in alkali and the second dissociation constant of cupric acid. The analysis of very small amounts of copper. </w:t>
      </w:r>
      <w:r w:rsidRPr="00854F3A">
        <w:rPr>
          <w:rFonts w:cs="Times New Roman"/>
          <w:i/>
          <w:iCs/>
          <w:noProof/>
          <w:szCs w:val="24"/>
        </w:rPr>
        <w:t>Journal of the American Society of Mining and Reclamation</w:t>
      </w:r>
      <w:r w:rsidRPr="00854F3A">
        <w:rPr>
          <w:rFonts w:cs="Times New Roman"/>
          <w:noProof/>
          <w:szCs w:val="24"/>
        </w:rPr>
        <w:t xml:space="preserve">, </w:t>
      </w:r>
      <w:r w:rsidRPr="00854F3A">
        <w:rPr>
          <w:rFonts w:cs="Times New Roman"/>
          <w:i/>
          <w:iCs/>
          <w:noProof/>
          <w:szCs w:val="24"/>
        </w:rPr>
        <w:t>58</w:t>
      </w:r>
      <w:r w:rsidRPr="00854F3A">
        <w:rPr>
          <w:rFonts w:cs="Times New Roman"/>
          <w:noProof/>
          <w:szCs w:val="24"/>
        </w:rPr>
        <w:t>(10), 2009–2014.</w:t>
      </w:r>
    </w:p>
    <w:p w14:paraId="62667AA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Mehus, B., &amp; Leroy, J. (2018). </w:t>
      </w:r>
      <w:r w:rsidRPr="00854F3A">
        <w:rPr>
          <w:rFonts w:cs="Times New Roman"/>
          <w:i/>
          <w:iCs/>
          <w:noProof/>
          <w:szCs w:val="24"/>
        </w:rPr>
        <w:t>Acute and chronic lithium toxicity</w:t>
      </w:r>
      <w:r w:rsidRPr="00854F3A">
        <w:rPr>
          <w:rFonts w:cs="Times New Roman"/>
          <w:noProof/>
          <w:szCs w:val="24"/>
        </w:rPr>
        <w:t>. American College of Emergency Physicians. https://www.acep.org/how-we-serve/sections/toxicology/news/august-2016/acute-and-chronic-lithium-toxicity/?_t_id=s_yGUswORhc9StQ823xZag%3D%3D&amp;_t_q=lithium toxicity&amp;_t_tags=andquerymatch,language:en%7Clanguage:7D2DA0A9FC754533B091FA6886A51C0D,siteid:3f8e28</w:t>
      </w:r>
    </w:p>
    <w:p w14:paraId="107B90E4"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Mekonnen, B., Haddis, A., &amp; Zeine, W. (2020). Assessment of the Effect of Solid Waste Dump Site on Surrounding Soil and River Water Quality in Tepi Town, Southwest Ethiopia. </w:t>
      </w:r>
      <w:r w:rsidRPr="00854F3A">
        <w:rPr>
          <w:rFonts w:cs="Times New Roman"/>
          <w:i/>
          <w:iCs/>
          <w:noProof/>
          <w:szCs w:val="24"/>
        </w:rPr>
        <w:t>Journal of Environmental and Public Health</w:t>
      </w:r>
      <w:r w:rsidRPr="00854F3A">
        <w:rPr>
          <w:rFonts w:cs="Times New Roman"/>
          <w:noProof/>
          <w:szCs w:val="24"/>
        </w:rPr>
        <w:t xml:space="preserve">, </w:t>
      </w:r>
      <w:r w:rsidRPr="00854F3A">
        <w:rPr>
          <w:rFonts w:cs="Times New Roman"/>
          <w:i/>
          <w:iCs/>
          <w:noProof/>
          <w:szCs w:val="24"/>
        </w:rPr>
        <w:t>2020</w:t>
      </w:r>
      <w:r w:rsidRPr="00854F3A">
        <w:rPr>
          <w:rFonts w:cs="Times New Roman"/>
          <w:noProof/>
          <w:szCs w:val="24"/>
        </w:rPr>
        <w:t>. https://doi.org/10.1155/2020/5157046</w:t>
      </w:r>
    </w:p>
    <w:p w14:paraId="6F722DD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Millaleo, R., Reyes-Díaz, M., Ivanov, A. G., Mora, M. L., &amp; Alberdi, M. (2010). Manganese as essential and toxic element for plants: Transport, accumulation and resistance mechanisms. </w:t>
      </w:r>
      <w:r w:rsidRPr="00854F3A">
        <w:rPr>
          <w:rFonts w:cs="Times New Roman"/>
          <w:i/>
          <w:iCs/>
          <w:noProof/>
          <w:szCs w:val="24"/>
        </w:rPr>
        <w:t>Journal of Soil Science and Plant Nutrition</w:t>
      </w:r>
      <w:r w:rsidRPr="00854F3A">
        <w:rPr>
          <w:rFonts w:cs="Times New Roman"/>
          <w:noProof/>
          <w:szCs w:val="24"/>
        </w:rPr>
        <w:t xml:space="preserve">, </w:t>
      </w:r>
      <w:r w:rsidRPr="00854F3A">
        <w:rPr>
          <w:rFonts w:cs="Times New Roman"/>
          <w:i/>
          <w:iCs/>
          <w:noProof/>
          <w:szCs w:val="24"/>
        </w:rPr>
        <w:t>10</w:t>
      </w:r>
      <w:r w:rsidRPr="00854F3A">
        <w:rPr>
          <w:rFonts w:cs="Times New Roman"/>
          <w:noProof/>
          <w:szCs w:val="24"/>
        </w:rPr>
        <w:t>(4), 476–494. https://doi.org/10.4067/s0718-95162010000200008</w:t>
      </w:r>
    </w:p>
    <w:p w14:paraId="0A55F8C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Minamisawa, M., Minamisawa, H., Yoshida, S., &amp; Takai, N. (2004). Adsorption behavior of heavy metals on biomaterials. </w:t>
      </w:r>
      <w:r w:rsidRPr="00854F3A">
        <w:rPr>
          <w:rFonts w:cs="Times New Roman"/>
          <w:i/>
          <w:iCs/>
          <w:noProof/>
          <w:szCs w:val="24"/>
        </w:rPr>
        <w:t>Journal of Agricultural and Food Chemistry</w:t>
      </w:r>
      <w:r w:rsidRPr="00854F3A">
        <w:rPr>
          <w:rFonts w:cs="Times New Roman"/>
          <w:noProof/>
          <w:szCs w:val="24"/>
        </w:rPr>
        <w:t xml:space="preserve">, </w:t>
      </w:r>
      <w:r w:rsidRPr="00854F3A">
        <w:rPr>
          <w:rFonts w:cs="Times New Roman"/>
          <w:i/>
          <w:iCs/>
          <w:noProof/>
          <w:szCs w:val="24"/>
        </w:rPr>
        <w:t>52</w:t>
      </w:r>
      <w:r w:rsidRPr="00854F3A">
        <w:rPr>
          <w:rFonts w:cs="Times New Roman"/>
          <w:noProof/>
          <w:szCs w:val="24"/>
        </w:rPr>
        <w:t>(18), 5606–5611. https://doi.org/10.1021/jf0496402</w:t>
      </w:r>
    </w:p>
    <w:p w14:paraId="1F3602C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Muhammad, R. H., Hassan, U. F., Mahmoud, A. A., Baba, H., Hassas, H. F., Madaki, A. A., &amp; Madaki, A. I. (2020). Heavy metals suitability in irrigation water sources of Bauchi Suburb, Bauchi State, Nigeria. </w:t>
      </w:r>
      <w:r w:rsidRPr="00854F3A">
        <w:rPr>
          <w:rFonts w:cs="Times New Roman"/>
          <w:i/>
          <w:iCs/>
          <w:noProof/>
          <w:szCs w:val="24"/>
        </w:rPr>
        <w:t xml:space="preserve">International Journal of Research and Scientific </w:t>
      </w:r>
      <w:r w:rsidRPr="00854F3A">
        <w:rPr>
          <w:rFonts w:cs="Times New Roman"/>
          <w:i/>
          <w:iCs/>
          <w:noProof/>
          <w:szCs w:val="24"/>
        </w:rPr>
        <w:lastRenderedPageBreak/>
        <w:t>Innovation</w:t>
      </w:r>
      <w:r w:rsidRPr="00854F3A">
        <w:rPr>
          <w:rFonts w:cs="Times New Roman"/>
          <w:noProof/>
          <w:szCs w:val="24"/>
        </w:rPr>
        <w:t xml:space="preserve">, </w:t>
      </w:r>
      <w:r w:rsidRPr="00854F3A">
        <w:rPr>
          <w:rFonts w:cs="Times New Roman"/>
          <w:i/>
          <w:iCs/>
          <w:noProof/>
          <w:szCs w:val="24"/>
        </w:rPr>
        <w:t>7</w:t>
      </w:r>
      <w:r w:rsidRPr="00854F3A">
        <w:rPr>
          <w:rFonts w:cs="Times New Roman"/>
          <w:noProof/>
          <w:szCs w:val="24"/>
        </w:rPr>
        <w:t>(4), 216–221.</w:t>
      </w:r>
    </w:p>
    <w:p w14:paraId="761531E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Nelson, D. W., &amp; Sommers, L. E. (1996). Total Carbon, Organic Carbon, and Organic Matter. In </w:t>
      </w:r>
      <w:r w:rsidRPr="00854F3A">
        <w:rPr>
          <w:rFonts w:cs="Times New Roman"/>
          <w:i/>
          <w:iCs/>
          <w:noProof/>
          <w:szCs w:val="24"/>
        </w:rPr>
        <w:t>Methods of Soil Analysis: Part 3 Chemical Methods</w:t>
      </w:r>
      <w:r w:rsidRPr="00854F3A">
        <w:rPr>
          <w:rFonts w:cs="Times New Roman"/>
          <w:noProof/>
          <w:szCs w:val="24"/>
        </w:rPr>
        <w:t xml:space="preserve"> (pp. 1001–1006). Soil Science Society of America, Inc.</w:t>
      </w:r>
    </w:p>
    <w:p w14:paraId="2628722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Nyffeler, U. P., Li, Y. H., &amp; Santschi, P. H. (1984). A kinetic approach to describe trace-element distribution between particles and solution in natural aquatic systems.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48</w:t>
      </w:r>
      <w:r w:rsidRPr="00854F3A">
        <w:rPr>
          <w:rFonts w:cs="Times New Roman"/>
          <w:noProof/>
          <w:szCs w:val="24"/>
        </w:rPr>
        <w:t>(7), 1513–1522. https://doi.org/10.1016/0016-7037(84)90407-1</w:t>
      </w:r>
    </w:p>
    <w:p w14:paraId="78B089D9"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Olin, M., &amp; Lehikoinen, J. (1997). </w:t>
      </w:r>
      <w:r w:rsidRPr="00854F3A">
        <w:rPr>
          <w:rFonts w:cs="Times New Roman"/>
          <w:i/>
          <w:iCs/>
          <w:noProof/>
          <w:szCs w:val="24"/>
        </w:rPr>
        <w:t>Application of surface complexation modelling :</w:t>
      </w:r>
    </w:p>
    <w:p w14:paraId="27A54CC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Orescanin, V., Mikelic, L., Roje, V., &amp; Lulic, S. (2006). Determination of lanthanides by source excited energy dispersive X-ray fluorescence (EDXRF) method after preconcentration with ammonium pyrrolidine dithiocarbamate (APDC). </w:t>
      </w:r>
      <w:r w:rsidRPr="00854F3A">
        <w:rPr>
          <w:rFonts w:cs="Times New Roman"/>
          <w:i/>
          <w:iCs/>
          <w:noProof/>
          <w:szCs w:val="24"/>
        </w:rPr>
        <w:t>Analytica Chimica Acta</w:t>
      </w:r>
      <w:r w:rsidRPr="00854F3A">
        <w:rPr>
          <w:rFonts w:cs="Times New Roman"/>
          <w:noProof/>
          <w:szCs w:val="24"/>
        </w:rPr>
        <w:t xml:space="preserve">, </w:t>
      </w:r>
      <w:r w:rsidRPr="00854F3A">
        <w:rPr>
          <w:rFonts w:cs="Times New Roman"/>
          <w:i/>
          <w:iCs/>
          <w:noProof/>
          <w:szCs w:val="24"/>
        </w:rPr>
        <w:t>570</w:t>
      </w:r>
      <w:r w:rsidRPr="00854F3A">
        <w:rPr>
          <w:rFonts w:cs="Times New Roman"/>
          <w:noProof/>
          <w:szCs w:val="24"/>
        </w:rPr>
        <w:t>(2), 277–282. https://doi.org/10.1016/j.aca.2006.04.028</w:t>
      </w:r>
    </w:p>
    <w:p w14:paraId="0B806829"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Orwat, K., Bernard, P., &amp; Migdal-Mikuli, A. (2016). Obtaining and investigating amphoteric properties of aluminum oxide in a hands-on laboratory experiment for high school students. </w:t>
      </w:r>
      <w:r w:rsidRPr="00854F3A">
        <w:rPr>
          <w:rFonts w:cs="Times New Roman"/>
          <w:i/>
          <w:iCs/>
          <w:noProof/>
          <w:szCs w:val="24"/>
        </w:rPr>
        <w:t>Journal of Chemical Education</w:t>
      </w:r>
      <w:r w:rsidRPr="00854F3A">
        <w:rPr>
          <w:rFonts w:cs="Times New Roman"/>
          <w:noProof/>
          <w:szCs w:val="24"/>
        </w:rPr>
        <w:t xml:space="preserve">, </w:t>
      </w:r>
      <w:r w:rsidRPr="00854F3A">
        <w:rPr>
          <w:rFonts w:cs="Times New Roman"/>
          <w:i/>
          <w:iCs/>
          <w:noProof/>
          <w:szCs w:val="24"/>
        </w:rPr>
        <w:t>93</w:t>
      </w:r>
      <w:r w:rsidRPr="00854F3A">
        <w:rPr>
          <w:rFonts w:cs="Times New Roman"/>
          <w:noProof/>
          <w:szCs w:val="24"/>
        </w:rPr>
        <w:t>(5), 906–909.</w:t>
      </w:r>
    </w:p>
    <w:p w14:paraId="5828A0E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Osmani, M., Bani, A., &amp; Hoxha, B. (2015). Heavy Metals and Ni Phytoextractionin in the Metallurgical Area Soils in Elbasan. </w:t>
      </w:r>
      <w:r w:rsidRPr="00854F3A">
        <w:rPr>
          <w:rFonts w:cs="Times New Roman"/>
          <w:i/>
          <w:iCs/>
          <w:noProof/>
          <w:szCs w:val="24"/>
        </w:rPr>
        <w:t>Albanian j. Agric. Sci. 2015;14</w:t>
      </w:r>
      <w:r w:rsidRPr="00854F3A">
        <w:rPr>
          <w:rFonts w:cs="Times New Roman"/>
          <w:noProof/>
          <w:szCs w:val="24"/>
        </w:rPr>
        <w:t xml:space="preserve">, </w:t>
      </w:r>
      <w:r w:rsidRPr="00854F3A">
        <w:rPr>
          <w:rFonts w:cs="Times New Roman"/>
          <w:i/>
          <w:iCs/>
          <w:noProof/>
          <w:szCs w:val="24"/>
        </w:rPr>
        <w:t>14</w:t>
      </w:r>
      <w:r w:rsidRPr="00854F3A">
        <w:rPr>
          <w:rFonts w:cs="Times New Roman"/>
          <w:noProof/>
          <w:szCs w:val="24"/>
        </w:rPr>
        <w:t>(4), 414–419. https://www.researchgate.net/publication/304347101_Heavy_Metals_and_Ni_Phytoextractionin_in_the_Metallurgical_Area_Soils_in_Elbasan</w:t>
      </w:r>
    </w:p>
    <w:p w14:paraId="29B14D4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Palit, S., Sharma, A., &amp; Talukder, G. (1994). Effects of cobalt on plants. </w:t>
      </w:r>
      <w:r w:rsidRPr="00854F3A">
        <w:rPr>
          <w:rFonts w:cs="Times New Roman"/>
          <w:i/>
          <w:iCs/>
          <w:noProof/>
          <w:szCs w:val="24"/>
        </w:rPr>
        <w:t>The Botanical Review</w:t>
      </w:r>
      <w:r w:rsidRPr="00854F3A">
        <w:rPr>
          <w:rFonts w:cs="Times New Roman"/>
          <w:noProof/>
          <w:szCs w:val="24"/>
        </w:rPr>
        <w:t xml:space="preserve">, </w:t>
      </w:r>
      <w:r w:rsidRPr="00854F3A">
        <w:rPr>
          <w:rFonts w:cs="Times New Roman"/>
          <w:i/>
          <w:iCs/>
          <w:noProof/>
          <w:szCs w:val="24"/>
        </w:rPr>
        <w:t>60</w:t>
      </w:r>
      <w:r w:rsidRPr="00854F3A">
        <w:rPr>
          <w:rFonts w:cs="Times New Roman"/>
          <w:noProof/>
          <w:szCs w:val="24"/>
        </w:rPr>
        <w:t>(2), 149–181. https://doi.org/10.1007/BF02856575</w:t>
      </w:r>
    </w:p>
    <w:p w14:paraId="11EE7FB4"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Panda, S. K., Baluska, F., &amp; Matsumoto, H. (2009). Aluminum stress signaling in plants. </w:t>
      </w:r>
      <w:r w:rsidRPr="00854F3A">
        <w:rPr>
          <w:rFonts w:cs="Times New Roman"/>
          <w:i/>
          <w:iCs/>
          <w:noProof/>
          <w:szCs w:val="24"/>
        </w:rPr>
        <w:t>Plant Signaling &amp; Behavior</w:t>
      </w:r>
      <w:r w:rsidRPr="00854F3A">
        <w:rPr>
          <w:rFonts w:cs="Times New Roman"/>
          <w:noProof/>
          <w:szCs w:val="24"/>
        </w:rPr>
        <w:t xml:space="preserve">, </w:t>
      </w:r>
      <w:r w:rsidRPr="00854F3A">
        <w:rPr>
          <w:rFonts w:cs="Times New Roman"/>
          <w:i/>
          <w:iCs/>
          <w:noProof/>
          <w:szCs w:val="24"/>
        </w:rPr>
        <w:t>4</w:t>
      </w:r>
      <w:r w:rsidRPr="00854F3A">
        <w:rPr>
          <w:rFonts w:cs="Times New Roman"/>
          <w:noProof/>
          <w:szCs w:val="24"/>
        </w:rPr>
        <w:t>(7), 592–597.</w:t>
      </w:r>
    </w:p>
    <w:p w14:paraId="05A5C6E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lastRenderedPageBreak/>
        <w:t xml:space="preserve">Pearson, D., Chakraborty, S., Duda, B., Li, B., Weindorf, D. C., Deb, S., Brevik, E., &amp; Ray, D. P. (2017). Water analysis via portable X-ray fluorescence spectrometry. </w:t>
      </w:r>
      <w:r w:rsidRPr="00854F3A">
        <w:rPr>
          <w:rFonts w:cs="Times New Roman"/>
          <w:i/>
          <w:iCs/>
          <w:noProof/>
          <w:szCs w:val="24"/>
        </w:rPr>
        <w:t>Journal of Hydrology</w:t>
      </w:r>
      <w:r w:rsidRPr="00854F3A">
        <w:rPr>
          <w:rFonts w:cs="Times New Roman"/>
          <w:noProof/>
          <w:szCs w:val="24"/>
        </w:rPr>
        <w:t xml:space="preserve">, </w:t>
      </w:r>
      <w:r w:rsidRPr="00854F3A">
        <w:rPr>
          <w:rFonts w:cs="Times New Roman"/>
          <w:i/>
          <w:iCs/>
          <w:noProof/>
          <w:szCs w:val="24"/>
        </w:rPr>
        <w:t>544</w:t>
      </w:r>
      <w:r w:rsidRPr="00854F3A">
        <w:rPr>
          <w:rFonts w:cs="Times New Roman"/>
          <w:noProof/>
          <w:szCs w:val="24"/>
        </w:rPr>
        <w:t>(November), 172–179. https://doi.org/10.1016/j.jhydrol.2016.11.018</w:t>
      </w:r>
    </w:p>
    <w:p w14:paraId="43CB58D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Peng, Y. Z., Huang, Y. M., Yuan, D. X., Li, Y., &amp; Gong, Z. Bin. (2012). Rapid analysis of heavy metals in coastal seawater using preconcentration with precipitation/co-precipitation on membrane and detection with X-ray fluorescence. </w:t>
      </w:r>
      <w:r w:rsidRPr="00854F3A">
        <w:rPr>
          <w:rFonts w:cs="Times New Roman"/>
          <w:i/>
          <w:iCs/>
          <w:noProof/>
          <w:szCs w:val="24"/>
        </w:rPr>
        <w:t>Fenxi Huaxue/ Chinese Journal of Analytical Chemistry</w:t>
      </w:r>
      <w:r w:rsidRPr="00854F3A">
        <w:rPr>
          <w:rFonts w:cs="Times New Roman"/>
          <w:noProof/>
          <w:szCs w:val="24"/>
        </w:rPr>
        <w:t xml:space="preserve">, </w:t>
      </w:r>
      <w:r w:rsidRPr="00854F3A">
        <w:rPr>
          <w:rFonts w:cs="Times New Roman"/>
          <w:i/>
          <w:iCs/>
          <w:noProof/>
          <w:szCs w:val="24"/>
        </w:rPr>
        <w:t>40</w:t>
      </w:r>
      <w:r w:rsidRPr="00854F3A">
        <w:rPr>
          <w:rFonts w:cs="Times New Roman"/>
          <w:noProof/>
          <w:szCs w:val="24"/>
        </w:rPr>
        <w:t>(6), 877–882. https://doi.org/10.1016/S1872-2040(11)60554-9</w:t>
      </w:r>
    </w:p>
    <w:p w14:paraId="6B1C054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Perry, J. R., &amp; Dorian, G. (1987). </w:t>
      </w:r>
      <w:r w:rsidRPr="00854F3A">
        <w:rPr>
          <w:rFonts w:cs="Times New Roman"/>
          <w:i/>
          <w:iCs/>
          <w:noProof/>
          <w:szCs w:val="24"/>
        </w:rPr>
        <w:t>Characterization of MWC ashes and leachates from MSW landfills, monofills, and co-disposal sites</w:t>
      </w:r>
      <w:r w:rsidRPr="00854F3A">
        <w:rPr>
          <w:rFonts w:cs="Times New Roman"/>
          <w:noProof/>
          <w:szCs w:val="24"/>
        </w:rPr>
        <w:t>.</w:t>
      </w:r>
    </w:p>
    <w:p w14:paraId="2D04229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i/>
          <w:iCs/>
          <w:noProof/>
          <w:szCs w:val="24"/>
        </w:rPr>
        <w:t>Petrology of Banzet Lithologies</w:t>
      </w:r>
      <w:r w:rsidRPr="00854F3A">
        <w:rPr>
          <w:rFonts w:cs="Times New Roman"/>
          <w:noProof/>
          <w:szCs w:val="24"/>
        </w:rPr>
        <w:t>. (1989). Kansas Geological Survey.</w:t>
      </w:r>
    </w:p>
    <w:p w14:paraId="12B060A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Pradzynski, A. H., Henry, R. E., &amp; Stewart, J. S. (1976). Determination of ppb concentrations of transition metals by radioisotope-excited energy-dispersive. </w:t>
      </w:r>
      <w:r w:rsidRPr="00854F3A">
        <w:rPr>
          <w:rFonts w:cs="Times New Roman"/>
          <w:i/>
          <w:iCs/>
          <w:noProof/>
          <w:szCs w:val="24"/>
        </w:rPr>
        <w:t>Journal of Radioanalytical Chemistry</w:t>
      </w:r>
      <w:r w:rsidRPr="00854F3A">
        <w:rPr>
          <w:rFonts w:cs="Times New Roman"/>
          <w:noProof/>
          <w:szCs w:val="24"/>
        </w:rPr>
        <w:t xml:space="preserve">, </w:t>
      </w:r>
      <w:r w:rsidRPr="00854F3A">
        <w:rPr>
          <w:rFonts w:cs="Times New Roman"/>
          <w:i/>
          <w:iCs/>
          <w:noProof/>
          <w:szCs w:val="24"/>
        </w:rPr>
        <w:t>32</w:t>
      </w:r>
      <w:r w:rsidRPr="00854F3A">
        <w:rPr>
          <w:rFonts w:cs="Times New Roman"/>
          <w:noProof/>
          <w:szCs w:val="24"/>
        </w:rPr>
        <w:t>, 219–228.</w:t>
      </w:r>
    </w:p>
    <w:p w14:paraId="137910C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Reddivari, S. (2016). </w:t>
      </w:r>
      <w:r w:rsidRPr="00854F3A">
        <w:rPr>
          <w:rFonts w:cs="Times New Roman"/>
          <w:i/>
          <w:iCs/>
          <w:noProof/>
          <w:szCs w:val="24"/>
        </w:rPr>
        <w:t>Electrode-electrolyte Interface Layers in Lithium Ion Batteries using Reactive Force Field Based Molecular Dynamics.</w:t>
      </w:r>
      <w:r w:rsidRPr="00854F3A">
        <w:rPr>
          <w:rFonts w:cs="Times New Roman"/>
          <w:noProof/>
          <w:szCs w:val="24"/>
        </w:rPr>
        <w:t xml:space="preserve"> 1–131. https://deepblue.lib.umich.edu/handle/2027.42/133380</w:t>
      </w:r>
    </w:p>
    <w:p w14:paraId="2684A264"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Reich, T. J., Das, S., Koretsky, C. M., Lund, T. J., &amp; Landry, C. J. (2010). Surface complexation modeling of Pb(II) adsorption on mixtures of hydrous ferric oxide, quartz and kaolinite. </w:t>
      </w:r>
      <w:r w:rsidRPr="00854F3A">
        <w:rPr>
          <w:rFonts w:cs="Times New Roman"/>
          <w:i/>
          <w:iCs/>
          <w:noProof/>
          <w:szCs w:val="24"/>
        </w:rPr>
        <w:t>Chemical Geology</w:t>
      </w:r>
      <w:r w:rsidRPr="00854F3A">
        <w:rPr>
          <w:rFonts w:cs="Times New Roman"/>
          <w:noProof/>
          <w:szCs w:val="24"/>
        </w:rPr>
        <w:t xml:space="preserve">, </w:t>
      </w:r>
      <w:r w:rsidRPr="00854F3A">
        <w:rPr>
          <w:rFonts w:cs="Times New Roman"/>
          <w:i/>
          <w:iCs/>
          <w:noProof/>
          <w:szCs w:val="24"/>
        </w:rPr>
        <w:t>275</w:t>
      </w:r>
      <w:r w:rsidRPr="00854F3A">
        <w:rPr>
          <w:rFonts w:cs="Times New Roman"/>
          <w:noProof/>
          <w:szCs w:val="24"/>
        </w:rPr>
        <w:t>(3–4), 262–271. https://doi.org/10.1016/j.chemgeo.2010.05.017</w:t>
      </w:r>
    </w:p>
    <w:p w14:paraId="4956ADD8"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Richter, C. (2015). </w:t>
      </w:r>
      <w:r w:rsidRPr="00854F3A">
        <w:rPr>
          <w:rFonts w:cs="Times New Roman"/>
          <w:i/>
          <w:iCs/>
          <w:noProof/>
          <w:szCs w:val="24"/>
        </w:rPr>
        <w:t>Sorption of environmentally relevant radionuclides (U(VI), Np(V)) and lanthanides (Nd)III)) on feldspar and mica</w:t>
      </w:r>
      <w:r w:rsidRPr="00854F3A">
        <w:rPr>
          <w:rFonts w:cs="Times New Roman"/>
          <w:noProof/>
          <w:szCs w:val="24"/>
        </w:rPr>
        <w:t>. Technischen Universitat Dresden.</w:t>
      </w:r>
    </w:p>
    <w:p w14:paraId="1D58174E"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Rivera-Mancía, S., Ríos, C., &amp; Montes, S. (2011). Manganese accumulation in the CNS and associated pathologies. </w:t>
      </w:r>
      <w:r w:rsidRPr="00854F3A">
        <w:rPr>
          <w:rFonts w:cs="Times New Roman"/>
          <w:i/>
          <w:iCs/>
          <w:noProof/>
          <w:szCs w:val="24"/>
        </w:rPr>
        <w:t>BioMetals</w:t>
      </w:r>
      <w:r w:rsidRPr="00854F3A">
        <w:rPr>
          <w:rFonts w:cs="Times New Roman"/>
          <w:noProof/>
          <w:szCs w:val="24"/>
        </w:rPr>
        <w:t xml:space="preserve">, </w:t>
      </w:r>
      <w:r w:rsidRPr="00854F3A">
        <w:rPr>
          <w:rFonts w:cs="Times New Roman"/>
          <w:i/>
          <w:iCs/>
          <w:noProof/>
          <w:szCs w:val="24"/>
        </w:rPr>
        <w:t>24</w:t>
      </w:r>
      <w:r w:rsidRPr="00854F3A">
        <w:rPr>
          <w:rFonts w:cs="Times New Roman"/>
          <w:noProof/>
          <w:szCs w:val="24"/>
        </w:rPr>
        <w:t>(5), 811–825. https://doi.org/10.1007/s10534-011-</w:t>
      </w:r>
      <w:r w:rsidRPr="00854F3A">
        <w:rPr>
          <w:rFonts w:cs="Times New Roman"/>
          <w:noProof/>
          <w:szCs w:val="24"/>
        </w:rPr>
        <w:lastRenderedPageBreak/>
        <w:t>9454-1</w:t>
      </w:r>
    </w:p>
    <w:p w14:paraId="5782CB0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Rodgher, S., Espíndola, E. L. G., Simões, F. C. F., &amp; Tonietto, A. E. (2012). Cadmium and chromium toxicity to pseudokirchneriella subcapitata and microcystis aeruginosa. </w:t>
      </w:r>
      <w:r w:rsidRPr="00854F3A">
        <w:rPr>
          <w:rFonts w:cs="Times New Roman"/>
          <w:i/>
          <w:iCs/>
          <w:noProof/>
          <w:szCs w:val="24"/>
        </w:rPr>
        <w:t>Brazilian Archives of Biology and Technology</w:t>
      </w:r>
      <w:r w:rsidRPr="00854F3A">
        <w:rPr>
          <w:rFonts w:cs="Times New Roman"/>
          <w:noProof/>
          <w:szCs w:val="24"/>
        </w:rPr>
        <w:t xml:space="preserve">, </w:t>
      </w:r>
      <w:r w:rsidRPr="00854F3A">
        <w:rPr>
          <w:rFonts w:cs="Times New Roman"/>
          <w:i/>
          <w:iCs/>
          <w:noProof/>
          <w:szCs w:val="24"/>
        </w:rPr>
        <w:t>55</w:t>
      </w:r>
      <w:r w:rsidRPr="00854F3A">
        <w:rPr>
          <w:rFonts w:cs="Times New Roman"/>
          <w:noProof/>
          <w:szCs w:val="24"/>
        </w:rPr>
        <w:t>(1), 161–169. https://doi.org/10.1590/S1516-89132012000100020</w:t>
      </w:r>
    </w:p>
    <w:p w14:paraId="4FB38E2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Rodrigues dos Santos, F., de Almeida, E., da Cunha Kemerich, P. D., &amp; Melquiades, F. L. (2017). Evaluation of metal release from battery and electronic components in soil using SR-TXRF and EDXRF. </w:t>
      </w:r>
      <w:r w:rsidRPr="00854F3A">
        <w:rPr>
          <w:rFonts w:cs="Times New Roman"/>
          <w:i/>
          <w:iCs/>
          <w:noProof/>
          <w:szCs w:val="24"/>
        </w:rPr>
        <w:t>X-Ray Spectrometry</w:t>
      </w:r>
      <w:r w:rsidRPr="00854F3A">
        <w:rPr>
          <w:rFonts w:cs="Times New Roman"/>
          <w:noProof/>
          <w:szCs w:val="24"/>
        </w:rPr>
        <w:t xml:space="preserve">, </w:t>
      </w:r>
      <w:r w:rsidRPr="00854F3A">
        <w:rPr>
          <w:rFonts w:cs="Times New Roman"/>
          <w:i/>
          <w:iCs/>
          <w:noProof/>
          <w:szCs w:val="24"/>
        </w:rPr>
        <w:t>46</w:t>
      </w:r>
      <w:r w:rsidRPr="00854F3A">
        <w:rPr>
          <w:rFonts w:cs="Times New Roman"/>
          <w:noProof/>
          <w:szCs w:val="24"/>
        </w:rPr>
        <w:t>(6), 512–521. https://doi.org/10.1002/xrs.2784</w:t>
      </w:r>
    </w:p>
    <w:p w14:paraId="36615A5E"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Rouillon, M., &amp; Taylor, M. P. (2016). Can field portable X-ray fluorescence (pXRF) produce high quality data for application in environmental contamination research? </w:t>
      </w:r>
      <w:r w:rsidRPr="00854F3A">
        <w:rPr>
          <w:rFonts w:cs="Times New Roman"/>
          <w:i/>
          <w:iCs/>
          <w:noProof/>
          <w:szCs w:val="24"/>
        </w:rPr>
        <w:t>Environmental Pollution</w:t>
      </w:r>
      <w:r w:rsidRPr="00854F3A">
        <w:rPr>
          <w:rFonts w:cs="Times New Roman"/>
          <w:noProof/>
          <w:szCs w:val="24"/>
        </w:rPr>
        <w:t xml:space="preserve">, </w:t>
      </w:r>
      <w:r w:rsidRPr="00854F3A">
        <w:rPr>
          <w:rFonts w:cs="Times New Roman"/>
          <w:i/>
          <w:iCs/>
          <w:noProof/>
          <w:szCs w:val="24"/>
        </w:rPr>
        <w:t>214</w:t>
      </w:r>
      <w:r w:rsidRPr="00854F3A">
        <w:rPr>
          <w:rFonts w:cs="Times New Roman"/>
          <w:noProof/>
          <w:szCs w:val="24"/>
        </w:rPr>
        <w:t>, 255–264. https://doi.org/10.1016/j.envpol.2016.03.055</w:t>
      </w:r>
    </w:p>
    <w:p w14:paraId="4FD486B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Sahraoui, H., &amp; Hachicha, M. (2016). Determination of trace elements in mine soil samples using portable X-ray fluorescence spectrometer : A comparative study with ICP-OES Determination of trace elements in mine soil samples using portable X-ray fluorescence. </w:t>
      </w:r>
      <w:r w:rsidRPr="00854F3A">
        <w:rPr>
          <w:rFonts w:cs="Times New Roman"/>
          <w:i/>
          <w:iCs/>
          <w:noProof/>
          <w:szCs w:val="24"/>
        </w:rPr>
        <w:t>KKU Engineering Journal</w:t>
      </w:r>
      <w:r w:rsidRPr="00854F3A">
        <w:rPr>
          <w:rFonts w:cs="Times New Roman"/>
          <w:noProof/>
          <w:szCs w:val="24"/>
        </w:rPr>
        <w:t xml:space="preserve">, </w:t>
      </w:r>
      <w:r w:rsidRPr="00854F3A">
        <w:rPr>
          <w:rFonts w:cs="Times New Roman"/>
          <w:i/>
          <w:iCs/>
          <w:noProof/>
          <w:szCs w:val="24"/>
        </w:rPr>
        <w:t>43</w:t>
      </w:r>
      <w:r w:rsidRPr="00854F3A">
        <w:rPr>
          <w:rFonts w:cs="Times New Roman"/>
          <w:noProof/>
          <w:szCs w:val="24"/>
        </w:rPr>
        <w:t>(September), 162–165. https://doi.org/10.14456/kkuenj.2016.24</w:t>
      </w:r>
    </w:p>
    <w:p w14:paraId="2740E7A9"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Sasaki, K., Matsuda, M., Urata, T., Hirajima, T., &amp; Konno, H. (2008). Sorption of Co2+ ions on the biogenic Mn oxide produced by a Mn-oxidizing fungus, Paraconiothyium sp. </w:t>
      </w:r>
      <w:r w:rsidRPr="00854F3A">
        <w:rPr>
          <w:rFonts w:cs="Times New Roman"/>
          <w:i/>
          <w:iCs/>
          <w:noProof/>
          <w:szCs w:val="24"/>
        </w:rPr>
        <w:t>Materials Transactions</w:t>
      </w:r>
      <w:r w:rsidRPr="00854F3A">
        <w:rPr>
          <w:rFonts w:cs="Times New Roman"/>
          <w:noProof/>
          <w:szCs w:val="24"/>
        </w:rPr>
        <w:t xml:space="preserve">, </w:t>
      </w:r>
      <w:r w:rsidRPr="00854F3A">
        <w:rPr>
          <w:rFonts w:cs="Times New Roman"/>
          <w:i/>
          <w:iCs/>
          <w:noProof/>
          <w:szCs w:val="24"/>
        </w:rPr>
        <w:t>49</w:t>
      </w:r>
      <w:r w:rsidRPr="00854F3A">
        <w:rPr>
          <w:rFonts w:cs="Times New Roman"/>
          <w:noProof/>
          <w:szCs w:val="24"/>
        </w:rPr>
        <w:t>, 605–611.</w:t>
      </w:r>
    </w:p>
    <w:p w14:paraId="0003F552"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Schecher, W. D., &amp; McAvoy, D. C. (2015). MINEQL+ Chemical Equilibrium Modeling System. In </w:t>
      </w:r>
      <w:r w:rsidRPr="00854F3A">
        <w:rPr>
          <w:rFonts w:cs="Times New Roman"/>
          <w:i/>
          <w:iCs/>
          <w:noProof/>
          <w:szCs w:val="24"/>
        </w:rPr>
        <w:t>Environmental Research Software</w:t>
      </w:r>
      <w:r w:rsidRPr="00854F3A">
        <w:rPr>
          <w:rFonts w:cs="Times New Roman"/>
          <w:noProof/>
          <w:szCs w:val="24"/>
        </w:rPr>
        <w:t xml:space="preserve"> (Vol. 5). Environmental Research Software.</w:t>
      </w:r>
    </w:p>
    <w:p w14:paraId="32E703B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Schipper, F., Dixit, M., Kovacheva, D., Talianker, M., Haik, O., Grinblat, J., Erickson, E. M., </w:t>
      </w:r>
      <w:r w:rsidRPr="00854F3A">
        <w:rPr>
          <w:rFonts w:cs="Times New Roman"/>
          <w:noProof/>
          <w:szCs w:val="24"/>
        </w:rPr>
        <w:lastRenderedPageBreak/>
        <w:t xml:space="preserve">Ghanty, C., Major, D. T., Markovsky, B., &amp; Aurbach, D. (2016). Stabilizing nickel-rich layered cathode materials by a high-charge cation doping strategy: zirconium-doped LiNi0.6Co0.2Mn0.2O2. </w:t>
      </w:r>
      <w:r w:rsidRPr="00854F3A">
        <w:rPr>
          <w:rFonts w:cs="Times New Roman"/>
          <w:i/>
          <w:iCs/>
          <w:noProof/>
          <w:szCs w:val="24"/>
        </w:rPr>
        <w:t>Journal of Materials Chemistry A: Materials for Energy and Sustainability</w:t>
      </w:r>
      <w:r w:rsidRPr="00854F3A">
        <w:rPr>
          <w:rFonts w:cs="Times New Roman"/>
          <w:noProof/>
          <w:szCs w:val="24"/>
        </w:rPr>
        <w:t xml:space="preserve">, </w:t>
      </w:r>
      <w:r w:rsidRPr="00854F3A">
        <w:rPr>
          <w:rFonts w:cs="Times New Roman"/>
          <w:i/>
          <w:iCs/>
          <w:noProof/>
          <w:szCs w:val="24"/>
        </w:rPr>
        <w:t>41</w:t>
      </w:r>
      <w:r w:rsidRPr="00854F3A">
        <w:rPr>
          <w:rFonts w:cs="Times New Roman"/>
          <w:noProof/>
          <w:szCs w:val="24"/>
        </w:rPr>
        <w:t>, 1–12. https://doi.org/10.1039/C6TA06740A</w:t>
      </w:r>
    </w:p>
    <w:p w14:paraId="63871EE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Schneider, A. R., Cancès, B., Breton, C., Ponthieu, M., Morvan, X., Conreux, A., &amp; Marin, B. (2016). Comparison of field portable XRF and aqua regia/ICPAES soil analysis and evaluation of soil moisture influence on FPXRF results. </w:t>
      </w:r>
      <w:r w:rsidRPr="00854F3A">
        <w:rPr>
          <w:rFonts w:cs="Times New Roman"/>
          <w:i/>
          <w:iCs/>
          <w:noProof/>
          <w:szCs w:val="24"/>
        </w:rPr>
        <w:t>Journal of Soils and Sediments</w:t>
      </w:r>
      <w:r w:rsidRPr="00854F3A">
        <w:rPr>
          <w:rFonts w:cs="Times New Roman"/>
          <w:noProof/>
          <w:szCs w:val="24"/>
        </w:rPr>
        <w:t xml:space="preserve">, </w:t>
      </w:r>
      <w:r w:rsidRPr="00854F3A">
        <w:rPr>
          <w:rFonts w:cs="Times New Roman"/>
          <w:i/>
          <w:iCs/>
          <w:noProof/>
          <w:szCs w:val="24"/>
        </w:rPr>
        <w:t>16</w:t>
      </w:r>
      <w:r w:rsidRPr="00854F3A">
        <w:rPr>
          <w:rFonts w:cs="Times New Roman"/>
          <w:noProof/>
          <w:szCs w:val="24"/>
        </w:rPr>
        <w:t>(2), 438–448. https://doi.org/10.1007/s11368-015-1252-x</w:t>
      </w:r>
    </w:p>
    <w:p w14:paraId="51BAA41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Shackley, M. S. (2018). X-Ray fluorescence spectrometry (XRF). </w:t>
      </w:r>
      <w:r w:rsidRPr="00854F3A">
        <w:rPr>
          <w:rFonts w:cs="Times New Roman"/>
          <w:i/>
          <w:iCs/>
          <w:noProof/>
          <w:szCs w:val="24"/>
        </w:rPr>
        <w:t>The Encyclopedia of Archaeological Sciences</w:t>
      </w:r>
      <w:r w:rsidRPr="00854F3A">
        <w:rPr>
          <w:rFonts w:cs="Times New Roman"/>
          <w:noProof/>
          <w:szCs w:val="24"/>
        </w:rPr>
        <w:t>, 1–5. https://doi.org/10.1002/9781119188230.saseas0620</w:t>
      </w:r>
    </w:p>
    <w:p w14:paraId="003689E9"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Sharifi-asl, S., Lu, J., Amine, K., &amp; Shahbazian-Yassar, R. (2019). Oxygen release degradation in Li-ion battery cathode materials: mechanisms and mitigating approaches. </w:t>
      </w:r>
      <w:r w:rsidRPr="00854F3A">
        <w:rPr>
          <w:rFonts w:cs="Times New Roman"/>
          <w:i/>
          <w:iCs/>
          <w:noProof/>
          <w:szCs w:val="24"/>
        </w:rPr>
        <w:t>Advanced Energy Materials</w:t>
      </w:r>
      <w:r w:rsidRPr="00854F3A">
        <w:rPr>
          <w:rFonts w:cs="Times New Roman"/>
          <w:noProof/>
          <w:szCs w:val="24"/>
        </w:rPr>
        <w:t xml:space="preserve">, </w:t>
      </w:r>
      <w:r w:rsidRPr="00854F3A">
        <w:rPr>
          <w:rFonts w:cs="Times New Roman"/>
          <w:i/>
          <w:iCs/>
          <w:noProof/>
          <w:szCs w:val="24"/>
        </w:rPr>
        <w:t>9</w:t>
      </w:r>
      <w:r w:rsidRPr="00854F3A">
        <w:rPr>
          <w:rFonts w:cs="Times New Roman"/>
          <w:noProof/>
          <w:szCs w:val="24"/>
        </w:rPr>
        <w:t>(22). https://doi.org/10.1002/aenm.201900551</w:t>
      </w:r>
    </w:p>
    <w:p w14:paraId="47556AE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Sharma, R., Raghav, S., Nair, M., &amp; Kumar, D. (2018). Kinetics and adsorption studies of mercury and lead by ceria nanoparticles entrapped in tamarind powder. </w:t>
      </w:r>
      <w:r w:rsidRPr="00854F3A">
        <w:rPr>
          <w:rFonts w:cs="Times New Roman"/>
          <w:i/>
          <w:iCs/>
          <w:noProof/>
          <w:szCs w:val="24"/>
        </w:rPr>
        <w:t>ACS Omega</w:t>
      </w:r>
      <w:r w:rsidRPr="00854F3A">
        <w:rPr>
          <w:rFonts w:cs="Times New Roman"/>
          <w:noProof/>
          <w:szCs w:val="24"/>
        </w:rPr>
        <w:t xml:space="preserve">, </w:t>
      </w:r>
      <w:r w:rsidRPr="00854F3A">
        <w:rPr>
          <w:rFonts w:cs="Times New Roman"/>
          <w:i/>
          <w:iCs/>
          <w:noProof/>
          <w:szCs w:val="24"/>
        </w:rPr>
        <w:t>3</w:t>
      </w:r>
      <w:r w:rsidRPr="00854F3A">
        <w:rPr>
          <w:rFonts w:cs="Times New Roman"/>
          <w:noProof/>
          <w:szCs w:val="24"/>
        </w:rPr>
        <w:t>(11), 14606–14619. https://doi.org/10.1021/acsomega.8b01874</w:t>
      </w:r>
    </w:p>
    <w:p w14:paraId="32F3607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Shaw, C. A., &amp; Tomljenovic, L. (2013). Aluminum in the central nervous system (CNS): Toxicity in humans and animals, vaccine adjuvants, and autoimmunity. </w:t>
      </w:r>
      <w:r w:rsidRPr="00854F3A">
        <w:rPr>
          <w:rFonts w:cs="Times New Roman"/>
          <w:i/>
          <w:iCs/>
          <w:noProof/>
          <w:szCs w:val="24"/>
        </w:rPr>
        <w:t>Immunologic Research</w:t>
      </w:r>
      <w:r w:rsidRPr="00854F3A">
        <w:rPr>
          <w:rFonts w:cs="Times New Roman"/>
          <w:noProof/>
          <w:szCs w:val="24"/>
        </w:rPr>
        <w:t xml:space="preserve">, </w:t>
      </w:r>
      <w:r w:rsidRPr="00854F3A">
        <w:rPr>
          <w:rFonts w:cs="Times New Roman"/>
          <w:i/>
          <w:iCs/>
          <w:noProof/>
          <w:szCs w:val="24"/>
        </w:rPr>
        <w:t>56</w:t>
      </w:r>
      <w:r w:rsidRPr="00854F3A">
        <w:rPr>
          <w:rFonts w:cs="Times New Roman"/>
          <w:noProof/>
          <w:szCs w:val="24"/>
        </w:rPr>
        <w:t>(2–3), 304–316. https://doi.org/10.1007/s12026-013-8403-1</w:t>
      </w:r>
    </w:p>
    <w:p w14:paraId="3DC9563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Sidoryk-Wegrzynowicz, M. (2014). Impairment of glutamine/glutamate-γ-aminobutyric acid cycle in manganese toxicity in the central nervous system. </w:t>
      </w:r>
      <w:r w:rsidRPr="00854F3A">
        <w:rPr>
          <w:rFonts w:cs="Times New Roman"/>
          <w:i/>
          <w:iCs/>
          <w:noProof/>
          <w:szCs w:val="24"/>
        </w:rPr>
        <w:t>Folia Neuropathologica</w:t>
      </w:r>
      <w:r w:rsidRPr="00854F3A">
        <w:rPr>
          <w:rFonts w:cs="Times New Roman"/>
          <w:noProof/>
          <w:szCs w:val="24"/>
        </w:rPr>
        <w:t xml:space="preserve">, </w:t>
      </w:r>
      <w:r w:rsidRPr="00854F3A">
        <w:rPr>
          <w:rFonts w:cs="Times New Roman"/>
          <w:i/>
          <w:iCs/>
          <w:noProof/>
          <w:szCs w:val="24"/>
        </w:rPr>
        <w:t>52</w:t>
      </w:r>
      <w:r w:rsidRPr="00854F3A">
        <w:rPr>
          <w:rFonts w:cs="Times New Roman"/>
          <w:noProof/>
          <w:szCs w:val="24"/>
        </w:rPr>
        <w:t>(4), 377–382. https://doi.org/10.5114/fn.2014.47838</w:t>
      </w:r>
    </w:p>
    <w:p w14:paraId="6FFDDF7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Sikora, A. L. (2018). </w:t>
      </w:r>
      <w:r w:rsidRPr="00854F3A">
        <w:rPr>
          <w:rFonts w:cs="Times New Roman"/>
          <w:i/>
          <w:iCs/>
          <w:noProof/>
          <w:szCs w:val="24"/>
        </w:rPr>
        <w:t xml:space="preserve">Soil trace metals concentrations in a mining impacted agricultural </w:t>
      </w:r>
      <w:r w:rsidRPr="00854F3A">
        <w:rPr>
          <w:rFonts w:cs="Times New Roman"/>
          <w:i/>
          <w:iCs/>
          <w:noProof/>
          <w:szCs w:val="24"/>
        </w:rPr>
        <w:lastRenderedPageBreak/>
        <w:t>watershed: Comparison of analytical methods, geospatial distribution, and evaluation of risk</w:t>
      </w:r>
      <w:r w:rsidRPr="00854F3A">
        <w:rPr>
          <w:rFonts w:cs="Times New Roman"/>
          <w:noProof/>
          <w:szCs w:val="24"/>
        </w:rPr>
        <w:t>. University of Oklahoma.</w:t>
      </w:r>
    </w:p>
    <w:p w14:paraId="79729D63"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Software, E. R. (2015). </w:t>
      </w:r>
      <w:r w:rsidRPr="00854F3A">
        <w:rPr>
          <w:rFonts w:cs="Times New Roman"/>
          <w:i/>
          <w:iCs/>
          <w:noProof/>
          <w:szCs w:val="24"/>
        </w:rPr>
        <w:t>What is MINEQL+?</w:t>
      </w:r>
      <w:r w:rsidRPr="00854F3A">
        <w:rPr>
          <w:rFonts w:cs="Times New Roman"/>
          <w:noProof/>
          <w:szCs w:val="24"/>
        </w:rPr>
        <w:t xml:space="preserve"> Mineql.Com. https://www.mineql.com/overview.html</w:t>
      </w:r>
    </w:p>
    <w:p w14:paraId="3D0CD1F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Sparks, D. L., &amp; Schreurs, B. G. (2003). Trace amounts of copper in water induce β-amyloid plaques and learning deficits in a rabbit model of Alzheimer’s disease. </w:t>
      </w:r>
      <w:r w:rsidRPr="00854F3A">
        <w:rPr>
          <w:rFonts w:cs="Times New Roman"/>
          <w:i/>
          <w:iCs/>
          <w:noProof/>
          <w:szCs w:val="24"/>
        </w:rPr>
        <w:t>Proceedings of the National Academy of Sciences of the United States of America</w:t>
      </w:r>
      <w:r w:rsidRPr="00854F3A">
        <w:rPr>
          <w:rFonts w:cs="Times New Roman"/>
          <w:noProof/>
          <w:szCs w:val="24"/>
        </w:rPr>
        <w:t xml:space="preserve">, </w:t>
      </w:r>
      <w:r w:rsidRPr="00854F3A">
        <w:rPr>
          <w:rFonts w:cs="Times New Roman"/>
          <w:i/>
          <w:iCs/>
          <w:noProof/>
          <w:szCs w:val="24"/>
        </w:rPr>
        <w:t>100</w:t>
      </w:r>
      <w:r w:rsidRPr="00854F3A">
        <w:rPr>
          <w:rFonts w:cs="Times New Roman"/>
          <w:noProof/>
          <w:szCs w:val="24"/>
        </w:rPr>
        <w:t>(19), 11065–11069. https://doi.org/10.1073/pnas.1832769100</w:t>
      </w:r>
    </w:p>
    <w:p w14:paraId="2FE05D2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Stillings, L. L., &amp; Susan, L. (1995). Feldspar dissolution at 25°C and pH 3: Reaction stoichiometry and the effect of cations.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59</w:t>
      </w:r>
      <w:r w:rsidRPr="00854F3A">
        <w:rPr>
          <w:rFonts w:cs="Times New Roman"/>
          <w:noProof/>
          <w:szCs w:val="24"/>
        </w:rPr>
        <w:t>(8), 1483–1496.</w:t>
      </w:r>
    </w:p>
    <w:p w14:paraId="4D6197C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Survey, N. C. S. (2003). </w:t>
      </w:r>
      <w:r w:rsidRPr="00854F3A">
        <w:rPr>
          <w:rFonts w:cs="Times New Roman"/>
          <w:i/>
          <w:iCs/>
          <w:noProof/>
          <w:szCs w:val="24"/>
        </w:rPr>
        <w:t>Official Soil Series Description Query Facility</w:t>
      </w:r>
      <w:r w:rsidRPr="00854F3A">
        <w:rPr>
          <w:rFonts w:cs="Times New Roman"/>
          <w:noProof/>
          <w:szCs w:val="24"/>
        </w:rPr>
        <w:t>.</w:t>
      </w:r>
    </w:p>
    <w:p w14:paraId="340775A5"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Tang, C., Zhu, J., Li, Z., Zhu, R., &amp; Zhou, Q. (2015). Applied Surface Science Surface chemistry and reactivity of SiO2 polymorphs: A comparative study on alpha-quartz and alpha-cristobalite. </w:t>
      </w:r>
      <w:r w:rsidRPr="00854F3A">
        <w:rPr>
          <w:rFonts w:cs="Times New Roman"/>
          <w:i/>
          <w:iCs/>
          <w:noProof/>
          <w:szCs w:val="24"/>
        </w:rPr>
        <w:t>Applied Surface Science</w:t>
      </w:r>
      <w:r w:rsidRPr="00854F3A">
        <w:rPr>
          <w:rFonts w:cs="Times New Roman"/>
          <w:noProof/>
          <w:szCs w:val="24"/>
        </w:rPr>
        <w:t xml:space="preserve">, </w:t>
      </w:r>
      <w:r w:rsidRPr="00854F3A">
        <w:rPr>
          <w:rFonts w:cs="Times New Roman"/>
          <w:i/>
          <w:iCs/>
          <w:noProof/>
          <w:szCs w:val="24"/>
        </w:rPr>
        <w:t>355</w:t>
      </w:r>
      <w:r w:rsidRPr="00854F3A">
        <w:rPr>
          <w:rFonts w:cs="Times New Roman"/>
          <w:noProof/>
          <w:szCs w:val="24"/>
        </w:rPr>
        <w:t>, 1161–1167. https://doi.org/10.1016/j.apsusc.2015.07.214</w:t>
      </w:r>
    </w:p>
    <w:p w14:paraId="1D390D1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Terrones‐saeta, J. M., Suárez‐macías, J., Linares Del Río, F. J., &amp; Corpas‐iglesias, F. A. (2020). Study of copper leaching from mining waste in acidic media, at ambient temperature and atmospheric pressure. </w:t>
      </w:r>
      <w:r w:rsidRPr="00854F3A">
        <w:rPr>
          <w:rFonts w:cs="Times New Roman"/>
          <w:i/>
          <w:iCs/>
          <w:noProof/>
          <w:szCs w:val="24"/>
        </w:rPr>
        <w:t>Minerals</w:t>
      </w:r>
      <w:r w:rsidRPr="00854F3A">
        <w:rPr>
          <w:rFonts w:cs="Times New Roman"/>
          <w:noProof/>
          <w:szCs w:val="24"/>
        </w:rPr>
        <w:t xml:space="preserve">, </w:t>
      </w:r>
      <w:r w:rsidRPr="00854F3A">
        <w:rPr>
          <w:rFonts w:cs="Times New Roman"/>
          <w:i/>
          <w:iCs/>
          <w:noProof/>
          <w:szCs w:val="24"/>
        </w:rPr>
        <w:t>10</w:t>
      </w:r>
      <w:r w:rsidRPr="00854F3A">
        <w:rPr>
          <w:rFonts w:cs="Times New Roman"/>
          <w:noProof/>
          <w:szCs w:val="24"/>
        </w:rPr>
        <w:t>(10), 1–23. https://doi.org/10.3390/min10100873</w:t>
      </w:r>
    </w:p>
    <w:p w14:paraId="30B6FBA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Timpane, M. (2018). Lithium Ion Batteries in the Solid Waste System. In </w:t>
      </w:r>
      <w:r w:rsidRPr="00854F3A">
        <w:rPr>
          <w:rFonts w:cs="Times New Roman"/>
          <w:i/>
          <w:iCs/>
          <w:noProof/>
          <w:szCs w:val="24"/>
        </w:rPr>
        <w:t>Environmental Protection Agency</w:t>
      </w:r>
      <w:r w:rsidRPr="00854F3A">
        <w:rPr>
          <w:rFonts w:cs="Times New Roman"/>
          <w:noProof/>
          <w:szCs w:val="24"/>
        </w:rPr>
        <w:t>.</w:t>
      </w:r>
    </w:p>
    <w:p w14:paraId="76E0EB2A"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Tolonen, E. T., Hu, T., Rämö, J., &amp; Lassi, U. (2016). The removal of sulphate from mine water by precipitation as ettringite and the utilisation of the precipitate as a sorbent for arsenate </w:t>
      </w:r>
      <w:r w:rsidRPr="00854F3A">
        <w:rPr>
          <w:rFonts w:cs="Times New Roman"/>
          <w:noProof/>
          <w:szCs w:val="24"/>
        </w:rPr>
        <w:lastRenderedPageBreak/>
        <w:t xml:space="preserve">removal. </w:t>
      </w:r>
      <w:r w:rsidRPr="00854F3A">
        <w:rPr>
          <w:rFonts w:cs="Times New Roman"/>
          <w:i/>
          <w:iCs/>
          <w:noProof/>
          <w:szCs w:val="24"/>
        </w:rPr>
        <w:t>Journal of Environmental Management</w:t>
      </w:r>
      <w:r w:rsidRPr="00854F3A">
        <w:rPr>
          <w:rFonts w:cs="Times New Roman"/>
          <w:noProof/>
          <w:szCs w:val="24"/>
        </w:rPr>
        <w:t xml:space="preserve">, </w:t>
      </w:r>
      <w:r w:rsidRPr="00854F3A">
        <w:rPr>
          <w:rFonts w:cs="Times New Roman"/>
          <w:i/>
          <w:iCs/>
          <w:noProof/>
          <w:szCs w:val="24"/>
        </w:rPr>
        <w:t>181</w:t>
      </w:r>
      <w:r w:rsidRPr="00854F3A">
        <w:rPr>
          <w:rFonts w:cs="Times New Roman"/>
          <w:noProof/>
          <w:szCs w:val="24"/>
        </w:rPr>
        <w:t>, 856–862. https://doi.org/10.1016/j.jenvman.2016.06.053</w:t>
      </w:r>
    </w:p>
    <w:p w14:paraId="2DAA9E9F"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Tran, C. P. (2016). </w:t>
      </w:r>
      <w:r w:rsidRPr="00854F3A">
        <w:rPr>
          <w:rFonts w:cs="Times New Roman"/>
          <w:i/>
          <w:iCs/>
          <w:noProof/>
          <w:szCs w:val="24"/>
        </w:rPr>
        <w:t>Red Mud Minimisation and Management for the Alumina Industry by the Carbonation Method</w:t>
      </w:r>
      <w:r w:rsidRPr="00854F3A">
        <w:rPr>
          <w:rFonts w:cs="Times New Roman"/>
          <w:noProof/>
          <w:szCs w:val="24"/>
        </w:rPr>
        <w:t>. The University of Adelaide.</w:t>
      </w:r>
    </w:p>
    <w:p w14:paraId="0594170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U.S. EPA. (2005). Ecological soil screening levels for cobalt. </w:t>
      </w:r>
      <w:r w:rsidRPr="00854F3A">
        <w:rPr>
          <w:rFonts w:cs="Times New Roman"/>
          <w:i/>
          <w:iCs/>
          <w:noProof/>
          <w:szCs w:val="24"/>
        </w:rPr>
        <w:t>United States Environmental Protection Agency</w:t>
      </w:r>
      <w:r w:rsidRPr="00854F3A">
        <w:rPr>
          <w:rFonts w:cs="Times New Roman"/>
          <w:noProof/>
          <w:szCs w:val="24"/>
        </w:rPr>
        <w:t xml:space="preserve">, </w:t>
      </w:r>
      <w:r w:rsidRPr="00854F3A">
        <w:rPr>
          <w:rFonts w:cs="Times New Roman"/>
          <w:i/>
          <w:iCs/>
          <w:noProof/>
          <w:szCs w:val="24"/>
        </w:rPr>
        <w:t>April</w:t>
      </w:r>
      <w:r w:rsidRPr="00854F3A">
        <w:rPr>
          <w:rFonts w:cs="Times New Roman"/>
          <w:noProof/>
          <w:szCs w:val="24"/>
        </w:rPr>
        <w:t>, 1–76. http://www.epa.gov/ecotox/ecossl/index/html</w:t>
      </w:r>
    </w:p>
    <w:p w14:paraId="1D4506AC"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Uddin, A. H., Khalid, R. S., Alaama, M., Abdualkader, A. M., Kasmuri, A., &amp; Abbas, S. A. (2016). Comparative study of three digestion methods for elemental analysis in traditional medicine products using atomic absorption spectrometry. </w:t>
      </w:r>
      <w:r w:rsidRPr="00854F3A">
        <w:rPr>
          <w:rFonts w:cs="Times New Roman"/>
          <w:i/>
          <w:iCs/>
          <w:noProof/>
          <w:szCs w:val="24"/>
        </w:rPr>
        <w:t>Journal of Analytical Science and Technology</w:t>
      </w:r>
      <w:r w:rsidRPr="00854F3A">
        <w:rPr>
          <w:rFonts w:cs="Times New Roman"/>
          <w:noProof/>
          <w:szCs w:val="24"/>
        </w:rPr>
        <w:t xml:space="preserve">, </w:t>
      </w:r>
      <w:r w:rsidRPr="00854F3A">
        <w:rPr>
          <w:rFonts w:cs="Times New Roman"/>
          <w:i/>
          <w:iCs/>
          <w:noProof/>
          <w:szCs w:val="24"/>
        </w:rPr>
        <w:t>7</w:t>
      </w:r>
      <w:r w:rsidRPr="00854F3A">
        <w:rPr>
          <w:rFonts w:cs="Times New Roman"/>
          <w:noProof/>
          <w:szCs w:val="24"/>
        </w:rPr>
        <w:t>(1). https://doi.org/10.1186/s40543-016-0085-6</w:t>
      </w:r>
    </w:p>
    <w:p w14:paraId="7C1DA9C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Udristioiu, F., Bunaciu, A. A., Tanase, I. G., &amp; Aboul-Enein, H. (2014). Paper Analysis : Nondestructive and Destructive Analytical Methods. </w:t>
      </w:r>
      <w:r w:rsidRPr="00854F3A">
        <w:rPr>
          <w:rFonts w:cs="Times New Roman"/>
          <w:i/>
          <w:iCs/>
          <w:noProof/>
          <w:szCs w:val="24"/>
        </w:rPr>
        <w:t>Applied Spectroscopy Reviews</w:t>
      </w:r>
      <w:r w:rsidRPr="00854F3A">
        <w:rPr>
          <w:rFonts w:cs="Times New Roman"/>
          <w:noProof/>
          <w:szCs w:val="24"/>
        </w:rPr>
        <w:t xml:space="preserve">, </w:t>
      </w:r>
      <w:r w:rsidRPr="00854F3A">
        <w:rPr>
          <w:rFonts w:cs="Times New Roman"/>
          <w:i/>
          <w:iCs/>
          <w:noProof/>
          <w:szCs w:val="24"/>
        </w:rPr>
        <w:t>47</w:t>
      </w:r>
      <w:r w:rsidRPr="00854F3A">
        <w:rPr>
          <w:rFonts w:cs="Times New Roman"/>
          <w:noProof/>
          <w:szCs w:val="24"/>
        </w:rPr>
        <w:t>(7), 550–570. https://doi.org/10.1080/05704928.2012.682285</w:t>
      </w:r>
    </w:p>
    <w:p w14:paraId="190656F0"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Vetter, J., Novák, P., Wagner, M. R., Veit, C., Möller, K. C., Besenhard, J. O., Winter, M., Wohlfahrt-Mehrens, M., Vogler, C., &amp; Hammouche, A. (2005). Ageing mechanisms in lithium-ion batteries. </w:t>
      </w:r>
      <w:r w:rsidRPr="00854F3A">
        <w:rPr>
          <w:rFonts w:cs="Times New Roman"/>
          <w:i/>
          <w:iCs/>
          <w:noProof/>
          <w:szCs w:val="24"/>
        </w:rPr>
        <w:t>Journal of Power Sources</w:t>
      </w:r>
      <w:r w:rsidRPr="00854F3A">
        <w:rPr>
          <w:rFonts w:cs="Times New Roman"/>
          <w:noProof/>
          <w:szCs w:val="24"/>
        </w:rPr>
        <w:t xml:space="preserve">, </w:t>
      </w:r>
      <w:r w:rsidRPr="00854F3A">
        <w:rPr>
          <w:rFonts w:cs="Times New Roman"/>
          <w:i/>
          <w:iCs/>
          <w:noProof/>
          <w:szCs w:val="24"/>
        </w:rPr>
        <w:t>147</w:t>
      </w:r>
      <w:r w:rsidRPr="00854F3A">
        <w:rPr>
          <w:rFonts w:cs="Times New Roman"/>
          <w:noProof/>
          <w:szCs w:val="24"/>
        </w:rPr>
        <w:t>(1–2), 269–281. https://doi.org/10.1016/j.jpowsour.2005.01.006</w:t>
      </w:r>
    </w:p>
    <w:p w14:paraId="2341F88D"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Vytopilová, M., Tejnecký, V., Borůvka, L., &amp; Drábek, O. (2015). Sorption of heavy metals in organic horizons of acid forest soils at low added concentrations. </w:t>
      </w:r>
      <w:r w:rsidRPr="00854F3A">
        <w:rPr>
          <w:rFonts w:cs="Times New Roman"/>
          <w:i/>
          <w:iCs/>
          <w:noProof/>
          <w:szCs w:val="24"/>
        </w:rPr>
        <w:t>Soil and Water Research</w:t>
      </w:r>
      <w:r w:rsidRPr="00854F3A">
        <w:rPr>
          <w:rFonts w:cs="Times New Roman"/>
          <w:noProof/>
          <w:szCs w:val="24"/>
        </w:rPr>
        <w:t xml:space="preserve">, </w:t>
      </w:r>
      <w:r w:rsidRPr="00854F3A">
        <w:rPr>
          <w:rFonts w:cs="Times New Roman"/>
          <w:i/>
          <w:iCs/>
          <w:noProof/>
          <w:szCs w:val="24"/>
        </w:rPr>
        <w:t>10</w:t>
      </w:r>
      <w:r w:rsidRPr="00854F3A">
        <w:rPr>
          <w:rFonts w:cs="Times New Roman"/>
          <w:noProof/>
          <w:szCs w:val="24"/>
        </w:rPr>
        <w:t>(1), 1–9. https://doi.org/10.17221/144/2014-SWR</w:t>
      </w:r>
    </w:p>
    <w:p w14:paraId="34E8F803"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Walker, J., Cronan, S., &amp; Patterson, H. (1988). A kinetic study of aluminum adsorption by aluminosilicate clay minerals. </w:t>
      </w:r>
      <w:r w:rsidRPr="00854F3A">
        <w:rPr>
          <w:rFonts w:cs="Times New Roman"/>
          <w:i/>
          <w:iCs/>
          <w:noProof/>
          <w:szCs w:val="24"/>
        </w:rPr>
        <w:t>Geochimica et Cosmochimica Acta</w:t>
      </w:r>
      <w:r w:rsidRPr="00854F3A">
        <w:rPr>
          <w:rFonts w:cs="Times New Roman"/>
          <w:noProof/>
          <w:szCs w:val="24"/>
        </w:rPr>
        <w:t xml:space="preserve">, </w:t>
      </w:r>
      <w:r w:rsidRPr="00854F3A">
        <w:rPr>
          <w:rFonts w:cs="Times New Roman"/>
          <w:i/>
          <w:iCs/>
          <w:noProof/>
          <w:szCs w:val="24"/>
        </w:rPr>
        <w:t>52</w:t>
      </w:r>
      <w:r w:rsidRPr="00854F3A">
        <w:rPr>
          <w:rFonts w:cs="Times New Roman"/>
          <w:noProof/>
          <w:szCs w:val="24"/>
        </w:rPr>
        <w:t>(1988), 55–62.</w:t>
      </w:r>
    </w:p>
    <w:p w14:paraId="687F6D2B"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Wendling, L. A., Kirby, J. K., &amp; McLaughlin, M. J. (2009). Aging effects on cobalt availability </w:t>
      </w:r>
      <w:r w:rsidRPr="00854F3A">
        <w:rPr>
          <w:rFonts w:cs="Times New Roman"/>
          <w:noProof/>
          <w:szCs w:val="24"/>
        </w:rPr>
        <w:lastRenderedPageBreak/>
        <w:t xml:space="preserve">in soils. </w:t>
      </w:r>
      <w:r w:rsidRPr="00854F3A">
        <w:rPr>
          <w:rFonts w:cs="Times New Roman"/>
          <w:i/>
          <w:iCs/>
          <w:noProof/>
          <w:szCs w:val="24"/>
        </w:rPr>
        <w:t>Environ Toxicol Chem.</w:t>
      </w:r>
      <w:r w:rsidRPr="00854F3A">
        <w:rPr>
          <w:rFonts w:cs="Times New Roman"/>
          <w:noProof/>
          <w:szCs w:val="24"/>
        </w:rPr>
        <w:t xml:space="preserve">, </w:t>
      </w:r>
      <w:r w:rsidRPr="00854F3A">
        <w:rPr>
          <w:rFonts w:cs="Times New Roman"/>
          <w:i/>
          <w:iCs/>
          <w:noProof/>
          <w:szCs w:val="24"/>
        </w:rPr>
        <w:t>28</w:t>
      </w:r>
      <w:r w:rsidRPr="00854F3A">
        <w:rPr>
          <w:rFonts w:cs="Times New Roman"/>
          <w:noProof/>
          <w:szCs w:val="24"/>
        </w:rPr>
        <w:t>(8), 1609–1617.</w:t>
      </w:r>
    </w:p>
    <w:p w14:paraId="7B8C01E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Williams, M., Todd, D., Roney, N., Crawford, J., Coles, C., McClure, P., Garey, J., &amp; Citra, M. (2012). Toxicological profile for manganese. </w:t>
      </w:r>
      <w:r w:rsidRPr="00854F3A">
        <w:rPr>
          <w:rFonts w:cs="Times New Roman"/>
          <w:i/>
          <w:iCs/>
          <w:noProof/>
          <w:szCs w:val="24"/>
        </w:rPr>
        <w:t>U.S. Department of Health and Human Services</w:t>
      </w:r>
      <w:r w:rsidRPr="00854F3A">
        <w:rPr>
          <w:rFonts w:cs="Times New Roman"/>
          <w:noProof/>
          <w:szCs w:val="24"/>
        </w:rPr>
        <w:t xml:space="preserve">, </w:t>
      </w:r>
      <w:r w:rsidRPr="00854F3A">
        <w:rPr>
          <w:rFonts w:cs="Times New Roman"/>
          <w:i/>
          <w:iCs/>
          <w:noProof/>
          <w:szCs w:val="24"/>
        </w:rPr>
        <w:t>September</w:t>
      </w:r>
      <w:r w:rsidRPr="00854F3A">
        <w:rPr>
          <w:rFonts w:cs="Times New Roman"/>
          <w:noProof/>
          <w:szCs w:val="24"/>
        </w:rPr>
        <w:t>.</w:t>
      </w:r>
    </w:p>
    <w:p w14:paraId="453201B7"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Wong, C., Wu, S., Duzgoren-Aydin, N., Aydin, A., &amp; Wong, M. (2007). Trace metal contamination of sediments in an e-waste processing village in China. </w:t>
      </w:r>
      <w:r w:rsidRPr="00854F3A">
        <w:rPr>
          <w:rFonts w:cs="Times New Roman"/>
          <w:i/>
          <w:iCs/>
          <w:noProof/>
          <w:szCs w:val="24"/>
        </w:rPr>
        <w:t>Environmental Pollution</w:t>
      </w:r>
      <w:r w:rsidRPr="00854F3A">
        <w:rPr>
          <w:rFonts w:cs="Times New Roman"/>
          <w:noProof/>
          <w:szCs w:val="24"/>
        </w:rPr>
        <w:t xml:space="preserve">, </w:t>
      </w:r>
      <w:r w:rsidRPr="00854F3A">
        <w:rPr>
          <w:rFonts w:cs="Times New Roman"/>
          <w:i/>
          <w:iCs/>
          <w:noProof/>
          <w:szCs w:val="24"/>
        </w:rPr>
        <w:t>145</w:t>
      </w:r>
      <w:r w:rsidRPr="00854F3A">
        <w:rPr>
          <w:rFonts w:cs="Times New Roman"/>
          <w:noProof/>
          <w:szCs w:val="24"/>
        </w:rPr>
        <w:t>, 434–442. https://doi.org/10.1016/j.envpol.2006.05.017</w:t>
      </w:r>
    </w:p>
    <w:p w14:paraId="2A789AA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World Health Organization. (2011). Manganese in Drinking-water. In </w:t>
      </w:r>
      <w:r w:rsidRPr="00854F3A">
        <w:rPr>
          <w:rFonts w:cs="Times New Roman"/>
          <w:i/>
          <w:iCs/>
          <w:noProof/>
          <w:szCs w:val="24"/>
        </w:rPr>
        <w:t>WHO Guidelines for Drinking-water Quality</w:t>
      </w:r>
      <w:r w:rsidRPr="00854F3A">
        <w:rPr>
          <w:rFonts w:cs="Times New Roman"/>
          <w:noProof/>
          <w:szCs w:val="24"/>
        </w:rPr>
        <w:t xml:space="preserve"> (pp. 1–21).</w:t>
      </w:r>
    </w:p>
    <w:p w14:paraId="6FD0E176"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Xie, S., Wen, Z., Zhan, H., &amp; Jin, M. (2018). An Experimental Study on the Adsorption and Desorption of Cu(II) in Silty Clay. </w:t>
      </w:r>
      <w:r w:rsidRPr="00854F3A">
        <w:rPr>
          <w:rFonts w:cs="Times New Roman"/>
          <w:i/>
          <w:iCs/>
          <w:noProof/>
          <w:szCs w:val="24"/>
        </w:rPr>
        <w:t>Geofluids</w:t>
      </w:r>
      <w:r w:rsidRPr="00854F3A">
        <w:rPr>
          <w:rFonts w:cs="Times New Roman"/>
          <w:noProof/>
          <w:szCs w:val="24"/>
        </w:rPr>
        <w:t xml:space="preserve">, </w:t>
      </w:r>
      <w:r w:rsidRPr="00854F3A">
        <w:rPr>
          <w:rFonts w:cs="Times New Roman"/>
          <w:i/>
          <w:iCs/>
          <w:noProof/>
          <w:szCs w:val="24"/>
        </w:rPr>
        <w:t>2018</w:t>
      </w:r>
      <w:r w:rsidRPr="00854F3A">
        <w:rPr>
          <w:rFonts w:cs="Times New Roman"/>
          <w:noProof/>
          <w:szCs w:val="24"/>
        </w:rPr>
        <w:t>, 12. https://doi.org/10.1155/2018/3610921</w:t>
      </w:r>
    </w:p>
    <w:p w14:paraId="3B6656F1" w14:textId="77777777" w:rsidR="00854F3A" w:rsidRP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Yeganeh, M., Afyuni, M., Khoshgoftarmanesh, A., &amp; Khodakarami, L. (2013). Mapping of human health risks arising from soil nickel and mercury. </w:t>
      </w:r>
      <w:r w:rsidRPr="00854F3A">
        <w:rPr>
          <w:rFonts w:cs="Times New Roman"/>
          <w:i/>
          <w:iCs/>
          <w:noProof/>
          <w:szCs w:val="24"/>
        </w:rPr>
        <w:t>Journal of Hazardous Materials</w:t>
      </w:r>
      <w:r w:rsidRPr="00854F3A">
        <w:rPr>
          <w:rFonts w:cs="Times New Roman"/>
          <w:noProof/>
          <w:szCs w:val="24"/>
        </w:rPr>
        <w:t xml:space="preserve">, </w:t>
      </w:r>
      <w:r w:rsidRPr="00854F3A">
        <w:rPr>
          <w:rFonts w:cs="Times New Roman"/>
          <w:i/>
          <w:iCs/>
          <w:noProof/>
          <w:szCs w:val="24"/>
        </w:rPr>
        <w:t>244</w:t>
      </w:r>
      <w:r w:rsidRPr="00854F3A">
        <w:rPr>
          <w:rFonts w:cs="Times New Roman"/>
          <w:noProof/>
          <w:szCs w:val="24"/>
        </w:rPr>
        <w:t>–</w:t>
      </w:r>
      <w:r w:rsidRPr="00854F3A">
        <w:rPr>
          <w:rFonts w:cs="Times New Roman"/>
          <w:i/>
          <w:iCs/>
          <w:noProof/>
          <w:szCs w:val="24"/>
        </w:rPr>
        <w:t>245</w:t>
      </w:r>
      <w:r w:rsidRPr="00854F3A">
        <w:rPr>
          <w:rFonts w:cs="Times New Roman"/>
          <w:noProof/>
          <w:szCs w:val="24"/>
        </w:rPr>
        <w:t>, 225–239. https://doi.org/10.1016/j.jhazmat.2012.11.040</w:t>
      </w:r>
    </w:p>
    <w:p w14:paraId="602224C1" w14:textId="04E72225" w:rsidR="00854F3A" w:rsidRDefault="00854F3A" w:rsidP="00854F3A">
      <w:pPr>
        <w:widowControl w:val="0"/>
        <w:autoSpaceDE w:val="0"/>
        <w:autoSpaceDN w:val="0"/>
        <w:adjustRightInd w:val="0"/>
        <w:ind w:left="720" w:hanging="720"/>
        <w:rPr>
          <w:rFonts w:cs="Times New Roman"/>
          <w:noProof/>
          <w:szCs w:val="24"/>
        </w:rPr>
      </w:pPr>
      <w:r w:rsidRPr="00854F3A">
        <w:rPr>
          <w:rFonts w:cs="Times New Roman"/>
          <w:noProof/>
          <w:szCs w:val="24"/>
        </w:rPr>
        <w:t xml:space="preserve">Zubi, G., Dufo-López, R., Carvalho, M., &amp; Pasaoglu, G. (2018). The lithium-ion battery: State of the art and future perspectives. </w:t>
      </w:r>
      <w:r w:rsidRPr="00854F3A">
        <w:rPr>
          <w:rFonts w:cs="Times New Roman"/>
          <w:i/>
          <w:iCs/>
          <w:noProof/>
          <w:szCs w:val="24"/>
        </w:rPr>
        <w:t>Renewable and Sustainable Energy Reviews</w:t>
      </w:r>
      <w:r w:rsidRPr="00854F3A">
        <w:rPr>
          <w:rFonts w:cs="Times New Roman"/>
          <w:noProof/>
          <w:szCs w:val="24"/>
        </w:rPr>
        <w:t xml:space="preserve">, </w:t>
      </w:r>
      <w:r w:rsidRPr="00854F3A">
        <w:rPr>
          <w:rFonts w:cs="Times New Roman"/>
          <w:i/>
          <w:iCs/>
          <w:noProof/>
          <w:szCs w:val="24"/>
        </w:rPr>
        <w:t>89</w:t>
      </w:r>
      <w:r w:rsidRPr="00854F3A">
        <w:rPr>
          <w:rFonts w:cs="Times New Roman"/>
          <w:noProof/>
          <w:szCs w:val="24"/>
        </w:rPr>
        <w:t>(April 2017), 292–308. https://doi.org/10.1016/j.rser.2018.03.002</w:t>
      </w:r>
    </w:p>
    <w:p w14:paraId="32159E77" w14:textId="77777777" w:rsidR="00854F3A" w:rsidRPr="00854F3A" w:rsidRDefault="00854F3A" w:rsidP="00854F3A">
      <w:pPr>
        <w:widowControl w:val="0"/>
        <w:autoSpaceDE w:val="0"/>
        <w:autoSpaceDN w:val="0"/>
        <w:adjustRightInd w:val="0"/>
        <w:ind w:left="480" w:hanging="480"/>
        <w:rPr>
          <w:rFonts w:cs="Times New Roman"/>
          <w:noProof/>
          <w:szCs w:val="24"/>
        </w:rPr>
      </w:pPr>
    </w:p>
    <w:p w14:paraId="5845EBCF" w14:textId="044491C3" w:rsidR="00547C97" w:rsidRPr="00854F3A" w:rsidRDefault="00412C1C" w:rsidP="00854F3A">
      <w:pPr>
        <w:pStyle w:val="Heading1"/>
        <w:numPr>
          <w:ilvl w:val="0"/>
          <w:numId w:val="0"/>
        </w:numPr>
        <w:contextualSpacing/>
        <w:jc w:val="left"/>
        <w:rPr>
          <w:b w:val="0"/>
        </w:rPr>
      </w:pPr>
      <w:r w:rsidRPr="00854F3A">
        <w:rPr>
          <w:rFonts w:cs="Times New Roman"/>
          <w:bCs/>
          <w:sz w:val="24"/>
          <w:szCs w:val="24"/>
        </w:rPr>
        <w:fldChar w:fldCharType="end"/>
      </w:r>
      <w:r w:rsidR="009B293F" w:rsidRPr="00412C1C">
        <w:rPr>
          <w:bCs/>
        </w:rPr>
        <w:br w:type="page"/>
      </w:r>
    </w:p>
    <w:p w14:paraId="2C6D9D1C" w14:textId="3D7AC40F" w:rsidR="000B2302" w:rsidRPr="003E7AE1" w:rsidRDefault="009B293F" w:rsidP="00F84424">
      <w:pPr>
        <w:pStyle w:val="Heading1"/>
      </w:pPr>
      <w:bookmarkStart w:id="192" w:name="_Toc71224029"/>
      <w:r>
        <w:lastRenderedPageBreak/>
        <w:t>Appendix</w:t>
      </w:r>
      <w:bookmarkEnd w:id="192"/>
    </w:p>
    <w:p w14:paraId="10435CE9" w14:textId="04F4902F" w:rsidR="009B293F" w:rsidRDefault="00283F3F" w:rsidP="001650CC">
      <w:pPr>
        <w:pStyle w:val="Caption"/>
        <w:spacing w:after="0" w:line="480" w:lineRule="auto"/>
      </w:pPr>
      <w:bookmarkStart w:id="193" w:name="_Toc69352485"/>
      <w:bookmarkStart w:id="194" w:name="_Toc69412285"/>
      <w:bookmarkStart w:id="195" w:name="_Toc71224039"/>
      <w:r w:rsidRPr="007E6AAE">
        <w:rPr>
          <w:b/>
          <w:bCs/>
        </w:rPr>
        <w:t>Table A.</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1</w:t>
      </w:r>
      <w:r w:rsidR="001650CC" w:rsidRPr="001650CC">
        <w:rPr>
          <w:b/>
          <w:bCs/>
        </w:rPr>
        <w:fldChar w:fldCharType="end"/>
      </w:r>
      <w:r w:rsidRPr="007E6AAE">
        <w:rPr>
          <w:b/>
          <w:bCs/>
        </w:rPr>
        <w:t>:</w:t>
      </w:r>
      <w:r>
        <w:t xml:space="preserve"> </w:t>
      </w:r>
      <w:r w:rsidR="000F07B9">
        <w:t>LIB NMC Powder</w:t>
      </w:r>
      <w:r>
        <w:t xml:space="preserve"> verify cobalt is detectable by the XRF</w:t>
      </w:r>
      <w:r w:rsidR="00D947AE">
        <w:t>.</w:t>
      </w:r>
      <w:bookmarkEnd w:id="193"/>
      <w:bookmarkEnd w:id="194"/>
      <w:bookmarkEnd w:id="195"/>
    </w:p>
    <w:tbl>
      <w:tblPr>
        <w:tblW w:w="7660" w:type="dxa"/>
        <w:jc w:val="center"/>
        <w:tblLook w:val="04A0" w:firstRow="1" w:lastRow="0" w:firstColumn="1" w:lastColumn="0" w:noHBand="0" w:noVBand="1"/>
      </w:tblPr>
      <w:tblGrid>
        <w:gridCol w:w="1224"/>
        <w:gridCol w:w="1288"/>
        <w:gridCol w:w="1287"/>
        <w:gridCol w:w="1287"/>
        <w:gridCol w:w="1287"/>
        <w:gridCol w:w="1287"/>
      </w:tblGrid>
      <w:tr w:rsidR="00283F3F" w:rsidRPr="00283F3F" w14:paraId="59AF19BE" w14:textId="77777777" w:rsidTr="001E0C7F">
        <w:trPr>
          <w:trHeight w:val="276"/>
          <w:jc w:val="center"/>
        </w:trPr>
        <w:tc>
          <w:tcPr>
            <w:tcW w:w="7660" w:type="dxa"/>
            <w:gridSpan w:val="6"/>
            <w:tcBorders>
              <w:top w:val="nil"/>
              <w:left w:val="nil"/>
              <w:bottom w:val="single" w:sz="4" w:space="0" w:color="auto"/>
              <w:right w:val="nil"/>
            </w:tcBorders>
            <w:shd w:val="clear" w:color="auto" w:fill="auto"/>
            <w:noWrap/>
            <w:vAlign w:val="center"/>
            <w:hideMark/>
          </w:tcPr>
          <w:p w14:paraId="3E1F8145" w14:textId="6F6068F3" w:rsidR="00283F3F" w:rsidRPr="00283F3F" w:rsidRDefault="00283F3F" w:rsidP="00283F3F">
            <w:pPr>
              <w:spacing w:line="240" w:lineRule="auto"/>
              <w:jc w:val="center"/>
              <w:rPr>
                <w:rFonts w:eastAsia="Times New Roman" w:cs="Times New Roman"/>
                <w:b/>
                <w:bCs/>
                <w:color w:val="000000"/>
                <w:sz w:val="22"/>
              </w:rPr>
            </w:pPr>
            <w:r w:rsidRPr="00283F3F">
              <w:rPr>
                <w:rFonts w:eastAsia="Times New Roman" w:cs="Times New Roman"/>
                <w:b/>
                <w:bCs/>
                <w:color w:val="000000"/>
                <w:sz w:val="22"/>
              </w:rPr>
              <w:t xml:space="preserve">LIB Powder </w:t>
            </w:r>
            <w:r w:rsidR="009E4035">
              <w:rPr>
                <w:rFonts w:eastAsia="Times New Roman" w:cs="Times New Roman"/>
                <w:b/>
                <w:bCs/>
                <w:color w:val="000000"/>
                <w:sz w:val="22"/>
              </w:rPr>
              <w:t>(mg/kg)</w:t>
            </w:r>
          </w:p>
        </w:tc>
      </w:tr>
      <w:tr w:rsidR="00283F3F" w:rsidRPr="00283F3F" w14:paraId="30DC43C5" w14:textId="77777777" w:rsidTr="001E0C7F">
        <w:trPr>
          <w:trHeight w:val="276"/>
          <w:jc w:val="center"/>
        </w:trPr>
        <w:tc>
          <w:tcPr>
            <w:tcW w:w="1224" w:type="dxa"/>
            <w:tcBorders>
              <w:top w:val="nil"/>
              <w:left w:val="nil"/>
              <w:bottom w:val="single" w:sz="4" w:space="0" w:color="auto"/>
              <w:right w:val="single" w:sz="4" w:space="0" w:color="auto"/>
            </w:tcBorders>
            <w:shd w:val="clear" w:color="auto" w:fill="auto"/>
            <w:noWrap/>
            <w:vAlign w:val="center"/>
            <w:hideMark/>
          </w:tcPr>
          <w:p w14:paraId="2D7B7A85" w14:textId="77777777" w:rsidR="00283F3F" w:rsidRPr="00283F3F" w:rsidRDefault="00283F3F" w:rsidP="00283F3F">
            <w:pPr>
              <w:spacing w:line="240" w:lineRule="auto"/>
              <w:rPr>
                <w:rFonts w:eastAsia="Times New Roman" w:cs="Times New Roman"/>
                <w:b/>
                <w:bCs/>
                <w:color w:val="000000"/>
                <w:sz w:val="22"/>
              </w:rPr>
            </w:pPr>
            <w:r w:rsidRPr="00283F3F">
              <w:rPr>
                <w:rFonts w:eastAsia="Times New Roman" w:cs="Times New Roman"/>
                <w:b/>
                <w:bCs/>
                <w:color w:val="000000"/>
                <w:sz w:val="22"/>
              </w:rPr>
              <w:t>Sample</w:t>
            </w:r>
          </w:p>
        </w:tc>
        <w:tc>
          <w:tcPr>
            <w:tcW w:w="1288" w:type="dxa"/>
            <w:tcBorders>
              <w:top w:val="nil"/>
              <w:left w:val="nil"/>
              <w:bottom w:val="single" w:sz="4" w:space="0" w:color="auto"/>
              <w:right w:val="nil"/>
            </w:tcBorders>
            <w:shd w:val="clear" w:color="auto" w:fill="auto"/>
            <w:noWrap/>
            <w:vAlign w:val="center"/>
            <w:hideMark/>
          </w:tcPr>
          <w:p w14:paraId="75181AC0" w14:textId="01CC67D8" w:rsidR="00283F3F" w:rsidRPr="00283F3F" w:rsidRDefault="00283F3F" w:rsidP="001E0C7F">
            <w:pPr>
              <w:spacing w:line="240" w:lineRule="auto"/>
              <w:jc w:val="center"/>
              <w:rPr>
                <w:rFonts w:eastAsia="Times New Roman" w:cs="Times New Roman"/>
                <w:b/>
                <w:bCs/>
                <w:color w:val="000000"/>
                <w:sz w:val="22"/>
              </w:rPr>
            </w:pPr>
            <w:r w:rsidRPr="00283F3F">
              <w:rPr>
                <w:rFonts w:eastAsia="Times New Roman" w:cs="Times New Roman"/>
                <w:b/>
                <w:bCs/>
                <w:color w:val="000000"/>
                <w:sz w:val="22"/>
              </w:rPr>
              <w:t>C</w:t>
            </w:r>
            <w:r w:rsidR="003206D5">
              <w:rPr>
                <w:rFonts w:eastAsia="Times New Roman" w:cs="Times New Roman"/>
                <w:b/>
                <w:bCs/>
                <w:color w:val="000000"/>
                <w:sz w:val="22"/>
              </w:rPr>
              <w:t>opper</w:t>
            </w:r>
          </w:p>
        </w:tc>
        <w:tc>
          <w:tcPr>
            <w:tcW w:w="1287" w:type="dxa"/>
            <w:tcBorders>
              <w:top w:val="nil"/>
              <w:left w:val="nil"/>
              <w:bottom w:val="single" w:sz="4" w:space="0" w:color="auto"/>
              <w:right w:val="nil"/>
            </w:tcBorders>
            <w:shd w:val="clear" w:color="auto" w:fill="auto"/>
            <w:noWrap/>
            <w:vAlign w:val="center"/>
            <w:hideMark/>
          </w:tcPr>
          <w:p w14:paraId="38C7412B" w14:textId="7FB8F88E" w:rsidR="00283F3F" w:rsidRPr="00283F3F" w:rsidRDefault="003206D5" w:rsidP="001E0C7F">
            <w:pPr>
              <w:spacing w:line="240" w:lineRule="auto"/>
              <w:jc w:val="center"/>
              <w:rPr>
                <w:rFonts w:eastAsia="Times New Roman" w:cs="Times New Roman"/>
                <w:b/>
                <w:bCs/>
                <w:color w:val="000000"/>
                <w:sz w:val="22"/>
              </w:rPr>
            </w:pPr>
            <w:r>
              <w:rPr>
                <w:rFonts w:eastAsia="Times New Roman" w:cs="Times New Roman"/>
                <w:b/>
                <w:bCs/>
                <w:color w:val="000000"/>
                <w:sz w:val="22"/>
              </w:rPr>
              <w:t>Nickel</w:t>
            </w:r>
          </w:p>
        </w:tc>
        <w:tc>
          <w:tcPr>
            <w:tcW w:w="1287" w:type="dxa"/>
            <w:tcBorders>
              <w:top w:val="nil"/>
              <w:left w:val="nil"/>
              <w:bottom w:val="single" w:sz="4" w:space="0" w:color="auto"/>
              <w:right w:val="nil"/>
            </w:tcBorders>
            <w:shd w:val="clear" w:color="auto" w:fill="auto"/>
            <w:noWrap/>
            <w:vAlign w:val="center"/>
            <w:hideMark/>
          </w:tcPr>
          <w:p w14:paraId="4F1BED8E" w14:textId="0805EF39" w:rsidR="00283F3F" w:rsidRPr="00283F3F" w:rsidRDefault="003206D5" w:rsidP="001E0C7F">
            <w:pPr>
              <w:spacing w:line="240" w:lineRule="auto"/>
              <w:jc w:val="center"/>
              <w:rPr>
                <w:rFonts w:eastAsia="Times New Roman" w:cs="Times New Roman"/>
                <w:b/>
                <w:bCs/>
                <w:color w:val="000000"/>
                <w:sz w:val="22"/>
              </w:rPr>
            </w:pPr>
            <w:r>
              <w:rPr>
                <w:rFonts w:eastAsia="Times New Roman" w:cs="Times New Roman"/>
                <w:b/>
                <w:bCs/>
                <w:color w:val="000000"/>
                <w:sz w:val="22"/>
              </w:rPr>
              <w:t>Cobalt</w:t>
            </w:r>
          </w:p>
        </w:tc>
        <w:tc>
          <w:tcPr>
            <w:tcW w:w="1287" w:type="dxa"/>
            <w:tcBorders>
              <w:top w:val="nil"/>
              <w:left w:val="nil"/>
              <w:bottom w:val="single" w:sz="4" w:space="0" w:color="auto"/>
              <w:right w:val="nil"/>
            </w:tcBorders>
            <w:shd w:val="clear" w:color="auto" w:fill="auto"/>
            <w:noWrap/>
            <w:vAlign w:val="center"/>
            <w:hideMark/>
          </w:tcPr>
          <w:p w14:paraId="7D753FBE" w14:textId="6817213B" w:rsidR="00283F3F" w:rsidRPr="00283F3F" w:rsidRDefault="003206D5" w:rsidP="001E0C7F">
            <w:pPr>
              <w:spacing w:line="240" w:lineRule="auto"/>
              <w:jc w:val="center"/>
              <w:rPr>
                <w:rFonts w:eastAsia="Times New Roman" w:cs="Times New Roman"/>
                <w:b/>
                <w:bCs/>
                <w:color w:val="000000"/>
                <w:sz w:val="22"/>
              </w:rPr>
            </w:pPr>
            <w:r>
              <w:rPr>
                <w:rFonts w:eastAsia="Times New Roman" w:cs="Times New Roman"/>
                <w:b/>
                <w:bCs/>
                <w:color w:val="000000"/>
                <w:sz w:val="22"/>
              </w:rPr>
              <w:t>Manganese</w:t>
            </w:r>
          </w:p>
        </w:tc>
        <w:tc>
          <w:tcPr>
            <w:tcW w:w="1287" w:type="dxa"/>
            <w:tcBorders>
              <w:top w:val="nil"/>
              <w:left w:val="nil"/>
              <w:bottom w:val="single" w:sz="4" w:space="0" w:color="auto"/>
              <w:right w:val="nil"/>
            </w:tcBorders>
            <w:shd w:val="clear" w:color="auto" w:fill="auto"/>
            <w:noWrap/>
            <w:vAlign w:val="center"/>
            <w:hideMark/>
          </w:tcPr>
          <w:p w14:paraId="161B5017" w14:textId="10A3DFB9" w:rsidR="00283F3F" w:rsidRPr="00283F3F" w:rsidRDefault="003206D5" w:rsidP="001E0C7F">
            <w:pPr>
              <w:spacing w:line="240" w:lineRule="auto"/>
              <w:jc w:val="center"/>
              <w:rPr>
                <w:rFonts w:eastAsia="Times New Roman" w:cs="Times New Roman"/>
                <w:b/>
                <w:bCs/>
                <w:color w:val="000000"/>
                <w:sz w:val="22"/>
              </w:rPr>
            </w:pPr>
            <w:r>
              <w:rPr>
                <w:rFonts w:eastAsia="Times New Roman" w:cs="Times New Roman"/>
                <w:b/>
                <w:bCs/>
                <w:color w:val="000000"/>
                <w:sz w:val="22"/>
              </w:rPr>
              <w:t>Aluminum</w:t>
            </w:r>
          </w:p>
        </w:tc>
      </w:tr>
      <w:tr w:rsidR="00AF5E33" w:rsidRPr="00283F3F" w14:paraId="6180F693" w14:textId="77777777" w:rsidTr="005520BD">
        <w:trPr>
          <w:trHeight w:val="276"/>
          <w:jc w:val="center"/>
        </w:trPr>
        <w:tc>
          <w:tcPr>
            <w:tcW w:w="1224" w:type="dxa"/>
            <w:tcBorders>
              <w:top w:val="nil"/>
              <w:left w:val="nil"/>
              <w:bottom w:val="nil"/>
              <w:right w:val="single" w:sz="4" w:space="0" w:color="auto"/>
            </w:tcBorders>
            <w:shd w:val="clear" w:color="auto" w:fill="auto"/>
            <w:noWrap/>
            <w:vAlign w:val="center"/>
            <w:hideMark/>
          </w:tcPr>
          <w:p w14:paraId="0D20A600" w14:textId="4B5F2C02" w:rsidR="00AF5E33" w:rsidRPr="00283F3F" w:rsidRDefault="00AF5E33" w:rsidP="00AF5E33">
            <w:pPr>
              <w:spacing w:line="240" w:lineRule="auto"/>
              <w:jc w:val="center"/>
              <w:rPr>
                <w:rFonts w:eastAsia="Times New Roman" w:cs="Times New Roman"/>
                <w:b/>
                <w:bCs/>
                <w:color w:val="000000"/>
                <w:sz w:val="22"/>
              </w:rPr>
            </w:pPr>
            <w:r>
              <w:rPr>
                <w:rFonts w:eastAsia="Times New Roman" w:cs="Times New Roman"/>
                <w:b/>
                <w:bCs/>
                <w:color w:val="000000"/>
                <w:sz w:val="22"/>
              </w:rPr>
              <w:t>1</w:t>
            </w:r>
          </w:p>
        </w:tc>
        <w:tc>
          <w:tcPr>
            <w:tcW w:w="1288" w:type="dxa"/>
            <w:tcBorders>
              <w:top w:val="nil"/>
              <w:left w:val="nil"/>
              <w:bottom w:val="nil"/>
              <w:right w:val="nil"/>
            </w:tcBorders>
            <w:shd w:val="clear" w:color="auto" w:fill="auto"/>
            <w:noWrap/>
            <w:vAlign w:val="bottom"/>
            <w:hideMark/>
          </w:tcPr>
          <w:p w14:paraId="388D01C7" w14:textId="5C598012" w:rsidR="00AF5E33" w:rsidRPr="00283F3F" w:rsidRDefault="00AF5E33" w:rsidP="00AF5E33">
            <w:pPr>
              <w:spacing w:line="240" w:lineRule="auto"/>
              <w:jc w:val="center"/>
              <w:rPr>
                <w:rFonts w:eastAsia="Times New Roman" w:cs="Times New Roman"/>
                <w:color w:val="000000"/>
                <w:sz w:val="22"/>
              </w:rPr>
            </w:pPr>
            <w:r>
              <w:rPr>
                <w:color w:val="000000"/>
              </w:rPr>
              <w:t>154989.8</w:t>
            </w:r>
            <w:r w:rsidR="005641E9">
              <w:rPr>
                <w:color w:val="000000"/>
              </w:rPr>
              <w:t>0</w:t>
            </w:r>
          </w:p>
        </w:tc>
        <w:tc>
          <w:tcPr>
            <w:tcW w:w="1287" w:type="dxa"/>
            <w:tcBorders>
              <w:top w:val="nil"/>
              <w:left w:val="nil"/>
              <w:bottom w:val="nil"/>
              <w:right w:val="nil"/>
            </w:tcBorders>
            <w:shd w:val="clear" w:color="auto" w:fill="auto"/>
            <w:noWrap/>
            <w:vAlign w:val="bottom"/>
            <w:hideMark/>
          </w:tcPr>
          <w:p w14:paraId="1489F67A" w14:textId="6FBDB86F" w:rsidR="00AF5E33" w:rsidRPr="00283F3F" w:rsidRDefault="00AF5E33" w:rsidP="00AF5E33">
            <w:pPr>
              <w:spacing w:line="240" w:lineRule="auto"/>
              <w:jc w:val="center"/>
              <w:rPr>
                <w:rFonts w:eastAsia="Times New Roman" w:cs="Times New Roman"/>
                <w:color w:val="000000"/>
                <w:sz w:val="22"/>
              </w:rPr>
            </w:pPr>
            <w:r>
              <w:rPr>
                <w:color w:val="000000"/>
              </w:rPr>
              <w:t>219189.5</w:t>
            </w:r>
            <w:r w:rsidR="005641E9">
              <w:rPr>
                <w:color w:val="000000"/>
              </w:rPr>
              <w:t>0</w:t>
            </w:r>
          </w:p>
        </w:tc>
        <w:tc>
          <w:tcPr>
            <w:tcW w:w="1287" w:type="dxa"/>
            <w:tcBorders>
              <w:top w:val="nil"/>
              <w:left w:val="nil"/>
              <w:bottom w:val="nil"/>
              <w:right w:val="nil"/>
            </w:tcBorders>
            <w:shd w:val="clear" w:color="auto" w:fill="auto"/>
            <w:noWrap/>
            <w:vAlign w:val="bottom"/>
            <w:hideMark/>
          </w:tcPr>
          <w:p w14:paraId="0BC16F3B" w14:textId="51F39DC0" w:rsidR="00AF5E33" w:rsidRPr="00283F3F" w:rsidRDefault="00AF5E33" w:rsidP="00AF5E33">
            <w:pPr>
              <w:spacing w:line="240" w:lineRule="auto"/>
              <w:jc w:val="center"/>
              <w:rPr>
                <w:rFonts w:eastAsia="Times New Roman" w:cs="Times New Roman"/>
                <w:color w:val="000000"/>
                <w:sz w:val="22"/>
              </w:rPr>
            </w:pPr>
            <w:r>
              <w:rPr>
                <w:color w:val="000000"/>
              </w:rPr>
              <w:t>38460.61</w:t>
            </w:r>
          </w:p>
        </w:tc>
        <w:tc>
          <w:tcPr>
            <w:tcW w:w="1287" w:type="dxa"/>
            <w:tcBorders>
              <w:top w:val="nil"/>
              <w:left w:val="nil"/>
              <w:bottom w:val="nil"/>
              <w:right w:val="nil"/>
            </w:tcBorders>
            <w:shd w:val="clear" w:color="auto" w:fill="auto"/>
            <w:noWrap/>
            <w:vAlign w:val="bottom"/>
            <w:hideMark/>
          </w:tcPr>
          <w:p w14:paraId="16D4D3CC" w14:textId="7EF9E448" w:rsidR="00AF5E33" w:rsidRPr="00283F3F" w:rsidRDefault="00AF5E33" w:rsidP="00AF5E33">
            <w:pPr>
              <w:spacing w:line="240" w:lineRule="auto"/>
              <w:jc w:val="center"/>
              <w:rPr>
                <w:rFonts w:eastAsia="Times New Roman" w:cs="Times New Roman"/>
                <w:color w:val="000000"/>
                <w:sz w:val="22"/>
              </w:rPr>
            </w:pPr>
            <w:r>
              <w:rPr>
                <w:color w:val="000000"/>
              </w:rPr>
              <w:t>40620.86</w:t>
            </w:r>
          </w:p>
        </w:tc>
        <w:tc>
          <w:tcPr>
            <w:tcW w:w="1287" w:type="dxa"/>
            <w:tcBorders>
              <w:top w:val="nil"/>
              <w:left w:val="nil"/>
              <w:bottom w:val="nil"/>
              <w:right w:val="nil"/>
            </w:tcBorders>
            <w:shd w:val="clear" w:color="auto" w:fill="auto"/>
            <w:noWrap/>
            <w:vAlign w:val="bottom"/>
            <w:hideMark/>
          </w:tcPr>
          <w:p w14:paraId="7DCDF6C6" w14:textId="43746180" w:rsidR="00AF5E33" w:rsidRPr="00283F3F" w:rsidRDefault="00AF5E33" w:rsidP="00AF5E33">
            <w:pPr>
              <w:spacing w:line="240" w:lineRule="auto"/>
              <w:jc w:val="center"/>
              <w:rPr>
                <w:rFonts w:eastAsia="Times New Roman" w:cs="Times New Roman"/>
                <w:color w:val="000000"/>
                <w:sz w:val="22"/>
              </w:rPr>
            </w:pPr>
            <w:r>
              <w:rPr>
                <w:color w:val="000000"/>
              </w:rPr>
              <w:t>69555.35</w:t>
            </w:r>
          </w:p>
        </w:tc>
      </w:tr>
      <w:tr w:rsidR="00AF5E33" w:rsidRPr="00283F3F" w14:paraId="0F6A4D8B" w14:textId="77777777" w:rsidTr="00AF5E33">
        <w:trPr>
          <w:trHeight w:val="276"/>
          <w:jc w:val="center"/>
        </w:trPr>
        <w:tc>
          <w:tcPr>
            <w:tcW w:w="1224" w:type="dxa"/>
            <w:tcBorders>
              <w:top w:val="nil"/>
              <w:left w:val="nil"/>
              <w:right w:val="single" w:sz="4" w:space="0" w:color="auto"/>
            </w:tcBorders>
            <w:shd w:val="clear" w:color="auto" w:fill="auto"/>
            <w:noWrap/>
            <w:vAlign w:val="center"/>
            <w:hideMark/>
          </w:tcPr>
          <w:p w14:paraId="2B804DEE" w14:textId="157C4A43" w:rsidR="00AF5E33" w:rsidRPr="00283F3F" w:rsidRDefault="00AF5E33" w:rsidP="00AF5E33">
            <w:pPr>
              <w:spacing w:line="240" w:lineRule="auto"/>
              <w:jc w:val="center"/>
              <w:rPr>
                <w:rFonts w:eastAsia="Times New Roman" w:cs="Times New Roman"/>
                <w:b/>
                <w:bCs/>
                <w:color w:val="000000"/>
                <w:sz w:val="22"/>
              </w:rPr>
            </w:pPr>
            <w:r>
              <w:rPr>
                <w:rFonts w:eastAsia="Times New Roman" w:cs="Times New Roman"/>
                <w:b/>
                <w:bCs/>
                <w:color w:val="000000"/>
                <w:sz w:val="22"/>
              </w:rPr>
              <w:t>2</w:t>
            </w:r>
          </w:p>
        </w:tc>
        <w:tc>
          <w:tcPr>
            <w:tcW w:w="1288" w:type="dxa"/>
            <w:tcBorders>
              <w:top w:val="nil"/>
              <w:left w:val="nil"/>
              <w:right w:val="nil"/>
            </w:tcBorders>
            <w:shd w:val="clear" w:color="auto" w:fill="auto"/>
            <w:noWrap/>
            <w:vAlign w:val="bottom"/>
            <w:hideMark/>
          </w:tcPr>
          <w:p w14:paraId="743A65D8" w14:textId="70931538" w:rsidR="00AF5E33" w:rsidRPr="00283F3F" w:rsidRDefault="00AF5E33" w:rsidP="00AF5E33">
            <w:pPr>
              <w:spacing w:line="240" w:lineRule="auto"/>
              <w:jc w:val="center"/>
              <w:rPr>
                <w:rFonts w:eastAsia="Times New Roman" w:cs="Times New Roman"/>
                <w:color w:val="000000"/>
                <w:sz w:val="22"/>
              </w:rPr>
            </w:pPr>
            <w:r>
              <w:rPr>
                <w:color w:val="000000"/>
              </w:rPr>
              <w:t>155226.6</w:t>
            </w:r>
            <w:r w:rsidR="005641E9">
              <w:rPr>
                <w:color w:val="000000"/>
              </w:rPr>
              <w:t>0</w:t>
            </w:r>
          </w:p>
        </w:tc>
        <w:tc>
          <w:tcPr>
            <w:tcW w:w="1287" w:type="dxa"/>
            <w:tcBorders>
              <w:top w:val="nil"/>
              <w:left w:val="nil"/>
              <w:right w:val="nil"/>
            </w:tcBorders>
            <w:shd w:val="clear" w:color="auto" w:fill="auto"/>
            <w:noWrap/>
            <w:vAlign w:val="bottom"/>
            <w:hideMark/>
          </w:tcPr>
          <w:p w14:paraId="7F620D1F" w14:textId="1FE35843" w:rsidR="00AF5E33" w:rsidRPr="00283F3F" w:rsidRDefault="00AF5E33" w:rsidP="00AF5E33">
            <w:pPr>
              <w:spacing w:line="240" w:lineRule="auto"/>
              <w:jc w:val="center"/>
              <w:rPr>
                <w:rFonts w:eastAsia="Times New Roman" w:cs="Times New Roman"/>
                <w:color w:val="000000"/>
                <w:sz w:val="22"/>
              </w:rPr>
            </w:pPr>
            <w:r>
              <w:rPr>
                <w:color w:val="000000"/>
              </w:rPr>
              <w:t>217057.3</w:t>
            </w:r>
            <w:r w:rsidR="005641E9">
              <w:rPr>
                <w:color w:val="000000"/>
              </w:rPr>
              <w:t>0</w:t>
            </w:r>
          </w:p>
        </w:tc>
        <w:tc>
          <w:tcPr>
            <w:tcW w:w="1287" w:type="dxa"/>
            <w:tcBorders>
              <w:top w:val="nil"/>
              <w:left w:val="nil"/>
              <w:right w:val="nil"/>
            </w:tcBorders>
            <w:shd w:val="clear" w:color="auto" w:fill="auto"/>
            <w:noWrap/>
            <w:vAlign w:val="bottom"/>
            <w:hideMark/>
          </w:tcPr>
          <w:p w14:paraId="6F9E4FA0" w14:textId="21F36B19" w:rsidR="00AF5E33" w:rsidRPr="00283F3F" w:rsidRDefault="00AF5E33" w:rsidP="00AF5E33">
            <w:pPr>
              <w:spacing w:line="240" w:lineRule="auto"/>
              <w:jc w:val="center"/>
              <w:rPr>
                <w:rFonts w:eastAsia="Times New Roman" w:cs="Times New Roman"/>
                <w:color w:val="000000"/>
                <w:sz w:val="22"/>
              </w:rPr>
            </w:pPr>
            <w:r>
              <w:rPr>
                <w:color w:val="000000"/>
              </w:rPr>
              <w:t>38455</w:t>
            </w:r>
            <w:r w:rsidR="005641E9">
              <w:rPr>
                <w:color w:val="000000"/>
              </w:rPr>
              <w:t>.00</w:t>
            </w:r>
          </w:p>
        </w:tc>
        <w:tc>
          <w:tcPr>
            <w:tcW w:w="1287" w:type="dxa"/>
            <w:tcBorders>
              <w:top w:val="nil"/>
              <w:left w:val="nil"/>
              <w:right w:val="nil"/>
            </w:tcBorders>
            <w:shd w:val="clear" w:color="auto" w:fill="auto"/>
            <w:noWrap/>
            <w:vAlign w:val="bottom"/>
            <w:hideMark/>
          </w:tcPr>
          <w:p w14:paraId="2761A696" w14:textId="48067D7C" w:rsidR="00AF5E33" w:rsidRPr="00283F3F" w:rsidRDefault="00AF5E33" w:rsidP="00AF5E33">
            <w:pPr>
              <w:spacing w:line="240" w:lineRule="auto"/>
              <w:jc w:val="center"/>
              <w:rPr>
                <w:rFonts w:eastAsia="Times New Roman" w:cs="Times New Roman"/>
                <w:color w:val="000000"/>
                <w:sz w:val="22"/>
              </w:rPr>
            </w:pPr>
            <w:r>
              <w:rPr>
                <w:color w:val="000000"/>
              </w:rPr>
              <w:t>40272.52</w:t>
            </w:r>
          </w:p>
        </w:tc>
        <w:tc>
          <w:tcPr>
            <w:tcW w:w="1287" w:type="dxa"/>
            <w:tcBorders>
              <w:top w:val="nil"/>
              <w:left w:val="nil"/>
              <w:right w:val="nil"/>
            </w:tcBorders>
            <w:shd w:val="clear" w:color="auto" w:fill="auto"/>
            <w:noWrap/>
            <w:vAlign w:val="bottom"/>
            <w:hideMark/>
          </w:tcPr>
          <w:p w14:paraId="68408CE6" w14:textId="393AFD8D" w:rsidR="00AF5E33" w:rsidRPr="00283F3F" w:rsidRDefault="00AF5E33" w:rsidP="00AF5E33">
            <w:pPr>
              <w:spacing w:line="240" w:lineRule="auto"/>
              <w:jc w:val="center"/>
              <w:rPr>
                <w:rFonts w:eastAsia="Times New Roman" w:cs="Times New Roman"/>
                <w:color w:val="000000"/>
                <w:sz w:val="22"/>
              </w:rPr>
            </w:pPr>
            <w:r>
              <w:rPr>
                <w:color w:val="000000"/>
              </w:rPr>
              <w:t>67551.92</w:t>
            </w:r>
          </w:p>
        </w:tc>
      </w:tr>
      <w:tr w:rsidR="00AF5E33" w:rsidRPr="00283F3F" w14:paraId="1AFAD8A5" w14:textId="77777777" w:rsidTr="00AF5E33">
        <w:trPr>
          <w:trHeight w:val="276"/>
          <w:jc w:val="center"/>
        </w:trPr>
        <w:tc>
          <w:tcPr>
            <w:tcW w:w="1224" w:type="dxa"/>
            <w:tcBorders>
              <w:top w:val="nil"/>
              <w:left w:val="nil"/>
              <w:bottom w:val="single" w:sz="4" w:space="0" w:color="auto"/>
              <w:right w:val="single" w:sz="4" w:space="0" w:color="auto"/>
            </w:tcBorders>
            <w:shd w:val="clear" w:color="auto" w:fill="auto"/>
            <w:noWrap/>
            <w:vAlign w:val="center"/>
            <w:hideMark/>
          </w:tcPr>
          <w:p w14:paraId="7C2D75E1" w14:textId="5882301A" w:rsidR="00AF5E33" w:rsidRPr="00283F3F" w:rsidRDefault="00AF5E33" w:rsidP="00AF5E33">
            <w:pPr>
              <w:spacing w:line="240" w:lineRule="auto"/>
              <w:jc w:val="center"/>
              <w:rPr>
                <w:rFonts w:eastAsia="Times New Roman" w:cs="Times New Roman"/>
                <w:b/>
                <w:bCs/>
                <w:color w:val="000000"/>
                <w:sz w:val="22"/>
              </w:rPr>
            </w:pPr>
            <w:r>
              <w:rPr>
                <w:rFonts w:eastAsia="Times New Roman" w:cs="Times New Roman"/>
                <w:b/>
                <w:bCs/>
                <w:color w:val="000000"/>
                <w:sz w:val="22"/>
              </w:rPr>
              <w:t>3</w:t>
            </w:r>
          </w:p>
        </w:tc>
        <w:tc>
          <w:tcPr>
            <w:tcW w:w="1288" w:type="dxa"/>
            <w:tcBorders>
              <w:top w:val="nil"/>
              <w:left w:val="nil"/>
              <w:bottom w:val="single" w:sz="4" w:space="0" w:color="auto"/>
              <w:right w:val="nil"/>
            </w:tcBorders>
            <w:shd w:val="clear" w:color="auto" w:fill="auto"/>
            <w:noWrap/>
            <w:vAlign w:val="bottom"/>
            <w:hideMark/>
          </w:tcPr>
          <w:p w14:paraId="77103544" w14:textId="55A1E7A6" w:rsidR="00AF5E33" w:rsidRPr="00283F3F" w:rsidRDefault="00AF5E33" w:rsidP="00AF5E33">
            <w:pPr>
              <w:spacing w:line="240" w:lineRule="auto"/>
              <w:jc w:val="center"/>
              <w:rPr>
                <w:rFonts w:eastAsia="Times New Roman" w:cs="Times New Roman"/>
                <w:color w:val="000000"/>
                <w:sz w:val="22"/>
              </w:rPr>
            </w:pPr>
            <w:r>
              <w:rPr>
                <w:color w:val="000000"/>
              </w:rPr>
              <w:t>154784.5</w:t>
            </w:r>
            <w:r w:rsidR="005641E9">
              <w:rPr>
                <w:color w:val="000000"/>
              </w:rPr>
              <w:t>0</w:t>
            </w:r>
          </w:p>
        </w:tc>
        <w:tc>
          <w:tcPr>
            <w:tcW w:w="1287" w:type="dxa"/>
            <w:tcBorders>
              <w:top w:val="nil"/>
              <w:left w:val="nil"/>
              <w:bottom w:val="single" w:sz="4" w:space="0" w:color="auto"/>
              <w:right w:val="nil"/>
            </w:tcBorders>
            <w:shd w:val="clear" w:color="auto" w:fill="auto"/>
            <w:noWrap/>
            <w:vAlign w:val="bottom"/>
            <w:hideMark/>
          </w:tcPr>
          <w:p w14:paraId="43D86DB6" w14:textId="610BE1D3" w:rsidR="005641E9" w:rsidRPr="005641E9" w:rsidRDefault="00AF5E33" w:rsidP="005641E9">
            <w:pPr>
              <w:spacing w:line="240" w:lineRule="auto"/>
              <w:jc w:val="center"/>
              <w:rPr>
                <w:color w:val="000000"/>
              </w:rPr>
            </w:pPr>
            <w:r>
              <w:rPr>
                <w:color w:val="000000"/>
              </w:rPr>
              <w:t>219658</w:t>
            </w:r>
            <w:r w:rsidR="005641E9">
              <w:rPr>
                <w:color w:val="000000"/>
              </w:rPr>
              <w:t>.00</w:t>
            </w:r>
          </w:p>
        </w:tc>
        <w:tc>
          <w:tcPr>
            <w:tcW w:w="1287" w:type="dxa"/>
            <w:tcBorders>
              <w:top w:val="nil"/>
              <w:left w:val="nil"/>
              <w:bottom w:val="single" w:sz="4" w:space="0" w:color="auto"/>
              <w:right w:val="nil"/>
            </w:tcBorders>
            <w:shd w:val="clear" w:color="auto" w:fill="auto"/>
            <w:noWrap/>
            <w:vAlign w:val="bottom"/>
            <w:hideMark/>
          </w:tcPr>
          <w:p w14:paraId="60F5AA45" w14:textId="1B2ED9EC" w:rsidR="00AF5E33" w:rsidRPr="00283F3F" w:rsidRDefault="00AF5E33" w:rsidP="00AF5E33">
            <w:pPr>
              <w:spacing w:line="240" w:lineRule="auto"/>
              <w:jc w:val="center"/>
              <w:rPr>
                <w:rFonts w:eastAsia="Times New Roman" w:cs="Times New Roman"/>
                <w:color w:val="000000"/>
                <w:sz w:val="22"/>
              </w:rPr>
            </w:pPr>
            <w:r>
              <w:rPr>
                <w:color w:val="000000"/>
              </w:rPr>
              <w:t>38699</w:t>
            </w:r>
            <w:r w:rsidR="005641E9">
              <w:rPr>
                <w:color w:val="000000"/>
              </w:rPr>
              <w:t>.00</w:t>
            </w:r>
          </w:p>
        </w:tc>
        <w:tc>
          <w:tcPr>
            <w:tcW w:w="1287" w:type="dxa"/>
            <w:tcBorders>
              <w:top w:val="nil"/>
              <w:left w:val="nil"/>
              <w:bottom w:val="single" w:sz="4" w:space="0" w:color="auto"/>
              <w:right w:val="nil"/>
            </w:tcBorders>
            <w:shd w:val="clear" w:color="auto" w:fill="auto"/>
            <w:noWrap/>
            <w:vAlign w:val="bottom"/>
            <w:hideMark/>
          </w:tcPr>
          <w:p w14:paraId="4B91FA06" w14:textId="0ECB7949" w:rsidR="00AF5E33" w:rsidRPr="00283F3F" w:rsidRDefault="00AF5E33" w:rsidP="00AF5E33">
            <w:pPr>
              <w:spacing w:line="240" w:lineRule="auto"/>
              <w:jc w:val="center"/>
              <w:rPr>
                <w:rFonts w:eastAsia="Times New Roman" w:cs="Times New Roman"/>
                <w:color w:val="000000"/>
                <w:sz w:val="22"/>
              </w:rPr>
            </w:pPr>
            <w:r>
              <w:rPr>
                <w:color w:val="000000"/>
              </w:rPr>
              <w:t>40474.39</w:t>
            </w:r>
          </w:p>
        </w:tc>
        <w:tc>
          <w:tcPr>
            <w:tcW w:w="1287" w:type="dxa"/>
            <w:tcBorders>
              <w:top w:val="nil"/>
              <w:left w:val="nil"/>
              <w:bottom w:val="single" w:sz="4" w:space="0" w:color="auto"/>
              <w:right w:val="nil"/>
            </w:tcBorders>
            <w:shd w:val="clear" w:color="auto" w:fill="auto"/>
            <w:noWrap/>
            <w:vAlign w:val="bottom"/>
            <w:hideMark/>
          </w:tcPr>
          <w:p w14:paraId="3A3193AB" w14:textId="12D5B784" w:rsidR="00AF5E33" w:rsidRPr="00283F3F" w:rsidRDefault="00AF5E33" w:rsidP="00AF5E33">
            <w:pPr>
              <w:spacing w:line="240" w:lineRule="auto"/>
              <w:jc w:val="center"/>
              <w:rPr>
                <w:rFonts w:eastAsia="Times New Roman" w:cs="Times New Roman"/>
                <w:color w:val="000000"/>
                <w:sz w:val="22"/>
              </w:rPr>
            </w:pPr>
            <w:r>
              <w:rPr>
                <w:color w:val="000000"/>
              </w:rPr>
              <w:t>67430.36</w:t>
            </w:r>
          </w:p>
        </w:tc>
      </w:tr>
      <w:tr w:rsidR="00AF5E33" w:rsidRPr="00283F3F" w14:paraId="5124911F" w14:textId="77777777" w:rsidTr="00AF5E33">
        <w:trPr>
          <w:trHeight w:val="276"/>
          <w:jc w:val="center"/>
        </w:trPr>
        <w:tc>
          <w:tcPr>
            <w:tcW w:w="1224" w:type="dxa"/>
            <w:tcBorders>
              <w:top w:val="single" w:sz="4" w:space="0" w:color="auto"/>
              <w:left w:val="nil"/>
              <w:bottom w:val="nil"/>
              <w:right w:val="single" w:sz="4" w:space="0" w:color="auto"/>
            </w:tcBorders>
            <w:shd w:val="clear" w:color="auto" w:fill="auto"/>
            <w:noWrap/>
            <w:vAlign w:val="center"/>
            <w:hideMark/>
          </w:tcPr>
          <w:p w14:paraId="2455FD65" w14:textId="77777777" w:rsidR="00AF5E33" w:rsidRPr="00283F3F" w:rsidRDefault="00AF5E33" w:rsidP="00AF5E33">
            <w:pPr>
              <w:spacing w:line="240" w:lineRule="auto"/>
              <w:rPr>
                <w:rFonts w:eastAsia="Times New Roman" w:cs="Times New Roman"/>
                <w:b/>
                <w:bCs/>
                <w:color w:val="000000"/>
                <w:sz w:val="22"/>
              </w:rPr>
            </w:pPr>
            <w:r w:rsidRPr="00283F3F">
              <w:rPr>
                <w:rFonts w:eastAsia="Times New Roman" w:cs="Times New Roman"/>
                <w:b/>
                <w:bCs/>
                <w:color w:val="000000"/>
                <w:sz w:val="22"/>
              </w:rPr>
              <w:t>Average</w:t>
            </w:r>
          </w:p>
        </w:tc>
        <w:tc>
          <w:tcPr>
            <w:tcW w:w="1288" w:type="dxa"/>
            <w:tcBorders>
              <w:top w:val="single" w:sz="4" w:space="0" w:color="auto"/>
              <w:left w:val="nil"/>
              <w:bottom w:val="nil"/>
              <w:right w:val="nil"/>
            </w:tcBorders>
            <w:shd w:val="clear" w:color="auto" w:fill="auto"/>
            <w:noWrap/>
            <w:vAlign w:val="bottom"/>
            <w:hideMark/>
          </w:tcPr>
          <w:p w14:paraId="11E6E229" w14:textId="3F40B122" w:rsidR="00AF5E33" w:rsidRPr="00283F3F" w:rsidRDefault="00AF5E33" w:rsidP="00AF5E33">
            <w:pPr>
              <w:spacing w:line="240" w:lineRule="auto"/>
              <w:jc w:val="center"/>
              <w:rPr>
                <w:rFonts w:eastAsia="Times New Roman" w:cs="Times New Roman"/>
                <w:color w:val="000000"/>
                <w:sz w:val="22"/>
              </w:rPr>
            </w:pPr>
            <w:r>
              <w:rPr>
                <w:color w:val="000000"/>
              </w:rPr>
              <w:t>155000.3</w:t>
            </w:r>
            <w:r w:rsidR="005641E9">
              <w:rPr>
                <w:color w:val="000000"/>
              </w:rPr>
              <w:t>0</w:t>
            </w:r>
          </w:p>
        </w:tc>
        <w:tc>
          <w:tcPr>
            <w:tcW w:w="1287" w:type="dxa"/>
            <w:tcBorders>
              <w:top w:val="single" w:sz="4" w:space="0" w:color="auto"/>
              <w:left w:val="nil"/>
              <w:bottom w:val="nil"/>
              <w:right w:val="nil"/>
            </w:tcBorders>
            <w:shd w:val="clear" w:color="auto" w:fill="auto"/>
            <w:noWrap/>
            <w:vAlign w:val="bottom"/>
            <w:hideMark/>
          </w:tcPr>
          <w:p w14:paraId="617F09E5" w14:textId="7292DCD9" w:rsidR="00AF5E33" w:rsidRPr="00283F3F" w:rsidRDefault="00AF5E33" w:rsidP="00AF5E33">
            <w:pPr>
              <w:spacing w:line="240" w:lineRule="auto"/>
              <w:jc w:val="center"/>
              <w:rPr>
                <w:rFonts w:eastAsia="Times New Roman" w:cs="Times New Roman"/>
                <w:color w:val="000000"/>
                <w:sz w:val="22"/>
              </w:rPr>
            </w:pPr>
            <w:r>
              <w:rPr>
                <w:color w:val="000000"/>
              </w:rPr>
              <w:t>218634.9</w:t>
            </w:r>
            <w:r w:rsidR="005641E9">
              <w:rPr>
                <w:color w:val="000000"/>
              </w:rPr>
              <w:t>0</w:t>
            </w:r>
          </w:p>
        </w:tc>
        <w:tc>
          <w:tcPr>
            <w:tcW w:w="1287" w:type="dxa"/>
            <w:tcBorders>
              <w:top w:val="single" w:sz="4" w:space="0" w:color="auto"/>
              <w:left w:val="nil"/>
              <w:bottom w:val="nil"/>
              <w:right w:val="nil"/>
            </w:tcBorders>
            <w:shd w:val="clear" w:color="auto" w:fill="auto"/>
            <w:noWrap/>
            <w:vAlign w:val="bottom"/>
            <w:hideMark/>
          </w:tcPr>
          <w:p w14:paraId="61AB8F93" w14:textId="6F6AE2FC" w:rsidR="00AF5E33" w:rsidRPr="00283F3F" w:rsidRDefault="00AF5E33" w:rsidP="00AF5E33">
            <w:pPr>
              <w:spacing w:line="240" w:lineRule="auto"/>
              <w:jc w:val="center"/>
              <w:rPr>
                <w:rFonts w:eastAsia="Times New Roman" w:cs="Times New Roman"/>
                <w:color w:val="000000"/>
                <w:sz w:val="22"/>
              </w:rPr>
            </w:pPr>
            <w:r>
              <w:rPr>
                <w:color w:val="000000"/>
              </w:rPr>
              <w:t>38538.2</w:t>
            </w:r>
            <w:r w:rsidR="005641E9">
              <w:rPr>
                <w:color w:val="000000"/>
              </w:rPr>
              <w:t>0</w:t>
            </w:r>
          </w:p>
        </w:tc>
        <w:tc>
          <w:tcPr>
            <w:tcW w:w="1287" w:type="dxa"/>
            <w:tcBorders>
              <w:top w:val="single" w:sz="4" w:space="0" w:color="auto"/>
              <w:left w:val="nil"/>
              <w:bottom w:val="nil"/>
              <w:right w:val="nil"/>
            </w:tcBorders>
            <w:shd w:val="clear" w:color="auto" w:fill="auto"/>
            <w:noWrap/>
            <w:vAlign w:val="bottom"/>
            <w:hideMark/>
          </w:tcPr>
          <w:p w14:paraId="0DAFDE23" w14:textId="57EFC184" w:rsidR="00AF5E33" w:rsidRPr="00283F3F" w:rsidRDefault="00AF5E33" w:rsidP="00AF5E33">
            <w:pPr>
              <w:spacing w:line="240" w:lineRule="auto"/>
              <w:jc w:val="center"/>
              <w:rPr>
                <w:rFonts w:eastAsia="Times New Roman" w:cs="Times New Roman"/>
                <w:color w:val="000000"/>
                <w:sz w:val="22"/>
              </w:rPr>
            </w:pPr>
            <w:r>
              <w:rPr>
                <w:color w:val="000000"/>
              </w:rPr>
              <w:t>40455.92</w:t>
            </w:r>
          </w:p>
        </w:tc>
        <w:tc>
          <w:tcPr>
            <w:tcW w:w="1287" w:type="dxa"/>
            <w:tcBorders>
              <w:top w:val="single" w:sz="4" w:space="0" w:color="auto"/>
              <w:left w:val="nil"/>
              <w:bottom w:val="nil"/>
              <w:right w:val="nil"/>
            </w:tcBorders>
            <w:shd w:val="clear" w:color="auto" w:fill="auto"/>
            <w:noWrap/>
            <w:vAlign w:val="bottom"/>
            <w:hideMark/>
          </w:tcPr>
          <w:p w14:paraId="2EE98F20" w14:textId="595C86C7" w:rsidR="00AF5E33" w:rsidRPr="00283F3F" w:rsidRDefault="00AF5E33" w:rsidP="00AF5E33">
            <w:pPr>
              <w:spacing w:line="240" w:lineRule="auto"/>
              <w:jc w:val="center"/>
              <w:rPr>
                <w:rFonts w:eastAsia="Times New Roman" w:cs="Times New Roman"/>
                <w:color w:val="000000"/>
                <w:sz w:val="22"/>
              </w:rPr>
            </w:pPr>
            <w:r>
              <w:rPr>
                <w:color w:val="000000"/>
              </w:rPr>
              <w:t>68179.21</w:t>
            </w:r>
          </w:p>
        </w:tc>
      </w:tr>
    </w:tbl>
    <w:p w14:paraId="676C4F4A" w14:textId="18D6DA04" w:rsidR="001E0C7F" w:rsidRDefault="001E0C7F" w:rsidP="001E0C7F">
      <w:pPr>
        <w:pStyle w:val="Caption"/>
      </w:pPr>
    </w:p>
    <w:p w14:paraId="057693C3" w14:textId="6A341717" w:rsidR="004B359E" w:rsidRDefault="00C83A28" w:rsidP="001650CC">
      <w:pPr>
        <w:pStyle w:val="Caption"/>
        <w:spacing w:after="0" w:line="480" w:lineRule="auto"/>
      </w:pPr>
      <w:bookmarkStart w:id="196" w:name="_Toc69352486"/>
      <w:bookmarkStart w:id="197" w:name="_Toc69412286"/>
      <w:bookmarkStart w:id="198" w:name="_Toc71224040"/>
      <w:r w:rsidRPr="00971812">
        <w:rPr>
          <w:b/>
          <w:bCs/>
        </w:rPr>
        <w:t>Table A.</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2</w:t>
      </w:r>
      <w:r w:rsidR="001650CC" w:rsidRPr="001650CC">
        <w:rPr>
          <w:b/>
          <w:bCs/>
        </w:rPr>
        <w:fldChar w:fldCharType="end"/>
      </w:r>
      <w:r w:rsidRPr="00971812">
        <w:rPr>
          <w:b/>
          <w:bCs/>
        </w:rPr>
        <w:t>:</w:t>
      </w:r>
      <w:r>
        <w:t xml:space="preserve"> </w:t>
      </w:r>
      <w:r w:rsidR="00971812">
        <w:t>Control soil metal concentrations</w:t>
      </w:r>
      <w:bookmarkEnd w:id="196"/>
      <w:bookmarkEnd w:id="197"/>
      <w:bookmarkEnd w:id="198"/>
    </w:p>
    <w:tbl>
      <w:tblPr>
        <w:tblW w:w="7880" w:type="dxa"/>
        <w:jc w:val="center"/>
        <w:tblLook w:val="04A0" w:firstRow="1" w:lastRow="0" w:firstColumn="1" w:lastColumn="0" w:noHBand="0" w:noVBand="1"/>
      </w:tblPr>
      <w:tblGrid>
        <w:gridCol w:w="1284"/>
        <w:gridCol w:w="1169"/>
        <w:gridCol w:w="994"/>
        <w:gridCol w:w="1052"/>
        <w:gridCol w:w="1729"/>
        <w:gridCol w:w="1652"/>
      </w:tblGrid>
      <w:tr w:rsidR="009F10A6" w:rsidRPr="009F10A6" w14:paraId="28C7A29D" w14:textId="77777777" w:rsidTr="00072840">
        <w:trPr>
          <w:trHeight w:val="312"/>
          <w:jc w:val="center"/>
        </w:trPr>
        <w:tc>
          <w:tcPr>
            <w:tcW w:w="7880" w:type="dxa"/>
            <w:gridSpan w:val="6"/>
            <w:tcBorders>
              <w:top w:val="nil"/>
              <w:left w:val="nil"/>
              <w:bottom w:val="single" w:sz="4" w:space="0" w:color="auto"/>
              <w:right w:val="nil"/>
            </w:tcBorders>
            <w:shd w:val="clear" w:color="auto" w:fill="auto"/>
            <w:noWrap/>
            <w:vAlign w:val="center"/>
            <w:hideMark/>
          </w:tcPr>
          <w:p w14:paraId="3580C9BA" w14:textId="29E41DC2"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Control Soil Metal Concentrations</w:t>
            </w:r>
            <w:r w:rsidR="009E4035">
              <w:rPr>
                <w:rFonts w:eastAsia="Times New Roman" w:cs="Times New Roman"/>
                <w:b/>
                <w:bCs/>
                <w:color w:val="000000"/>
                <w:szCs w:val="24"/>
              </w:rPr>
              <w:t xml:space="preserve"> (mg/kg)</w:t>
            </w:r>
          </w:p>
        </w:tc>
      </w:tr>
      <w:tr w:rsidR="009F10A6" w:rsidRPr="009F10A6" w14:paraId="13DD98B3" w14:textId="77777777" w:rsidTr="00072840">
        <w:trPr>
          <w:trHeight w:val="312"/>
          <w:jc w:val="center"/>
        </w:trPr>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0DB623CD"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 </w:t>
            </w:r>
          </w:p>
        </w:tc>
        <w:tc>
          <w:tcPr>
            <w:tcW w:w="1169" w:type="dxa"/>
            <w:tcBorders>
              <w:top w:val="single" w:sz="4" w:space="0" w:color="auto"/>
              <w:left w:val="nil"/>
              <w:bottom w:val="single" w:sz="4" w:space="0" w:color="auto"/>
              <w:right w:val="nil"/>
            </w:tcBorders>
            <w:shd w:val="clear" w:color="auto" w:fill="auto"/>
            <w:noWrap/>
            <w:vAlign w:val="center"/>
            <w:hideMark/>
          </w:tcPr>
          <w:p w14:paraId="1F881CE2"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Copper</w:t>
            </w:r>
          </w:p>
        </w:tc>
        <w:tc>
          <w:tcPr>
            <w:tcW w:w="994" w:type="dxa"/>
            <w:tcBorders>
              <w:top w:val="single" w:sz="4" w:space="0" w:color="auto"/>
              <w:left w:val="nil"/>
              <w:bottom w:val="single" w:sz="4" w:space="0" w:color="auto"/>
              <w:right w:val="nil"/>
            </w:tcBorders>
            <w:shd w:val="clear" w:color="auto" w:fill="auto"/>
            <w:noWrap/>
            <w:vAlign w:val="center"/>
            <w:hideMark/>
          </w:tcPr>
          <w:p w14:paraId="43C8C06D"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Nickel</w:t>
            </w:r>
          </w:p>
        </w:tc>
        <w:tc>
          <w:tcPr>
            <w:tcW w:w="1052" w:type="dxa"/>
            <w:tcBorders>
              <w:top w:val="single" w:sz="4" w:space="0" w:color="auto"/>
              <w:left w:val="nil"/>
              <w:bottom w:val="single" w:sz="4" w:space="0" w:color="auto"/>
              <w:right w:val="nil"/>
            </w:tcBorders>
            <w:shd w:val="clear" w:color="auto" w:fill="auto"/>
            <w:noWrap/>
            <w:vAlign w:val="center"/>
            <w:hideMark/>
          </w:tcPr>
          <w:p w14:paraId="078AE387"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Cobalt</w:t>
            </w:r>
          </w:p>
        </w:tc>
        <w:tc>
          <w:tcPr>
            <w:tcW w:w="1729" w:type="dxa"/>
            <w:tcBorders>
              <w:top w:val="single" w:sz="4" w:space="0" w:color="auto"/>
              <w:left w:val="nil"/>
              <w:bottom w:val="single" w:sz="4" w:space="0" w:color="auto"/>
              <w:right w:val="nil"/>
            </w:tcBorders>
            <w:shd w:val="clear" w:color="auto" w:fill="auto"/>
            <w:noWrap/>
            <w:vAlign w:val="center"/>
            <w:hideMark/>
          </w:tcPr>
          <w:p w14:paraId="764761EB"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Manganese</w:t>
            </w:r>
          </w:p>
        </w:tc>
        <w:tc>
          <w:tcPr>
            <w:tcW w:w="1652" w:type="dxa"/>
            <w:tcBorders>
              <w:top w:val="single" w:sz="4" w:space="0" w:color="auto"/>
              <w:left w:val="nil"/>
              <w:bottom w:val="single" w:sz="4" w:space="0" w:color="auto"/>
              <w:right w:val="nil"/>
            </w:tcBorders>
            <w:shd w:val="clear" w:color="auto" w:fill="auto"/>
            <w:noWrap/>
            <w:vAlign w:val="center"/>
            <w:hideMark/>
          </w:tcPr>
          <w:p w14:paraId="2B847733"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Aluminum</w:t>
            </w:r>
          </w:p>
        </w:tc>
      </w:tr>
      <w:tr w:rsidR="009F10A6" w:rsidRPr="009F10A6" w14:paraId="4DA7A162" w14:textId="77777777" w:rsidTr="009F10A6">
        <w:trPr>
          <w:trHeight w:val="312"/>
          <w:jc w:val="center"/>
        </w:trPr>
        <w:tc>
          <w:tcPr>
            <w:tcW w:w="1284" w:type="dxa"/>
            <w:tcBorders>
              <w:top w:val="nil"/>
              <w:left w:val="nil"/>
              <w:bottom w:val="nil"/>
              <w:right w:val="single" w:sz="4" w:space="0" w:color="auto"/>
            </w:tcBorders>
            <w:shd w:val="clear" w:color="auto" w:fill="auto"/>
            <w:noWrap/>
            <w:vAlign w:val="center"/>
            <w:hideMark/>
          </w:tcPr>
          <w:p w14:paraId="3737D535"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Acidic</w:t>
            </w:r>
          </w:p>
        </w:tc>
        <w:tc>
          <w:tcPr>
            <w:tcW w:w="1169" w:type="dxa"/>
            <w:tcBorders>
              <w:top w:val="nil"/>
              <w:left w:val="nil"/>
              <w:bottom w:val="nil"/>
              <w:right w:val="nil"/>
            </w:tcBorders>
            <w:shd w:val="clear" w:color="auto" w:fill="auto"/>
            <w:noWrap/>
            <w:vAlign w:val="bottom"/>
            <w:hideMark/>
          </w:tcPr>
          <w:p w14:paraId="73FB2559"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nil"/>
              <w:left w:val="nil"/>
              <w:bottom w:val="nil"/>
              <w:right w:val="nil"/>
            </w:tcBorders>
            <w:shd w:val="clear" w:color="auto" w:fill="auto"/>
            <w:noWrap/>
            <w:vAlign w:val="bottom"/>
            <w:hideMark/>
          </w:tcPr>
          <w:p w14:paraId="04D4B209"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nil"/>
              <w:left w:val="nil"/>
              <w:bottom w:val="nil"/>
              <w:right w:val="nil"/>
            </w:tcBorders>
            <w:shd w:val="clear" w:color="auto" w:fill="auto"/>
            <w:noWrap/>
            <w:vAlign w:val="bottom"/>
            <w:hideMark/>
          </w:tcPr>
          <w:p w14:paraId="6EBEA98E"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nil"/>
              <w:left w:val="nil"/>
              <w:bottom w:val="nil"/>
              <w:right w:val="nil"/>
            </w:tcBorders>
            <w:shd w:val="clear" w:color="auto" w:fill="auto"/>
            <w:noWrap/>
            <w:vAlign w:val="bottom"/>
            <w:hideMark/>
          </w:tcPr>
          <w:p w14:paraId="237BA5D2" w14:textId="46CB5755"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402.63</w:t>
            </w:r>
          </w:p>
        </w:tc>
        <w:tc>
          <w:tcPr>
            <w:tcW w:w="1652" w:type="dxa"/>
            <w:tcBorders>
              <w:top w:val="nil"/>
              <w:left w:val="nil"/>
              <w:bottom w:val="nil"/>
              <w:right w:val="nil"/>
            </w:tcBorders>
            <w:shd w:val="clear" w:color="auto" w:fill="auto"/>
            <w:noWrap/>
            <w:vAlign w:val="bottom"/>
            <w:hideMark/>
          </w:tcPr>
          <w:p w14:paraId="59953F3B" w14:textId="71FDFDC3"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37528.50</w:t>
            </w:r>
          </w:p>
        </w:tc>
      </w:tr>
      <w:tr w:rsidR="009F10A6" w:rsidRPr="009F10A6" w14:paraId="182826B2" w14:textId="77777777" w:rsidTr="009F10A6">
        <w:trPr>
          <w:trHeight w:val="312"/>
          <w:jc w:val="center"/>
        </w:trPr>
        <w:tc>
          <w:tcPr>
            <w:tcW w:w="1284" w:type="dxa"/>
            <w:tcBorders>
              <w:top w:val="nil"/>
              <w:left w:val="nil"/>
              <w:right w:val="single" w:sz="4" w:space="0" w:color="auto"/>
            </w:tcBorders>
            <w:shd w:val="clear" w:color="auto" w:fill="auto"/>
            <w:noWrap/>
            <w:vAlign w:val="center"/>
            <w:hideMark/>
          </w:tcPr>
          <w:p w14:paraId="32E71C78"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Acidic</w:t>
            </w:r>
          </w:p>
        </w:tc>
        <w:tc>
          <w:tcPr>
            <w:tcW w:w="1169" w:type="dxa"/>
            <w:tcBorders>
              <w:top w:val="nil"/>
              <w:left w:val="nil"/>
              <w:right w:val="nil"/>
            </w:tcBorders>
            <w:shd w:val="clear" w:color="auto" w:fill="auto"/>
            <w:noWrap/>
            <w:vAlign w:val="bottom"/>
            <w:hideMark/>
          </w:tcPr>
          <w:p w14:paraId="673C08B3"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nil"/>
              <w:left w:val="nil"/>
              <w:right w:val="nil"/>
            </w:tcBorders>
            <w:shd w:val="clear" w:color="auto" w:fill="auto"/>
            <w:noWrap/>
            <w:vAlign w:val="bottom"/>
            <w:hideMark/>
          </w:tcPr>
          <w:p w14:paraId="0526A475"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nil"/>
              <w:left w:val="nil"/>
              <w:right w:val="nil"/>
            </w:tcBorders>
            <w:shd w:val="clear" w:color="auto" w:fill="auto"/>
            <w:noWrap/>
            <w:vAlign w:val="bottom"/>
            <w:hideMark/>
          </w:tcPr>
          <w:p w14:paraId="367FBF6C"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nil"/>
              <w:left w:val="nil"/>
              <w:right w:val="nil"/>
            </w:tcBorders>
            <w:shd w:val="clear" w:color="auto" w:fill="auto"/>
            <w:noWrap/>
            <w:vAlign w:val="bottom"/>
            <w:hideMark/>
          </w:tcPr>
          <w:p w14:paraId="5DDF5E6F" w14:textId="01E2431B"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401.88</w:t>
            </w:r>
          </w:p>
        </w:tc>
        <w:tc>
          <w:tcPr>
            <w:tcW w:w="1652" w:type="dxa"/>
            <w:tcBorders>
              <w:top w:val="nil"/>
              <w:left w:val="nil"/>
              <w:right w:val="nil"/>
            </w:tcBorders>
            <w:shd w:val="clear" w:color="auto" w:fill="auto"/>
            <w:noWrap/>
            <w:vAlign w:val="bottom"/>
            <w:hideMark/>
          </w:tcPr>
          <w:p w14:paraId="5D36BE1C" w14:textId="0903CDE2"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37660.44</w:t>
            </w:r>
          </w:p>
        </w:tc>
      </w:tr>
      <w:tr w:rsidR="009F10A6" w:rsidRPr="009F10A6" w14:paraId="1C2F036E" w14:textId="77777777" w:rsidTr="009F10A6">
        <w:trPr>
          <w:trHeight w:val="312"/>
          <w:jc w:val="center"/>
        </w:trPr>
        <w:tc>
          <w:tcPr>
            <w:tcW w:w="1284" w:type="dxa"/>
            <w:tcBorders>
              <w:top w:val="nil"/>
              <w:left w:val="nil"/>
              <w:bottom w:val="single" w:sz="4" w:space="0" w:color="auto"/>
              <w:right w:val="single" w:sz="4" w:space="0" w:color="auto"/>
            </w:tcBorders>
            <w:shd w:val="clear" w:color="auto" w:fill="auto"/>
            <w:noWrap/>
            <w:vAlign w:val="center"/>
            <w:hideMark/>
          </w:tcPr>
          <w:p w14:paraId="57612B11"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Acidic</w:t>
            </w:r>
          </w:p>
        </w:tc>
        <w:tc>
          <w:tcPr>
            <w:tcW w:w="1169" w:type="dxa"/>
            <w:tcBorders>
              <w:top w:val="nil"/>
              <w:left w:val="nil"/>
              <w:bottom w:val="single" w:sz="4" w:space="0" w:color="auto"/>
              <w:right w:val="nil"/>
            </w:tcBorders>
            <w:shd w:val="clear" w:color="auto" w:fill="auto"/>
            <w:noWrap/>
            <w:vAlign w:val="bottom"/>
            <w:hideMark/>
          </w:tcPr>
          <w:p w14:paraId="45BE120D"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nil"/>
              <w:left w:val="nil"/>
              <w:bottom w:val="single" w:sz="4" w:space="0" w:color="auto"/>
              <w:right w:val="nil"/>
            </w:tcBorders>
            <w:shd w:val="clear" w:color="auto" w:fill="auto"/>
            <w:noWrap/>
            <w:vAlign w:val="bottom"/>
            <w:hideMark/>
          </w:tcPr>
          <w:p w14:paraId="27C765A0"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nil"/>
              <w:left w:val="nil"/>
              <w:bottom w:val="single" w:sz="4" w:space="0" w:color="auto"/>
              <w:right w:val="nil"/>
            </w:tcBorders>
            <w:shd w:val="clear" w:color="auto" w:fill="auto"/>
            <w:noWrap/>
            <w:vAlign w:val="bottom"/>
            <w:hideMark/>
          </w:tcPr>
          <w:p w14:paraId="279269FE"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nil"/>
              <w:left w:val="nil"/>
              <w:bottom w:val="single" w:sz="4" w:space="0" w:color="auto"/>
              <w:right w:val="nil"/>
            </w:tcBorders>
            <w:shd w:val="clear" w:color="auto" w:fill="auto"/>
            <w:noWrap/>
            <w:vAlign w:val="bottom"/>
            <w:hideMark/>
          </w:tcPr>
          <w:p w14:paraId="36F8F7F6" w14:textId="60351383"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397.62</w:t>
            </w:r>
          </w:p>
        </w:tc>
        <w:tc>
          <w:tcPr>
            <w:tcW w:w="1652" w:type="dxa"/>
            <w:tcBorders>
              <w:top w:val="nil"/>
              <w:left w:val="nil"/>
              <w:bottom w:val="single" w:sz="4" w:space="0" w:color="auto"/>
              <w:right w:val="nil"/>
            </w:tcBorders>
            <w:shd w:val="clear" w:color="auto" w:fill="auto"/>
            <w:noWrap/>
            <w:vAlign w:val="bottom"/>
            <w:hideMark/>
          </w:tcPr>
          <w:p w14:paraId="084D652C" w14:textId="24A5D5B2"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37917.54</w:t>
            </w:r>
          </w:p>
        </w:tc>
      </w:tr>
      <w:tr w:rsidR="009F10A6" w:rsidRPr="009F10A6" w14:paraId="0F651EF0" w14:textId="77777777" w:rsidTr="009F10A6">
        <w:trPr>
          <w:trHeight w:val="312"/>
          <w:jc w:val="center"/>
        </w:trPr>
        <w:tc>
          <w:tcPr>
            <w:tcW w:w="1284" w:type="dxa"/>
            <w:tcBorders>
              <w:top w:val="single" w:sz="4" w:space="0" w:color="auto"/>
              <w:left w:val="nil"/>
              <w:bottom w:val="nil"/>
              <w:right w:val="single" w:sz="4" w:space="0" w:color="auto"/>
            </w:tcBorders>
            <w:shd w:val="clear" w:color="auto" w:fill="auto"/>
            <w:noWrap/>
            <w:vAlign w:val="center"/>
            <w:hideMark/>
          </w:tcPr>
          <w:p w14:paraId="52A36083"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Average</w:t>
            </w:r>
          </w:p>
        </w:tc>
        <w:tc>
          <w:tcPr>
            <w:tcW w:w="1169" w:type="dxa"/>
            <w:tcBorders>
              <w:top w:val="single" w:sz="4" w:space="0" w:color="auto"/>
              <w:left w:val="nil"/>
              <w:bottom w:val="nil"/>
              <w:right w:val="nil"/>
            </w:tcBorders>
            <w:shd w:val="clear" w:color="auto" w:fill="auto"/>
            <w:noWrap/>
            <w:vAlign w:val="bottom"/>
            <w:hideMark/>
          </w:tcPr>
          <w:p w14:paraId="60BA5B5A"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single" w:sz="4" w:space="0" w:color="auto"/>
              <w:left w:val="nil"/>
              <w:bottom w:val="nil"/>
              <w:right w:val="nil"/>
            </w:tcBorders>
            <w:shd w:val="clear" w:color="auto" w:fill="auto"/>
            <w:noWrap/>
            <w:vAlign w:val="bottom"/>
            <w:hideMark/>
          </w:tcPr>
          <w:p w14:paraId="684F7CC3"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single" w:sz="4" w:space="0" w:color="auto"/>
              <w:left w:val="nil"/>
              <w:bottom w:val="nil"/>
              <w:right w:val="nil"/>
            </w:tcBorders>
            <w:shd w:val="clear" w:color="auto" w:fill="auto"/>
            <w:noWrap/>
            <w:vAlign w:val="bottom"/>
            <w:hideMark/>
          </w:tcPr>
          <w:p w14:paraId="4C72225A"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single" w:sz="4" w:space="0" w:color="auto"/>
              <w:left w:val="nil"/>
              <w:bottom w:val="nil"/>
              <w:right w:val="nil"/>
            </w:tcBorders>
            <w:shd w:val="clear" w:color="auto" w:fill="auto"/>
            <w:noWrap/>
            <w:vAlign w:val="center"/>
            <w:hideMark/>
          </w:tcPr>
          <w:p w14:paraId="519CA48C" w14:textId="6F3A64FA"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400.71</w:t>
            </w:r>
          </w:p>
        </w:tc>
        <w:tc>
          <w:tcPr>
            <w:tcW w:w="1652" w:type="dxa"/>
            <w:tcBorders>
              <w:top w:val="single" w:sz="4" w:space="0" w:color="auto"/>
              <w:left w:val="nil"/>
              <w:bottom w:val="nil"/>
              <w:right w:val="nil"/>
            </w:tcBorders>
            <w:shd w:val="clear" w:color="auto" w:fill="auto"/>
            <w:noWrap/>
            <w:vAlign w:val="center"/>
            <w:hideMark/>
          </w:tcPr>
          <w:p w14:paraId="01615E23" w14:textId="78F9DD25"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37702.16</w:t>
            </w:r>
          </w:p>
        </w:tc>
      </w:tr>
      <w:tr w:rsidR="009F10A6" w:rsidRPr="009F10A6" w14:paraId="4C60098B" w14:textId="77777777" w:rsidTr="009F10A6">
        <w:trPr>
          <w:trHeight w:val="312"/>
          <w:jc w:val="center"/>
        </w:trPr>
        <w:tc>
          <w:tcPr>
            <w:tcW w:w="1284" w:type="dxa"/>
            <w:tcBorders>
              <w:top w:val="nil"/>
              <w:left w:val="nil"/>
              <w:bottom w:val="nil"/>
              <w:right w:val="single" w:sz="4" w:space="0" w:color="auto"/>
            </w:tcBorders>
            <w:shd w:val="clear" w:color="auto" w:fill="auto"/>
            <w:noWrap/>
            <w:vAlign w:val="center"/>
            <w:hideMark/>
          </w:tcPr>
          <w:p w14:paraId="356095D6"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 </w:t>
            </w:r>
          </w:p>
        </w:tc>
        <w:tc>
          <w:tcPr>
            <w:tcW w:w="1169" w:type="dxa"/>
            <w:tcBorders>
              <w:top w:val="nil"/>
              <w:left w:val="nil"/>
              <w:bottom w:val="nil"/>
              <w:right w:val="nil"/>
            </w:tcBorders>
            <w:shd w:val="clear" w:color="auto" w:fill="auto"/>
            <w:noWrap/>
            <w:vAlign w:val="center"/>
            <w:hideMark/>
          </w:tcPr>
          <w:p w14:paraId="5560FE02" w14:textId="77777777" w:rsidR="009F10A6" w:rsidRPr="009F10A6" w:rsidRDefault="009F10A6" w:rsidP="009F10A6">
            <w:pPr>
              <w:spacing w:line="240" w:lineRule="auto"/>
              <w:jc w:val="center"/>
              <w:rPr>
                <w:rFonts w:eastAsia="Times New Roman" w:cs="Times New Roman"/>
                <w:b/>
                <w:bCs/>
                <w:color w:val="000000"/>
                <w:szCs w:val="24"/>
              </w:rPr>
            </w:pPr>
          </w:p>
        </w:tc>
        <w:tc>
          <w:tcPr>
            <w:tcW w:w="994" w:type="dxa"/>
            <w:tcBorders>
              <w:top w:val="nil"/>
              <w:left w:val="nil"/>
              <w:bottom w:val="nil"/>
              <w:right w:val="nil"/>
            </w:tcBorders>
            <w:shd w:val="clear" w:color="auto" w:fill="auto"/>
            <w:noWrap/>
            <w:vAlign w:val="center"/>
            <w:hideMark/>
          </w:tcPr>
          <w:p w14:paraId="04FD6AF5" w14:textId="77777777" w:rsidR="009F10A6" w:rsidRPr="009F10A6" w:rsidRDefault="009F10A6" w:rsidP="009F10A6">
            <w:pPr>
              <w:spacing w:line="240" w:lineRule="auto"/>
              <w:jc w:val="center"/>
              <w:rPr>
                <w:rFonts w:eastAsia="Times New Roman" w:cs="Times New Roman"/>
                <w:sz w:val="20"/>
                <w:szCs w:val="20"/>
              </w:rPr>
            </w:pPr>
          </w:p>
        </w:tc>
        <w:tc>
          <w:tcPr>
            <w:tcW w:w="1052" w:type="dxa"/>
            <w:tcBorders>
              <w:top w:val="nil"/>
              <w:left w:val="nil"/>
              <w:bottom w:val="nil"/>
              <w:right w:val="nil"/>
            </w:tcBorders>
            <w:shd w:val="clear" w:color="auto" w:fill="auto"/>
            <w:noWrap/>
            <w:vAlign w:val="center"/>
            <w:hideMark/>
          </w:tcPr>
          <w:p w14:paraId="08FCFB18" w14:textId="77777777" w:rsidR="009F10A6" w:rsidRPr="009F10A6" w:rsidRDefault="009F10A6" w:rsidP="009F10A6">
            <w:pPr>
              <w:spacing w:line="240" w:lineRule="auto"/>
              <w:jc w:val="center"/>
              <w:rPr>
                <w:rFonts w:eastAsia="Times New Roman" w:cs="Times New Roman"/>
                <w:sz w:val="20"/>
                <w:szCs w:val="20"/>
              </w:rPr>
            </w:pPr>
          </w:p>
        </w:tc>
        <w:tc>
          <w:tcPr>
            <w:tcW w:w="1729" w:type="dxa"/>
            <w:tcBorders>
              <w:top w:val="nil"/>
              <w:left w:val="nil"/>
              <w:bottom w:val="nil"/>
              <w:right w:val="nil"/>
            </w:tcBorders>
            <w:shd w:val="clear" w:color="auto" w:fill="auto"/>
            <w:noWrap/>
            <w:vAlign w:val="center"/>
            <w:hideMark/>
          </w:tcPr>
          <w:p w14:paraId="6C398322" w14:textId="77777777" w:rsidR="009F10A6" w:rsidRPr="009F10A6" w:rsidRDefault="009F10A6" w:rsidP="009F10A6">
            <w:pPr>
              <w:spacing w:line="240" w:lineRule="auto"/>
              <w:jc w:val="center"/>
              <w:rPr>
                <w:rFonts w:eastAsia="Times New Roman" w:cs="Times New Roman"/>
                <w:sz w:val="20"/>
                <w:szCs w:val="20"/>
              </w:rPr>
            </w:pPr>
          </w:p>
        </w:tc>
        <w:tc>
          <w:tcPr>
            <w:tcW w:w="1652" w:type="dxa"/>
            <w:tcBorders>
              <w:top w:val="nil"/>
              <w:left w:val="nil"/>
              <w:bottom w:val="nil"/>
              <w:right w:val="nil"/>
            </w:tcBorders>
            <w:shd w:val="clear" w:color="auto" w:fill="auto"/>
            <w:noWrap/>
            <w:vAlign w:val="center"/>
            <w:hideMark/>
          </w:tcPr>
          <w:p w14:paraId="7568B120" w14:textId="77777777" w:rsidR="009F10A6" w:rsidRPr="009F10A6" w:rsidRDefault="009F10A6" w:rsidP="009F10A6">
            <w:pPr>
              <w:spacing w:line="240" w:lineRule="auto"/>
              <w:jc w:val="center"/>
              <w:rPr>
                <w:rFonts w:eastAsia="Times New Roman" w:cs="Times New Roman"/>
                <w:sz w:val="20"/>
                <w:szCs w:val="20"/>
              </w:rPr>
            </w:pPr>
          </w:p>
        </w:tc>
      </w:tr>
      <w:tr w:rsidR="009F10A6" w:rsidRPr="009F10A6" w14:paraId="4E1296A3" w14:textId="77777777" w:rsidTr="009F10A6">
        <w:trPr>
          <w:trHeight w:val="312"/>
          <w:jc w:val="center"/>
        </w:trPr>
        <w:tc>
          <w:tcPr>
            <w:tcW w:w="1284" w:type="dxa"/>
            <w:tcBorders>
              <w:top w:val="nil"/>
              <w:left w:val="nil"/>
              <w:bottom w:val="nil"/>
              <w:right w:val="single" w:sz="4" w:space="0" w:color="auto"/>
            </w:tcBorders>
            <w:shd w:val="clear" w:color="auto" w:fill="auto"/>
            <w:noWrap/>
            <w:vAlign w:val="center"/>
            <w:hideMark/>
          </w:tcPr>
          <w:p w14:paraId="1B5AE926"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Basic</w:t>
            </w:r>
          </w:p>
        </w:tc>
        <w:tc>
          <w:tcPr>
            <w:tcW w:w="1169" w:type="dxa"/>
            <w:tcBorders>
              <w:top w:val="nil"/>
              <w:left w:val="nil"/>
              <w:bottom w:val="nil"/>
              <w:right w:val="nil"/>
            </w:tcBorders>
            <w:shd w:val="clear" w:color="auto" w:fill="auto"/>
            <w:noWrap/>
            <w:vAlign w:val="bottom"/>
            <w:hideMark/>
          </w:tcPr>
          <w:p w14:paraId="09AF0D82"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nil"/>
              <w:left w:val="nil"/>
              <w:bottom w:val="nil"/>
              <w:right w:val="nil"/>
            </w:tcBorders>
            <w:shd w:val="clear" w:color="auto" w:fill="auto"/>
            <w:noWrap/>
            <w:vAlign w:val="bottom"/>
            <w:hideMark/>
          </w:tcPr>
          <w:p w14:paraId="1BA5D845"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nil"/>
              <w:left w:val="nil"/>
              <w:bottom w:val="nil"/>
              <w:right w:val="nil"/>
            </w:tcBorders>
            <w:shd w:val="clear" w:color="auto" w:fill="auto"/>
            <w:noWrap/>
            <w:vAlign w:val="bottom"/>
            <w:hideMark/>
          </w:tcPr>
          <w:p w14:paraId="446690B4"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nil"/>
              <w:left w:val="nil"/>
              <w:bottom w:val="nil"/>
              <w:right w:val="nil"/>
            </w:tcBorders>
            <w:shd w:val="clear" w:color="auto" w:fill="auto"/>
            <w:noWrap/>
            <w:vAlign w:val="bottom"/>
            <w:hideMark/>
          </w:tcPr>
          <w:p w14:paraId="2DCA27BA" w14:textId="2E40BA3D"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405.68</w:t>
            </w:r>
          </w:p>
        </w:tc>
        <w:tc>
          <w:tcPr>
            <w:tcW w:w="1652" w:type="dxa"/>
            <w:tcBorders>
              <w:top w:val="nil"/>
              <w:left w:val="nil"/>
              <w:bottom w:val="nil"/>
              <w:right w:val="nil"/>
            </w:tcBorders>
            <w:shd w:val="clear" w:color="auto" w:fill="auto"/>
            <w:noWrap/>
            <w:vAlign w:val="bottom"/>
            <w:hideMark/>
          </w:tcPr>
          <w:p w14:paraId="3F62D859" w14:textId="6A45206D"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43649.58</w:t>
            </w:r>
          </w:p>
        </w:tc>
      </w:tr>
      <w:tr w:rsidR="009F10A6" w:rsidRPr="009F10A6" w14:paraId="0FA21D6B" w14:textId="77777777" w:rsidTr="009F10A6">
        <w:trPr>
          <w:trHeight w:val="312"/>
          <w:jc w:val="center"/>
        </w:trPr>
        <w:tc>
          <w:tcPr>
            <w:tcW w:w="1284" w:type="dxa"/>
            <w:tcBorders>
              <w:top w:val="nil"/>
              <w:left w:val="nil"/>
              <w:right w:val="single" w:sz="4" w:space="0" w:color="auto"/>
            </w:tcBorders>
            <w:shd w:val="clear" w:color="auto" w:fill="auto"/>
            <w:noWrap/>
            <w:vAlign w:val="center"/>
            <w:hideMark/>
          </w:tcPr>
          <w:p w14:paraId="3A29CFEB"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Basic</w:t>
            </w:r>
          </w:p>
        </w:tc>
        <w:tc>
          <w:tcPr>
            <w:tcW w:w="1169" w:type="dxa"/>
            <w:tcBorders>
              <w:top w:val="nil"/>
              <w:left w:val="nil"/>
              <w:right w:val="nil"/>
            </w:tcBorders>
            <w:shd w:val="clear" w:color="auto" w:fill="auto"/>
            <w:noWrap/>
            <w:vAlign w:val="bottom"/>
            <w:hideMark/>
          </w:tcPr>
          <w:p w14:paraId="711A4901"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nil"/>
              <w:left w:val="nil"/>
              <w:right w:val="nil"/>
            </w:tcBorders>
            <w:shd w:val="clear" w:color="auto" w:fill="auto"/>
            <w:noWrap/>
            <w:vAlign w:val="bottom"/>
            <w:hideMark/>
          </w:tcPr>
          <w:p w14:paraId="186F9504"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nil"/>
              <w:left w:val="nil"/>
              <w:right w:val="nil"/>
            </w:tcBorders>
            <w:shd w:val="clear" w:color="auto" w:fill="auto"/>
            <w:noWrap/>
            <w:vAlign w:val="bottom"/>
            <w:hideMark/>
          </w:tcPr>
          <w:p w14:paraId="0BB4726E"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nil"/>
              <w:left w:val="nil"/>
              <w:right w:val="nil"/>
            </w:tcBorders>
            <w:shd w:val="clear" w:color="auto" w:fill="auto"/>
            <w:noWrap/>
            <w:vAlign w:val="bottom"/>
            <w:hideMark/>
          </w:tcPr>
          <w:p w14:paraId="24968D60" w14:textId="043593E6"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403.77</w:t>
            </w:r>
          </w:p>
        </w:tc>
        <w:tc>
          <w:tcPr>
            <w:tcW w:w="1652" w:type="dxa"/>
            <w:tcBorders>
              <w:top w:val="nil"/>
              <w:left w:val="nil"/>
              <w:right w:val="nil"/>
            </w:tcBorders>
            <w:shd w:val="clear" w:color="auto" w:fill="auto"/>
            <w:noWrap/>
            <w:vAlign w:val="bottom"/>
            <w:hideMark/>
          </w:tcPr>
          <w:p w14:paraId="3EBA642E" w14:textId="2D77DC24"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43427.42</w:t>
            </w:r>
          </w:p>
        </w:tc>
      </w:tr>
      <w:tr w:rsidR="009F10A6" w:rsidRPr="009F10A6" w14:paraId="055627D3" w14:textId="77777777" w:rsidTr="009F10A6">
        <w:trPr>
          <w:trHeight w:val="312"/>
          <w:jc w:val="center"/>
        </w:trPr>
        <w:tc>
          <w:tcPr>
            <w:tcW w:w="1284" w:type="dxa"/>
            <w:tcBorders>
              <w:top w:val="nil"/>
              <w:left w:val="nil"/>
              <w:bottom w:val="single" w:sz="4" w:space="0" w:color="auto"/>
              <w:right w:val="single" w:sz="4" w:space="0" w:color="auto"/>
            </w:tcBorders>
            <w:shd w:val="clear" w:color="auto" w:fill="auto"/>
            <w:noWrap/>
            <w:vAlign w:val="center"/>
            <w:hideMark/>
          </w:tcPr>
          <w:p w14:paraId="594F4A24"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Basic</w:t>
            </w:r>
          </w:p>
        </w:tc>
        <w:tc>
          <w:tcPr>
            <w:tcW w:w="1169" w:type="dxa"/>
            <w:tcBorders>
              <w:top w:val="nil"/>
              <w:left w:val="nil"/>
              <w:bottom w:val="single" w:sz="4" w:space="0" w:color="auto"/>
              <w:right w:val="nil"/>
            </w:tcBorders>
            <w:shd w:val="clear" w:color="auto" w:fill="auto"/>
            <w:noWrap/>
            <w:vAlign w:val="bottom"/>
            <w:hideMark/>
          </w:tcPr>
          <w:p w14:paraId="51DC30BA"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nil"/>
              <w:left w:val="nil"/>
              <w:bottom w:val="single" w:sz="4" w:space="0" w:color="auto"/>
              <w:right w:val="nil"/>
            </w:tcBorders>
            <w:shd w:val="clear" w:color="auto" w:fill="auto"/>
            <w:noWrap/>
            <w:vAlign w:val="bottom"/>
            <w:hideMark/>
          </w:tcPr>
          <w:p w14:paraId="07462DC2"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nil"/>
              <w:left w:val="nil"/>
              <w:bottom w:val="single" w:sz="4" w:space="0" w:color="auto"/>
              <w:right w:val="nil"/>
            </w:tcBorders>
            <w:shd w:val="clear" w:color="auto" w:fill="auto"/>
            <w:noWrap/>
            <w:vAlign w:val="bottom"/>
            <w:hideMark/>
          </w:tcPr>
          <w:p w14:paraId="2A562B51"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nil"/>
              <w:left w:val="nil"/>
              <w:bottom w:val="single" w:sz="4" w:space="0" w:color="auto"/>
              <w:right w:val="nil"/>
            </w:tcBorders>
            <w:shd w:val="clear" w:color="auto" w:fill="auto"/>
            <w:noWrap/>
            <w:vAlign w:val="bottom"/>
            <w:hideMark/>
          </w:tcPr>
          <w:p w14:paraId="46C892F9" w14:textId="16779AF3"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405.14</w:t>
            </w:r>
          </w:p>
        </w:tc>
        <w:tc>
          <w:tcPr>
            <w:tcW w:w="1652" w:type="dxa"/>
            <w:tcBorders>
              <w:top w:val="nil"/>
              <w:left w:val="nil"/>
              <w:bottom w:val="single" w:sz="4" w:space="0" w:color="auto"/>
              <w:right w:val="nil"/>
            </w:tcBorders>
            <w:shd w:val="clear" w:color="auto" w:fill="auto"/>
            <w:noWrap/>
            <w:vAlign w:val="bottom"/>
            <w:hideMark/>
          </w:tcPr>
          <w:p w14:paraId="17BB3E6A" w14:textId="75AA9DE2"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44119.62</w:t>
            </w:r>
          </w:p>
        </w:tc>
      </w:tr>
      <w:tr w:rsidR="009F10A6" w:rsidRPr="009F10A6" w14:paraId="10E89756" w14:textId="77777777" w:rsidTr="009F10A6">
        <w:trPr>
          <w:trHeight w:val="312"/>
          <w:jc w:val="center"/>
        </w:trPr>
        <w:tc>
          <w:tcPr>
            <w:tcW w:w="1284" w:type="dxa"/>
            <w:tcBorders>
              <w:top w:val="single" w:sz="4" w:space="0" w:color="auto"/>
              <w:left w:val="nil"/>
              <w:bottom w:val="nil"/>
              <w:right w:val="single" w:sz="4" w:space="0" w:color="auto"/>
            </w:tcBorders>
            <w:shd w:val="clear" w:color="auto" w:fill="auto"/>
            <w:noWrap/>
            <w:vAlign w:val="center"/>
            <w:hideMark/>
          </w:tcPr>
          <w:p w14:paraId="55428FC9" w14:textId="77777777" w:rsidR="009F10A6" w:rsidRPr="009F10A6" w:rsidRDefault="009F10A6" w:rsidP="009F10A6">
            <w:pPr>
              <w:spacing w:line="240" w:lineRule="auto"/>
              <w:jc w:val="center"/>
              <w:rPr>
                <w:rFonts w:eastAsia="Times New Roman" w:cs="Times New Roman"/>
                <w:b/>
                <w:bCs/>
                <w:color w:val="000000"/>
                <w:szCs w:val="24"/>
              </w:rPr>
            </w:pPr>
            <w:r w:rsidRPr="009F10A6">
              <w:rPr>
                <w:rFonts w:eastAsia="Times New Roman" w:cs="Times New Roman"/>
                <w:b/>
                <w:bCs/>
                <w:color w:val="000000"/>
                <w:szCs w:val="24"/>
              </w:rPr>
              <w:t>Average</w:t>
            </w:r>
          </w:p>
        </w:tc>
        <w:tc>
          <w:tcPr>
            <w:tcW w:w="1169" w:type="dxa"/>
            <w:tcBorders>
              <w:top w:val="single" w:sz="4" w:space="0" w:color="auto"/>
              <w:left w:val="nil"/>
              <w:bottom w:val="nil"/>
              <w:right w:val="nil"/>
            </w:tcBorders>
            <w:shd w:val="clear" w:color="auto" w:fill="auto"/>
            <w:noWrap/>
            <w:vAlign w:val="bottom"/>
            <w:hideMark/>
          </w:tcPr>
          <w:p w14:paraId="7592EC74"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994" w:type="dxa"/>
            <w:tcBorders>
              <w:top w:val="single" w:sz="4" w:space="0" w:color="auto"/>
              <w:left w:val="nil"/>
              <w:bottom w:val="nil"/>
              <w:right w:val="nil"/>
            </w:tcBorders>
            <w:shd w:val="clear" w:color="auto" w:fill="auto"/>
            <w:noWrap/>
            <w:vAlign w:val="bottom"/>
            <w:hideMark/>
          </w:tcPr>
          <w:p w14:paraId="20862790"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052" w:type="dxa"/>
            <w:tcBorders>
              <w:top w:val="single" w:sz="4" w:space="0" w:color="auto"/>
              <w:left w:val="nil"/>
              <w:bottom w:val="nil"/>
              <w:right w:val="nil"/>
            </w:tcBorders>
            <w:shd w:val="clear" w:color="auto" w:fill="auto"/>
            <w:noWrap/>
            <w:vAlign w:val="bottom"/>
            <w:hideMark/>
          </w:tcPr>
          <w:p w14:paraId="55A877E2" w14:textId="77777777"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w:t>
            </w:r>
          </w:p>
        </w:tc>
        <w:tc>
          <w:tcPr>
            <w:tcW w:w="1729" w:type="dxa"/>
            <w:tcBorders>
              <w:top w:val="single" w:sz="4" w:space="0" w:color="auto"/>
              <w:left w:val="nil"/>
              <w:bottom w:val="nil"/>
              <w:right w:val="nil"/>
            </w:tcBorders>
            <w:shd w:val="clear" w:color="auto" w:fill="auto"/>
            <w:noWrap/>
            <w:vAlign w:val="center"/>
            <w:hideMark/>
          </w:tcPr>
          <w:p w14:paraId="3B0BF843" w14:textId="05801F31"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404.86</w:t>
            </w:r>
          </w:p>
        </w:tc>
        <w:tc>
          <w:tcPr>
            <w:tcW w:w="1652" w:type="dxa"/>
            <w:tcBorders>
              <w:top w:val="single" w:sz="4" w:space="0" w:color="auto"/>
              <w:left w:val="nil"/>
              <w:bottom w:val="nil"/>
              <w:right w:val="nil"/>
            </w:tcBorders>
            <w:shd w:val="clear" w:color="auto" w:fill="auto"/>
            <w:noWrap/>
            <w:vAlign w:val="center"/>
            <w:hideMark/>
          </w:tcPr>
          <w:p w14:paraId="553FF00A" w14:textId="1F395625"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43732.21</w:t>
            </w:r>
          </w:p>
        </w:tc>
      </w:tr>
      <w:tr w:rsidR="009F10A6" w:rsidRPr="009F10A6" w14:paraId="691057A6" w14:textId="77777777" w:rsidTr="009F10A6">
        <w:trPr>
          <w:trHeight w:val="312"/>
          <w:jc w:val="center"/>
        </w:trPr>
        <w:tc>
          <w:tcPr>
            <w:tcW w:w="7880" w:type="dxa"/>
            <w:gridSpan w:val="6"/>
            <w:tcBorders>
              <w:top w:val="nil"/>
              <w:left w:val="nil"/>
              <w:bottom w:val="nil"/>
              <w:right w:val="nil"/>
            </w:tcBorders>
            <w:shd w:val="clear" w:color="auto" w:fill="auto"/>
            <w:noWrap/>
            <w:vAlign w:val="center"/>
            <w:hideMark/>
          </w:tcPr>
          <w:p w14:paraId="460280B4" w14:textId="5D1A3FAC" w:rsidR="009F10A6" w:rsidRPr="009F10A6" w:rsidRDefault="009F10A6" w:rsidP="009F10A6">
            <w:pPr>
              <w:spacing w:line="240" w:lineRule="auto"/>
              <w:jc w:val="center"/>
              <w:rPr>
                <w:rFonts w:eastAsia="Times New Roman" w:cs="Times New Roman"/>
                <w:color w:val="000000"/>
                <w:szCs w:val="24"/>
              </w:rPr>
            </w:pPr>
            <w:r w:rsidRPr="009F10A6">
              <w:rPr>
                <w:rFonts w:eastAsia="Times New Roman" w:cs="Times New Roman"/>
                <w:color w:val="000000"/>
                <w:szCs w:val="24"/>
              </w:rPr>
              <w:t>BDL = Below Detecti</w:t>
            </w:r>
            <w:r w:rsidR="00D87A97">
              <w:rPr>
                <w:rFonts w:eastAsia="Times New Roman" w:cs="Times New Roman"/>
                <w:color w:val="000000"/>
                <w:szCs w:val="24"/>
              </w:rPr>
              <w:t>on</w:t>
            </w:r>
            <w:r w:rsidRPr="009F10A6">
              <w:rPr>
                <w:rFonts w:eastAsia="Times New Roman" w:cs="Times New Roman"/>
                <w:color w:val="000000"/>
                <w:szCs w:val="24"/>
              </w:rPr>
              <w:t xml:space="preserve"> Limit</w:t>
            </w:r>
          </w:p>
        </w:tc>
      </w:tr>
    </w:tbl>
    <w:p w14:paraId="0F533DBA" w14:textId="77777777" w:rsidR="00F521ED" w:rsidRDefault="00F521ED" w:rsidP="00283F3F">
      <w:pPr>
        <w:jc w:val="center"/>
      </w:pPr>
    </w:p>
    <w:p w14:paraId="73130C07" w14:textId="31B1F08C" w:rsidR="001E0C7F" w:rsidRDefault="009F10A6" w:rsidP="001650CC">
      <w:pPr>
        <w:pStyle w:val="Caption"/>
        <w:spacing w:after="0" w:line="480" w:lineRule="auto"/>
      </w:pPr>
      <w:bookmarkStart w:id="199" w:name="_Toc69352487"/>
      <w:bookmarkStart w:id="200" w:name="_Toc69412287"/>
      <w:bookmarkStart w:id="201" w:name="_Toc71224041"/>
      <w:r w:rsidRPr="009F10A6">
        <w:rPr>
          <w:b/>
          <w:bCs/>
        </w:rPr>
        <w:t>Table A.</w:t>
      </w:r>
      <w:r w:rsidR="001650CC" w:rsidRPr="001650CC">
        <w:rPr>
          <w:b/>
          <w:bCs/>
        </w:rPr>
        <w:fldChar w:fldCharType="begin"/>
      </w:r>
      <w:r w:rsidR="001650CC" w:rsidRPr="001650CC">
        <w:rPr>
          <w:b/>
          <w:bCs/>
        </w:rPr>
        <w:instrText xml:space="preserve"> SEQ __ \* ARABIC \s 1 </w:instrText>
      </w:r>
      <w:r w:rsidR="001650CC" w:rsidRPr="001650CC">
        <w:rPr>
          <w:b/>
          <w:bCs/>
        </w:rPr>
        <w:fldChar w:fldCharType="separate"/>
      </w:r>
      <w:r w:rsidR="007712B4">
        <w:rPr>
          <w:b/>
          <w:bCs/>
          <w:noProof/>
        </w:rPr>
        <w:t>3</w:t>
      </w:r>
      <w:r w:rsidR="001650CC" w:rsidRPr="001650CC">
        <w:rPr>
          <w:b/>
          <w:bCs/>
        </w:rPr>
        <w:fldChar w:fldCharType="end"/>
      </w:r>
      <w:r w:rsidRPr="009F10A6">
        <w:rPr>
          <w:b/>
          <w:bCs/>
        </w:rPr>
        <w:t>:</w:t>
      </w:r>
      <w:r>
        <w:t xml:space="preserve"> </w:t>
      </w:r>
      <w:bookmarkEnd w:id="199"/>
      <w:bookmarkEnd w:id="200"/>
      <w:r w:rsidR="00072840">
        <w:t>Certified standards calibration trendline and R-Squared for each LIB metal</w:t>
      </w:r>
      <w:bookmarkEnd w:id="201"/>
    </w:p>
    <w:tbl>
      <w:tblPr>
        <w:tblW w:w="8860" w:type="dxa"/>
        <w:jc w:val="center"/>
        <w:tblLook w:val="04A0" w:firstRow="1" w:lastRow="0" w:firstColumn="1" w:lastColumn="0" w:noHBand="0" w:noVBand="1"/>
      </w:tblPr>
      <w:tblGrid>
        <w:gridCol w:w="1440"/>
        <w:gridCol w:w="1793"/>
        <w:gridCol w:w="1919"/>
        <w:gridCol w:w="1714"/>
        <w:gridCol w:w="1994"/>
      </w:tblGrid>
      <w:tr w:rsidR="00072840" w:rsidRPr="00072840" w14:paraId="4666BE2C" w14:textId="77777777" w:rsidTr="00072840">
        <w:trPr>
          <w:trHeight w:val="312"/>
          <w:jc w:val="center"/>
        </w:trPr>
        <w:tc>
          <w:tcPr>
            <w:tcW w:w="8860" w:type="dxa"/>
            <w:gridSpan w:val="5"/>
            <w:tcBorders>
              <w:top w:val="nil"/>
              <w:left w:val="nil"/>
              <w:bottom w:val="single" w:sz="4" w:space="0" w:color="auto"/>
              <w:right w:val="nil"/>
            </w:tcBorders>
            <w:shd w:val="clear" w:color="auto" w:fill="auto"/>
            <w:noWrap/>
            <w:vAlign w:val="bottom"/>
            <w:hideMark/>
          </w:tcPr>
          <w:p w14:paraId="6F6D125F"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Certified Standards Calibration Trendline and R-Squared</w:t>
            </w:r>
          </w:p>
        </w:tc>
      </w:tr>
      <w:tr w:rsidR="00072840" w:rsidRPr="00072840" w14:paraId="178CD16B" w14:textId="77777777" w:rsidTr="00072840">
        <w:trPr>
          <w:trHeight w:val="312"/>
          <w:jc w:val="center"/>
        </w:trPr>
        <w:tc>
          <w:tcPr>
            <w:tcW w:w="1440" w:type="dxa"/>
            <w:tcBorders>
              <w:top w:val="nil"/>
              <w:left w:val="nil"/>
              <w:bottom w:val="single" w:sz="4" w:space="0" w:color="auto"/>
              <w:right w:val="single" w:sz="4" w:space="0" w:color="auto"/>
            </w:tcBorders>
            <w:shd w:val="clear" w:color="auto" w:fill="auto"/>
            <w:noWrap/>
            <w:vAlign w:val="bottom"/>
            <w:hideMark/>
          </w:tcPr>
          <w:p w14:paraId="6E9A7AF8"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 </w:t>
            </w:r>
          </w:p>
        </w:tc>
        <w:tc>
          <w:tcPr>
            <w:tcW w:w="1793" w:type="dxa"/>
            <w:tcBorders>
              <w:top w:val="nil"/>
              <w:left w:val="nil"/>
              <w:bottom w:val="single" w:sz="4" w:space="0" w:color="auto"/>
              <w:right w:val="nil"/>
            </w:tcBorders>
            <w:shd w:val="clear" w:color="auto" w:fill="auto"/>
            <w:noWrap/>
            <w:vAlign w:val="bottom"/>
            <w:hideMark/>
          </w:tcPr>
          <w:p w14:paraId="376C65E5"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Copper</w:t>
            </w:r>
          </w:p>
        </w:tc>
        <w:tc>
          <w:tcPr>
            <w:tcW w:w="1919" w:type="dxa"/>
            <w:tcBorders>
              <w:top w:val="nil"/>
              <w:left w:val="nil"/>
              <w:bottom w:val="single" w:sz="4" w:space="0" w:color="auto"/>
              <w:right w:val="nil"/>
            </w:tcBorders>
            <w:shd w:val="clear" w:color="auto" w:fill="auto"/>
            <w:noWrap/>
            <w:vAlign w:val="bottom"/>
            <w:hideMark/>
          </w:tcPr>
          <w:p w14:paraId="548DC7F3"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Nickel</w:t>
            </w:r>
          </w:p>
        </w:tc>
        <w:tc>
          <w:tcPr>
            <w:tcW w:w="1714" w:type="dxa"/>
            <w:tcBorders>
              <w:top w:val="nil"/>
              <w:left w:val="nil"/>
              <w:bottom w:val="single" w:sz="4" w:space="0" w:color="auto"/>
              <w:right w:val="nil"/>
            </w:tcBorders>
            <w:shd w:val="clear" w:color="auto" w:fill="auto"/>
            <w:noWrap/>
            <w:vAlign w:val="bottom"/>
            <w:hideMark/>
          </w:tcPr>
          <w:p w14:paraId="5E3C933C"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Manganese</w:t>
            </w:r>
          </w:p>
        </w:tc>
        <w:tc>
          <w:tcPr>
            <w:tcW w:w="1994" w:type="dxa"/>
            <w:tcBorders>
              <w:top w:val="nil"/>
              <w:left w:val="nil"/>
              <w:bottom w:val="single" w:sz="4" w:space="0" w:color="auto"/>
              <w:right w:val="nil"/>
            </w:tcBorders>
            <w:shd w:val="clear" w:color="auto" w:fill="auto"/>
            <w:noWrap/>
            <w:vAlign w:val="bottom"/>
            <w:hideMark/>
          </w:tcPr>
          <w:p w14:paraId="54E95C75"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Aluminum</w:t>
            </w:r>
          </w:p>
        </w:tc>
      </w:tr>
      <w:tr w:rsidR="00072840" w:rsidRPr="00072840" w14:paraId="6A45752B" w14:textId="77777777" w:rsidTr="00072840">
        <w:trPr>
          <w:trHeight w:val="312"/>
          <w:jc w:val="center"/>
        </w:trPr>
        <w:tc>
          <w:tcPr>
            <w:tcW w:w="1440" w:type="dxa"/>
            <w:tcBorders>
              <w:top w:val="nil"/>
              <w:left w:val="nil"/>
              <w:bottom w:val="nil"/>
              <w:right w:val="single" w:sz="4" w:space="0" w:color="auto"/>
            </w:tcBorders>
            <w:shd w:val="clear" w:color="auto" w:fill="auto"/>
            <w:noWrap/>
            <w:vAlign w:val="bottom"/>
            <w:hideMark/>
          </w:tcPr>
          <w:p w14:paraId="104AB257"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Trendline</w:t>
            </w:r>
          </w:p>
        </w:tc>
        <w:tc>
          <w:tcPr>
            <w:tcW w:w="1793" w:type="dxa"/>
            <w:tcBorders>
              <w:top w:val="nil"/>
              <w:left w:val="nil"/>
              <w:bottom w:val="nil"/>
              <w:right w:val="nil"/>
            </w:tcBorders>
            <w:shd w:val="clear" w:color="auto" w:fill="auto"/>
            <w:noWrap/>
            <w:vAlign w:val="bottom"/>
            <w:hideMark/>
          </w:tcPr>
          <w:p w14:paraId="1CA87D7D" w14:textId="561E79BA" w:rsidR="00072840" w:rsidRPr="00072840" w:rsidRDefault="00072840" w:rsidP="00072840">
            <w:pPr>
              <w:spacing w:line="240" w:lineRule="auto"/>
              <w:jc w:val="center"/>
              <w:rPr>
                <w:rFonts w:eastAsia="Times New Roman" w:cs="Times New Roman"/>
                <w:color w:val="000000"/>
                <w:szCs w:val="24"/>
              </w:rPr>
            </w:pPr>
            <w:r w:rsidRPr="00072840">
              <w:rPr>
                <w:rFonts w:eastAsia="Times New Roman" w:cs="Times New Roman"/>
                <w:color w:val="000000"/>
                <w:szCs w:val="24"/>
              </w:rPr>
              <w:t>y=</w:t>
            </w:r>
            <w:r w:rsidR="00441602">
              <w:rPr>
                <w:rFonts w:eastAsia="Times New Roman" w:cs="Times New Roman"/>
                <w:color w:val="000000"/>
                <w:szCs w:val="24"/>
              </w:rPr>
              <w:t>10,574.81x</w:t>
            </w:r>
          </w:p>
        </w:tc>
        <w:tc>
          <w:tcPr>
            <w:tcW w:w="1919" w:type="dxa"/>
            <w:tcBorders>
              <w:top w:val="nil"/>
              <w:left w:val="nil"/>
              <w:bottom w:val="nil"/>
              <w:right w:val="nil"/>
            </w:tcBorders>
            <w:shd w:val="clear" w:color="auto" w:fill="auto"/>
            <w:noWrap/>
            <w:vAlign w:val="bottom"/>
            <w:hideMark/>
          </w:tcPr>
          <w:p w14:paraId="06E2DBA3" w14:textId="79BDC5EE" w:rsidR="00072840" w:rsidRPr="00072840" w:rsidRDefault="00072840" w:rsidP="00072840">
            <w:pPr>
              <w:spacing w:line="240" w:lineRule="auto"/>
              <w:jc w:val="center"/>
              <w:rPr>
                <w:rFonts w:eastAsia="Times New Roman" w:cs="Times New Roman"/>
                <w:color w:val="000000"/>
                <w:szCs w:val="24"/>
              </w:rPr>
            </w:pPr>
            <w:r w:rsidRPr="00072840">
              <w:rPr>
                <w:rFonts w:eastAsia="Times New Roman" w:cs="Times New Roman"/>
                <w:color w:val="000000"/>
                <w:szCs w:val="24"/>
              </w:rPr>
              <w:t>y=</w:t>
            </w:r>
            <w:r w:rsidR="00441602">
              <w:rPr>
                <w:rFonts w:eastAsia="Times New Roman" w:cs="Times New Roman"/>
                <w:color w:val="000000"/>
                <w:szCs w:val="24"/>
              </w:rPr>
              <w:t>11,605.04x</w:t>
            </w:r>
          </w:p>
        </w:tc>
        <w:tc>
          <w:tcPr>
            <w:tcW w:w="1714" w:type="dxa"/>
            <w:tcBorders>
              <w:top w:val="nil"/>
              <w:left w:val="nil"/>
              <w:bottom w:val="nil"/>
              <w:right w:val="nil"/>
            </w:tcBorders>
            <w:shd w:val="clear" w:color="auto" w:fill="auto"/>
            <w:noWrap/>
            <w:vAlign w:val="bottom"/>
            <w:hideMark/>
          </w:tcPr>
          <w:p w14:paraId="4810AAAC" w14:textId="1A779C8E" w:rsidR="00072840" w:rsidRPr="00072840" w:rsidRDefault="00072840" w:rsidP="00072840">
            <w:pPr>
              <w:spacing w:line="240" w:lineRule="auto"/>
              <w:jc w:val="center"/>
              <w:rPr>
                <w:rFonts w:eastAsia="Times New Roman" w:cs="Times New Roman"/>
                <w:color w:val="000000"/>
                <w:szCs w:val="24"/>
              </w:rPr>
            </w:pPr>
            <w:r w:rsidRPr="00072840">
              <w:rPr>
                <w:rFonts w:eastAsia="Times New Roman" w:cs="Times New Roman"/>
                <w:color w:val="000000"/>
                <w:szCs w:val="24"/>
              </w:rPr>
              <w:t>y=</w:t>
            </w:r>
            <w:r w:rsidR="00441602">
              <w:rPr>
                <w:rFonts w:eastAsia="Times New Roman" w:cs="Times New Roman"/>
                <w:color w:val="000000"/>
                <w:szCs w:val="24"/>
              </w:rPr>
              <w:t>17,559.49x</w:t>
            </w:r>
          </w:p>
        </w:tc>
        <w:tc>
          <w:tcPr>
            <w:tcW w:w="1994" w:type="dxa"/>
            <w:tcBorders>
              <w:top w:val="nil"/>
              <w:left w:val="nil"/>
              <w:bottom w:val="nil"/>
              <w:right w:val="nil"/>
            </w:tcBorders>
            <w:shd w:val="clear" w:color="auto" w:fill="auto"/>
            <w:noWrap/>
            <w:vAlign w:val="bottom"/>
            <w:hideMark/>
          </w:tcPr>
          <w:p w14:paraId="427053A3" w14:textId="724E88D2" w:rsidR="00072840" w:rsidRPr="00072840" w:rsidRDefault="00072840" w:rsidP="00072840">
            <w:pPr>
              <w:spacing w:line="240" w:lineRule="auto"/>
              <w:jc w:val="center"/>
              <w:rPr>
                <w:rFonts w:eastAsia="Times New Roman" w:cs="Times New Roman"/>
                <w:color w:val="000000"/>
                <w:szCs w:val="24"/>
              </w:rPr>
            </w:pPr>
            <w:r w:rsidRPr="00072840">
              <w:rPr>
                <w:rFonts w:eastAsia="Times New Roman" w:cs="Times New Roman"/>
                <w:color w:val="000000"/>
                <w:szCs w:val="24"/>
              </w:rPr>
              <w:t>y=</w:t>
            </w:r>
            <w:r w:rsidR="00441602">
              <w:rPr>
                <w:rFonts w:eastAsia="Times New Roman" w:cs="Times New Roman"/>
                <w:color w:val="000000"/>
                <w:szCs w:val="24"/>
              </w:rPr>
              <w:t>18,978.65x</w:t>
            </w:r>
          </w:p>
        </w:tc>
      </w:tr>
      <w:tr w:rsidR="00072840" w:rsidRPr="00072840" w14:paraId="77FF7648" w14:textId="77777777" w:rsidTr="00072840">
        <w:trPr>
          <w:trHeight w:val="312"/>
          <w:jc w:val="center"/>
        </w:trPr>
        <w:tc>
          <w:tcPr>
            <w:tcW w:w="1440" w:type="dxa"/>
            <w:tcBorders>
              <w:top w:val="nil"/>
              <w:left w:val="nil"/>
              <w:bottom w:val="nil"/>
              <w:right w:val="single" w:sz="4" w:space="0" w:color="auto"/>
            </w:tcBorders>
            <w:shd w:val="clear" w:color="auto" w:fill="auto"/>
            <w:noWrap/>
            <w:vAlign w:val="bottom"/>
            <w:hideMark/>
          </w:tcPr>
          <w:p w14:paraId="05ACF47A" w14:textId="77777777" w:rsidR="00072840" w:rsidRPr="00072840" w:rsidRDefault="00072840" w:rsidP="00072840">
            <w:pPr>
              <w:spacing w:line="240" w:lineRule="auto"/>
              <w:jc w:val="center"/>
              <w:rPr>
                <w:rFonts w:eastAsia="Times New Roman" w:cs="Times New Roman"/>
                <w:b/>
                <w:bCs/>
                <w:color w:val="000000"/>
                <w:szCs w:val="24"/>
              </w:rPr>
            </w:pPr>
            <w:r w:rsidRPr="00072840">
              <w:rPr>
                <w:rFonts w:eastAsia="Times New Roman" w:cs="Times New Roman"/>
                <w:b/>
                <w:bCs/>
                <w:color w:val="000000"/>
                <w:szCs w:val="24"/>
              </w:rPr>
              <w:t>R-Squared</w:t>
            </w:r>
          </w:p>
        </w:tc>
        <w:tc>
          <w:tcPr>
            <w:tcW w:w="1793" w:type="dxa"/>
            <w:tcBorders>
              <w:top w:val="nil"/>
              <w:left w:val="nil"/>
              <w:bottom w:val="nil"/>
              <w:right w:val="nil"/>
            </w:tcBorders>
            <w:shd w:val="clear" w:color="auto" w:fill="auto"/>
            <w:noWrap/>
            <w:vAlign w:val="bottom"/>
            <w:hideMark/>
          </w:tcPr>
          <w:p w14:paraId="572B977A" w14:textId="77441AD2" w:rsidR="00072840" w:rsidRPr="00072840" w:rsidRDefault="00441602" w:rsidP="00072840">
            <w:pPr>
              <w:spacing w:line="240" w:lineRule="auto"/>
              <w:jc w:val="center"/>
              <w:rPr>
                <w:rFonts w:eastAsia="Times New Roman" w:cs="Times New Roman"/>
                <w:color w:val="000000"/>
                <w:szCs w:val="24"/>
              </w:rPr>
            </w:pPr>
            <w:r>
              <w:rPr>
                <w:rFonts w:eastAsia="Times New Roman" w:cs="Times New Roman"/>
                <w:color w:val="000000"/>
                <w:szCs w:val="24"/>
              </w:rPr>
              <w:t>0.967</w:t>
            </w:r>
          </w:p>
        </w:tc>
        <w:tc>
          <w:tcPr>
            <w:tcW w:w="1919" w:type="dxa"/>
            <w:tcBorders>
              <w:top w:val="nil"/>
              <w:left w:val="nil"/>
              <w:bottom w:val="nil"/>
              <w:right w:val="nil"/>
            </w:tcBorders>
            <w:shd w:val="clear" w:color="auto" w:fill="auto"/>
            <w:noWrap/>
            <w:vAlign w:val="bottom"/>
            <w:hideMark/>
          </w:tcPr>
          <w:p w14:paraId="3E5F1523" w14:textId="639F8E17" w:rsidR="00072840" w:rsidRPr="00072840" w:rsidRDefault="00441602" w:rsidP="00072840">
            <w:pPr>
              <w:spacing w:line="240" w:lineRule="auto"/>
              <w:jc w:val="center"/>
              <w:rPr>
                <w:rFonts w:eastAsia="Times New Roman" w:cs="Times New Roman"/>
                <w:color w:val="000000"/>
                <w:szCs w:val="24"/>
              </w:rPr>
            </w:pPr>
            <w:r>
              <w:rPr>
                <w:rFonts w:eastAsia="Times New Roman" w:cs="Times New Roman"/>
                <w:color w:val="000000"/>
                <w:szCs w:val="24"/>
              </w:rPr>
              <w:t>0.961</w:t>
            </w:r>
          </w:p>
        </w:tc>
        <w:tc>
          <w:tcPr>
            <w:tcW w:w="1714" w:type="dxa"/>
            <w:tcBorders>
              <w:top w:val="nil"/>
              <w:left w:val="nil"/>
              <w:bottom w:val="nil"/>
              <w:right w:val="nil"/>
            </w:tcBorders>
            <w:shd w:val="clear" w:color="auto" w:fill="auto"/>
            <w:noWrap/>
            <w:vAlign w:val="bottom"/>
            <w:hideMark/>
          </w:tcPr>
          <w:p w14:paraId="60BAB62E" w14:textId="6959A9D4" w:rsidR="00072840" w:rsidRPr="00072840" w:rsidRDefault="00441602" w:rsidP="00072840">
            <w:pPr>
              <w:spacing w:line="240" w:lineRule="auto"/>
              <w:jc w:val="center"/>
              <w:rPr>
                <w:rFonts w:eastAsia="Times New Roman" w:cs="Times New Roman"/>
                <w:color w:val="000000"/>
                <w:szCs w:val="24"/>
              </w:rPr>
            </w:pPr>
            <w:r>
              <w:rPr>
                <w:rFonts w:eastAsia="Times New Roman" w:cs="Times New Roman"/>
                <w:color w:val="000000"/>
                <w:szCs w:val="24"/>
              </w:rPr>
              <w:t>0.965</w:t>
            </w:r>
          </w:p>
        </w:tc>
        <w:tc>
          <w:tcPr>
            <w:tcW w:w="1994" w:type="dxa"/>
            <w:tcBorders>
              <w:top w:val="nil"/>
              <w:left w:val="nil"/>
              <w:bottom w:val="nil"/>
              <w:right w:val="nil"/>
            </w:tcBorders>
            <w:shd w:val="clear" w:color="auto" w:fill="auto"/>
            <w:noWrap/>
            <w:vAlign w:val="bottom"/>
            <w:hideMark/>
          </w:tcPr>
          <w:p w14:paraId="75EBF413" w14:textId="422DC8FC" w:rsidR="00072840" w:rsidRPr="00072840" w:rsidRDefault="00072840" w:rsidP="00072840">
            <w:pPr>
              <w:spacing w:line="240" w:lineRule="auto"/>
              <w:jc w:val="center"/>
              <w:rPr>
                <w:rFonts w:eastAsia="Times New Roman" w:cs="Times New Roman"/>
                <w:color w:val="000000"/>
                <w:szCs w:val="24"/>
              </w:rPr>
            </w:pPr>
            <w:r w:rsidRPr="00072840">
              <w:rPr>
                <w:rFonts w:eastAsia="Times New Roman" w:cs="Times New Roman"/>
                <w:color w:val="000000"/>
                <w:szCs w:val="24"/>
              </w:rPr>
              <w:t>0.9</w:t>
            </w:r>
            <w:r w:rsidR="00441602">
              <w:rPr>
                <w:rFonts w:eastAsia="Times New Roman" w:cs="Times New Roman"/>
                <w:color w:val="000000"/>
                <w:szCs w:val="24"/>
              </w:rPr>
              <w:t>99</w:t>
            </w:r>
          </w:p>
        </w:tc>
      </w:tr>
    </w:tbl>
    <w:p w14:paraId="42BF0B98" w14:textId="6C071185" w:rsidR="00072840" w:rsidRDefault="00072840" w:rsidP="00072840"/>
    <w:p w14:paraId="34CBD0DD" w14:textId="77777777" w:rsidR="00072840" w:rsidRDefault="00072840" w:rsidP="00072840">
      <w:pPr>
        <w:pStyle w:val="Caption"/>
        <w:spacing w:after="0" w:line="480" w:lineRule="auto"/>
        <w:rPr>
          <w:b/>
          <w:bCs/>
        </w:rPr>
      </w:pPr>
    </w:p>
    <w:p w14:paraId="67EC1F29" w14:textId="77777777" w:rsidR="00072840" w:rsidRDefault="00072840" w:rsidP="00072840">
      <w:pPr>
        <w:pStyle w:val="Caption"/>
        <w:spacing w:after="0" w:line="480" w:lineRule="auto"/>
        <w:rPr>
          <w:b/>
          <w:bCs/>
        </w:rPr>
      </w:pPr>
    </w:p>
    <w:p w14:paraId="51C23BAC" w14:textId="77777777" w:rsidR="00072840" w:rsidRDefault="00072840" w:rsidP="00072840">
      <w:pPr>
        <w:pStyle w:val="Caption"/>
        <w:spacing w:after="0" w:line="480" w:lineRule="auto"/>
        <w:rPr>
          <w:b/>
          <w:bCs/>
        </w:rPr>
      </w:pPr>
    </w:p>
    <w:p w14:paraId="4FE53557" w14:textId="77777777" w:rsidR="00072840" w:rsidRDefault="00072840" w:rsidP="00072840">
      <w:pPr>
        <w:pStyle w:val="Caption"/>
        <w:spacing w:after="0" w:line="480" w:lineRule="auto"/>
        <w:rPr>
          <w:b/>
          <w:bCs/>
        </w:rPr>
      </w:pPr>
    </w:p>
    <w:p w14:paraId="2D9BCAE2" w14:textId="09255CB5" w:rsidR="00072840" w:rsidRDefault="00072840" w:rsidP="00072840">
      <w:pPr>
        <w:pStyle w:val="Caption"/>
        <w:spacing w:after="0" w:line="480" w:lineRule="auto"/>
      </w:pPr>
      <w:bookmarkStart w:id="202" w:name="_Toc71224042"/>
      <w:r w:rsidRPr="009F10A6">
        <w:rPr>
          <w:b/>
          <w:bCs/>
        </w:rPr>
        <w:lastRenderedPageBreak/>
        <w:t>Table A.</w:t>
      </w:r>
      <w:r w:rsidRPr="001650CC">
        <w:rPr>
          <w:b/>
          <w:bCs/>
        </w:rPr>
        <w:fldChar w:fldCharType="begin"/>
      </w:r>
      <w:r w:rsidRPr="001650CC">
        <w:rPr>
          <w:b/>
          <w:bCs/>
        </w:rPr>
        <w:instrText xml:space="preserve"> SEQ __ \* ARABIC \s 1 </w:instrText>
      </w:r>
      <w:r w:rsidRPr="001650CC">
        <w:rPr>
          <w:b/>
          <w:bCs/>
        </w:rPr>
        <w:fldChar w:fldCharType="separate"/>
      </w:r>
      <w:r w:rsidR="007712B4">
        <w:rPr>
          <w:b/>
          <w:bCs/>
          <w:noProof/>
        </w:rPr>
        <w:t>4</w:t>
      </w:r>
      <w:r w:rsidRPr="001650CC">
        <w:rPr>
          <w:b/>
          <w:bCs/>
        </w:rPr>
        <w:fldChar w:fldCharType="end"/>
      </w:r>
      <w:r w:rsidRPr="009F10A6">
        <w:rPr>
          <w:b/>
          <w:bCs/>
        </w:rPr>
        <w:t>:</w:t>
      </w:r>
      <w:r>
        <w:t xml:space="preserve"> Control water metal concentrations</w:t>
      </w:r>
      <w:bookmarkEnd w:id="202"/>
    </w:p>
    <w:tbl>
      <w:tblPr>
        <w:tblW w:w="8141" w:type="dxa"/>
        <w:jc w:val="center"/>
        <w:tblLook w:val="04A0" w:firstRow="1" w:lastRow="0" w:firstColumn="1" w:lastColumn="0" w:noHBand="0" w:noVBand="1"/>
      </w:tblPr>
      <w:tblGrid>
        <w:gridCol w:w="1326"/>
        <w:gridCol w:w="1207"/>
        <w:gridCol w:w="1027"/>
        <w:gridCol w:w="1087"/>
        <w:gridCol w:w="1787"/>
        <w:gridCol w:w="1707"/>
      </w:tblGrid>
      <w:tr w:rsidR="00F521ED" w:rsidRPr="00F521ED" w14:paraId="79817711" w14:textId="77777777" w:rsidTr="00072840">
        <w:trPr>
          <w:trHeight w:val="312"/>
          <w:jc w:val="center"/>
        </w:trPr>
        <w:tc>
          <w:tcPr>
            <w:tcW w:w="8141" w:type="dxa"/>
            <w:gridSpan w:val="6"/>
            <w:tcBorders>
              <w:top w:val="nil"/>
              <w:left w:val="nil"/>
              <w:bottom w:val="single" w:sz="4" w:space="0" w:color="auto"/>
              <w:right w:val="nil"/>
            </w:tcBorders>
            <w:shd w:val="clear" w:color="auto" w:fill="auto"/>
            <w:noWrap/>
            <w:vAlign w:val="center"/>
            <w:hideMark/>
          </w:tcPr>
          <w:p w14:paraId="5BF5A32A" w14:textId="47D98D96"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Control Water Metal Concentrations (mg/</w:t>
            </w:r>
            <w:r w:rsidR="002964E6">
              <w:rPr>
                <w:rFonts w:eastAsia="Times New Roman" w:cs="Times New Roman"/>
                <w:b/>
                <w:bCs/>
                <w:color w:val="000000"/>
                <w:szCs w:val="24"/>
              </w:rPr>
              <w:t>L</w:t>
            </w:r>
            <w:r w:rsidRPr="00F521ED">
              <w:rPr>
                <w:rFonts w:eastAsia="Times New Roman" w:cs="Times New Roman"/>
                <w:b/>
                <w:bCs/>
                <w:color w:val="000000"/>
                <w:szCs w:val="24"/>
              </w:rPr>
              <w:t>)</w:t>
            </w:r>
          </w:p>
        </w:tc>
      </w:tr>
      <w:tr w:rsidR="00F521ED" w:rsidRPr="00F521ED" w14:paraId="4C80AF9B" w14:textId="77777777" w:rsidTr="00072840">
        <w:trPr>
          <w:trHeight w:val="312"/>
          <w:jc w:val="center"/>
        </w:trPr>
        <w:tc>
          <w:tcPr>
            <w:tcW w:w="1326" w:type="dxa"/>
            <w:tcBorders>
              <w:top w:val="single" w:sz="4" w:space="0" w:color="auto"/>
              <w:left w:val="nil"/>
              <w:bottom w:val="single" w:sz="4" w:space="0" w:color="auto"/>
              <w:right w:val="single" w:sz="4" w:space="0" w:color="auto"/>
            </w:tcBorders>
            <w:shd w:val="clear" w:color="auto" w:fill="auto"/>
            <w:noWrap/>
            <w:vAlign w:val="center"/>
            <w:hideMark/>
          </w:tcPr>
          <w:p w14:paraId="76C1CE32"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 </w:t>
            </w:r>
          </w:p>
        </w:tc>
        <w:tc>
          <w:tcPr>
            <w:tcW w:w="1207" w:type="dxa"/>
            <w:tcBorders>
              <w:top w:val="single" w:sz="4" w:space="0" w:color="auto"/>
              <w:left w:val="single" w:sz="4" w:space="0" w:color="auto"/>
              <w:bottom w:val="single" w:sz="4" w:space="0" w:color="auto"/>
              <w:right w:val="nil"/>
            </w:tcBorders>
            <w:shd w:val="clear" w:color="auto" w:fill="auto"/>
            <w:noWrap/>
            <w:vAlign w:val="center"/>
            <w:hideMark/>
          </w:tcPr>
          <w:p w14:paraId="04103A4C"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Copper</w:t>
            </w:r>
          </w:p>
        </w:tc>
        <w:tc>
          <w:tcPr>
            <w:tcW w:w="1027" w:type="dxa"/>
            <w:tcBorders>
              <w:top w:val="single" w:sz="4" w:space="0" w:color="auto"/>
              <w:left w:val="nil"/>
              <w:bottom w:val="single" w:sz="4" w:space="0" w:color="auto"/>
              <w:right w:val="nil"/>
            </w:tcBorders>
            <w:shd w:val="clear" w:color="auto" w:fill="auto"/>
            <w:noWrap/>
            <w:vAlign w:val="center"/>
            <w:hideMark/>
          </w:tcPr>
          <w:p w14:paraId="7D9918E6"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Nickel</w:t>
            </w:r>
          </w:p>
        </w:tc>
        <w:tc>
          <w:tcPr>
            <w:tcW w:w="1087" w:type="dxa"/>
            <w:tcBorders>
              <w:top w:val="single" w:sz="4" w:space="0" w:color="auto"/>
              <w:left w:val="nil"/>
              <w:bottom w:val="single" w:sz="4" w:space="0" w:color="auto"/>
              <w:right w:val="nil"/>
            </w:tcBorders>
            <w:shd w:val="clear" w:color="auto" w:fill="auto"/>
            <w:noWrap/>
            <w:vAlign w:val="center"/>
            <w:hideMark/>
          </w:tcPr>
          <w:p w14:paraId="755D1E98"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Cobalt</w:t>
            </w:r>
          </w:p>
        </w:tc>
        <w:tc>
          <w:tcPr>
            <w:tcW w:w="1787" w:type="dxa"/>
            <w:tcBorders>
              <w:top w:val="single" w:sz="4" w:space="0" w:color="auto"/>
              <w:left w:val="nil"/>
              <w:bottom w:val="single" w:sz="4" w:space="0" w:color="auto"/>
              <w:right w:val="nil"/>
            </w:tcBorders>
            <w:shd w:val="clear" w:color="auto" w:fill="auto"/>
            <w:noWrap/>
            <w:vAlign w:val="center"/>
            <w:hideMark/>
          </w:tcPr>
          <w:p w14:paraId="106BB4EB"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Manganese</w:t>
            </w:r>
          </w:p>
        </w:tc>
        <w:tc>
          <w:tcPr>
            <w:tcW w:w="1707" w:type="dxa"/>
            <w:tcBorders>
              <w:top w:val="single" w:sz="4" w:space="0" w:color="auto"/>
              <w:left w:val="nil"/>
              <w:bottom w:val="single" w:sz="4" w:space="0" w:color="auto"/>
              <w:right w:val="nil"/>
            </w:tcBorders>
            <w:shd w:val="clear" w:color="auto" w:fill="auto"/>
            <w:noWrap/>
            <w:vAlign w:val="center"/>
            <w:hideMark/>
          </w:tcPr>
          <w:p w14:paraId="0F084D0D"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Aluminum</w:t>
            </w:r>
          </w:p>
        </w:tc>
      </w:tr>
      <w:tr w:rsidR="00F521ED" w:rsidRPr="00F521ED" w14:paraId="4FD337F4"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7FDDBCE0"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Acidic</w:t>
            </w:r>
          </w:p>
        </w:tc>
        <w:tc>
          <w:tcPr>
            <w:tcW w:w="1207" w:type="dxa"/>
            <w:tcBorders>
              <w:top w:val="nil"/>
              <w:left w:val="single" w:sz="4" w:space="0" w:color="auto"/>
              <w:bottom w:val="nil"/>
              <w:right w:val="nil"/>
            </w:tcBorders>
            <w:shd w:val="clear" w:color="auto" w:fill="auto"/>
            <w:noWrap/>
            <w:vAlign w:val="bottom"/>
            <w:hideMark/>
          </w:tcPr>
          <w:p w14:paraId="78A3C8F8" w14:textId="77EDE97E"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0.009</w:t>
            </w:r>
          </w:p>
        </w:tc>
        <w:tc>
          <w:tcPr>
            <w:tcW w:w="1027" w:type="dxa"/>
            <w:tcBorders>
              <w:top w:val="nil"/>
              <w:left w:val="nil"/>
              <w:bottom w:val="nil"/>
              <w:right w:val="nil"/>
            </w:tcBorders>
            <w:shd w:val="clear" w:color="auto" w:fill="auto"/>
            <w:noWrap/>
            <w:vAlign w:val="bottom"/>
            <w:hideMark/>
          </w:tcPr>
          <w:p w14:paraId="3E61CC01"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nil"/>
              <w:right w:val="nil"/>
            </w:tcBorders>
            <w:shd w:val="clear" w:color="auto" w:fill="auto"/>
            <w:noWrap/>
            <w:vAlign w:val="bottom"/>
            <w:hideMark/>
          </w:tcPr>
          <w:p w14:paraId="48DC0A38"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nil"/>
              <w:right w:val="nil"/>
            </w:tcBorders>
            <w:shd w:val="clear" w:color="auto" w:fill="auto"/>
            <w:noWrap/>
            <w:vAlign w:val="bottom"/>
            <w:hideMark/>
          </w:tcPr>
          <w:p w14:paraId="3C80E79A"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nil"/>
              <w:right w:val="nil"/>
            </w:tcBorders>
            <w:shd w:val="clear" w:color="auto" w:fill="auto"/>
            <w:noWrap/>
            <w:vAlign w:val="bottom"/>
            <w:hideMark/>
          </w:tcPr>
          <w:p w14:paraId="3841CFF2"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68FAC5A1"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75165897"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Acidic</w:t>
            </w:r>
          </w:p>
        </w:tc>
        <w:tc>
          <w:tcPr>
            <w:tcW w:w="1207" w:type="dxa"/>
            <w:tcBorders>
              <w:top w:val="nil"/>
              <w:left w:val="single" w:sz="4" w:space="0" w:color="auto"/>
              <w:bottom w:val="nil"/>
              <w:right w:val="nil"/>
            </w:tcBorders>
            <w:shd w:val="clear" w:color="auto" w:fill="auto"/>
            <w:noWrap/>
            <w:vAlign w:val="bottom"/>
            <w:hideMark/>
          </w:tcPr>
          <w:p w14:paraId="75518799" w14:textId="296EFCBC"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0.008</w:t>
            </w:r>
          </w:p>
        </w:tc>
        <w:tc>
          <w:tcPr>
            <w:tcW w:w="1027" w:type="dxa"/>
            <w:tcBorders>
              <w:top w:val="nil"/>
              <w:left w:val="nil"/>
              <w:bottom w:val="nil"/>
              <w:right w:val="nil"/>
            </w:tcBorders>
            <w:shd w:val="clear" w:color="auto" w:fill="auto"/>
            <w:noWrap/>
            <w:vAlign w:val="bottom"/>
            <w:hideMark/>
          </w:tcPr>
          <w:p w14:paraId="53CBE467"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nil"/>
              <w:right w:val="nil"/>
            </w:tcBorders>
            <w:shd w:val="clear" w:color="auto" w:fill="auto"/>
            <w:noWrap/>
            <w:vAlign w:val="bottom"/>
            <w:hideMark/>
          </w:tcPr>
          <w:p w14:paraId="50062BF1"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nil"/>
              <w:right w:val="nil"/>
            </w:tcBorders>
            <w:shd w:val="clear" w:color="auto" w:fill="auto"/>
            <w:noWrap/>
            <w:vAlign w:val="bottom"/>
            <w:hideMark/>
          </w:tcPr>
          <w:p w14:paraId="17D0A54E"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nil"/>
              <w:right w:val="nil"/>
            </w:tcBorders>
            <w:shd w:val="clear" w:color="auto" w:fill="auto"/>
            <w:noWrap/>
            <w:vAlign w:val="bottom"/>
            <w:hideMark/>
          </w:tcPr>
          <w:p w14:paraId="3A625244"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773C787F" w14:textId="77777777" w:rsidTr="00072840">
        <w:trPr>
          <w:trHeight w:val="312"/>
          <w:jc w:val="center"/>
        </w:trPr>
        <w:tc>
          <w:tcPr>
            <w:tcW w:w="1326" w:type="dxa"/>
            <w:tcBorders>
              <w:top w:val="nil"/>
              <w:left w:val="nil"/>
              <w:bottom w:val="single" w:sz="4" w:space="0" w:color="auto"/>
              <w:right w:val="single" w:sz="4" w:space="0" w:color="auto"/>
            </w:tcBorders>
            <w:shd w:val="clear" w:color="auto" w:fill="auto"/>
            <w:noWrap/>
            <w:vAlign w:val="center"/>
            <w:hideMark/>
          </w:tcPr>
          <w:p w14:paraId="777CA3E7"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Acidic</w:t>
            </w:r>
          </w:p>
        </w:tc>
        <w:tc>
          <w:tcPr>
            <w:tcW w:w="1207" w:type="dxa"/>
            <w:tcBorders>
              <w:top w:val="nil"/>
              <w:left w:val="single" w:sz="4" w:space="0" w:color="auto"/>
              <w:bottom w:val="single" w:sz="4" w:space="0" w:color="auto"/>
              <w:right w:val="nil"/>
            </w:tcBorders>
            <w:shd w:val="clear" w:color="auto" w:fill="auto"/>
            <w:noWrap/>
            <w:vAlign w:val="bottom"/>
            <w:hideMark/>
          </w:tcPr>
          <w:p w14:paraId="03A8BCC6" w14:textId="26804748"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0.009</w:t>
            </w:r>
          </w:p>
        </w:tc>
        <w:tc>
          <w:tcPr>
            <w:tcW w:w="1027" w:type="dxa"/>
            <w:tcBorders>
              <w:top w:val="nil"/>
              <w:left w:val="nil"/>
              <w:bottom w:val="single" w:sz="4" w:space="0" w:color="auto"/>
              <w:right w:val="nil"/>
            </w:tcBorders>
            <w:shd w:val="clear" w:color="auto" w:fill="auto"/>
            <w:noWrap/>
            <w:vAlign w:val="bottom"/>
            <w:hideMark/>
          </w:tcPr>
          <w:p w14:paraId="7B5EA21C"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single" w:sz="4" w:space="0" w:color="auto"/>
              <w:right w:val="nil"/>
            </w:tcBorders>
            <w:shd w:val="clear" w:color="auto" w:fill="auto"/>
            <w:noWrap/>
            <w:vAlign w:val="bottom"/>
            <w:hideMark/>
          </w:tcPr>
          <w:p w14:paraId="787E167D"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single" w:sz="4" w:space="0" w:color="auto"/>
              <w:right w:val="nil"/>
            </w:tcBorders>
            <w:shd w:val="clear" w:color="auto" w:fill="auto"/>
            <w:noWrap/>
            <w:vAlign w:val="bottom"/>
            <w:hideMark/>
          </w:tcPr>
          <w:p w14:paraId="18319F3E"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single" w:sz="4" w:space="0" w:color="auto"/>
              <w:right w:val="nil"/>
            </w:tcBorders>
            <w:shd w:val="clear" w:color="auto" w:fill="auto"/>
            <w:noWrap/>
            <w:vAlign w:val="bottom"/>
            <w:hideMark/>
          </w:tcPr>
          <w:p w14:paraId="42B6BB4E"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7A180BFF"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65E7A62E"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Average</w:t>
            </w:r>
          </w:p>
        </w:tc>
        <w:tc>
          <w:tcPr>
            <w:tcW w:w="1207" w:type="dxa"/>
            <w:tcBorders>
              <w:top w:val="nil"/>
              <w:left w:val="single" w:sz="4" w:space="0" w:color="auto"/>
              <w:bottom w:val="nil"/>
              <w:right w:val="nil"/>
            </w:tcBorders>
            <w:shd w:val="clear" w:color="auto" w:fill="auto"/>
            <w:noWrap/>
            <w:vAlign w:val="bottom"/>
            <w:hideMark/>
          </w:tcPr>
          <w:p w14:paraId="02DF3145" w14:textId="43FEC853"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0.009</w:t>
            </w:r>
          </w:p>
        </w:tc>
        <w:tc>
          <w:tcPr>
            <w:tcW w:w="1027" w:type="dxa"/>
            <w:tcBorders>
              <w:top w:val="nil"/>
              <w:left w:val="nil"/>
              <w:bottom w:val="nil"/>
              <w:right w:val="nil"/>
            </w:tcBorders>
            <w:shd w:val="clear" w:color="auto" w:fill="auto"/>
            <w:noWrap/>
            <w:vAlign w:val="bottom"/>
            <w:hideMark/>
          </w:tcPr>
          <w:p w14:paraId="4771CF86"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nil"/>
              <w:right w:val="nil"/>
            </w:tcBorders>
            <w:shd w:val="clear" w:color="auto" w:fill="auto"/>
            <w:noWrap/>
            <w:vAlign w:val="bottom"/>
            <w:hideMark/>
          </w:tcPr>
          <w:p w14:paraId="74332F01"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nil"/>
              <w:right w:val="nil"/>
            </w:tcBorders>
            <w:shd w:val="clear" w:color="auto" w:fill="auto"/>
            <w:noWrap/>
            <w:vAlign w:val="bottom"/>
            <w:hideMark/>
          </w:tcPr>
          <w:p w14:paraId="6A9F3CB6"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nil"/>
              <w:right w:val="nil"/>
            </w:tcBorders>
            <w:shd w:val="clear" w:color="auto" w:fill="auto"/>
            <w:noWrap/>
            <w:vAlign w:val="bottom"/>
            <w:hideMark/>
          </w:tcPr>
          <w:p w14:paraId="79E8FBFD"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79D93D25"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079135D8" w14:textId="77777777" w:rsidR="00F521ED" w:rsidRPr="00F521ED" w:rsidRDefault="00F521ED" w:rsidP="00F521ED">
            <w:pPr>
              <w:spacing w:line="240" w:lineRule="auto"/>
              <w:jc w:val="center"/>
              <w:rPr>
                <w:rFonts w:ascii="Calibri" w:eastAsia="Times New Roman" w:hAnsi="Calibri" w:cs="Calibri"/>
                <w:color w:val="000000"/>
                <w:sz w:val="22"/>
              </w:rPr>
            </w:pPr>
          </w:p>
        </w:tc>
        <w:tc>
          <w:tcPr>
            <w:tcW w:w="1207" w:type="dxa"/>
            <w:tcBorders>
              <w:top w:val="nil"/>
              <w:left w:val="single" w:sz="4" w:space="0" w:color="auto"/>
              <w:bottom w:val="nil"/>
              <w:right w:val="nil"/>
            </w:tcBorders>
            <w:shd w:val="clear" w:color="auto" w:fill="auto"/>
            <w:noWrap/>
            <w:vAlign w:val="center"/>
            <w:hideMark/>
          </w:tcPr>
          <w:p w14:paraId="68CB4ADA" w14:textId="77777777" w:rsidR="00F521ED" w:rsidRPr="00F521ED" w:rsidRDefault="00F521ED" w:rsidP="00F521ED">
            <w:pPr>
              <w:spacing w:line="240" w:lineRule="auto"/>
              <w:jc w:val="center"/>
              <w:rPr>
                <w:rFonts w:eastAsia="Times New Roman" w:cs="Times New Roman"/>
                <w:sz w:val="20"/>
                <w:szCs w:val="20"/>
              </w:rPr>
            </w:pPr>
          </w:p>
        </w:tc>
        <w:tc>
          <w:tcPr>
            <w:tcW w:w="1027" w:type="dxa"/>
            <w:tcBorders>
              <w:top w:val="nil"/>
              <w:left w:val="nil"/>
              <w:bottom w:val="nil"/>
              <w:right w:val="nil"/>
            </w:tcBorders>
            <w:shd w:val="clear" w:color="auto" w:fill="auto"/>
            <w:noWrap/>
            <w:vAlign w:val="center"/>
            <w:hideMark/>
          </w:tcPr>
          <w:p w14:paraId="5A036D8D" w14:textId="77777777" w:rsidR="00F521ED" w:rsidRPr="00F521ED" w:rsidRDefault="00F521ED" w:rsidP="00F521ED">
            <w:pPr>
              <w:spacing w:line="240" w:lineRule="auto"/>
              <w:jc w:val="center"/>
              <w:rPr>
                <w:rFonts w:eastAsia="Times New Roman" w:cs="Times New Roman"/>
                <w:sz w:val="20"/>
                <w:szCs w:val="20"/>
              </w:rPr>
            </w:pPr>
          </w:p>
        </w:tc>
        <w:tc>
          <w:tcPr>
            <w:tcW w:w="1087" w:type="dxa"/>
            <w:tcBorders>
              <w:top w:val="nil"/>
              <w:left w:val="nil"/>
              <w:bottom w:val="nil"/>
              <w:right w:val="nil"/>
            </w:tcBorders>
            <w:shd w:val="clear" w:color="auto" w:fill="auto"/>
            <w:noWrap/>
            <w:vAlign w:val="center"/>
            <w:hideMark/>
          </w:tcPr>
          <w:p w14:paraId="508EAAB0" w14:textId="77777777" w:rsidR="00F521ED" w:rsidRPr="00F521ED" w:rsidRDefault="00F521ED" w:rsidP="00F521ED">
            <w:pPr>
              <w:spacing w:line="240" w:lineRule="auto"/>
              <w:jc w:val="center"/>
              <w:rPr>
                <w:rFonts w:eastAsia="Times New Roman" w:cs="Times New Roman"/>
                <w:sz w:val="20"/>
                <w:szCs w:val="20"/>
              </w:rPr>
            </w:pPr>
          </w:p>
        </w:tc>
        <w:tc>
          <w:tcPr>
            <w:tcW w:w="1787" w:type="dxa"/>
            <w:tcBorders>
              <w:top w:val="nil"/>
              <w:left w:val="nil"/>
              <w:bottom w:val="nil"/>
              <w:right w:val="nil"/>
            </w:tcBorders>
            <w:shd w:val="clear" w:color="auto" w:fill="auto"/>
            <w:noWrap/>
            <w:vAlign w:val="center"/>
            <w:hideMark/>
          </w:tcPr>
          <w:p w14:paraId="0C37146E" w14:textId="77777777" w:rsidR="00F521ED" w:rsidRPr="00F521ED" w:rsidRDefault="00F521ED" w:rsidP="00F521ED">
            <w:pPr>
              <w:spacing w:line="240" w:lineRule="auto"/>
              <w:jc w:val="center"/>
              <w:rPr>
                <w:rFonts w:eastAsia="Times New Roman" w:cs="Times New Roman"/>
                <w:sz w:val="20"/>
                <w:szCs w:val="20"/>
              </w:rPr>
            </w:pPr>
          </w:p>
        </w:tc>
        <w:tc>
          <w:tcPr>
            <w:tcW w:w="1707" w:type="dxa"/>
            <w:tcBorders>
              <w:top w:val="nil"/>
              <w:left w:val="nil"/>
              <w:bottom w:val="nil"/>
              <w:right w:val="nil"/>
            </w:tcBorders>
            <w:shd w:val="clear" w:color="auto" w:fill="auto"/>
            <w:noWrap/>
            <w:vAlign w:val="center"/>
            <w:hideMark/>
          </w:tcPr>
          <w:p w14:paraId="3817886B" w14:textId="77777777" w:rsidR="00F521ED" w:rsidRPr="00F521ED" w:rsidRDefault="00F521ED" w:rsidP="00F521ED">
            <w:pPr>
              <w:spacing w:line="240" w:lineRule="auto"/>
              <w:jc w:val="center"/>
              <w:rPr>
                <w:rFonts w:eastAsia="Times New Roman" w:cs="Times New Roman"/>
                <w:sz w:val="20"/>
                <w:szCs w:val="20"/>
              </w:rPr>
            </w:pPr>
          </w:p>
        </w:tc>
      </w:tr>
      <w:tr w:rsidR="00F521ED" w:rsidRPr="00F521ED" w14:paraId="1E22782A"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1E0BB133"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Basic</w:t>
            </w:r>
          </w:p>
        </w:tc>
        <w:tc>
          <w:tcPr>
            <w:tcW w:w="1207" w:type="dxa"/>
            <w:tcBorders>
              <w:top w:val="nil"/>
              <w:left w:val="single" w:sz="4" w:space="0" w:color="auto"/>
              <w:bottom w:val="nil"/>
              <w:right w:val="nil"/>
            </w:tcBorders>
            <w:shd w:val="clear" w:color="auto" w:fill="auto"/>
            <w:noWrap/>
            <w:vAlign w:val="bottom"/>
            <w:hideMark/>
          </w:tcPr>
          <w:p w14:paraId="4199B5A3" w14:textId="7D081F76"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0.007</w:t>
            </w:r>
          </w:p>
        </w:tc>
        <w:tc>
          <w:tcPr>
            <w:tcW w:w="1027" w:type="dxa"/>
            <w:tcBorders>
              <w:top w:val="nil"/>
              <w:left w:val="nil"/>
              <w:bottom w:val="nil"/>
              <w:right w:val="nil"/>
            </w:tcBorders>
            <w:shd w:val="clear" w:color="auto" w:fill="auto"/>
            <w:noWrap/>
            <w:vAlign w:val="bottom"/>
            <w:hideMark/>
          </w:tcPr>
          <w:p w14:paraId="40DA0C53"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nil"/>
              <w:right w:val="nil"/>
            </w:tcBorders>
            <w:shd w:val="clear" w:color="auto" w:fill="auto"/>
            <w:noWrap/>
            <w:vAlign w:val="bottom"/>
            <w:hideMark/>
          </w:tcPr>
          <w:p w14:paraId="0817AB64"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nil"/>
              <w:right w:val="nil"/>
            </w:tcBorders>
            <w:shd w:val="clear" w:color="auto" w:fill="auto"/>
            <w:noWrap/>
            <w:vAlign w:val="bottom"/>
            <w:hideMark/>
          </w:tcPr>
          <w:p w14:paraId="0F16C9A3"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nil"/>
              <w:right w:val="nil"/>
            </w:tcBorders>
            <w:shd w:val="clear" w:color="auto" w:fill="auto"/>
            <w:noWrap/>
            <w:vAlign w:val="bottom"/>
            <w:hideMark/>
          </w:tcPr>
          <w:p w14:paraId="78422F6E"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48278275"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2B6897A2"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Basic</w:t>
            </w:r>
          </w:p>
        </w:tc>
        <w:tc>
          <w:tcPr>
            <w:tcW w:w="1207" w:type="dxa"/>
            <w:tcBorders>
              <w:top w:val="nil"/>
              <w:left w:val="single" w:sz="4" w:space="0" w:color="auto"/>
              <w:bottom w:val="nil"/>
              <w:right w:val="nil"/>
            </w:tcBorders>
            <w:shd w:val="clear" w:color="auto" w:fill="auto"/>
            <w:noWrap/>
            <w:vAlign w:val="bottom"/>
            <w:hideMark/>
          </w:tcPr>
          <w:p w14:paraId="668DFA6A" w14:textId="2CA8D13B"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0.008</w:t>
            </w:r>
          </w:p>
        </w:tc>
        <w:tc>
          <w:tcPr>
            <w:tcW w:w="1027" w:type="dxa"/>
            <w:tcBorders>
              <w:top w:val="nil"/>
              <w:left w:val="nil"/>
              <w:bottom w:val="nil"/>
              <w:right w:val="nil"/>
            </w:tcBorders>
            <w:shd w:val="clear" w:color="auto" w:fill="auto"/>
            <w:noWrap/>
            <w:vAlign w:val="bottom"/>
            <w:hideMark/>
          </w:tcPr>
          <w:p w14:paraId="6FCCA92B"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nil"/>
              <w:right w:val="nil"/>
            </w:tcBorders>
            <w:shd w:val="clear" w:color="auto" w:fill="auto"/>
            <w:noWrap/>
            <w:vAlign w:val="bottom"/>
            <w:hideMark/>
          </w:tcPr>
          <w:p w14:paraId="1982CFB5"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nil"/>
              <w:right w:val="nil"/>
            </w:tcBorders>
            <w:shd w:val="clear" w:color="auto" w:fill="auto"/>
            <w:noWrap/>
            <w:vAlign w:val="bottom"/>
            <w:hideMark/>
          </w:tcPr>
          <w:p w14:paraId="4A671A9C"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nil"/>
              <w:right w:val="nil"/>
            </w:tcBorders>
            <w:shd w:val="clear" w:color="auto" w:fill="auto"/>
            <w:noWrap/>
            <w:vAlign w:val="bottom"/>
            <w:hideMark/>
          </w:tcPr>
          <w:p w14:paraId="7074B3ED"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33133CBC" w14:textId="77777777" w:rsidTr="00072840">
        <w:trPr>
          <w:trHeight w:val="312"/>
          <w:jc w:val="center"/>
        </w:trPr>
        <w:tc>
          <w:tcPr>
            <w:tcW w:w="1326" w:type="dxa"/>
            <w:tcBorders>
              <w:top w:val="nil"/>
              <w:left w:val="nil"/>
              <w:bottom w:val="single" w:sz="4" w:space="0" w:color="auto"/>
              <w:right w:val="single" w:sz="4" w:space="0" w:color="auto"/>
            </w:tcBorders>
            <w:shd w:val="clear" w:color="auto" w:fill="auto"/>
            <w:noWrap/>
            <w:vAlign w:val="center"/>
            <w:hideMark/>
          </w:tcPr>
          <w:p w14:paraId="2EC4A9FB"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Basic</w:t>
            </w:r>
          </w:p>
        </w:tc>
        <w:tc>
          <w:tcPr>
            <w:tcW w:w="1207" w:type="dxa"/>
            <w:tcBorders>
              <w:top w:val="nil"/>
              <w:left w:val="single" w:sz="4" w:space="0" w:color="auto"/>
              <w:bottom w:val="single" w:sz="4" w:space="0" w:color="auto"/>
              <w:right w:val="nil"/>
            </w:tcBorders>
            <w:shd w:val="clear" w:color="auto" w:fill="auto"/>
            <w:noWrap/>
            <w:vAlign w:val="bottom"/>
            <w:hideMark/>
          </w:tcPr>
          <w:p w14:paraId="49B9D61A" w14:textId="6CB3FFB2" w:rsidR="00F521ED" w:rsidRPr="00F521ED" w:rsidRDefault="002E5094" w:rsidP="00F521ED">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0.008</w:t>
            </w:r>
          </w:p>
        </w:tc>
        <w:tc>
          <w:tcPr>
            <w:tcW w:w="1027" w:type="dxa"/>
            <w:tcBorders>
              <w:top w:val="nil"/>
              <w:left w:val="nil"/>
              <w:bottom w:val="single" w:sz="4" w:space="0" w:color="auto"/>
              <w:right w:val="nil"/>
            </w:tcBorders>
            <w:shd w:val="clear" w:color="auto" w:fill="auto"/>
            <w:noWrap/>
            <w:vAlign w:val="bottom"/>
            <w:hideMark/>
          </w:tcPr>
          <w:p w14:paraId="79578E11"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single" w:sz="4" w:space="0" w:color="auto"/>
              <w:right w:val="nil"/>
            </w:tcBorders>
            <w:shd w:val="clear" w:color="auto" w:fill="auto"/>
            <w:noWrap/>
            <w:vAlign w:val="bottom"/>
            <w:hideMark/>
          </w:tcPr>
          <w:p w14:paraId="2EF20E39"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single" w:sz="4" w:space="0" w:color="auto"/>
              <w:right w:val="nil"/>
            </w:tcBorders>
            <w:shd w:val="clear" w:color="auto" w:fill="auto"/>
            <w:noWrap/>
            <w:vAlign w:val="bottom"/>
            <w:hideMark/>
          </w:tcPr>
          <w:p w14:paraId="171877DA"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single" w:sz="4" w:space="0" w:color="auto"/>
              <w:right w:val="nil"/>
            </w:tcBorders>
            <w:shd w:val="clear" w:color="auto" w:fill="auto"/>
            <w:noWrap/>
            <w:vAlign w:val="bottom"/>
            <w:hideMark/>
          </w:tcPr>
          <w:p w14:paraId="20BAA330"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4BF089FF" w14:textId="77777777" w:rsidTr="00072840">
        <w:trPr>
          <w:trHeight w:val="312"/>
          <w:jc w:val="center"/>
        </w:trPr>
        <w:tc>
          <w:tcPr>
            <w:tcW w:w="1326" w:type="dxa"/>
            <w:tcBorders>
              <w:top w:val="nil"/>
              <w:left w:val="nil"/>
              <w:bottom w:val="nil"/>
              <w:right w:val="single" w:sz="4" w:space="0" w:color="auto"/>
            </w:tcBorders>
            <w:shd w:val="clear" w:color="auto" w:fill="auto"/>
            <w:noWrap/>
            <w:vAlign w:val="center"/>
            <w:hideMark/>
          </w:tcPr>
          <w:p w14:paraId="040DB90A" w14:textId="77777777" w:rsidR="00F521ED" w:rsidRPr="00F521ED" w:rsidRDefault="00F521ED" w:rsidP="00F521ED">
            <w:pPr>
              <w:spacing w:line="240" w:lineRule="auto"/>
              <w:jc w:val="center"/>
              <w:rPr>
                <w:rFonts w:eastAsia="Times New Roman" w:cs="Times New Roman"/>
                <w:b/>
                <w:bCs/>
                <w:color w:val="000000"/>
                <w:szCs w:val="24"/>
              </w:rPr>
            </w:pPr>
            <w:r w:rsidRPr="00F521ED">
              <w:rPr>
                <w:rFonts w:eastAsia="Times New Roman" w:cs="Times New Roman"/>
                <w:b/>
                <w:bCs/>
                <w:color w:val="000000"/>
                <w:szCs w:val="24"/>
              </w:rPr>
              <w:t>Average</w:t>
            </w:r>
          </w:p>
        </w:tc>
        <w:tc>
          <w:tcPr>
            <w:tcW w:w="1207" w:type="dxa"/>
            <w:tcBorders>
              <w:top w:val="nil"/>
              <w:left w:val="single" w:sz="4" w:space="0" w:color="auto"/>
              <w:bottom w:val="nil"/>
              <w:right w:val="nil"/>
            </w:tcBorders>
            <w:shd w:val="clear" w:color="auto" w:fill="auto"/>
            <w:noWrap/>
            <w:vAlign w:val="center"/>
            <w:hideMark/>
          </w:tcPr>
          <w:p w14:paraId="1D8065B7" w14:textId="5669F203" w:rsidR="00F521ED" w:rsidRPr="00F521ED" w:rsidRDefault="002E5094" w:rsidP="00F521ED">
            <w:pPr>
              <w:spacing w:line="240" w:lineRule="auto"/>
              <w:jc w:val="center"/>
              <w:rPr>
                <w:rFonts w:eastAsia="Times New Roman" w:cs="Times New Roman"/>
                <w:color w:val="000000"/>
                <w:szCs w:val="24"/>
              </w:rPr>
            </w:pPr>
            <w:r>
              <w:rPr>
                <w:rFonts w:eastAsia="Times New Roman" w:cs="Times New Roman"/>
                <w:color w:val="000000"/>
                <w:szCs w:val="24"/>
              </w:rPr>
              <w:t>0.008</w:t>
            </w:r>
          </w:p>
        </w:tc>
        <w:tc>
          <w:tcPr>
            <w:tcW w:w="1027" w:type="dxa"/>
            <w:tcBorders>
              <w:top w:val="nil"/>
              <w:left w:val="nil"/>
              <w:bottom w:val="nil"/>
              <w:right w:val="nil"/>
            </w:tcBorders>
            <w:shd w:val="clear" w:color="auto" w:fill="auto"/>
            <w:noWrap/>
            <w:vAlign w:val="bottom"/>
            <w:hideMark/>
          </w:tcPr>
          <w:p w14:paraId="61CACFFB"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087" w:type="dxa"/>
            <w:tcBorders>
              <w:top w:val="nil"/>
              <w:left w:val="nil"/>
              <w:bottom w:val="nil"/>
              <w:right w:val="nil"/>
            </w:tcBorders>
            <w:shd w:val="clear" w:color="auto" w:fill="auto"/>
            <w:noWrap/>
            <w:vAlign w:val="bottom"/>
            <w:hideMark/>
          </w:tcPr>
          <w:p w14:paraId="3C99BA5C"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87" w:type="dxa"/>
            <w:tcBorders>
              <w:top w:val="nil"/>
              <w:left w:val="nil"/>
              <w:bottom w:val="nil"/>
              <w:right w:val="nil"/>
            </w:tcBorders>
            <w:shd w:val="clear" w:color="auto" w:fill="auto"/>
            <w:noWrap/>
            <w:vAlign w:val="bottom"/>
            <w:hideMark/>
          </w:tcPr>
          <w:p w14:paraId="708F1DA8"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c>
          <w:tcPr>
            <w:tcW w:w="1707" w:type="dxa"/>
            <w:tcBorders>
              <w:top w:val="nil"/>
              <w:left w:val="nil"/>
              <w:bottom w:val="nil"/>
              <w:right w:val="nil"/>
            </w:tcBorders>
            <w:shd w:val="clear" w:color="auto" w:fill="auto"/>
            <w:noWrap/>
            <w:vAlign w:val="bottom"/>
            <w:hideMark/>
          </w:tcPr>
          <w:p w14:paraId="3D71A5C0" w14:textId="77777777" w:rsidR="00F521ED" w:rsidRPr="00F521ED" w:rsidRDefault="00F521ED" w:rsidP="00F521ED">
            <w:pPr>
              <w:spacing w:line="240" w:lineRule="auto"/>
              <w:jc w:val="center"/>
              <w:rPr>
                <w:rFonts w:ascii="Calibri" w:eastAsia="Times New Roman" w:hAnsi="Calibri" w:cs="Calibri"/>
                <w:color w:val="000000"/>
                <w:sz w:val="22"/>
              </w:rPr>
            </w:pPr>
            <w:r w:rsidRPr="00F521ED">
              <w:rPr>
                <w:rFonts w:ascii="Calibri" w:eastAsia="Times New Roman" w:hAnsi="Calibri" w:cs="Calibri"/>
                <w:color w:val="000000"/>
                <w:sz w:val="22"/>
              </w:rPr>
              <w:t>BDL</w:t>
            </w:r>
          </w:p>
        </w:tc>
      </w:tr>
      <w:tr w:rsidR="00F521ED" w:rsidRPr="00F521ED" w14:paraId="610F74B4" w14:textId="77777777" w:rsidTr="00F521ED">
        <w:trPr>
          <w:trHeight w:val="312"/>
          <w:jc w:val="center"/>
        </w:trPr>
        <w:tc>
          <w:tcPr>
            <w:tcW w:w="6434" w:type="dxa"/>
            <w:gridSpan w:val="5"/>
            <w:tcBorders>
              <w:top w:val="nil"/>
              <w:left w:val="nil"/>
              <w:bottom w:val="nil"/>
              <w:right w:val="nil"/>
            </w:tcBorders>
            <w:shd w:val="clear" w:color="auto" w:fill="auto"/>
            <w:noWrap/>
            <w:vAlign w:val="center"/>
            <w:hideMark/>
          </w:tcPr>
          <w:p w14:paraId="65EACDE8" w14:textId="77777777" w:rsidR="00F521ED" w:rsidRPr="00F521ED" w:rsidRDefault="00F521ED" w:rsidP="00F521ED">
            <w:pPr>
              <w:spacing w:line="240" w:lineRule="auto"/>
              <w:jc w:val="center"/>
              <w:rPr>
                <w:rFonts w:eastAsia="Times New Roman" w:cs="Times New Roman"/>
                <w:color w:val="000000"/>
                <w:szCs w:val="24"/>
              </w:rPr>
            </w:pPr>
            <w:r w:rsidRPr="00F521ED">
              <w:rPr>
                <w:rFonts w:eastAsia="Times New Roman" w:cs="Times New Roman"/>
                <w:color w:val="000000"/>
                <w:szCs w:val="24"/>
              </w:rPr>
              <w:t>BDL = Below Detection Limit</w:t>
            </w:r>
          </w:p>
        </w:tc>
        <w:tc>
          <w:tcPr>
            <w:tcW w:w="1707" w:type="dxa"/>
            <w:tcBorders>
              <w:top w:val="nil"/>
              <w:left w:val="nil"/>
              <w:bottom w:val="nil"/>
              <w:right w:val="nil"/>
            </w:tcBorders>
            <w:shd w:val="clear" w:color="auto" w:fill="auto"/>
            <w:noWrap/>
            <w:vAlign w:val="center"/>
            <w:hideMark/>
          </w:tcPr>
          <w:p w14:paraId="7BEA280D" w14:textId="77777777" w:rsidR="00F521ED" w:rsidRPr="00F521ED" w:rsidRDefault="00F521ED" w:rsidP="00F521ED">
            <w:pPr>
              <w:spacing w:line="240" w:lineRule="auto"/>
              <w:jc w:val="center"/>
              <w:rPr>
                <w:rFonts w:eastAsia="Times New Roman" w:cs="Times New Roman"/>
                <w:color w:val="000000"/>
                <w:szCs w:val="24"/>
              </w:rPr>
            </w:pPr>
          </w:p>
        </w:tc>
      </w:tr>
    </w:tbl>
    <w:p w14:paraId="2739AF41" w14:textId="4A9A1018" w:rsidR="006B3CDD" w:rsidRDefault="006B3CDD" w:rsidP="006B3CDD">
      <w:pPr>
        <w:jc w:val="center"/>
      </w:pPr>
    </w:p>
    <w:p w14:paraId="22D3CDDB" w14:textId="1E6BC96B" w:rsidR="005E644F" w:rsidRDefault="005E644F" w:rsidP="005E644F">
      <w:pPr>
        <w:pStyle w:val="Caption"/>
        <w:spacing w:after="0" w:line="480" w:lineRule="auto"/>
      </w:pPr>
      <w:bookmarkStart w:id="203" w:name="_Toc71224043"/>
      <w:r w:rsidRPr="009F10A6">
        <w:rPr>
          <w:b/>
          <w:bCs/>
        </w:rPr>
        <w:t>Table A.</w:t>
      </w:r>
      <w:r w:rsidRPr="001650CC">
        <w:rPr>
          <w:b/>
          <w:bCs/>
        </w:rPr>
        <w:fldChar w:fldCharType="begin"/>
      </w:r>
      <w:r w:rsidRPr="001650CC">
        <w:rPr>
          <w:b/>
          <w:bCs/>
        </w:rPr>
        <w:instrText xml:space="preserve"> SEQ __ \* ARABIC \s 1 </w:instrText>
      </w:r>
      <w:r w:rsidRPr="001650CC">
        <w:rPr>
          <w:b/>
          <w:bCs/>
        </w:rPr>
        <w:fldChar w:fldCharType="separate"/>
      </w:r>
      <w:r w:rsidR="007712B4">
        <w:rPr>
          <w:b/>
          <w:bCs/>
          <w:noProof/>
        </w:rPr>
        <w:t>5</w:t>
      </w:r>
      <w:r w:rsidRPr="001650CC">
        <w:rPr>
          <w:b/>
          <w:bCs/>
        </w:rPr>
        <w:fldChar w:fldCharType="end"/>
      </w:r>
      <w:r w:rsidRPr="009F10A6">
        <w:rPr>
          <w:b/>
          <w:bCs/>
        </w:rPr>
        <w:t>:</w:t>
      </w:r>
      <w:r>
        <w:t xml:space="preserve"> LIB metal concentrations for the new LIB, post 24 weeks in soil LIB, and post 24 weeks in water LIB.</w:t>
      </w:r>
      <w:bookmarkEnd w:id="203"/>
    </w:p>
    <w:tbl>
      <w:tblPr>
        <w:tblW w:w="7830" w:type="dxa"/>
        <w:jc w:val="center"/>
        <w:tblLook w:val="04A0" w:firstRow="1" w:lastRow="0" w:firstColumn="1" w:lastColumn="0" w:noHBand="0" w:noVBand="1"/>
      </w:tblPr>
      <w:tblGrid>
        <w:gridCol w:w="1620"/>
        <w:gridCol w:w="1236"/>
        <w:gridCol w:w="1236"/>
        <w:gridCol w:w="1116"/>
        <w:gridCol w:w="1376"/>
        <w:gridCol w:w="1323"/>
      </w:tblGrid>
      <w:tr w:rsidR="00A0616B" w:rsidRPr="00A0616B" w14:paraId="5E46B1BC" w14:textId="77777777" w:rsidTr="00A0616B">
        <w:trPr>
          <w:trHeight w:val="312"/>
          <w:jc w:val="center"/>
        </w:trPr>
        <w:tc>
          <w:tcPr>
            <w:tcW w:w="7830" w:type="dxa"/>
            <w:gridSpan w:val="6"/>
            <w:tcBorders>
              <w:top w:val="nil"/>
              <w:left w:val="nil"/>
              <w:bottom w:val="single" w:sz="4" w:space="0" w:color="auto"/>
              <w:right w:val="nil"/>
            </w:tcBorders>
            <w:shd w:val="clear" w:color="auto" w:fill="auto"/>
            <w:noWrap/>
            <w:vAlign w:val="bottom"/>
            <w:hideMark/>
          </w:tcPr>
          <w:p w14:paraId="7B9A01DF"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Metal Concentrations for New, Soil, and Water LIB</w:t>
            </w:r>
          </w:p>
        </w:tc>
      </w:tr>
      <w:tr w:rsidR="00A0616B" w:rsidRPr="00A0616B" w14:paraId="5CBDAE24" w14:textId="77777777" w:rsidTr="00A0616B">
        <w:trPr>
          <w:trHeight w:val="312"/>
          <w:jc w:val="center"/>
        </w:trPr>
        <w:tc>
          <w:tcPr>
            <w:tcW w:w="1620" w:type="dxa"/>
            <w:tcBorders>
              <w:top w:val="nil"/>
              <w:left w:val="nil"/>
              <w:bottom w:val="single" w:sz="4" w:space="0" w:color="auto"/>
              <w:right w:val="single" w:sz="4" w:space="0" w:color="auto"/>
            </w:tcBorders>
            <w:shd w:val="clear" w:color="auto" w:fill="auto"/>
            <w:noWrap/>
            <w:vAlign w:val="bottom"/>
            <w:hideMark/>
          </w:tcPr>
          <w:p w14:paraId="591D5E86"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 </w:t>
            </w:r>
          </w:p>
        </w:tc>
        <w:tc>
          <w:tcPr>
            <w:tcW w:w="1159" w:type="dxa"/>
            <w:tcBorders>
              <w:top w:val="nil"/>
              <w:left w:val="nil"/>
              <w:bottom w:val="single" w:sz="4" w:space="0" w:color="auto"/>
              <w:right w:val="nil"/>
            </w:tcBorders>
            <w:shd w:val="clear" w:color="auto" w:fill="auto"/>
            <w:noWrap/>
            <w:vAlign w:val="bottom"/>
            <w:hideMark/>
          </w:tcPr>
          <w:p w14:paraId="56C023BA"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Copper</w:t>
            </w:r>
          </w:p>
        </w:tc>
        <w:tc>
          <w:tcPr>
            <w:tcW w:w="1236" w:type="dxa"/>
            <w:tcBorders>
              <w:top w:val="nil"/>
              <w:left w:val="nil"/>
              <w:bottom w:val="single" w:sz="4" w:space="0" w:color="auto"/>
              <w:right w:val="nil"/>
            </w:tcBorders>
            <w:shd w:val="clear" w:color="auto" w:fill="auto"/>
            <w:noWrap/>
            <w:vAlign w:val="bottom"/>
            <w:hideMark/>
          </w:tcPr>
          <w:p w14:paraId="242789BD"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Nickel</w:t>
            </w:r>
          </w:p>
        </w:tc>
        <w:tc>
          <w:tcPr>
            <w:tcW w:w="1116" w:type="dxa"/>
            <w:tcBorders>
              <w:top w:val="nil"/>
              <w:left w:val="nil"/>
              <w:bottom w:val="single" w:sz="4" w:space="0" w:color="auto"/>
              <w:right w:val="nil"/>
            </w:tcBorders>
            <w:shd w:val="clear" w:color="auto" w:fill="auto"/>
            <w:noWrap/>
            <w:vAlign w:val="bottom"/>
            <w:hideMark/>
          </w:tcPr>
          <w:p w14:paraId="1BDBD21B"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Cobalt</w:t>
            </w:r>
          </w:p>
        </w:tc>
        <w:tc>
          <w:tcPr>
            <w:tcW w:w="1376" w:type="dxa"/>
            <w:tcBorders>
              <w:top w:val="nil"/>
              <w:left w:val="nil"/>
              <w:bottom w:val="single" w:sz="4" w:space="0" w:color="auto"/>
              <w:right w:val="nil"/>
            </w:tcBorders>
            <w:shd w:val="clear" w:color="auto" w:fill="auto"/>
            <w:noWrap/>
            <w:vAlign w:val="bottom"/>
            <w:hideMark/>
          </w:tcPr>
          <w:p w14:paraId="5B18235C"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Manganese</w:t>
            </w:r>
          </w:p>
        </w:tc>
        <w:tc>
          <w:tcPr>
            <w:tcW w:w="1323" w:type="dxa"/>
            <w:tcBorders>
              <w:top w:val="nil"/>
              <w:left w:val="nil"/>
              <w:bottom w:val="single" w:sz="4" w:space="0" w:color="auto"/>
              <w:right w:val="nil"/>
            </w:tcBorders>
            <w:shd w:val="clear" w:color="auto" w:fill="auto"/>
            <w:noWrap/>
            <w:vAlign w:val="bottom"/>
            <w:hideMark/>
          </w:tcPr>
          <w:p w14:paraId="48115A30"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Aluminum</w:t>
            </w:r>
          </w:p>
        </w:tc>
      </w:tr>
      <w:tr w:rsidR="00A0616B" w:rsidRPr="00A0616B" w14:paraId="51AC0222" w14:textId="77777777" w:rsidTr="00A0616B">
        <w:trPr>
          <w:trHeight w:val="312"/>
          <w:jc w:val="center"/>
        </w:trPr>
        <w:tc>
          <w:tcPr>
            <w:tcW w:w="1620" w:type="dxa"/>
            <w:tcBorders>
              <w:top w:val="nil"/>
              <w:left w:val="nil"/>
              <w:bottom w:val="nil"/>
              <w:right w:val="single" w:sz="4" w:space="0" w:color="auto"/>
            </w:tcBorders>
            <w:shd w:val="clear" w:color="auto" w:fill="auto"/>
            <w:noWrap/>
            <w:vAlign w:val="bottom"/>
            <w:hideMark/>
          </w:tcPr>
          <w:p w14:paraId="73CE7896"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New</w:t>
            </w:r>
          </w:p>
        </w:tc>
        <w:tc>
          <w:tcPr>
            <w:tcW w:w="1159" w:type="dxa"/>
            <w:tcBorders>
              <w:top w:val="nil"/>
              <w:left w:val="nil"/>
              <w:bottom w:val="nil"/>
              <w:right w:val="nil"/>
            </w:tcBorders>
            <w:shd w:val="clear" w:color="auto" w:fill="auto"/>
            <w:noWrap/>
            <w:vAlign w:val="center"/>
            <w:hideMark/>
          </w:tcPr>
          <w:p w14:paraId="52F506B5"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155000.30</w:t>
            </w:r>
          </w:p>
        </w:tc>
        <w:tc>
          <w:tcPr>
            <w:tcW w:w="1236" w:type="dxa"/>
            <w:tcBorders>
              <w:top w:val="nil"/>
              <w:left w:val="nil"/>
              <w:bottom w:val="nil"/>
              <w:right w:val="nil"/>
            </w:tcBorders>
            <w:shd w:val="clear" w:color="auto" w:fill="auto"/>
            <w:noWrap/>
            <w:vAlign w:val="center"/>
            <w:hideMark/>
          </w:tcPr>
          <w:p w14:paraId="1D0F1D1B"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218634.90</w:t>
            </w:r>
          </w:p>
        </w:tc>
        <w:tc>
          <w:tcPr>
            <w:tcW w:w="1116" w:type="dxa"/>
            <w:tcBorders>
              <w:top w:val="nil"/>
              <w:left w:val="nil"/>
              <w:bottom w:val="nil"/>
              <w:right w:val="nil"/>
            </w:tcBorders>
            <w:shd w:val="clear" w:color="auto" w:fill="auto"/>
            <w:noWrap/>
            <w:vAlign w:val="center"/>
            <w:hideMark/>
          </w:tcPr>
          <w:p w14:paraId="67DC55FE"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38538.20</w:t>
            </w:r>
          </w:p>
        </w:tc>
        <w:tc>
          <w:tcPr>
            <w:tcW w:w="1376" w:type="dxa"/>
            <w:tcBorders>
              <w:top w:val="nil"/>
              <w:left w:val="nil"/>
              <w:bottom w:val="nil"/>
              <w:right w:val="nil"/>
            </w:tcBorders>
            <w:shd w:val="clear" w:color="auto" w:fill="auto"/>
            <w:noWrap/>
            <w:vAlign w:val="center"/>
            <w:hideMark/>
          </w:tcPr>
          <w:p w14:paraId="0ADBF287"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40455.92</w:t>
            </w:r>
          </w:p>
        </w:tc>
        <w:tc>
          <w:tcPr>
            <w:tcW w:w="1323" w:type="dxa"/>
            <w:tcBorders>
              <w:top w:val="nil"/>
              <w:left w:val="nil"/>
              <w:bottom w:val="nil"/>
              <w:right w:val="nil"/>
            </w:tcBorders>
            <w:shd w:val="clear" w:color="auto" w:fill="auto"/>
            <w:noWrap/>
            <w:vAlign w:val="center"/>
            <w:hideMark/>
          </w:tcPr>
          <w:p w14:paraId="32F3E52F"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68179.21</w:t>
            </w:r>
          </w:p>
        </w:tc>
      </w:tr>
      <w:tr w:rsidR="00A0616B" w:rsidRPr="00A0616B" w14:paraId="305EA844" w14:textId="77777777" w:rsidTr="00A0616B">
        <w:trPr>
          <w:trHeight w:val="312"/>
          <w:jc w:val="center"/>
        </w:trPr>
        <w:tc>
          <w:tcPr>
            <w:tcW w:w="1620" w:type="dxa"/>
            <w:tcBorders>
              <w:top w:val="nil"/>
              <w:left w:val="nil"/>
              <w:bottom w:val="nil"/>
              <w:right w:val="single" w:sz="4" w:space="0" w:color="auto"/>
            </w:tcBorders>
            <w:shd w:val="clear" w:color="auto" w:fill="auto"/>
            <w:noWrap/>
            <w:vAlign w:val="bottom"/>
            <w:hideMark/>
          </w:tcPr>
          <w:p w14:paraId="4EDAA5D2"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Acidic Soil</w:t>
            </w:r>
          </w:p>
        </w:tc>
        <w:tc>
          <w:tcPr>
            <w:tcW w:w="1159" w:type="dxa"/>
            <w:tcBorders>
              <w:top w:val="nil"/>
              <w:left w:val="nil"/>
              <w:bottom w:val="nil"/>
              <w:right w:val="nil"/>
            </w:tcBorders>
            <w:shd w:val="clear" w:color="auto" w:fill="auto"/>
            <w:noWrap/>
            <w:vAlign w:val="center"/>
            <w:hideMark/>
          </w:tcPr>
          <w:p w14:paraId="35185077"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136119.58</w:t>
            </w:r>
          </w:p>
        </w:tc>
        <w:tc>
          <w:tcPr>
            <w:tcW w:w="1236" w:type="dxa"/>
            <w:tcBorders>
              <w:top w:val="nil"/>
              <w:left w:val="nil"/>
              <w:bottom w:val="nil"/>
              <w:right w:val="nil"/>
            </w:tcBorders>
            <w:shd w:val="clear" w:color="auto" w:fill="auto"/>
            <w:noWrap/>
            <w:vAlign w:val="center"/>
            <w:hideMark/>
          </w:tcPr>
          <w:p w14:paraId="00D3C3A5"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176944.12</w:t>
            </w:r>
          </w:p>
        </w:tc>
        <w:tc>
          <w:tcPr>
            <w:tcW w:w="1116" w:type="dxa"/>
            <w:tcBorders>
              <w:top w:val="nil"/>
              <w:left w:val="nil"/>
              <w:bottom w:val="nil"/>
              <w:right w:val="nil"/>
            </w:tcBorders>
            <w:shd w:val="clear" w:color="auto" w:fill="auto"/>
            <w:noWrap/>
            <w:vAlign w:val="center"/>
            <w:hideMark/>
          </w:tcPr>
          <w:p w14:paraId="57053F52"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28093.78</w:t>
            </w:r>
          </w:p>
        </w:tc>
        <w:tc>
          <w:tcPr>
            <w:tcW w:w="1376" w:type="dxa"/>
            <w:tcBorders>
              <w:top w:val="nil"/>
              <w:left w:val="nil"/>
              <w:bottom w:val="nil"/>
              <w:right w:val="nil"/>
            </w:tcBorders>
            <w:shd w:val="clear" w:color="auto" w:fill="auto"/>
            <w:noWrap/>
            <w:vAlign w:val="center"/>
            <w:hideMark/>
          </w:tcPr>
          <w:p w14:paraId="7F5B1756"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36914.31</w:t>
            </w:r>
          </w:p>
        </w:tc>
        <w:tc>
          <w:tcPr>
            <w:tcW w:w="1323" w:type="dxa"/>
            <w:tcBorders>
              <w:top w:val="nil"/>
              <w:left w:val="nil"/>
              <w:bottom w:val="nil"/>
              <w:right w:val="nil"/>
            </w:tcBorders>
            <w:shd w:val="clear" w:color="auto" w:fill="auto"/>
            <w:noWrap/>
            <w:vAlign w:val="center"/>
            <w:hideMark/>
          </w:tcPr>
          <w:p w14:paraId="649B2EC8"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48996.40</w:t>
            </w:r>
          </w:p>
        </w:tc>
      </w:tr>
      <w:tr w:rsidR="00A0616B" w:rsidRPr="00A0616B" w14:paraId="6646F84B" w14:textId="77777777" w:rsidTr="00A0616B">
        <w:trPr>
          <w:trHeight w:val="312"/>
          <w:jc w:val="center"/>
        </w:trPr>
        <w:tc>
          <w:tcPr>
            <w:tcW w:w="1620" w:type="dxa"/>
            <w:tcBorders>
              <w:top w:val="nil"/>
              <w:left w:val="nil"/>
              <w:bottom w:val="nil"/>
              <w:right w:val="single" w:sz="4" w:space="0" w:color="auto"/>
            </w:tcBorders>
            <w:shd w:val="clear" w:color="auto" w:fill="auto"/>
            <w:noWrap/>
            <w:vAlign w:val="bottom"/>
            <w:hideMark/>
          </w:tcPr>
          <w:p w14:paraId="3A6A0AFA"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Basic Soil</w:t>
            </w:r>
          </w:p>
        </w:tc>
        <w:tc>
          <w:tcPr>
            <w:tcW w:w="1159" w:type="dxa"/>
            <w:tcBorders>
              <w:top w:val="nil"/>
              <w:left w:val="nil"/>
              <w:bottom w:val="nil"/>
              <w:right w:val="nil"/>
            </w:tcBorders>
            <w:shd w:val="clear" w:color="auto" w:fill="auto"/>
            <w:noWrap/>
            <w:vAlign w:val="center"/>
            <w:hideMark/>
          </w:tcPr>
          <w:p w14:paraId="1133DD3C"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115921.66</w:t>
            </w:r>
          </w:p>
        </w:tc>
        <w:tc>
          <w:tcPr>
            <w:tcW w:w="1236" w:type="dxa"/>
            <w:tcBorders>
              <w:top w:val="nil"/>
              <w:left w:val="nil"/>
              <w:bottom w:val="nil"/>
              <w:right w:val="nil"/>
            </w:tcBorders>
            <w:shd w:val="clear" w:color="auto" w:fill="auto"/>
            <w:noWrap/>
            <w:vAlign w:val="center"/>
            <w:hideMark/>
          </w:tcPr>
          <w:p w14:paraId="0DBAF40F"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168273.91</w:t>
            </w:r>
          </w:p>
        </w:tc>
        <w:tc>
          <w:tcPr>
            <w:tcW w:w="1116" w:type="dxa"/>
            <w:tcBorders>
              <w:top w:val="nil"/>
              <w:left w:val="nil"/>
              <w:bottom w:val="nil"/>
              <w:right w:val="nil"/>
            </w:tcBorders>
            <w:shd w:val="clear" w:color="auto" w:fill="auto"/>
            <w:noWrap/>
            <w:vAlign w:val="center"/>
            <w:hideMark/>
          </w:tcPr>
          <w:p w14:paraId="58318BD6"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26886.65</w:t>
            </w:r>
          </w:p>
        </w:tc>
        <w:tc>
          <w:tcPr>
            <w:tcW w:w="1376" w:type="dxa"/>
            <w:tcBorders>
              <w:top w:val="nil"/>
              <w:left w:val="nil"/>
              <w:bottom w:val="nil"/>
              <w:right w:val="nil"/>
            </w:tcBorders>
            <w:shd w:val="clear" w:color="auto" w:fill="auto"/>
            <w:noWrap/>
            <w:vAlign w:val="center"/>
            <w:hideMark/>
          </w:tcPr>
          <w:p w14:paraId="7FCE66E8"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32187.04</w:t>
            </w:r>
          </w:p>
        </w:tc>
        <w:tc>
          <w:tcPr>
            <w:tcW w:w="1323" w:type="dxa"/>
            <w:tcBorders>
              <w:top w:val="nil"/>
              <w:left w:val="nil"/>
              <w:bottom w:val="nil"/>
              <w:right w:val="nil"/>
            </w:tcBorders>
            <w:shd w:val="clear" w:color="auto" w:fill="auto"/>
            <w:noWrap/>
            <w:vAlign w:val="center"/>
            <w:hideMark/>
          </w:tcPr>
          <w:p w14:paraId="2C4ECE24"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44182.66</w:t>
            </w:r>
          </w:p>
        </w:tc>
      </w:tr>
      <w:tr w:rsidR="00A0616B" w:rsidRPr="00A0616B" w14:paraId="4455610F" w14:textId="77777777" w:rsidTr="00A0616B">
        <w:trPr>
          <w:trHeight w:val="312"/>
          <w:jc w:val="center"/>
        </w:trPr>
        <w:tc>
          <w:tcPr>
            <w:tcW w:w="1620" w:type="dxa"/>
            <w:tcBorders>
              <w:top w:val="nil"/>
              <w:left w:val="nil"/>
              <w:bottom w:val="nil"/>
              <w:right w:val="single" w:sz="4" w:space="0" w:color="auto"/>
            </w:tcBorders>
            <w:shd w:val="clear" w:color="auto" w:fill="auto"/>
            <w:noWrap/>
            <w:vAlign w:val="bottom"/>
            <w:hideMark/>
          </w:tcPr>
          <w:p w14:paraId="4BB03E72"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Acidic Water</w:t>
            </w:r>
          </w:p>
        </w:tc>
        <w:tc>
          <w:tcPr>
            <w:tcW w:w="1159" w:type="dxa"/>
            <w:tcBorders>
              <w:top w:val="nil"/>
              <w:left w:val="nil"/>
              <w:bottom w:val="nil"/>
              <w:right w:val="nil"/>
            </w:tcBorders>
            <w:shd w:val="clear" w:color="auto" w:fill="auto"/>
            <w:noWrap/>
            <w:vAlign w:val="center"/>
            <w:hideMark/>
          </w:tcPr>
          <w:p w14:paraId="43587627"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126845.39</w:t>
            </w:r>
          </w:p>
        </w:tc>
        <w:tc>
          <w:tcPr>
            <w:tcW w:w="1236" w:type="dxa"/>
            <w:tcBorders>
              <w:top w:val="nil"/>
              <w:left w:val="nil"/>
              <w:bottom w:val="nil"/>
              <w:right w:val="nil"/>
            </w:tcBorders>
            <w:shd w:val="clear" w:color="auto" w:fill="auto"/>
            <w:noWrap/>
            <w:vAlign w:val="center"/>
            <w:hideMark/>
          </w:tcPr>
          <w:p w14:paraId="33B98EBC"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143989.70</w:t>
            </w:r>
          </w:p>
        </w:tc>
        <w:tc>
          <w:tcPr>
            <w:tcW w:w="1116" w:type="dxa"/>
            <w:tcBorders>
              <w:top w:val="nil"/>
              <w:left w:val="nil"/>
              <w:bottom w:val="nil"/>
              <w:right w:val="nil"/>
            </w:tcBorders>
            <w:shd w:val="clear" w:color="auto" w:fill="auto"/>
            <w:noWrap/>
            <w:vAlign w:val="center"/>
            <w:hideMark/>
          </w:tcPr>
          <w:p w14:paraId="70A59098"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24561.24</w:t>
            </w:r>
          </w:p>
        </w:tc>
        <w:tc>
          <w:tcPr>
            <w:tcW w:w="1376" w:type="dxa"/>
            <w:tcBorders>
              <w:top w:val="nil"/>
              <w:left w:val="nil"/>
              <w:bottom w:val="nil"/>
              <w:right w:val="nil"/>
            </w:tcBorders>
            <w:shd w:val="clear" w:color="auto" w:fill="auto"/>
            <w:noWrap/>
            <w:vAlign w:val="center"/>
            <w:hideMark/>
          </w:tcPr>
          <w:p w14:paraId="1AA9104E"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29029.90</w:t>
            </w:r>
          </w:p>
        </w:tc>
        <w:tc>
          <w:tcPr>
            <w:tcW w:w="1323" w:type="dxa"/>
            <w:tcBorders>
              <w:top w:val="nil"/>
              <w:left w:val="nil"/>
              <w:bottom w:val="nil"/>
              <w:right w:val="nil"/>
            </w:tcBorders>
            <w:shd w:val="clear" w:color="auto" w:fill="auto"/>
            <w:noWrap/>
            <w:vAlign w:val="center"/>
            <w:hideMark/>
          </w:tcPr>
          <w:p w14:paraId="62E34831"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42905.35</w:t>
            </w:r>
          </w:p>
        </w:tc>
      </w:tr>
      <w:tr w:rsidR="00A0616B" w:rsidRPr="00A0616B" w14:paraId="68AA033E" w14:textId="77777777" w:rsidTr="00A0616B">
        <w:trPr>
          <w:trHeight w:val="312"/>
          <w:jc w:val="center"/>
        </w:trPr>
        <w:tc>
          <w:tcPr>
            <w:tcW w:w="1620" w:type="dxa"/>
            <w:tcBorders>
              <w:top w:val="nil"/>
              <w:left w:val="nil"/>
              <w:bottom w:val="nil"/>
              <w:right w:val="single" w:sz="4" w:space="0" w:color="auto"/>
            </w:tcBorders>
            <w:shd w:val="clear" w:color="auto" w:fill="auto"/>
            <w:noWrap/>
            <w:vAlign w:val="bottom"/>
            <w:hideMark/>
          </w:tcPr>
          <w:p w14:paraId="1A794D73" w14:textId="77777777" w:rsidR="00A0616B" w:rsidRPr="00A0616B" w:rsidRDefault="00A0616B" w:rsidP="00A0616B">
            <w:pPr>
              <w:spacing w:line="240" w:lineRule="auto"/>
              <w:jc w:val="center"/>
              <w:rPr>
                <w:rFonts w:eastAsia="Times New Roman" w:cs="Times New Roman"/>
                <w:b/>
                <w:bCs/>
                <w:color w:val="000000"/>
                <w:szCs w:val="24"/>
              </w:rPr>
            </w:pPr>
            <w:r w:rsidRPr="00A0616B">
              <w:rPr>
                <w:rFonts w:eastAsia="Times New Roman" w:cs="Times New Roman"/>
                <w:b/>
                <w:bCs/>
                <w:color w:val="000000"/>
                <w:szCs w:val="24"/>
              </w:rPr>
              <w:t>Basic Water</w:t>
            </w:r>
          </w:p>
        </w:tc>
        <w:tc>
          <w:tcPr>
            <w:tcW w:w="1159" w:type="dxa"/>
            <w:tcBorders>
              <w:top w:val="nil"/>
              <w:left w:val="nil"/>
              <w:bottom w:val="nil"/>
              <w:right w:val="nil"/>
            </w:tcBorders>
            <w:shd w:val="clear" w:color="auto" w:fill="auto"/>
            <w:noWrap/>
            <w:vAlign w:val="center"/>
            <w:hideMark/>
          </w:tcPr>
          <w:p w14:paraId="3A9CF5D1"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128983.67</w:t>
            </w:r>
          </w:p>
        </w:tc>
        <w:tc>
          <w:tcPr>
            <w:tcW w:w="1236" w:type="dxa"/>
            <w:tcBorders>
              <w:top w:val="nil"/>
              <w:left w:val="nil"/>
              <w:bottom w:val="nil"/>
              <w:right w:val="nil"/>
            </w:tcBorders>
            <w:shd w:val="clear" w:color="auto" w:fill="auto"/>
            <w:noWrap/>
            <w:vAlign w:val="center"/>
            <w:hideMark/>
          </w:tcPr>
          <w:p w14:paraId="328F1FE1"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146048.55</w:t>
            </w:r>
          </w:p>
        </w:tc>
        <w:tc>
          <w:tcPr>
            <w:tcW w:w="1116" w:type="dxa"/>
            <w:tcBorders>
              <w:top w:val="nil"/>
              <w:left w:val="nil"/>
              <w:bottom w:val="nil"/>
              <w:right w:val="nil"/>
            </w:tcBorders>
            <w:shd w:val="clear" w:color="auto" w:fill="auto"/>
            <w:noWrap/>
            <w:vAlign w:val="center"/>
            <w:hideMark/>
          </w:tcPr>
          <w:p w14:paraId="37C6C31F"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25582.01</w:t>
            </w:r>
          </w:p>
        </w:tc>
        <w:tc>
          <w:tcPr>
            <w:tcW w:w="1376" w:type="dxa"/>
            <w:tcBorders>
              <w:top w:val="nil"/>
              <w:left w:val="nil"/>
              <w:bottom w:val="nil"/>
              <w:right w:val="nil"/>
            </w:tcBorders>
            <w:shd w:val="clear" w:color="auto" w:fill="auto"/>
            <w:noWrap/>
            <w:vAlign w:val="center"/>
            <w:hideMark/>
          </w:tcPr>
          <w:p w14:paraId="5F384192"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32678.42</w:t>
            </w:r>
          </w:p>
        </w:tc>
        <w:tc>
          <w:tcPr>
            <w:tcW w:w="1323" w:type="dxa"/>
            <w:tcBorders>
              <w:top w:val="nil"/>
              <w:left w:val="nil"/>
              <w:bottom w:val="nil"/>
              <w:right w:val="nil"/>
            </w:tcBorders>
            <w:shd w:val="clear" w:color="auto" w:fill="auto"/>
            <w:noWrap/>
            <w:vAlign w:val="center"/>
            <w:hideMark/>
          </w:tcPr>
          <w:p w14:paraId="0C38588E" w14:textId="77777777" w:rsidR="00A0616B" w:rsidRPr="00A0616B" w:rsidRDefault="00A0616B" w:rsidP="00A0616B">
            <w:pPr>
              <w:spacing w:line="240" w:lineRule="auto"/>
              <w:jc w:val="center"/>
              <w:rPr>
                <w:rFonts w:eastAsia="Times New Roman" w:cs="Times New Roman"/>
                <w:color w:val="000000"/>
                <w:szCs w:val="24"/>
              </w:rPr>
            </w:pPr>
            <w:r w:rsidRPr="00A0616B">
              <w:rPr>
                <w:rFonts w:eastAsia="Times New Roman" w:cs="Times New Roman"/>
                <w:color w:val="000000"/>
                <w:szCs w:val="24"/>
              </w:rPr>
              <w:t>41302.88</w:t>
            </w:r>
          </w:p>
        </w:tc>
      </w:tr>
    </w:tbl>
    <w:p w14:paraId="13684961" w14:textId="77777777" w:rsidR="005E644F" w:rsidRPr="006B3CDD" w:rsidRDefault="005E644F" w:rsidP="006B3CDD">
      <w:pPr>
        <w:jc w:val="center"/>
      </w:pPr>
    </w:p>
    <w:p w14:paraId="745EB942" w14:textId="4A61D237" w:rsidR="00FD6376" w:rsidRDefault="00FD6376" w:rsidP="000F0607">
      <w:pPr>
        <w:pStyle w:val="Caption"/>
        <w:spacing w:after="0" w:line="480" w:lineRule="auto"/>
        <w:rPr>
          <w:i w:val="0"/>
          <w:iCs w:val="0"/>
        </w:rPr>
      </w:pPr>
      <w:r>
        <w:rPr>
          <w:noProof/>
        </w:rPr>
        <w:lastRenderedPageBreak/>
        <w:drawing>
          <wp:inline distT="0" distB="0" distL="0" distR="0" wp14:anchorId="51A00585" wp14:editId="60A4CFD1">
            <wp:extent cx="4568190" cy="2750820"/>
            <wp:effectExtent l="0" t="0" r="3810" b="11430"/>
            <wp:docPr id="17" name="Chart 17">
              <a:extLst xmlns:a="http://schemas.openxmlformats.org/drawingml/2006/main">
                <a:ext uri="{FF2B5EF4-FFF2-40B4-BE49-F238E27FC236}">
                  <a16:creationId xmlns:a16="http://schemas.microsoft.com/office/drawing/2014/main" id="{159A56F9-BDC3-4961-A6B6-5C14693123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F60ED6" w14:textId="31E17850" w:rsidR="00FD6376" w:rsidRDefault="00FD6376" w:rsidP="009A56D3">
      <w:pPr>
        <w:pStyle w:val="Caption"/>
        <w:spacing w:after="0" w:line="480" w:lineRule="auto"/>
      </w:pPr>
      <w:bookmarkStart w:id="204" w:name="_Toc69352356"/>
      <w:bookmarkStart w:id="205" w:name="_Toc69352539"/>
      <w:bookmarkStart w:id="206" w:name="_Toc71224068"/>
      <w:r w:rsidRPr="000D4158">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w:t>
      </w:r>
      <w:r w:rsidR="0065637B">
        <w:rPr>
          <w:b/>
          <w:bCs/>
        </w:rPr>
        <w:fldChar w:fldCharType="end"/>
      </w:r>
      <w:r w:rsidRPr="000D4158">
        <w:rPr>
          <w:b/>
          <w:bCs/>
        </w:rPr>
        <w:t>:</w:t>
      </w:r>
      <w:r>
        <w:t xml:space="preserve"> Comparison of copper concentration in acidic and basic soil, non-normalized.</w:t>
      </w:r>
      <w:bookmarkEnd w:id="204"/>
      <w:bookmarkEnd w:id="205"/>
      <w:bookmarkEnd w:id="206"/>
    </w:p>
    <w:p w14:paraId="2AA41D4E" w14:textId="77777777" w:rsidR="00FD6376" w:rsidRPr="00F521ED" w:rsidRDefault="00FD6376" w:rsidP="009A56D3"/>
    <w:p w14:paraId="75051306" w14:textId="77777777" w:rsidR="00FD6376" w:rsidRDefault="00FD6376" w:rsidP="009A56D3">
      <w:pPr>
        <w:jc w:val="center"/>
      </w:pPr>
      <w:r>
        <w:rPr>
          <w:noProof/>
        </w:rPr>
        <w:drawing>
          <wp:inline distT="0" distB="0" distL="0" distR="0" wp14:anchorId="4925C386" wp14:editId="4BCB7785">
            <wp:extent cx="4564380" cy="2747010"/>
            <wp:effectExtent l="0" t="0" r="7620" b="15240"/>
            <wp:docPr id="21" name="Chart 21">
              <a:extLst xmlns:a="http://schemas.openxmlformats.org/drawingml/2006/main">
                <a:ext uri="{FF2B5EF4-FFF2-40B4-BE49-F238E27FC236}">
                  <a16:creationId xmlns:a16="http://schemas.microsoft.com/office/drawing/2014/main" id="{32E02402-D801-4695-AA0F-36CE36899C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B7B747" w14:textId="53934EB1" w:rsidR="00FD6376" w:rsidRDefault="00FD6376" w:rsidP="009A56D3">
      <w:pPr>
        <w:pStyle w:val="Caption"/>
        <w:spacing w:after="0" w:line="480" w:lineRule="auto"/>
      </w:pPr>
      <w:bookmarkStart w:id="207" w:name="_Toc69352357"/>
      <w:bookmarkStart w:id="208" w:name="_Toc69352540"/>
      <w:bookmarkStart w:id="209" w:name="_Toc71224069"/>
      <w:r w:rsidRPr="000D4158">
        <w:rPr>
          <w:b/>
          <w:bCs/>
        </w:rPr>
        <w:t>Figure A</w:t>
      </w:r>
      <w:r w:rsidR="00570135">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2</w:t>
      </w:r>
      <w:r w:rsidR="0065637B">
        <w:rPr>
          <w:b/>
          <w:bCs/>
        </w:rPr>
        <w:fldChar w:fldCharType="end"/>
      </w:r>
      <w:r w:rsidRPr="000D4158">
        <w:rPr>
          <w:b/>
          <w:bCs/>
        </w:rPr>
        <w:t>:</w:t>
      </w:r>
      <w:r>
        <w:t xml:space="preserve"> Comparison of manganese concentration in acidic and basic soil, non-normalized.</w:t>
      </w:r>
      <w:bookmarkEnd w:id="207"/>
      <w:bookmarkEnd w:id="208"/>
      <w:bookmarkEnd w:id="209"/>
    </w:p>
    <w:p w14:paraId="7A021D29" w14:textId="77777777" w:rsidR="00441602" w:rsidRPr="00441602" w:rsidRDefault="00441602" w:rsidP="00441602"/>
    <w:p w14:paraId="48FF006D" w14:textId="77777777" w:rsidR="00FD6376" w:rsidRDefault="00FD6376" w:rsidP="009A56D3">
      <w:pPr>
        <w:jc w:val="center"/>
      </w:pPr>
      <w:r>
        <w:rPr>
          <w:noProof/>
        </w:rPr>
        <w:lastRenderedPageBreak/>
        <w:drawing>
          <wp:inline distT="0" distB="0" distL="0" distR="0" wp14:anchorId="23AFA306" wp14:editId="58800D98">
            <wp:extent cx="4573905" cy="2745105"/>
            <wp:effectExtent l="0" t="0" r="17145" b="17145"/>
            <wp:docPr id="19" name="Chart 19">
              <a:extLst xmlns:a="http://schemas.openxmlformats.org/drawingml/2006/main">
                <a:ext uri="{FF2B5EF4-FFF2-40B4-BE49-F238E27FC236}">
                  <a16:creationId xmlns:a16="http://schemas.microsoft.com/office/drawing/2014/main" id="{A0C80120-4C3C-4CED-BE0C-0F7E5591A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9C02312" w14:textId="1AF57C06" w:rsidR="00FD6376" w:rsidRDefault="00FD6376" w:rsidP="009A56D3">
      <w:pPr>
        <w:pStyle w:val="Caption"/>
        <w:spacing w:after="0" w:line="480" w:lineRule="auto"/>
      </w:pPr>
      <w:bookmarkStart w:id="210" w:name="_Toc69352358"/>
      <w:bookmarkStart w:id="211" w:name="_Toc69352541"/>
      <w:bookmarkStart w:id="212" w:name="_Toc71224070"/>
      <w:r w:rsidRPr="000D4158">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3</w:t>
      </w:r>
      <w:r w:rsidR="0065637B">
        <w:rPr>
          <w:b/>
          <w:bCs/>
        </w:rPr>
        <w:fldChar w:fldCharType="end"/>
      </w:r>
      <w:r w:rsidRPr="000D4158">
        <w:rPr>
          <w:b/>
          <w:bCs/>
        </w:rPr>
        <w:t>:</w:t>
      </w:r>
      <w:r>
        <w:t xml:space="preserve"> Comparison of nickel concentration in acidic and basic soil, non-normalized.</w:t>
      </w:r>
      <w:bookmarkEnd w:id="210"/>
      <w:bookmarkEnd w:id="211"/>
      <w:bookmarkEnd w:id="212"/>
    </w:p>
    <w:p w14:paraId="5B0E62B2" w14:textId="77777777" w:rsidR="00FD6376" w:rsidRPr="00F521ED" w:rsidRDefault="00FD6376" w:rsidP="009A56D3"/>
    <w:p w14:paraId="51ED3BED" w14:textId="77777777" w:rsidR="00FD6376" w:rsidRDefault="00FD6376" w:rsidP="009A56D3">
      <w:pPr>
        <w:jc w:val="center"/>
      </w:pPr>
      <w:r>
        <w:rPr>
          <w:noProof/>
        </w:rPr>
        <w:drawing>
          <wp:inline distT="0" distB="0" distL="0" distR="0" wp14:anchorId="42358141" wp14:editId="7E2B9387">
            <wp:extent cx="4575810" cy="2745105"/>
            <wp:effectExtent l="0" t="0" r="15240" b="17145"/>
            <wp:docPr id="20" name="Chart 20">
              <a:extLst xmlns:a="http://schemas.openxmlformats.org/drawingml/2006/main">
                <a:ext uri="{FF2B5EF4-FFF2-40B4-BE49-F238E27FC236}">
                  <a16:creationId xmlns:a16="http://schemas.microsoft.com/office/drawing/2014/main" id="{9D4B3781-2923-47C7-88D7-004A72E66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14C5A8" w14:textId="230DE5D3" w:rsidR="00F61129" w:rsidRDefault="00FD6376" w:rsidP="00F61129">
      <w:pPr>
        <w:pStyle w:val="Caption"/>
        <w:spacing w:after="0" w:line="480" w:lineRule="auto"/>
      </w:pPr>
      <w:bookmarkStart w:id="213" w:name="_Toc69352359"/>
      <w:bookmarkStart w:id="214" w:name="_Toc69352542"/>
      <w:bookmarkStart w:id="215" w:name="_Toc71224071"/>
      <w:r w:rsidRPr="000D4158">
        <w:rPr>
          <w:b/>
          <w:bCs/>
        </w:rPr>
        <w:t>Figure A.</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4</w:t>
      </w:r>
      <w:r w:rsidR="0065637B">
        <w:rPr>
          <w:b/>
          <w:bCs/>
        </w:rPr>
        <w:fldChar w:fldCharType="end"/>
      </w:r>
      <w:r w:rsidRPr="000D4158">
        <w:rPr>
          <w:b/>
          <w:bCs/>
        </w:rPr>
        <w:t>:</w:t>
      </w:r>
      <w:r>
        <w:t xml:space="preserve"> Comparison of aluminum concentration in acidic and basic soil, non-normalized.</w:t>
      </w:r>
      <w:bookmarkEnd w:id="213"/>
      <w:bookmarkEnd w:id="214"/>
      <w:bookmarkEnd w:id="215"/>
    </w:p>
    <w:p w14:paraId="51E0958B" w14:textId="52B4093E" w:rsidR="00F61129" w:rsidRDefault="00441602" w:rsidP="00E9426A">
      <w:pPr>
        <w:jc w:val="center"/>
      </w:pPr>
      <w:r>
        <w:rPr>
          <w:noProof/>
        </w:rPr>
        <w:lastRenderedPageBreak/>
        <w:drawing>
          <wp:inline distT="0" distB="0" distL="0" distR="0" wp14:anchorId="3167A15F" wp14:editId="57A03EE5">
            <wp:extent cx="4584700" cy="27559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D93A253" w14:textId="07511E1C" w:rsidR="00F61129" w:rsidRPr="006B3CDD" w:rsidRDefault="00F61129" w:rsidP="00F61129">
      <w:pPr>
        <w:pStyle w:val="Caption"/>
      </w:pPr>
      <w:bookmarkStart w:id="216" w:name="_Toc71224072"/>
      <w:r w:rsidRPr="0065637B">
        <w:rPr>
          <w:b/>
          <w:bCs/>
        </w:rPr>
        <w:t>Figure A.</w:t>
      </w:r>
      <w:r w:rsidRPr="0065637B">
        <w:rPr>
          <w:b/>
          <w:bCs/>
        </w:rPr>
        <w:fldChar w:fldCharType="begin"/>
      </w:r>
      <w:r w:rsidRPr="0065637B">
        <w:rPr>
          <w:b/>
          <w:bCs/>
        </w:rPr>
        <w:instrText xml:space="preserve"> SEQ _ \* ARABIC \s 1 </w:instrText>
      </w:r>
      <w:r w:rsidRPr="0065637B">
        <w:rPr>
          <w:b/>
          <w:bCs/>
        </w:rPr>
        <w:fldChar w:fldCharType="separate"/>
      </w:r>
      <w:r w:rsidR="007712B4">
        <w:rPr>
          <w:b/>
          <w:bCs/>
          <w:noProof/>
        </w:rPr>
        <w:t>5</w:t>
      </w:r>
      <w:r w:rsidRPr="0065637B">
        <w:rPr>
          <w:b/>
          <w:bCs/>
        </w:rPr>
        <w:fldChar w:fldCharType="end"/>
      </w:r>
      <w:r w:rsidRPr="0065637B">
        <w:rPr>
          <w:b/>
          <w:bCs/>
        </w:rPr>
        <w:t>:</w:t>
      </w:r>
      <w:r>
        <w:t xml:space="preserve"> Linear standard calibration results for correcting sample XRF ppm results to actual concentrations.</w:t>
      </w:r>
      <w:bookmarkEnd w:id="216"/>
    </w:p>
    <w:p w14:paraId="2ACD35BF" w14:textId="77777777" w:rsidR="00F61129" w:rsidRPr="00F61129" w:rsidRDefault="00F61129" w:rsidP="00F61129"/>
    <w:p w14:paraId="27ECB325" w14:textId="093F0BCA" w:rsidR="00FD6376" w:rsidRDefault="00E9426A" w:rsidP="009A56D3">
      <w:pPr>
        <w:jc w:val="center"/>
      </w:pPr>
      <w:r>
        <w:rPr>
          <w:noProof/>
        </w:rPr>
        <w:drawing>
          <wp:inline distT="0" distB="0" distL="0" distR="0" wp14:anchorId="3C5CEE1B" wp14:editId="7DB7A4ED">
            <wp:extent cx="4584700" cy="27559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EA15055" w14:textId="2C9EBDFD" w:rsidR="00FD6376" w:rsidRDefault="00FD6376" w:rsidP="009A56D3">
      <w:pPr>
        <w:pStyle w:val="Caption"/>
        <w:spacing w:after="0" w:line="480" w:lineRule="auto"/>
      </w:pPr>
      <w:bookmarkStart w:id="217" w:name="_Toc69352360"/>
      <w:bookmarkStart w:id="218" w:name="_Toc69352543"/>
      <w:bookmarkStart w:id="219" w:name="_Toc71224073"/>
      <w:r w:rsidRPr="008E4073">
        <w:rPr>
          <w:b/>
          <w:bCs/>
        </w:rPr>
        <w:t>Figure A.</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6</w:t>
      </w:r>
      <w:r w:rsidR="0065637B">
        <w:rPr>
          <w:b/>
          <w:bCs/>
        </w:rPr>
        <w:fldChar w:fldCharType="end"/>
      </w:r>
      <w:r w:rsidRPr="008E4073">
        <w:rPr>
          <w:b/>
          <w:bCs/>
        </w:rPr>
        <w:t>:</w:t>
      </w:r>
      <w:r>
        <w:t xml:space="preserve"> Comparison of copper concentration in acidic and basic water, non-normalized.</w:t>
      </w:r>
      <w:bookmarkEnd w:id="217"/>
      <w:bookmarkEnd w:id="218"/>
      <w:bookmarkEnd w:id="219"/>
    </w:p>
    <w:p w14:paraId="4D93A811" w14:textId="77777777" w:rsidR="00FD6376" w:rsidRPr="00F521ED" w:rsidRDefault="00FD6376" w:rsidP="009A56D3"/>
    <w:p w14:paraId="34A37030" w14:textId="42EA65E4" w:rsidR="00FD6376" w:rsidRDefault="00E9426A" w:rsidP="009A56D3">
      <w:pPr>
        <w:jc w:val="center"/>
      </w:pPr>
      <w:r>
        <w:rPr>
          <w:noProof/>
        </w:rPr>
        <w:lastRenderedPageBreak/>
        <w:drawing>
          <wp:inline distT="0" distB="0" distL="0" distR="0" wp14:anchorId="3728EBD4" wp14:editId="50936DDC">
            <wp:extent cx="4584700" cy="27559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13BD5F" w14:textId="2BFB08F9" w:rsidR="00FD6376" w:rsidRDefault="00FD6376" w:rsidP="009A56D3">
      <w:pPr>
        <w:pStyle w:val="Caption"/>
        <w:spacing w:after="0" w:line="480" w:lineRule="auto"/>
      </w:pPr>
      <w:bookmarkStart w:id="220" w:name="_Toc69352361"/>
      <w:bookmarkStart w:id="221" w:name="_Toc69352544"/>
      <w:bookmarkStart w:id="222" w:name="_Toc71224074"/>
      <w:r w:rsidRPr="008E4073">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7</w:t>
      </w:r>
      <w:r w:rsidR="0065637B">
        <w:rPr>
          <w:b/>
          <w:bCs/>
        </w:rPr>
        <w:fldChar w:fldCharType="end"/>
      </w:r>
      <w:r w:rsidRPr="008E4073">
        <w:rPr>
          <w:b/>
          <w:bCs/>
        </w:rPr>
        <w:t>:</w:t>
      </w:r>
      <w:r>
        <w:t xml:space="preserve"> Comparison of manganese concentration in acidic and basic water, non-normalized.</w:t>
      </w:r>
      <w:bookmarkEnd w:id="220"/>
      <w:bookmarkEnd w:id="221"/>
      <w:bookmarkEnd w:id="222"/>
    </w:p>
    <w:p w14:paraId="7EC9EC58" w14:textId="77777777" w:rsidR="00F16281" w:rsidRPr="00F16281" w:rsidRDefault="00F16281" w:rsidP="00F16281"/>
    <w:p w14:paraId="7954E0D7" w14:textId="37FD8C16" w:rsidR="00FD6376" w:rsidRDefault="00E9426A" w:rsidP="009A56D3">
      <w:pPr>
        <w:jc w:val="center"/>
      </w:pPr>
      <w:r>
        <w:rPr>
          <w:noProof/>
        </w:rPr>
        <w:drawing>
          <wp:inline distT="0" distB="0" distL="0" distR="0" wp14:anchorId="14824C3B" wp14:editId="1B30BE34">
            <wp:extent cx="4584700" cy="275590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DC2E17B" w14:textId="19F35AE8" w:rsidR="00FD6376" w:rsidRPr="00F16281" w:rsidRDefault="00FD6376" w:rsidP="00F16281">
      <w:pPr>
        <w:pStyle w:val="Caption"/>
        <w:spacing w:after="0" w:line="480" w:lineRule="auto"/>
      </w:pPr>
      <w:bookmarkStart w:id="223" w:name="_Toc69352362"/>
      <w:bookmarkStart w:id="224" w:name="_Toc69352545"/>
      <w:bookmarkStart w:id="225" w:name="_Toc71224075"/>
      <w:r w:rsidRPr="00570135">
        <w:rPr>
          <w:b/>
          <w:bCs/>
        </w:rPr>
        <w:t>Figure A.</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8</w:t>
      </w:r>
      <w:r w:rsidR="0065637B">
        <w:rPr>
          <w:b/>
          <w:bCs/>
        </w:rPr>
        <w:fldChar w:fldCharType="end"/>
      </w:r>
      <w:r w:rsidRPr="00570135">
        <w:rPr>
          <w:b/>
          <w:bCs/>
        </w:rPr>
        <w:t>:</w:t>
      </w:r>
      <w:r w:rsidRPr="00570135">
        <w:t xml:space="preserve"> Comparison of nickel concentration in acidic and basic water, non-normalized.</w:t>
      </w:r>
      <w:bookmarkEnd w:id="223"/>
      <w:bookmarkEnd w:id="224"/>
      <w:bookmarkEnd w:id="225"/>
    </w:p>
    <w:p w14:paraId="785106A5" w14:textId="1DA8CC6F" w:rsidR="00FD6376" w:rsidRPr="002D3AA2" w:rsidRDefault="00E9426A" w:rsidP="009A56D3">
      <w:pPr>
        <w:jc w:val="center"/>
        <w:rPr>
          <w:i/>
          <w:iCs/>
        </w:rPr>
      </w:pPr>
      <w:r>
        <w:rPr>
          <w:i/>
          <w:iCs/>
          <w:noProof/>
        </w:rPr>
        <w:lastRenderedPageBreak/>
        <w:drawing>
          <wp:inline distT="0" distB="0" distL="0" distR="0" wp14:anchorId="6D117B6A" wp14:editId="31FBA2FF">
            <wp:extent cx="4584700" cy="27559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D484792" w14:textId="7CB19F19" w:rsidR="00C54409" w:rsidRDefault="00FD6376" w:rsidP="009A56D3">
      <w:pPr>
        <w:pStyle w:val="Caption"/>
        <w:spacing w:after="0" w:line="480" w:lineRule="auto"/>
      </w:pPr>
      <w:bookmarkStart w:id="226" w:name="_Toc69352363"/>
      <w:bookmarkStart w:id="227" w:name="_Toc69352546"/>
      <w:bookmarkStart w:id="228" w:name="_Toc71224076"/>
      <w:r w:rsidRPr="00570135">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9</w:t>
      </w:r>
      <w:r w:rsidR="0065637B">
        <w:rPr>
          <w:b/>
          <w:bCs/>
        </w:rPr>
        <w:fldChar w:fldCharType="end"/>
      </w:r>
      <w:r w:rsidRPr="00570135">
        <w:rPr>
          <w:b/>
          <w:bCs/>
        </w:rPr>
        <w:t>:</w:t>
      </w:r>
      <w:r w:rsidRPr="00570135">
        <w:t xml:space="preserve"> Comparison of aluminum concentration in acidic and basic water, non-normalized.</w:t>
      </w:r>
      <w:bookmarkEnd w:id="226"/>
      <w:bookmarkEnd w:id="227"/>
      <w:bookmarkEnd w:id="228"/>
    </w:p>
    <w:p w14:paraId="3DC7841E" w14:textId="77777777" w:rsidR="007A5C4C" w:rsidRDefault="007A5C4C" w:rsidP="009A56D3">
      <w:pPr>
        <w:jc w:val="center"/>
      </w:pPr>
    </w:p>
    <w:p w14:paraId="38EE95FD" w14:textId="74BF5CBB" w:rsidR="00C54409" w:rsidRDefault="00DC1078" w:rsidP="009A56D3">
      <w:pPr>
        <w:pStyle w:val="Caption"/>
        <w:spacing w:after="0" w:line="480" w:lineRule="auto"/>
        <w:rPr>
          <w:i w:val="0"/>
          <w:iCs w:val="0"/>
        </w:rPr>
      </w:pPr>
      <w:r>
        <w:rPr>
          <w:noProof/>
        </w:rPr>
        <w:drawing>
          <wp:inline distT="0" distB="0" distL="0" distR="0" wp14:anchorId="6C555F54" wp14:editId="47F47D6D">
            <wp:extent cx="5257800" cy="3429000"/>
            <wp:effectExtent l="0" t="0" r="0" b="0"/>
            <wp:docPr id="34" name="Chart 34">
              <a:extLst xmlns:a="http://schemas.openxmlformats.org/drawingml/2006/main">
                <a:ext uri="{FF2B5EF4-FFF2-40B4-BE49-F238E27FC236}">
                  <a16:creationId xmlns:a16="http://schemas.microsoft.com/office/drawing/2014/main" id="{39D2DD59-FE55-4A26-A48E-3C1AB39AD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3FCDE9B" w14:textId="29349038" w:rsidR="00C54409" w:rsidRDefault="00C54409" w:rsidP="009A56D3">
      <w:pPr>
        <w:pStyle w:val="Caption"/>
        <w:spacing w:after="0" w:line="480" w:lineRule="auto"/>
      </w:pPr>
      <w:bookmarkStart w:id="229" w:name="_Toc69352364"/>
      <w:bookmarkStart w:id="230" w:name="_Toc69352547"/>
      <w:bookmarkStart w:id="231" w:name="_Toc71224077"/>
      <w:r w:rsidRPr="000D4158">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10</w:t>
      </w:r>
      <w:r w:rsidR="0065637B">
        <w:rPr>
          <w:b/>
          <w:bCs/>
        </w:rPr>
        <w:fldChar w:fldCharType="end"/>
      </w:r>
      <w:r w:rsidRPr="000D4158">
        <w:rPr>
          <w:b/>
          <w:bCs/>
        </w:rPr>
        <w:t>:</w:t>
      </w:r>
      <w:r>
        <w:t>.</w:t>
      </w:r>
      <w:r w:rsidR="001426DC">
        <w:t xml:space="preserve">Comparison of major copper species </w:t>
      </w:r>
      <w:r w:rsidR="00A27303">
        <w:t>in the MINEQL+ adsorption model.</w:t>
      </w:r>
      <w:bookmarkEnd w:id="229"/>
      <w:bookmarkEnd w:id="230"/>
      <w:bookmarkEnd w:id="231"/>
    </w:p>
    <w:p w14:paraId="33FDC0AB" w14:textId="77777777" w:rsidR="0065637B" w:rsidRPr="0065637B" w:rsidRDefault="0065637B" w:rsidP="0065637B"/>
    <w:p w14:paraId="74F7FC96" w14:textId="7D825CB3" w:rsidR="00C54409" w:rsidRDefault="00EE7049" w:rsidP="009A56D3">
      <w:pPr>
        <w:jc w:val="center"/>
      </w:pPr>
      <w:r>
        <w:rPr>
          <w:noProof/>
        </w:rPr>
        <w:lastRenderedPageBreak/>
        <w:drawing>
          <wp:inline distT="0" distB="0" distL="0" distR="0" wp14:anchorId="0D2B4634" wp14:editId="47D551C1">
            <wp:extent cx="5257800" cy="3429000"/>
            <wp:effectExtent l="0" t="0" r="0" b="0"/>
            <wp:docPr id="35" name="Chart 35">
              <a:extLst xmlns:a="http://schemas.openxmlformats.org/drawingml/2006/main">
                <a:ext uri="{FF2B5EF4-FFF2-40B4-BE49-F238E27FC236}">
                  <a16:creationId xmlns:a16="http://schemas.microsoft.com/office/drawing/2014/main" id="{2FC34E16-7A38-4C96-B758-B4DB3160A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A4F5357" w14:textId="7E2EA0F9" w:rsidR="00C54409" w:rsidRDefault="00C54409" w:rsidP="009A56D3">
      <w:pPr>
        <w:pStyle w:val="Caption"/>
        <w:spacing w:after="0" w:line="480" w:lineRule="auto"/>
      </w:pPr>
      <w:bookmarkStart w:id="232" w:name="_Toc69352365"/>
      <w:bookmarkStart w:id="233" w:name="_Toc69352548"/>
      <w:bookmarkStart w:id="234" w:name="_Toc71224078"/>
      <w:r w:rsidRPr="000D4158">
        <w:rPr>
          <w:b/>
          <w:bCs/>
        </w:rPr>
        <w:t>Figure A</w:t>
      </w:r>
      <w:r w:rsidR="00570135">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11</w:t>
      </w:r>
      <w:r w:rsidR="0065637B">
        <w:rPr>
          <w:b/>
          <w:bCs/>
        </w:rPr>
        <w:fldChar w:fldCharType="end"/>
      </w:r>
      <w:r w:rsidR="00A27303">
        <w:rPr>
          <w:b/>
          <w:bCs/>
        </w:rPr>
        <w:t>:</w:t>
      </w:r>
      <w:r w:rsidR="00A27303" w:rsidRPr="00A27303">
        <w:t xml:space="preserve"> </w:t>
      </w:r>
      <w:r w:rsidR="00A27303">
        <w:t>Comparison of major manganese species in the MINEQL+ adsorption model.</w:t>
      </w:r>
      <w:bookmarkEnd w:id="232"/>
      <w:bookmarkEnd w:id="233"/>
      <w:bookmarkEnd w:id="234"/>
    </w:p>
    <w:p w14:paraId="0FAAB0CA" w14:textId="77777777" w:rsidR="00F16281" w:rsidRPr="00F16281" w:rsidRDefault="00F16281" w:rsidP="00F16281"/>
    <w:p w14:paraId="4520CC48" w14:textId="40ED3EBE" w:rsidR="009A1E5F" w:rsidRDefault="00AE06DB" w:rsidP="009A56D3">
      <w:pPr>
        <w:jc w:val="center"/>
      </w:pPr>
      <w:r>
        <w:rPr>
          <w:noProof/>
        </w:rPr>
        <w:drawing>
          <wp:inline distT="0" distB="0" distL="0" distR="0" wp14:anchorId="688CC30E" wp14:editId="694FD99F">
            <wp:extent cx="5257800" cy="3429000"/>
            <wp:effectExtent l="0" t="0" r="0" b="0"/>
            <wp:docPr id="37" name="Chart 37">
              <a:extLst xmlns:a="http://schemas.openxmlformats.org/drawingml/2006/main">
                <a:ext uri="{FF2B5EF4-FFF2-40B4-BE49-F238E27FC236}">
                  <a16:creationId xmlns:a16="http://schemas.microsoft.com/office/drawing/2014/main" id="{2FC34E16-7A38-4C96-B758-B4DB3160A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AF82DD5" w14:textId="5858A6AC" w:rsidR="0065637B" w:rsidRPr="0065637B" w:rsidRDefault="00C54409" w:rsidP="00F16281">
      <w:pPr>
        <w:pStyle w:val="Caption"/>
        <w:spacing w:after="0" w:line="480" w:lineRule="auto"/>
      </w:pPr>
      <w:bookmarkStart w:id="235" w:name="_Toc69352366"/>
      <w:bookmarkStart w:id="236" w:name="_Toc69352549"/>
      <w:bookmarkStart w:id="237" w:name="_Toc71224079"/>
      <w:r w:rsidRPr="000D4158">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12</w:t>
      </w:r>
      <w:r w:rsidR="0065637B">
        <w:rPr>
          <w:b/>
          <w:bCs/>
        </w:rPr>
        <w:fldChar w:fldCharType="end"/>
      </w:r>
      <w:r w:rsidRPr="000D4158">
        <w:rPr>
          <w:b/>
          <w:bCs/>
        </w:rPr>
        <w:t>:</w:t>
      </w:r>
      <w:r>
        <w:t xml:space="preserve"> </w:t>
      </w:r>
      <w:r w:rsidR="00A27303">
        <w:t xml:space="preserve">Comparison of major </w:t>
      </w:r>
      <w:r w:rsidR="002D3AA2">
        <w:t>nickel</w:t>
      </w:r>
      <w:r w:rsidR="00A27303">
        <w:t xml:space="preserve"> species in the MINEQL+ adsorption model.</w:t>
      </w:r>
      <w:bookmarkEnd w:id="235"/>
      <w:bookmarkEnd w:id="236"/>
      <w:bookmarkEnd w:id="237"/>
    </w:p>
    <w:p w14:paraId="6C212F0C" w14:textId="4DF23277" w:rsidR="00A27303" w:rsidRDefault="006E6A39" w:rsidP="009A56D3">
      <w:pPr>
        <w:jc w:val="center"/>
      </w:pPr>
      <w:r>
        <w:rPr>
          <w:noProof/>
        </w:rPr>
        <w:lastRenderedPageBreak/>
        <w:drawing>
          <wp:inline distT="0" distB="0" distL="0" distR="0" wp14:anchorId="5F86DA7E" wp14:editId="6AFE476B">
            <wp:extent cx="5257800" cy="3429000"/>
            <wp:effectExtent l="0" t="0" r="0" b="0"/>
            <wp:docPr id="38" name="Chart 38">
              <a:extLst xmlns:a="http://schemas.openxmlformats.org/drawingml/2006/main">
                <a:ext uri="{FF2B5EF4-FFF2-40B4-BE49-F238E27FC236}">
                  <a16:creationId xmlns:a16="http://schemas.microsoft.com/office/drawing/2014/main" id="{8F2C9425-90C8-4F05-B4DA-558D9F8101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11118B7" w14:textId="186FD663" w:rsidR="00C54409" w:rsidRDefault="00C54409" w:rsidP="009A56D3">
      <w:pPr>
        <w:pStyle w:val="Caption"/>
        <w:spacing w:after="0" w:line="480" w:lineRule="auto"/>
      </w:pPr>
      <w:bookmarkStart w:id="238" w:name="_Toc69352367"/>
      <w:bookmarkStart w:id="239" w:name="_Toc69352550"/>
      <w:bookmarkStart w:id="240" w:name="_Toc71224080"/>
      <w:r w:rsidRPr="000D4158">
        <w:rPr>
          <w:b/>
          <w:bCs/>
        </w:rPr>
        <w:t>Figure A</w:t>
      </w:r>
      <w:r w:rsidR="0065637B">
        <w:rPr>
          <w:b/>
          <w:bCs/>
        </w:rPr>
        <w:t>.</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13</w:t>
      </w:r>
      <w:r w:rsidR="0065637B">
        <w:rPr>
          <w:b/>
          <w:bCs/>
        </w:rPr>
        <w:fldChar w:fldCharType="end"/>
      </w:r>
      <w:r w:rsidRPr="000D4158">
        <w:rPr>
          <w:b/>
          <w:bCs/>
        </w:rPr>
        <w:t>:</w:t>
      </w:r>
      <w:r>
        <w:t xml:space="preserve"> </w:t>
      </w:r>
      <w:r w:rsidR="00A27303">
        <w:t xml:space="preserve">Comparison of major </w:t>
      </w:r>
      <w:r w:rsidR="002D3AA2">
        <w:t>aluminum</w:t>
      </w:r>
      <w:r w:rsidR="00A27303">
        <w:t xml:space="preserve"> species in the MINEQL+ adsorption model.</w:t>
      </w:r>
      <w:bookmarkEnd w:id="238"/>
      <w:bookmarkEnd w:id="239"/>
      <w:bookmarkEnd w:id="240"/>
    </w:p>
    <w:p w14:paraId="0F0B93B2" w14:textId="77777777" w:rsidR="0065637B" w:rsidRPr="0065637B" w:rsidRDefault="0065637B" w:rsidP="0065637B"/>
    <w:p w14:paraId="68053164" w14:textId="57A3B185" w:rsidR="00AE06DB" w:rsidRPr="00AE06DB" w:rsidRDefault="00AA5728" w:rsidP="009A56D3">
      <w:pPr>
        <w:jc w:val="center"/>
      </w:pPr>
      <w:r>
        <w:rPr>
          <w:noProof/>
        </w:rPr>
        <w:drawing>
          <wp:inline distT="0" distB="0" distL="0" distR="0" wp14:anchorId="3DDE1588" wp14:editId="75371A5C">
            <wp:extent cx="5257800" cy="3429000"/>
            <wp:effectExtent l="0" t="0" r="0" b="0"/>
            <wp:docPr id="39" name="Chart 39">
              <a:extLst xmlns:a="http://schemas.openxmlformats.org/drawingml/2006/main">
                <a:ext uri="{FF2B5EF4-FFF2-40B4-BE49-F238E27FC236}">
                  <a16:creationId xmlns:a16="http://schemas.microsoft.com/office/drawing/2014/main" id="{716AB4A0-49AD-43BB-8C1D-F507E6076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7EE279B" w14:textId="3095F3A9" w:rsidR="00C54409" w:rsidRDefault="00C54409" w:rsidP="009A56D3">
      <w:pPr>
        <w:pStyle w:val="Caption"/>
        <w:spacing w:after="0" w:line="480" w:lineRule="auto"/>
      </w:pPr>
      <w:bookmarkStart w:id="241" w:name="_Toc69352368"/>
      <w:bookmarkStart w:id="242" w:name="_Toc69352551"/>
      <w:bookmarkStart w:id="243" w:name="_Toc71224081"/>
      <w:r w:rsidRPr="008E4073">
        <w:rPr>
          <w:b/>
          <w:bCs/>
        </w:rPr>
        <w:t>Figure A.</w:t>
      </w:r>
      <w:r w:rsidR="0065637B">
        <w:rPr>
          <w:b/>
          <w:bCs/>
        </w:rPr>
        <w:fldChar w:fldCharType="begin"/>
      </w:r>
      <w:r w:rsidR="0065637B">
        <w:rPr>
          <w:b/>
          <w:bCs/>
        </w:rPr>
        <w:instrText xml:space="preserve"> SEQ _ \* ARABIC \s 1 </w:instrText>
      </w:r>
      <w:r w:rsidR="0065637B">
        <w:rPr>
          <w:b/>
          <w:bCs/>
        </w:rPr>
        <w:fldChar w:fldCharType="separate"/>
      </w:r>
      <w:r w:rsidR="007712B4">
        <w:rPr>
          <w:b/>
          <w:bCs/>
          <w:noProof/>
        </w:rPr>
        <w:t>14</w:t>
      </w:r>
      <w:r w:rsidR="0065637B">
        <w:rPr>
          <w:b/>
          <w:bCs/>
        </w:rPr>
        <w:fldChar w:fldCharType="end"/>
      </w:r>
      <w:r w:rsidRPr="008E4073">
        <w:rPr>
          <w:b/>
          <w:bCs/>
        </w:rPr>
        <w:t>:</w:t>
      </w:r>
      <w:r>
        <w:t xml:space="preserve"> </w:t>
      </w:r>
      <w:r w:rsidR="00A27303">
        <w:t xml:space="preserve">Comparison of major </w:t>
      </w:r>
      <w:r w:rsidR="002D3AA2">
        <w:t>cobalt</w:t>
      </w:r>
      <w:r w:rsidR="00A27303">
        <w:t xml:space="preserve"> species in the MINEQL+ adsorption model.</w:t>
      </w:r>
      <w:bookmarkEnd w:id="241"/>
      <w:bookmarkEnd w:id="242"/>
      <w:bookmarkEnd w:id="243"/>
    </w:p>
    <w:p w14:paraId="73CECA0F" w14:textId="5AAD64C2" w:rsidR="00177D49" w:rsidRDefault="00177D49" w:rsidP="00177D49">
      <w:pPr>
        <w:jc w:val="center"/>
      </w:pPr>
      <w:r>
        <w:rPr>
          <w:noProof/>
        </w:rPr>
        <w:lastRenderedPageBreak/>
        <w:drawing>
          <wp:inline distT="0" distB="0" distL="0" distR="0" wp14:anchorId="22EAEC90" wp14:editId="56989259">
            <wp:extent cx="4572000" cy="27432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pic:spPr>
                </pic:pic>
              </a:graphicData>
            </a:graphic>
          </wp:inline>
        </w:drawing>
      </w:r>
    </w:p>
    <w:p w14:paraId="0DAD21D9" w14:textId="6D889653" w:rsidR="00177D49" w:rsidRDefault="00177D49" w:rsidP="00177D49">
      <w:pPr>
        <w:pStyle w:val="Caption"/>
        <w:spacing w:after="0" w:line="480" w:lineRule="auto"/>
      </w:pPr>
      <w:bookmarkStart w:id="244" w:name="_Toc71224082"/>
      <w:r w:rsidRPr="008E4073">
        <w:rPr>
          <w:b/>
          <w:bCs/>
        </w:rPr>
        <w:t>Figure A.</w:t>
      </w:r>
      <w:r>
        <w:rPr>
          <w:b/>
          <w:bCs/>
        </w:rPr>
        <w:fldChar w:fldCharType="begin"/>
      </w:r>
      <w:r>
        <w:rPr>
          <w:b/>
          <w:bCs/>
        </w:rPr>
        <w:instrText xml:space="preserve"> SEQ _ \* ARABIC \s 1 </w:instrText>
      </w:r>
      <w:r>
        <w:rPr>
          <w:b/>
          <w:bCs/>
        </w:rPr>
        <w:fldChar w:fldCharType="separate"/>
      </w:r>
      <w:r w:rsidR="007712B4">
        <w:rPr>
          <w:b/>
          <w:bCs/>
          <w:noProof/>
        </w:rPr>
        <w:t>15</w:t>
      </w:r>
      <w:r>
        <w:rPr>
          <w:b/>
          <w:bCs/>
        </w:rPr>
        <w:fldChar w:fldCharType="end"/>
      </w:r>
      <w:r w:rsidRPr="008E4073">
        <w:rPr>
          <w:b/>
          <w:bCs/>
        </w:rPr>
        <w:t>:</w:t>
      </w:r>
      <w:r>
        <w:t xml:space="preserve"> Comparison of experimental and MINEQL+ concentration results for the acidic water group.</w:t>
      </w:r>
      <w:bookmarkEnd w:id="244"/>
    </w:p>
    <w:p w14:paraId="31441873" w14:textId="77777777" w:rsidR="00F16281" w:rsidRPr="00F16281" w:rsidRDefault="00F16281" w:rsidP="00F16281"/>
    <w:p w14:paraId="330FF861" w14:textId="443753E8" w:rsidR="00177D49" w:rsidRDefault="00177D49" w:rsidP="00177D49">
      <w:pPr>
        <w:jc w:val="center"/>
      </w:pPr>
      <w:r>
        <w:rPr>
          <w:noProof/>
        </w:rPr>
        <w:drawing>
          <wp:inline distT="0" distB="0" distL="0" distR="0" wp14:anchorId="52915560" wp14:editId="62BC9A18">
            <wp:extent cx="4572000" cy="274320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pic:spPr>
                </pic:pic>
              </a:graphicData>
            </a:graphic>
          </wp:inline>
        </w:drawing>
      </w:r>
    </w:p>
    <w:p w14:paraId="5BD68433" w14:textId="30E3AD1B" w:rsidR="00177D49" w:rsidRDefault="00177D49" w:rsidP="00177D49">
      <w:pPr>
        <w:pStyle w:val="Caption"/>
        <w:spacing w:after="0" w:line="480" w:lineRule="auto"/>
      </w:pPr>
      <w:bookmarkStart w:id="245" w:name="_Toc71224083"/>
      <w:r w:rsidRPr="008E4073">
        <w:rPr>
          <w:b/>
          <w:bCs/>
        </w:rPr>
        <w:t>Figure A.</w:t>
      </w:r>
      <w:r>
        <w:rPr>
          <w:b/>
          <w:bCs/>
        </w:rPr>
        <w:fldChar w:fldCharType="begin"/>
      </w:r>
      <w:r>
        <w:rPr>
          <w:b/>
          <w:bCs/>
        </w:rPr>
        <w:instrText xml:space="preserve"> SEQ _ \* ARABIC \s 1 </w:instrText>
      </w:r>
      <w:r>
        <w:rPr>
          <w:b/>
          <w:bCs/>
        </w:rPr>
        <w:fldChar w:fldCharType="separate"/>
      </w:r>
      <w:r w:rsidR="007712B4">
        <w:rPr>
          <w:b/>
          <w:bCs/>
          <w:noProof/>
        </w:rPr>
        <w:t>16</w:t>
      </w:r>
      <w:r>
        <w:rPr>
          <w:b/>
          <w:bCs/>
        </w:rPr>
        <w:fldChar w:fldCharType="end"/>
      </w:r>
      <w:r w:rsidRPr="008E4073">
        <w:rPr>
          <w:b/>
          <w:bCs/>
        </w:rPr>
        <w:t>:</w:t>
      </w:r>
      <w:r>
        <w:t xml:space="preserve"> Comparison of experimental and MINEQL+ concentration results for the basic water group.</w:t>
      </w:r>
      <w:bookmarkEnd w:id="245"/>
    </w:p>
    <w:p w14:paraId="31750C03" w14:textId="77777777" w:rsidR="003C7B4D" w:rsidRPr="00177D49" w:rsidRDefault="003C7B4D" w:rsidP="00177D49"/>
    <w:sectPr w:rsidR="003C7B4D" w:rsidRPr="00177D49" w:rsidSect="00B20E78">
      <w:footnotePr>
        <w:pos w:val="beneathText"/>
        <w:numFmt w:val="lowerLetter"/>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0D588" w14:textId="77777777" w:rsidR="00775C9C" w:rsidRDefault="00775C9C" w:rsidP="000D7F77">
      <w:pPr>
        <w:spacing w:line="240" w:lineRule="auto"/>
      </w:pPr>
      <w:r>
        <w:separator/>
      </w:r>
    </w:p>
  </w:endnote>
  <w:endnote w:type="continuationSeparator" w:id="0">
    <w:p w14:paraId="6211D071" w14:textId="77777777" w:rsidR="00775C9C" w:rsidRDefault="00775C9C" w:rsidP="000D7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316343"/>
      <w:docPartObj>
        <w:docPartGallery w:val="Page Numbers (Bottom of Page)"/>
        <w:docPartUnique/>
      </w:docPartObj>
    </w:sdtPr>
    <w:sdtEndPr>
      <w:rPr>
        <w:noProof/>
      </w:rPr>
    </w:sdtEndPr>
    <w:sdtContent>
      <w:p w14:paraId="3A7BF724" w14:textId="77777777" w:rsidR="007A53C0" w:rsidRDefault="007A53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4E22A" w14:textId="77777777" w:rsidR="007A53C0" w:rsidRDefault="007A5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73410" w14:textId="77777777" w:rsidR="00775C9C" w:rsidRDefault="00775C9C" w:rsidP="000D7F77">
      <w:pPr>
        <w:spacing w:line="240" w:lineRule="auto"/>
      </w:pPr>
      <w:r>
        <w:separator/>
      </w:r>
    </w:p>
  </w:footnote>
  <w:footnote w:type="continuationSeparator" w:id="0">
    <w:p w14:paraId="098D16FD" w14:textId="77777777" w:rsidR="00775C9C" w:rsidRDefault="00775C9C" w:rsidP="000D7F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1244"/>
    <w:multiLevelType w:val="multilevel"/>
    <w:tmpl w:val="FC9C9A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C3245B"/>
    <w:multiLevelType w:val="multilevel"/>
    <w:tmpl w:val="4C7EF5E2"/>
    <w:lvl w:ilvl="0">
      <w:start w:val="1"/>
      <w:numFmt w:val="none"/>
      <w:lvlText w:val="Chapter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F9E29E1"/>
    <w:multiLevelType w:val="multilevel"/>
    <w:tmpl w:val="D6203590"/>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decimal"/>
      <w:pStyle w:val="Heading3"/>
      <w:suff w:val="nothing"/>
      <w:lvlText w:val="%3%12."/>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nothing"/>
      <w:lvlText w:val="%4%13."/>
      <w:lvlJc w:val="left"/>
      <w:pPr>
        <w:ind w:left="0" w:firstLine="0"/>
      </w:pPr>
      <w:rPr>
        <w:rFonts w:hint="default"/>
      </w:rPr>
    </w:lvl>
    <w:lvl w:ilvl="4">
      <w:start w:val="1"/>
      <w:numFmt w:val="decimal"/>
      <w:pStyle w:val="Heading5"/>
      <w:suff w:val="nothing"/>
      <w:lvlText w:val="%14."/>
      <w:lvlJc w:val="left"/>
      <w:pPr>
        <w:ind w:left="0" w:firstLine="0"/>
      </w:pPr>
      <w:rPr>
        <w:rFonts w:hint="default"/>
      </w:rPr>
    </w:lvl>
    <w:lvl w:ilvl="5">
      <w:start w:val="1"/>
      <w:numFmt w:val="decimal"/>
      <w:pStyle w:val="Heading6"/>
      <w:suff w:val="nothing"/>
      <w:lvlText w:val="%15."/>
      <w:lvlJc w:val="left"/>
      <w:pPr>
        <w:ind w:left="0" w:firstLine="0"/>
      </w:pPr>
      <w:rPr>
        <w:rFonts w:hint="default"/>
      </w:rPr>
    </w:lvl>
    <w:lvl w:ilvl="6">
      <w:start w:val="1"/>
      <w:numFmt w:val="decimal"/>
      <w:pStyle w:val="Heading7"/>
      <w:suff w:val="nothing"/>
      <w:lvlText w:val="%16."/>
      <w:lvlJc w:val="left"/>
      <w:pPr>
        <w:ind w:left="0" w:firstLine="0"/>
      </w:pPr>
      <w:rPr>
        <w:rFonts w:hint="default"/>
      </w:rPr>
    </w:lvl>
    <w:lvl w:ilvl="7">
      <w:start w:val="1"/>
      <w:numFmt w:val="decimal"/>
      <w:pStyle w:val="Heading8"/>
      <w:suff w:val="nothing"/>
      <w:lvlText w:val="%1"/>
      <w:lvlJc w:val="left"/>
      <w:pPr>
        <w:ind w:left="0" w:firstLine="0"/>
      </w:pPr>
      <w:rPr>
        <w:rFonts w:hint="default"/>
      </w:rPr>
    </w:lvl>
    <w:lvl w:ilvl="8">
      <w:start w:val="1"/>
      <w:numFmt w:val="decimal"/>
      <w:pStyle w:val="Heading9"/>
      <w:suff w:val="nothing"/>
      <w:lvlText w:val="%1"/>
      <w:lvlJc w:val="left"/>
      <w:pPr>
        <w:ind w:left="0" w:firstLine="0"/>
      </w:pPr>
      <w:rPr>
        <w:rFonts w:hint="default"/>
      </w:rPr>
    </w:lvl>
  </w:abstractNum>
  <w:abstractNum w:abstractNumId="3" w15:restartNumberingAfterBreak="0">
    <w:nsid w:val="3AB73A93"/>
    <w:multiLevelType w:val="hybridMultilevel"/>
    <w:tmpl w:val="BAC826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A07BBD"/>
    <w:multiLevelType w:val="multilevel"/>
    <w:tmpl w:val="AC4EDA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D378F5"/>
    <w:multiLevelType w:val="multilevel"/>
    <w:tmpl w:val="60D4FF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9C5A72"/>
    <w:multiLevelType w:val="multilevel"/>
    <w:tmpl w:val="182E09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9D7918"/>
    <w:multiLevelType w:val="multilevel"/>
    <w:tmpl w:val="D95E763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3"/>
  </w:num>
  <w:num w:numId="4">
    <w:abstractNumId w:val="5"/>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FC5"/>
    <w:rsid w:val="00000613"/>
    <w:rsid w:val="00001462"/>
    <w:rsid w:val="0000218A"/>
    <w:rsid w:val="00002691"/>
    <w:rsid w:val="00002C1F"/>
    <w:rsid w:val="000032E1"/>
    <w:rsid w:val="00003505"/>
    <w:rsid w:val="00003ACB"/>
    <w:rsid w:val="00004518"/>
    <w:rsid w:val="000050C8"/>
    <w:rsid w:val="00005A3F"/>
    <w:rsid w:val="00007B47"/>
    <w:rsid w:val="00007EE0"/>
    <w:rsid w:val="0001065D"/>
    <w:rsid w:val="00010967"/>
    <w:rsid w:val="000120F5"/>
    <w:rsid w:val="00012A96"/>
    <w:rsid w:val="00014A54"/>
    <w:rsid w:val="00020BAA"/>
    <w:rsid w:val="00020FF1"/>
    <w:rsid w:val="000216E3"/>
    <w:rsid w:val="00021821"/>
    <w:rsid w:val="00021989"/>
    <w:rsid w:val="000234B4"/>
    <w:rsid w:val="00024484"/>
    <w:rsid w:val="000260C7"/>
    <w:rsid w:val="000267E3"/>
    <w:rsid w:val="00030620"/>
    <w:rsid w:val="0003173C"/>
    <w:rsid w:val="0003185F"/>
    <w:rsid w:val="0003392A"/>
    <w:rsid w:val="0003411E"/>
    <w:rsid w:val="0003473A"/>
    <w:rsid w:val="000369FC"/>
    <w:rsid w:val="00040056"/>
    <w:rsid w:val="00040D51"/>
    <w:rsid w:val="0004356A"/>
    <w:rsid w:val="000445BF"/>
    <w:rsid w:val="0004534C"/>
    <w:rsid w:val="0004591D"/>
    <w:rsid w:val="00046187"/>
    <w:rsid w:val="00046A88"/>
    <w:rsid w:val="00050AD2"/>
    <w:rsid w:val="00052584"/>
    <w:rsid w:val="00053814"/>
    <w:rsid w:val="0005503D"/>
    <w:rsid w:val="00056551"/>
    <w:rsid w:val="00056C58"/>
    <w:rsid w:val="00060FC8"/>
    <w:rsid w:val="00061050"/>
    <w:rsid w:val="00062191"/>
    <w:rsid w:val="000636A7"/>
    <w:rsid w:val="00063DC1"/>
    <w:rsid w:val="00064F72"/>
    <w:rsid w:val="00065E24"/>
    <w:rsid w:val="00066B5D"/>
    <w:rsid w:val="000678CD"/>
    <w:rsid w:val="0007098C"/>
    <w:rsid w:val="00070DA9"/>
    <w:rsid w:val="00071FF5"/>
    <w:rsid w:val="00072840"/>
    <w:rsid w:val="00072BDF"/>
    <w:rsid w:val="000738B4"/>
    <w:rsid w:val="00074DE6"/>
    <w:rsid w:val="000754A6"/>
    <w:rsid w:val="00075573"/>
    <w:rsid w:val="00077235"/>
    <w:rsid w:val="000773E9"/>
    <w:rsid w:val="00081947"/>
    <w:rsid w:val="00082D26"/>
    <w:rsid w:val="000844DF"/>
    <w:rsid w:val="00084CF6"/>
    <w:rsid w:val="000851C5"/>
    <w:rsid w:val="000855E1"/>
    <w:rsid w:val="000857F3"/>
    <w:rsid w:val="00085C79"/>
    <w:rsid w:val="00086569"/>
    <w:rsid w:val="00086639"/>
    <w:rsid w:val="00086CB8"/>
    <w:rsid w:val="000948BA"/>
    <w:rsid w:val="0009494C"/>
    <w:rsid w:val="0009554A"/>
    <w:rsid w:val="000967D9"/>
    <w:rsid w:val="000A00E0"/>
    <w:rsid w:val="000A26F2"/>
    <w:rsid w:val="000A2C6C"/>
    <w:rsid w:val="000A2CBE"/>
    <w:rsid w:val="000A3948"/>
    <w:rsid w:val="000A4D14"/>
    <w:rsid w:val="000A5ED3"/>
    <w:rsid w:val="000A6067"/>
    <w:rsid w:val="000A66FA"/>
    <w:rsid w:val="000A6D69"/>
    <w:rsid w:val="000B0878"/>
    <w:rsid w:val="000B11FB"/>
    <w:rsid w:val="000B1F71"/>
    <w:rsid w:val="000B2302"/>
    <w:rsid w:val="000B3E1E"/>
    <w:rsid w:val="000B77BE"/>
    <w:rsid w:val="000B7961"/>
    <w:rsid w:val="000C1058"/>
    <w:rsid w:val="000C1201"/>
    <w:rsid w:val="000C3AB5"/>
    <w:rsid w:val="000C3AD2"/>
    <w:rsid w:val="000C44CE"/>
    <w:rsid w:val="000C4B39"/>
    <w:rsid w:val="000C50A5"/>
    <w:rsid w:val="000C5137"/>
    <w:rsid w:val="000C5F30"/>
    <w:rsid w:val="000C727E"/>
    <w:rsid w:val="000D4158"/>
    <w:rsid w:val="000D79A2"/>
    <w:rsid w:val="000D7E9B"/>
    <w:rsid w:val="000D7F77"/>
    <w:rsid w:val="000E0163"/>
    <w:rsid w:val="000E1089"/>
    <w:rsid w:val="000E12F6"/>
    <w:rsid w:val="000E1967"/>
    <w:rsid w:val="000E2397"/>
    <w:rsid w:val="000E3AD0"/>
    <w:rsid w:val="000E3E8A"/>
    <w:rsid w:val="000E662F"/>
    <w:rsid w:val="000E77AE"/>
    <w:rsid w:val="000F0607"/>
    <w:rsid w:val="000F07B9"/>
    <w:rsid w:val="000F1404"/>
    <w:rsid w:val="000F1CA0"/>
    <w:rsid w:val="000F20E4"/>
    <w:rsid w:val="000F3A3E"/>
    <w:rsid w:val="000F682A"/>
    <w:rsid w:val="000F6E8F"/>
    <w:rsid w:val="000F70A7"/>
    <w:rsid w:val="0010157D"/>
    <w:rsid w:val="0010440C"/>
    <w:rsid w:val="00105A0A"/>
    <w:rsid w:val="00105FDB"/>
    <w:rsid w:val="001103A4"/>
    <w:rsid w:val="00110BEA"/>
    <w:rsid w:val="00110CCF"/>
    <w:rsid w:val="00111CEC"/>
    <w:rsid w:val="00111E5E"/>
    <w:rsid w:val="00112C3A"/>
    <w:rsid w:val="00113670"/>
    <w:rsid w:val="00113D1D"/>
    <w:rsid w:val="00114A66"/>
    <w:rsid w:val="00114CD4"/>
    <w:rsid w:val="00116537"/>
    <w:rsid w:val="00116BD8"/>
    <w:rsid w:val="00121C40"/>
    <w:rsid w:val="00122347"/>
    <w:rsid w:val="0012266D"/>
    <w:rsid w:val="00122670"/>
    <w:rsid w:val="00122A3B"/>
    <w:rsid w:val="001230EA"/>
    <w:rsid w:val="00125071"/>
    <w:rsid w:val="00125799"/>
    <w:rsid w:val="0012672F"/>
    <w:rsid w:val="00126B4C"/>
    <w:rsid w:val="00131177"/>
    <w:rsid w:val="00131694"/>
    <w:rsid w:val="00131ACA"/>
    <w:rsid w:val="00132696"/>
    <w:rsid w:val="0013294F"/>
    <w:rsid w:val="001335A8"/>
    <w:rsid w:val="0013412F"/>
    <w:rsid w:val="00134C07"/>
    <w:rsid w:val="0013505A"/>
    <w:rsid w:val="00136959"/>
    <w:rsid w:val="001372B4"/>
    <w:rsid w:val="00137901"/>
    <w:rsid w:val="00137E28"/>
    <w:rsid w:val="00137F9F"/>
    <w:rsid w:val="00140321"/>
    <w:rsid w:val="00141030"/>
    <w:rsid w:val="0014137D"/>
    <w:rsid w:val="0014148E"/>
    <w:rsid w:val="001426DC"/>
    <w:rsid w:val="00142F17"/>
    <w:rsid w:val="0014389D"/>
    <w:rsid w:val="0014491D"/>
    <w:rsid w:val="0014497E"/>
    <w:rsid w:val="001452C4"/>
    <w:rsid w:val="001466B0"/>
    <w:rsid w:val="001473A5"/>
    <w:rsid w:val="0015040A"/>
    <w:rsid w:val="00150F20"/>
    <w:rsid w:val="00151C8D"/>
    <w:rsid w:val="00152C06"/>
    <w:rsid w:val="001538DA"/>
    <w:rsid w:val="001539C4"/>
    <w:rsid w:val="001542EE"/>
    <w:rsid w:val="00154380"/>
    <w:rsid w:val="00154447"/>
    <w:rsid w:val="00154B4C"/>
    <w:rsid w:val="00156F7F"/>
    <w:rsid w:val="00157609"/>
    <w:rsid w:val="00160A34"/>
    <w:rsid w:val="001612C7"/>
    <w:rsid w:val="001629DB"/>
    <w:rsid w:val="00164265"/>
    <w:rsid w:val="00164D9A"/>
    <w:rsid w:val="001650CC"/>
    <w:rsid w:val="00166098"/>
    <w:rsid w:val="00166740"/>
    <w:rsid w:val="0017134B"/>
    <w:rsid w:val="00171A1D"/>
    <w:rsid w:val="00172CDA"/>
    <w:rsid w:val="0017311A"/>
    <w:rsid w:val="0017483D"/>
    <w:rsid w:val="00177D49"/>
    <w:rsid w:val="001810C0"/>
    <w:rsid w:val="00181B97"/>
    <w:rsid w:val="001824F4"/>
    <w:rsid w:val="00182F4F"/>
    <w:rsid w:val="00183693"/>
    <w:rsid w:val="001838A8"/>
    <w:rsid w:val="00183D24"/>
    <w:rsid w:val="00184305"/>
    <w:rsid w:val="00184BC6"/>
    <w:rsid w:val="001863E1"/>
    <w:rsid w:val="00187054"/>
    <w:rsid w:val="00187485"/>
    <w:rsid w:val="00187967"/>
    <w:rsid w:val="0019053C"/>
    <w:rsid w:val="0019059E"/>
    <w:rsid w:val="0019143F"/>
    <w:rsid w:val="001917E9"/>
    <w:rsid w:val="001919EB"/>
    <w:rsid w:val="0019209C"/>
    <w:rsid w:val="0019298D"/>
    <w:rsid w:val="00193D45"/>
    <w:rsid w:val="001961C4"/>
    <w:rsid w:val="0019621D"/>
    <w:rsid w:val="00196F2F"/>
    <w:rsid w:val="001A08B2"/>
    <w:rsid w:val="001A1CE9"/>
    <w:rsid w:val="001A23AB"/>
    <w:rsid w:val="001A37E8"/>
    <w:rsid w:val="001A4061"/>
    <w:rsid w:val="001A4A75"/>
    <w:rsid w:val="001A4D50"/>
    <w:rsid w:val="001A50AC"/>
    <w:rsid w:val="001A5AB4"/>
    <w:rsid w:val="001A6508"/>
    <w:rsid w:val="001A65E1"/>
    <w:rsid w:val="001A7ECA"/>
    <w:rsid w:val="001B12BC"/>
    <w:rsid w:val="001B1FA6"/>
    <w:rsid w:val="001B214F"/>
    <w:rsid w:val="001B3A97"/>
    <w:rsid w:val="001B3ADE"/>
    <w:rsid w:val="001B3D0D"/>
    <w:rsid w:val="001B45BF"/>
    <w:rsid w:val="001B5102"/>
    <w:rsid w:val="001B67B0"/>
    <w:rsid w:val="001B6872"/>
    <w:rsid w:val="001B6D58"/>
    <w:rsid w:val="001B7D2B"/>
    <w:rsid w:val="001B7D6D"/>
    <w:rsid w:val="001C2142"/>
    <w:rsid w:val="001C25E9"/>
    <w:rsid w:val="001C27FC"/>
    <w:rsid w:val="001C2ECB"/>
    <w:rsid w:val="001C329A"/>
    <w:rsid w:val="001C342B"/>
    <w:rsid w:val="001C44E5"/>
    <w:rsid w:val="001C4DE4"/>
    <w:rsid w:val="001C5A54"/>
    <w:rsid w:val="001C7A75"/>
    <w:rsid w:val="001D03C0"/>
    <w:rsid w:val="001D0B72"/>
    <w:rsid w:val="001D0FCD"/>
    <w:rsid w:val="001D1B02"/>
    <w:rsid w:val="001D3BAF"/>
    <w:rsid w:val="001D445E"/>
    <w:rsid w:val="001D48CD"/>
    <w:rsid w:val="001D5F79"/>
    <w:rsid w:val="001D6D1C"/>
    <w:rsid w:val="001D6E4C"/>
    <w:rsid w:val="001E0586"/>
    <w:rsid w:val="001E0A1A"/>
    <w:rsid w:val="001E0C7F"/>
    <w:rsid w:val="001E5CE8"/>
    <w:rsid w:val="001E7890"/>
    <w:rsid w:val="001F089B"/>
    <w:rsid w:val="001F0956"/>
    <w:rsid w:val="001F2020"/>
    <w:rsid w:val="001F4393"/>
    <w:rsid w:val="001F66AD"/>
    <w:rsid w:val="001F71DF"/>
    <w:rsid w:val="0020002E"/>
    <w:rsid w:val="00200132"/>
    <w:rsid w:val="002008DF"/>
    <w:rsid w:val="00200B22"/>
    <w:rsid w:val="00201BB7"/>
    <w:rsid w:val="00201D6C"/>
    <w:rsid w:val="00203EBA"/>
    <w:rsid w:val="002044CB"/>
    <w:rsid w:val="002054DE"/>
    <w:rsid w:val="00207FB2"/>
    <w:rsid w:val="002100A8"/>
    <w:rsid w:val="00210FE4"/>
    <w:rsid w:val="00211A06"/>
    <w:rsid w:val="0021234C"/>
    <w:rsid w:val="00212C40"/>
    <w:rsid w:val="00213AF3"/>
    <w:rsid w:val="00214C13"/>
    <w:rsid w:val="00214C31"/>
    <w:rsid w:val="002159FB"/>
    <w:rsid w:val="00216837"/>
    <w:rsid w:val="00216ADC"/>
    <w:rsid w:val="002200C9"/>
    <w:rsid w:val="002202C5"/>
    <w:rsid w:val="002236A6"/>
    <w:rsid w:val="00224482"/>
    <w:rsid w:val="00225856"/>
    <w:rsid w:val="00230880"/>
    <w:rsid w:val="0023211B"/>
    <w:rsid w:val="002329EB"/>
    <w:rsid w:val="002334FF"/>
    <w:rsid w:val="00233766"/>
    <w:rsid w:val="00235408"/>
    <w:rsid w:val="00235437"/>
    <w:rsid w:val="002359CB"/>
    <w:rsid w:val="002361C4"/>
    <w:rsid w:val="00236B7F"/>
    <w:rsid w:val="00236CA9"/>
    <w:rsid w:val="00237277"/>
    <w:rsid w:val="00237502"/>
    <w:rsid w:val="00237AC8"/>
    <w:rsid w:val="00241BDA"/>
    <w:rsid w:val="00242B44"/>
    <w:rsid w:val="0024384C"/>
    <w:rsid w:val="00243939"/>
    <w:rsid w:val="00245BAE"/>
    <w:rsid w:val="0024658F"/>
    <w:rsid w:val="00246767"/>
    <w:rsid w:val="00246CBE"/>
    <w:rsid w:val="00246D77"/>
    <w:rsid w:val="00247659"/>
    <w:rsid w:val="00247962"/>
    <w:rsid w:val="00247DA7"/>
    <w:rsid w:val="002509CE"/>
    <w:rsid w:val="002519F8"/>
    <w:rsid w:val="00251BE1"/>
    <w:rsid w:val="00252C91"/>
    <w:rsid w:val="00252F78"/>
    <w:rsid w:val="00253B32"/>
    <w:rsid w:val="00253C52"/>
    <w:rsid w:val="002543F1"/>
    <w:rsid w:val="00255239"/>
    <w:rsid w:val="00255C71"/>
    <w:rsid w:val="002565A2"/>
    <w:rsid w:val="00257EEC"/>
    <w:rsid w:val="00260350"/>
    <w:rsid w:val="00260E9A"/>
    <w:rsid w:val="0026192E"/>
    <w:rsid w:val="00262E3E"/>
    <w:rsid w:val="002630EB"/>
    <w:rsid w:val="00264091"/>
    <w:rsid w:val="00264733"/>
    <w:rsid w:val="00264A3A"/>
    <w:rsid w:val="00264B89"/>
    <w:rsid w:val="00264CBE"/>
    <w:rsid w:val="002714A7"/>
    <w:rsid w:val="00271BA7"/>
    <w:rsid w:val="00271BD6"/>
    <w:rsid w:val="00271C5E"/>
    <w:rsid w:val="00273DA3"/>
    <w:rsid w:val="00275661"/>
    <w:rsid w:val="0027599E"/>
    <w:rsid w:val="00275F25"/>
    <w:rsid w:val="00281271"/>
    <w:rsid w:val="0028287E"/>
    <w:rsid w:val="00283F3F"/>
    <w:rsid w:val="00284901"/>
    <w:rsid w:val="002862C2"/>
    <w:rsid w:val="00286E03"/>
    <w:rsid w:val="00287789"/>
    <w:rsid w:val="0029018C"/>
    <w:rsid w:val="002908FE"/>
    <w:rsid w:val="00291C0A"/>
    <w:rsid w:val="00293711"/>
    <w:rsid w:val="00293E43"/>
    <w:rsid w:val="00293F63"/>
    <w:rsid w:val="0029590B"/>
    <w:rsid w:val="00296432"/>
    <w:rsid w:val="002964E6"/>
    <w:rsid w:val="002969F7"/>
    <w:rsid w:val="00297C3B"/>
    <w:rsid w:val="00297CF1"/>
    <w:rsid w:val="002A1C72"/>
    <w:rsid w:val="002A310F"/>
    <w:rsid w:val="002A408D"/>
    <w:rsid w:val="002A426C"/>
    <w:rsid w:val="002A4ADE"/>
    <w:rsid w:val="002A4BE9"/>
    <w:rsid w:val="002A4D1E"/>
    <w:rsid w:val="002A4DD6"/>
    <w:rsid w:val="002A6FD5"/>
    <w:rsid w:val="002A7F58"/>
    <w:rsid w:val="002B0822"/>
    <w:rsid w:val="002B0BEC"/>
    <w:rsid w:val="002B1193"/>
    <w:rsid w:val="002B1270"/>
    <w:rsid w:val="002B1453"/>
    <w:rsid w:val="002B1B40"/>
    <w:rsid w:val="002B2A76"/>
    <w:rsid w:val="002B3338"/>
    <w:rsid w:val="002B3FD3"/>
    <w:rsid w:val="002B67D0"/>
    <w:rsid w:val="002B6EFB"/>
    <w:rsid w:val="002B7C71"/>
    <w:rsid w:val="002C0EEF"/>
    <w:rsid w:val="002C114C"/>
    <w:rsid w:val="002C1AF5"/>
    <w:rsid w:val="002C1E23"/>
    <w:rsid w:val="002C4394"/>
    <w:rsid w:val="002C4DE8"/>
    <w:rsid w:val="002C51F1"/>
    <w:rsid w:val="002C5DFE"/>
    <w:rsid w:val="002C5E1F"/>
    <w:rsid w:val="002C66A3"/>
    <w:rsid w:val="002C6DE5"/>
    <w:rsid w:val="002C6F87"/>
    <w:rsid w:val="002D1143"/>
    <w:rsid w:val="002D3AA2"/>
    <w:rsid w:val="002D779C"/>
    <w:rsid w:val="002E017A"/>
    <w:rsid w:val="002E06CE"/>
    <w:rsid w:val="002E0B3E"/>
    <w:rsid w:val="002E2B58"/>
    <w:rsid w:val="002E5094"/>
    <w:rsid w:val="002E6851"/>
    <w:rsid w:val="002E6BF6"/>
    <w:rsid w:val="002E7A6E"/>
    <w:rsid w:val="002F04F1"/>
    <w:rsid w:val="002F0CDF"/>
    <w:rsid w:val="002F1151"/>
    <w:rsid w:val="002F43A1"/>
    <w:rsid w:val="002F62C5"/>
    <w:rsid w:val="0030177D"/>
    <w:rsid w:val="00301B96"/>
    <w:rsid w:val="00301FC4"/>
    <w:rsid w:val="00302324"/>
    <w:rsid w:val="00303626"/>
    <w:rsid w:val="0030608B"/>
    <w:rsid w:val="00306EEA"/>
    <w:rsid w:val="00307F4E"/>
    <w:rsid w:val="00311379"/>
    <w:rsid w:val="0031254C"/>
    <w:rsid w:val="00312B67"/>
    <w:rsid w:val="00313689"/>
    <w:rsid w:val="00313C07"/>
    <w:rsid w:val="003173FD"/>
    <w:rsid w:val="003205A7"/>
    <w:rsid w:val="003206D5"/>
    <w:rsid w:val="00321979"/>
    <w:rsid w:val="00321AC4"/>
    <w:rsid w:val="003236AF"/>
    <w:rsid w:val="0032400E"/>
    <w:rsid w:val="00324A59"/>
    <w:rsid w:val="00325E26"/>
    <w:rsid w:val="00326482"/>
    <w:rsid w:val="0032669E"/>
    <w:rsid w:val="00331030"/>
    <w:rsid w:val="003317B6"/>
    <w:rsid w:val="00332B29"/>
    <w:rsid w:val="003332EA"/>
    <w:rsid w:val="00334D29"/>
    <w:rsid w:val="00336B6F"/>
    <w:rsid w:val="00337A4A"/>
    <w:rsid w:val="00340E74"/>
    <w:rsid w:val="00341EE0"/>
    <w:rsid w:val="00342EC2"/>
    <w:rsid w:val="00343193"/>
    <w:rsid w:val="00343850"/>
    <w:rsid w:val="00343E22"/>
    <w:rsid w:val="00344B7F"/>
    <w:rsid w:val="00344D2F"/>
    <w:rsid w:val="003451C9"/>
    <w:rsid w:val="00345413"/>
    <w:rsid w:val="0034555E"/>
    <w:rsid w:val="00346E19"/>
    <w:rsid w:val="00350709"/>
    <w:rsid w:val="00352919"/>
    <w:rsid w:val="00352D31"/>
    <w:rsid w:val="00353637"/>
    <w:rsid w:val="00354A46"/>
    <w:rsid w:val="00354AB7"/>
    <w:rsid w:val="0035537E"/>
    <w:rsid w:val="0035639F"/>
    <w:rsid w:val="0035666E"/>
    <w:rsid w:val="003566B4"/>
    <w:rsid w:val="00360BD1"/>
    <w:rsid w:val="00361ADB"/>
    <w:rsid w:val="00362950"/>
    <w:rsid w:val="00362E98"/>
    <w:rsid w:val="003648F4"/>
    <w:rsid w:val="00365FE5"/>
    <w:rsid w:val="003700C0"/>
    <w:rsid w:val="003700D6"/>
    <w:rsid w:val="0037042D"/>
    <w:rsid w:val="00371935"/>
    <w:rsid w:val="0037360F"/>
    <w:rsid w:val="003742C9"/>
    <w:rsid w:val="00375049"/>
    <w:rsid w:val="00375E3B"/>
    <w:rsid w:val="00376DA9"/>
    <w:rsid w:val="00376EA6"/>
    <w:rsid w:val="00376F09"/>
    <w:rsid w:val="00377E5A"/>
    <w:rsid w:val="003805AF"/>
    <w:rsid w:val="00382294"/>
    <w:rsid w:val="00382DE2"/>
    <w:rsid w:val="00383CBE"/>
    <w:rsid w:val="00384CDE"/>
    <w:rsid w:val="00384FBB"/>
    <w:rsid w:val="00385FE2"/>
    <w:rsid w:val="00386856"/>
    <w:rsid w:val="00386F00"/>
    <w:rsid w:val="003911A4"/>
    <w:rsid w:val="003923D7"/>
    <w:rsid w:val="00392766"/>
    <w:rsid w:val="00394CFA"/>
    <w:rsid w:val="003A0CBC"/>
    <w:rsid w:val="003A4E8B"/>
    <w:rsid w:val="003A557C"/>
    <w:rsid w:val="003A5684"/>
    <w:rsid w:val="003A7BEF"/>
    <w:rsid w:val="003B0F88"/>
    <w:rsid w:val="003B2F11"/>
    <w:rsid w:val="003B3443"/>
    <w:rsid w:val="003B4A91"/>
    <w:rsid w:val="003B5285"/>
    <w:rsid w:val="003B5B1E"/>
    <w:rsid w:val="003B6664"/>
    <w:rsid w:val="003B66B8"/>
    <w:rsid w:val="003B6DD8"/>
    <w:rsid w:val="003B74B4"/>
    <w:rsid w:val="003C005C"/>
    <w:rsid w:val="003C19E2"/>
    <w:rsid w:val="003C25D4"/>
    <w:rsid w:val="003C3AEC"/>
    <w:rsid w:val="003C47EE"/>
    <w:rsid w:val="003C5305"/>
    <w:rsid w:val="003C60A1"/>
    <w:rsid w:val="003C60F6"/>
    <w:rsid w:val="003C670F"/>
    <w:rsid w:val="003C69C6"/>
    <w:rsid w:val="003C6EBE"/>
    <w:rsid w:val="003C79F2"/>
    <w:rsid w:val="003C7B4D"/>
    <w:rsid w:val="003C7BA1"/>
    <w:rsid w:val="003D08B6"/>
    <w:rsid w:val="003D0BAB"/>
    <w:rsid w:val="003D1AAB"/>
    <w:rsid w:val="003D203C"/>
    <w:rsid w:val="003D32B3"/>
    <w:rsid w:val="003D3E1B"/>
    <w:rsid w:val="003D3FD9"/>
    <w:rsid w:val="003D5E24"/>
    <w:rsid w:val="003D68BD"/>
    <w:rsid w:val="003D6900"/>
    <w:rsid w:val="003D6C88"/>
    <w:rsid w:val="003D7B0A"/>
    <w:rsid w:val="003E17AE"/>
    <w:rsid w:val="003E2B53"/>
    <w:rsid w:val="003E2BC6"/>
    <w:rsid w:val="003E48CA"/>
    <w:rsid w:val="003E4B69"/>
    <w:rsid w:val="003E4EE9"/>
    <w:rsid w:val="003E71FE"/>
    <w:rsid w:val="003E7830"/>
    <w:rsid w:val="003E7AE1"/>
    <w:rsid w:val="003F021F"/>
    <w:rsid w:val="003F04BC"/>
    <w:rsid w:val="003F1C33"/>
    <w:rsid w:val="003F1FAC"/>
    <w:rsid w:val="003F2960"/>
    <w:rsid w:val="003F339E"/>
    <w:rsid w:val="003F4D3D"/>
    <w:rsid w:val="003F75B5"/>
    <w:rsid w:val="004000AD"/>
    <w:rsid w:val="00400818"/>
    <w:rsid w:val="00400B00"/>
    <w:rsid w:val="004011AC"/>
    <w:rsid w:val="00402E7E"/>
    <w:rsid w:val="00402E89"/>
    <w:rsid w:val="004034EE"/>
    <w:rsid w:val="00403C1D"/>
    <w:rsid w:val="00404F98"/>
    <w:rsid w:val="004058EC"/>
    <w:rsid w:val="004065FE"/>
    <w:rsid w:val="00406D15"/>
    <w:rsid w:val="004071DE"/>
    <w:rsid w:val="0040731A"/>
    <w:rsid w:val="00407F04"/>
    <w:rsid w:val="00410620"/>
    <w:rsid w:val="00412372"/>
    <w:rsid w:val="00412C1C"/>
    <w:rsid w:val="00414237"/>
    <w:rsid w:val="00414375"/>
    <w:rsid w:val="004154E3"/>
    <w:rsid w:val="004168E8"/>
    <w:rsid w:val="00416B66"/>
    <w:rsid w:val="0041737E"/>
    <w:rsid w:val="004178C0"/>
    <w:rsid w:val="00417C54"/>
    <w:rsid w:val="00420A4B"/>
    <w:rsid w:val="00420D85"/>
    <w:rsid w:val="00421139"/>
    <w:rsid w:val="00421E66"/>
    <w:rsid w:val="0042253A"/>
    <w:rsid w:val="00423C96"/>
    <w:rsid w:val="00424439"/>
    <w:rsid w:val="004275AD"/>
    <w:rsid w:val="0043101C"/>
    <w:rsid w:val="004311B1"/>
    <w:rsid w:val="00431481"/>
    <w:rsid w:val="004330B7"/>
    <w:rsid w:val="0043596D"/>
    <w:rsid w:val="00437BDA"/>
    <w:rsid w:val="00437D77"/>
    <w:rsid w:val="00437E9B"/>
    <w:rsid w:val="00440786"/>
    <w:rsid w:val="0044152E"/>
    <w:rsid w:val="00441602"/>
    <w:rsid w:val="0044188F"/>
    <w:rsid w:val="00441BD5"/>
    <w:rsid w:val="00441C91"/>
    <w:rsid w:val="00441F7A"/>
    <w:rsid w:val="004430A8"/>
    <w:rsid w:val="0044443C"/>
    <w:rsid w:val="00444B45"/>
    <w:rsid w:val="00444F4A"/>
    <w:rsid w:val="004453CA"/>
    <w:rsid w:val="00446F77"/>
    <w:rsid w:val="004471DC"/>
    <w:rsid w:val="00450093"/>
    <w:rsid w:val="0045016D"/>
    <w:rsid w:val="004506CF"/>
    <w:rsid w:val="004515F9"/>
    <w:rsid w:val="0045251F"/>
    <w:rsid w:val="00452AF3"/>
    <w:rsid w:val="0045464F"/>
    <w:rsid w:val="004555E1"/>
    <w:rsid w:val="004556EC"/>
    <w:rsid w:val="00455B65"/>
    <w:rsid w:val="00457F06"/>
    <w:rsid w:val="004608AE"/>
    <w:rsid w:val="004617D9"/>
    <w:rsid w:val="0046204D"/>
    <w:rsid w:val="00462ACB"/>
    <w:rsid w:val="00463B31"/>
    <w:rsid w:val="004640DE"/>
    <w:rsid w:val="0046764A"/>
    <w:rsid w:val="004677F3"/>
    <w:rsid w:val="00467968"/>
    <w:rsid w:val="00470257"/>
    <w:rsid w:val="004706B0"/>
    <w:rsid w:val="0047131E"/>
    <w:rsid w:val="00472C36"/>
    <w:rsid w:val="00472FB6"/>
    <w:rsid w:val="0047384F"/>
    <w:rsid w:val="004739A6"/>
    <w:rsid w:val="00474935"/>
    <w:rsid w:val="00475851"/>
    <w:rsid w:val="00475E1B"/>
    <w:rsid w:val="004776E6"/>
    <w:rsid w:val="004779F1"/>
    <w:rsid w:val="004806E4"/>
    <w:rsid w:val="00481F90"/>
    <w:rsid w:val="00483B3B"/>
    <w:rsid w:val="00484137"/>
    <w:rsid w:val="00484893"/>
    <w:rsid w:val="00484A72"/>
    <w:rsid w:val="00493718"/>
    <w:rsid w:val="00493777"/>
    <w:rsid w:val="00493CF9"/>
    <w:rsid w:val="004940E8"/>
    <w:rsid w:val="00494E39"/>
    <w:rsid w:val="00494FDF"/>
    <w:rsid w:val="0049525F"/>
    <w:rsid w:val="00495F0C"/>
    <w:rsid w:val="00496AD2"/>
    <w:rsid w:val="004A1E20"/>
    <w:rsid w:val="004A248F"/>
    <w:rsid w:val="004A2898"/>
    <w:rsid w:val="004A30A6"/>
    <w:rsid w:val="004A391D"/>
    <w:rsid w:val="004A476B"/>
    <w:rsid w:val="004A551D"/>
    <w:rsid w:val="004A7790"/>
    <w:rsid w:val="004A793E"/>
    <w:rsid w:val="004B05B7"/>
    <w:rsid w:val="004B05D4"/>
    <w:rsid w:val="004B22F0"/>
    <w:rsid w:val="004B275F"/>
    <w:rsid w:val="004B2D1F"/>
    <w:rsid w:val="004B2F55"/>
    <w:rsid w:val="004B32E0"/>
    <w:rsid w:val="004B3497"/>
    <w:rsid w:val="004B356A"/>
    <w:rsid w:val="004B359E"/>
    <w:rsid w:val="004B4D34"/>
    <w:rsid w:val="004B6F7D"/>
    <w:rsid w:val="004B783C"/>
    <w:rsid w:val="004C02E0"/>
    <w:rsid w:val="004C3A9C"/>
    <w:rsid w:val="004C4F34"/>
    <w:rsid w:val="004C5425"/>
    <w:rsid w:val="004C696B"/>
    <w:rsid w:val="004D39B8"/>
    <w:rsid w:val="004D4025"/>
    <w:rsid w:val="004D45C8"/>
    <w:rsid w:val="004D4858"/>
    <w:rsid w:val="004D488E"/>
    <w:rsid w:val="004D4BF6"/>
    <w:rsid w:val="004D73BF"/>
    <w:rsid w:val="004E0014"/>
    <w:rsid w:val="004E09F9"/>
    <w:rsid w:val="004E2634"/>
    <w:rsid w:val="004E3834"/>
    <w:rsid w:val="004E4A4A"/>
    <w:rsid w:val="004E5283"/>
    <w:rsid w:val="004E54DB"/>
    <w:rsid w:val="004E6A90"/>
    <w:rsid w:val="004E7554"/>
    <w:rsid w:val="004F09C6"/>
    <w:rsid w:val="004F11D8"/>
    <w:rsid w:val="004F129F"/>
    <w:rsid w:val="004F2908"/>
    <w:rsid w:val="004F371B"/>
    <w:rsid w:val="004F5094"/>
    <w:rsid w:val="004F736C"/>
    <w:rsid w:val="004F7475"/>
    <w:rsid w:val="004F74BD"/>
    <w:rsid w:val="00500860"/>
    <w:rsid w:val="00502133"/>
    <w:rsid w:val="00504ECA"/>
    <w:rsid w:val="005069E4"/>
    <w:rsid w:val="005078F3"/>
    <w:rsid w:val="00507918"/>
    <w:rsid w:val="00507E70"/>
    <w:rsid w:val="005101BD"/>
    <w:rsid w:val="0051042A"/>
    <w:rsid w:val="0051049A"/>
    <w:rsid w:val="00510721"/>
    <w:rsid w:val="005108AE"/>
    <w:rsid w:val="00510D01"/>
    <w:rsid w:val="00512539"/>
    <w:rsid w:val="005128BC"/>
    <w:rsid w:val="00513D38"/>
    <w:rsid w:val="00514EF8"/>
    <w:rsid w:val="00515767"/>
    <w:rsid w:val="00515852"/>
    <w:rsid w:val="00520980"/>
    <w:rsid w:val="00520E26"/>
    <w:rsid w:val="0052130E"/>
    <w:rsid w:val="00521837"/>
    <w:rsid w:val="00525EF1"/>
    <w:rsid w:val="0052658A"/>
    <w:rsid w:val="00527F47"/>
    <w:rsid w:val="005304C0"/>
    <w:rsid w:val="005317C2"/>
    <w:rsid w:val="00532331"/>
    <w:rsid w:val="00532E27"/>
    <w:rsid w:val="00533430"/>
    <w:rsid w:val="00533A7F"/>
    <w:rsid w:val="00534090"/>
    <w:rsid w:val="00534549"/>
    <w:rsid w:val="005345D6"/>
    <w:rsid w:val="00534829"/>
    <w:rsid w:val="005353AC"/>
    <w:rsid w:val="00536202"/>
    <w:rsid w:val="00536216"/>
    <w:rsid w:val="005365D8"/>
    <w:rsid w:val="0054035D"/>
    <w:rsid w:val="00540CCF"/>
    <w:rsid w:val="00541A0B"/>
    <w:rsid w:val="00541B0C"/>
    <w:rsid w:val="00541CAB"/>
    <w:rsid w:val="00542B0F"/>
    <w:rsid w:val="005431C8"/>
    <w:rsid w:val="00544007"/>
    <w:rsid w:val="00544914"/>
    <w:rsid w:val="00545B5F"/>
    <w:rsid w:val="00547204"/>
    <w:rsid w:val="00547C97"/>
    <w:rsid w:val="00550D0D"/>
    <w:rsid w:val="005520BD"/>
    <w:rsid w:val="00552A13"/>
    <w:rsid w:val="005538BC"/>
    <w:rsid w:val="00553C98"/>
    <w:rsid w:val="005542F1"/>
    <w:rsid w:val="00554FF2"/>
    <w:rsid w:val="0055562E"/>
    <w:rsid w:val="00555B34"/>
    <w:rsid w:val="00555D85"/>
    <w:rsid w:val="00556174"/>
    <w:rsid w:val="00560105"/>
    <w:rsid w:val="00561A52"/>
    <w:rsid w:val="0056333F"/>
    <w:rsid w:val="0056351B"/>
    <w:rsid w:val="005641E9"/>
    <w:rsid w:val="00564B30"/>
    <w:rsid w:val="00564CEE"/>
    <w:rsid w:val="00567B99"/>
    <w:rsid w:val="00570135"/>
    <w:rsid w:val="00572344"/>
    <w:rsid w:val="00572533"/>
    <w:rsid w:val="00573067"/>
    <w:rsid w:val="005733ED"/>
    <w:rsid w:val="00573DB2"/>
    <w:rsid w:val="0057455A"/>
    <w:rsid w:val="005756D1"/>
    <w:rsid w:val="005758F0"/>
    <w:rsid w:val="00576D71"/>
    <w:rsid w:val="005771E6"/>
    <w:rsid w:val="005777AC"/>
    <w:rsid w:val="00580B29"/>
    <w:rsid w:val="00583CA3"/>
    <w:rsid w:val="005842F3"/>
    <w:rsid w:val="0058521C"/>
    <w:rsid w:val="0058582D"/>
    <w:rsid w:val="00586A10"/>
    <w:rsid w:val="00586BBF"/>
    <w:rsid w:val="005879D9"/>
    <w:rsid w:val="00590AC5"/>
    <w:rsid w:val="005924EB"/>
    <w:rsid w:val="00592F78"/>
    <w:rsid w:val="00593BC3"/>
    <w:rsid w:val="00595842"/>
    <w:rsid w:val="0059621A"/>
    <w:rsid w:val="00597E04"/>
    <w:rsid w:val="005A0355"/>
    <w:rsid w:val="005A089D"/>
    <w:rsid w:val="005A17D2"/>
    <w:rsid w:val="005A35FA"/>
    <w:rsid w:val="005A3F4B"/>
    <w:rsid w:val="005A4A03"/>
    <w:rsid w:val="005A5C75"/>
    <w:rsid w:val="005B13C0"/>
    <w:rsid w:val="005B1575"/>
    <w:rsid w:val="005B16F4"/>
    <w:rsid w:val="005B2C72"/>
    <w:rsid w:val="005B3F57"/>
    <w:rsid w:val="005B44BD"/>
    <w:rsid w:val="005B4F1E"/>
    <w:rsid w:val="005B4F6B"/>
    <w:rsid w:val="005B5642"/>
    <w:rsid w:val="005C001C"/>
    <w:rsid w:val="005C0027"/>
    <w:rsid w:val="005C2400"/>
    <w:rsid w:val="005C26AE"/>
    <w:rsid w:val="005C490E"/>
    <w:rsid w:val="005C5DD5"/>
    <w:rsid w:val="005C7DE1"/>
    <w:rsid w:val="005D00FC"/>
    <w:rsid w:val="005D0127"/>
    <w:rsid w:val="005D0225"/>
    <w:rsid w:val="005D1946"/>
    <w:rsid w:val="005D1A06"/>
    <w:rsid w:val="005D1E70"/>
    <w:rsid w:val="005D2EB1"/>
    <w:rsid w:val="005D361B"/>
    <w:rsid w:val="005D3E5F"/>
    <w:rsid w:val="005D521F"/>
    <w:rsid w:val="005D5448"/>
    <w:rsid w:val="005D6985"/>
    <w:rsid w:val="005D75A9"/>
    <w:rsid w:val="005E0EF1"/>
    <w:rsid w:val="005E197F"/>
    <w:rsid w:val="005E26C0"/>
    <w:rsid w:val="005E277E"/>
    <w:rsid w:val="005E2AD8"/>
    <w:rsid w:val="005E397A"/>
    <w:rsid w:val="005E5934"/>
    <w:rsid w:val="005E644F"/>
    <w:rsid w:val="005E6ED9"/>
    <w:rsid w:val="005F1779"/>
    <w:rsid w:val="005F2221"/>
    <w:rsid w:val="005F33D5"/>
    <w:rsid w:val="005F474B"/>
    <w:rsid w:val="005F5567"/>
    <w:rsid w:val="005F5FE1"/>
    <w:rsid w:val="005F6C3C"/>
    <w:rsid w:val="005F6C91"/>
    <w:rsid w:val="005F796C"/>
    <w:rsid w:val="00600059"/>
    <w:rsid w:val="00600A7F"/>
    <w:rsid w:val="00601849"/>
    <w:rsid w:val="00602E5B"/>
    <w:rsid w:val="006039AC"/>
    <w:rsid w:val="00605336"/>
    <w:rsid w:val="00605460"/>
    <w:rsid w:val="006055EC"/>
    <w:rsid w:val="00607D1A"/>
    <w:rsid w:val="00611763"/>
    <w:rsid w:val="00612B28"/>
    <w:rsid w:val="00613AC7"/>
    <w:rsid w:val="006163E6"/>
    <w:rsid w:val="00616E48"/>
    <w:rsid w:val="006200FB"/>
    <w:rsid w:val="006219D5"/>
    <w:rsid w:val="006219ED"/>
    <w:rsid w:val="00622FF1"/>
    <w:rsid w:val="006237DA"/>
    <w:rsid w:val="0062451A"/>
    <w:rsid w:val="006246AB"/>
    <w:rsid w:val="006246DB"/>
    <w:rsid w:val="0062660D"/>
    <w:rsid w:val="00626E12"/>
    <w:rsid w:val="00631B44"/>
    <w:rsid w:val="006331B8"/>
    <w:rsid w:val="00633D99"/>
    <w:rsid w:val="00634F37"/>
    <w:rsid w:val="00635030"/>
    <w:rsid w:val="0063618B"/>
    <w:rsid w:val="006376BE"/>
    <w:rsid w:val="0064042D"/>
    <w:rsid w:val="00641C1F"/>
    <w:rsid w:val="00643B8E"/>
    <w:rsid w:val="006458AC"/>
    <w:rsid w:val="0064681B"/>
    <w:rsid w:val="00647A4A"/>
    <w:rsid w:val="00647F2A"/>
    <w:rsid w:val="00651517"/>
    <w:rsid w:val="006531D5"/>
    <w:rsid w:val="0065371A"/>
    <w:rsid w:val="00654436"/>
    <w:rsid w:val="0065637B"/>
    <w:rsid w:val="00657685"/>
    <w:rsid w:val="006602C7"/>
    <w:rsid w:val="00660EA0"/>
    <w:rsid w:val="00661949"/>
    <w:rsid w:val="00663E36"/>
    <w:rsid w:val="00665471"/>
    <w:rsid w:val="00665523"/>
    <w:rsid w:val="0066596C"/>
    <w:rsid w:val="00666709"/>
    <w:rsid w:val="00667997"/>
    <w:rsid w:val="006702C5"/>
    <w:rsid w:val="006717CF"/>
    <w:rsid w:val="00672CE5"/>
    <w:rsid w:val="0067309D"/>
    <w:rsid w:val="00673161"/>
    <w:rsid w:val="006734D0"/>
    <w:rsid w:val="00673EC0"/>
    <w:rsid w:val="00677486"/>
    <w:rsid w:val="006778C8"/>
    <w:rsid w:val="00681461"/>
    <w:rsid w:val="00681623"/>
    <w:rsid w:val="00682DA6"/>
    <w:rsid w:val="006842C9"/>
    <w:rsid w:val="00685595"/>
    <w:rsid w:val="006862DD"/>
    <w:rsid w:val="00686C99"/>
    <w:rsid w:val="006908FA"/>
    <w:rsid w:val="00691536"/>
    <w:rsid w:val="00691E82"/>
    <w:rsid w:val="006947FC"/>
    <w:rsid w:val="006949B9"/>
    <w:rsid w:val="0069551F"/>
    <w:rsid w:val="0069569F"/>
    <w:rsid w:val="00695E22"/>
    <w:rsid w:val="00695F07"/>
    <w:rsid w:val="006964EE"/>
    <w:rsid w:val="006965AA"/>
    <w:rsid w:val="0069687D"/>
    <w:rsid w:val="00697075"/>
    <w:rsid w:val="00697CDB"/>
    <w:rsid w:val="006A05C0"/>
    <w:rsid w:val="006A0D19"/>
    <w:rsid w:val="006A123B"/>
    <w:rsid w:val="006A29B4"/>
    <w:rsid w:val="006A2C17"/>
    <w:rsid w:val="006A2DA9"/>
    <w:rsid w:val="006A3B78"/>
    <w:rsid w:val="006A3FFF"/>
    <w:rsid w:val="006A6210"/>
    <w:rsid w:val="006B2340"/>
    <w:rsid w:val="006B3CDD"/>
    <w:rsid w:val="006B513D"/>
    <w:rsid w:val="006B723A"/>
    <w:rsid w:val="006B776E"/>
    <w:rsid w:val="006C09CC"/>
    <w:rsid w:val="006C1E99"/>
    <w:rsid w:val="006C236D"/>
    <w:rsid w:val="006C2E4D"/>
    <w:rsid w:val="006C44DC"/>
    <w:rsid w:val="006C4CD8"/>
    <w:rsid w:val="006C538E"/>
    <w:rsid w:val="006D0428"/>
    <w:rsid w:val="006D063F"/>
    <w:rsid w:val="006D2A4F"/>
    <w:rsid w:val="006D3D85"/>
    <w:rsid w:val="006D4182"/>
    <w:rsid w:val="006D4380"/>
    <w:rsid w:val="006D6882"/>
    <w:rsid w:val="006E0AA4"/>
    <w:rsid w:val="006E0D0D"/>
    <w:rsid w:val="006E2601"/>
    <w:rsid w:val="006E3703"/>
    <w:rsid w:val="006E4F64"/>
    <w:rsid w:val="006E6A39"/>
    <w:rsid w:val="006E730F"/>
    <w:rsid w:val="006E74B7"/>
    <w:rsid w:val="006E7EC4"/>
    <w:rsid w:val="006F1181"/>
    <w:rsid w:val="006F1227"/>
    <w:rsid w:val="006F1FB7"/>
    <w:rsid w:val="006F285F"/>
    <w:rsid w:val="006F378D"/>
    <w:rsid w:val="006F3F2A"/>
    <w:rsid w:val="006F4150"/>
    <w:rsid w:val="006F451D"/>
    <w:rsid w:val="006F4D5F"/>
    <w:rsid w:val="006F6693"/>
    <w:rsid w:val="00703FB9"/>
    <w:rsid w:val="00705B17"/>
    <w:rsid w:val="00711D78"/>
    <w:rsid w:val="00712B27"/>
    <w:rsid w:val="00713DE4"/>
    <w:rsid w:val="0071679B"/>
    <w:rsid w:val="00717AF9"/>
    <w:rsid w:val="00720151"/>
    <w:rsid w:val="007205B9"/>
    <w:rsid w:val="00720F49"/>
    <w:rsid w:val="00722A6D"/>
    <w:rsid w:val="00723094"/>
    <w:rsid w:val="007232F6"/>
    <w:rsid w:val="00723E53"/>
    <w:rsid w:val="00724F01"/>
    <w:rsid w:val="007254DE"/>
    <w:rsid w:val="0072651E"/>
    <w:rsid w:val="007274B6"/>
    <w:rsid w:val="007274D4"/>
    <w:rsid w:val="007311E7"/>
    <w:rsid w:val="00732D95"/>
    <w:rsid w:val="007336CB"/>
    <w:rsid w:val="00734C50"/>
    <w:rsid w:val="00735612"/>
    <w:rsid w:val="00736735"/>
    <w:rsid w:val="007375BE"/>
    <w:rsid w:val="00740A7F"/>
    <w:rsid w:val="0074486F"/>
    <w:rsid w:val="00745536"/>
    <w:rsid w:val="00746BC1"/>
    <w:rsid w:val="00750277"/>
    <w:rsid w:val="0075089D"/>
    <w:rsid w:val="00750A73"/>
    <w:rsid w:val="0075181E"/>
    <w:rsid w:val="0075352C"/>
    <w:rsid w:val="007545E4"/>
    <w:rsid w:val="0075460F"/>
    <w:rsid w:val="00755339"/>
    <w:rsid w:val="00755AB0"/>
    <w:rsid w:val="00757A98"/>
    <w:rsid w:val="007605B8"/>
    <w:rsid w:val="007611F1"/>
    <w:rsid w:val="007627DB"/>
    <w:rsid w:val="007631EA"/>
    <w:rsid w:val="0076350C"/>
    <w:rsid w:val="00763EFF"/>
    <w:rsid w:val="007666F5"/>
    <w:rsid w:val="00766A24"/>
    <w:rsid w:val="00767B4E"/>
    <w:rsid w:val="00767F1C"/>
    <w:rsid w:val="0077051F"/>
    <w:rsid w:val="00770FB0"/>
    <w:rsid w:val="007712B4"/>
    <w:rsid w:val="00771F53"/>
    <w:rsid w:val="007724F9"/>
    <w:rsid w:val="00773AC9"/>
    <w:rsid w:val="00775C9C"/>
    <w:rsid w:val="00775F18"/>
    <w:rsid w:val="007766F5"/>
    <w:rsid w:val="00776CCC"/>
    <w:rsid w:val="00776DDF"/>
    <w:rsid w:val="007779A3"/>
    <w:rsid w:val="00781290"/>
    <w:rsid w:val="00781417"/>
    <w:rsid w:val="007828D5"/>
    <w:rsid w:val="00782D3E"/>
    <w:rsid w:val="007837B3"/>
    <w:rsid w:val="00785363"/>
    <w:rsid w:val="0078556A"/>
    <w:rsid w:val="00786F17"/>
    <w:rsid w:val="00787333"/>
    <w:rsid w:val="007878D9"/>
    <w:rsid w:val="00787B82"/>
    <w:rsid w:val="00791450"/>
    <w:rsid w:val="00792C33"/>
    <w:rsid w:val="00794A62"/>
    <w:rsid w:val="00794CD5"/>
    <w:rsid w:val="007962A1"/>
    <w:rsid w:val="00796B34"/>
    <w:rsid w:val="007A0912"/>
    <w:rsid w:val="007A0CAC"/>
    <w:rsid w:val="007A0CB1"/>
    <w:rsid w:val="007A1CAE"/>
    <w:rsid w:val="007A48C0"/>
    <w:rsid w:val="007A4983"/>
    <w:rsid w:val="007A53C0"/>
    <w:rsid w:val="007A55AB"/>
    <w:rsid w:val="007A5C4C"/>
    <w:rsid w:val="007A5EE0"/>
    <w:rsid w:val="007A5F4A"/>
    <w:rsid w:val="007A6F4A"/>
    <w:rsid w:val="007A7F46"/>
    <w:rsid w:val="007B00C8"/>
    <w:rsid w:val="007B1135"/>
    <w:rsid w:val="007B1495"/>
    <w:rsid w:val="007B1C00"/>
    <w:rsid w:val="007B2EFC"/>
    <w:rsid w:val="007B333F"/>
    <w:rsid w:val="007B3599"/>
    <w:rsid w:val="007B4729"/>
    <w:rsid w:val="007B4E1A"/>
    <w:rsid w:val="007B5FF9"/>
    <w:rsid w:val="007B6E7D"/>
    <w:rsid w:val="007B7219"/>
    <w:rsid w:val="007C0E0F"/>
    <w:rsid w:val="007C1271"/>
    <w:rsid w:val="007C1BA4"/>
    <w:rsid w:val="007C1C95"/>
    <w:rsid w:val="007D0B18"/>
    <w:rsid w:val="007D12AD"/>
    <w:rsid w:val="007D170D"/>
    <w:rsid w:val="007D29E5"/>
    <w:rsid w:val="007D2DCA"/>
    <w:rsid w:val="007D313C"/>
    <w:rsid w:val="007D38E4"/>
    <w:rsid w:val="007D4B0C"/>
    <w:rsid w:val="007D4C1B"/>
    <w:rsid w:val="007D4DCA"/>
    <w:rsid w:val="007D5D97"/>
    <w:rsid w:val="007D72E9"/>
    <w:rsid w:val="007E008C"/>
    <w:rsid w:val="007E18D0"/>
    <w:rsid w:val="007E1914"/>
    <w:rsid w:val="007E3E2C"/>
    <w:rsid w:val="007E5772"/>
    <w:rsid w:val="007E6AAE"/>
    <w:rsid w:val="007E7242"/>
    <w:rsid w:val="007F0C7B"/>
    <w:rsid w:val="007F137B"/>
    <w:rsid w:val="007F1729"/>
    <w:rsid w:val="007F1FD7"/>
    <w:rsid w:val="007F2470"/>
    <w:rsid w:val="007F29EA"/>
    <w:rsid w:val="007F2F10"/>
    <w:rsid w:val="007F3F55"/>
    <w:rsid w:val="007F4A7E"/>
    <w:rsid w:val="007F4C85"/>
    <w:rsid w:val="007F4D16"/>
    <w:rsid w:val="007F4D31"/>
    <w:rsid w:val="007F6E91"/>
    <w:rsid w:val="007F74BD"/>
    <w:rsid w:val="008027A4"/>
    <w:rsid w:val="00802DF0"/>
    <w:rsid w:val="008037A0"/>
    <w:rsid w:val="00803909"/>
    <w:rsid w:val="00805590"/>
    <w:rsid w:val="0080624A"/>
    <w:rsid w:val="0080720E"/>
    <w:rsid w:val="00807D63"/>
    <w:rsid w:val="0081054D"/>
    <w:rsid w:val="008105FA"/>
    <w:rsid w:val="00811E68"/>
    <w:rsid w:val="00812649"/>
    <w:rsid w:val="008139F8"/>
    <w:rsid w:val="0081421D"/>
    <w:rsid w:val="0081465F"/>
    <w:rsid w:val="00814B76"/>
    <w:rsid w:val="00814D69"/>
    <w:rsid w:val="008152D2"/>
    <w:rsid w:val="00816579"/>
    <w:rsid w:val="00816D55"/>
    <w:rsid w:val="00816DEA"/>
    <w:rsid w:val="00821BFC"/>
    <w:rsid w:val="00821C2A"/>
    <w:rsid w:val="00821C59"/>
    <w:rsid w:val="00822367"/>
    <w:rsid w:val="008225BC"/>
    <w:rsid w:val="00824F67"/>
    <w:rsid w:val="008256D4"/>
    <w:rsid w:val="0082726D"/>
    <w:rsid w:val="00827456"/>
    <w:rsid w:val="00827DB9"/>
    <w:rsid w:val="00830BCC"/>
    <w:rsid w:val="008312F8"/>
    <w:rsid w:val="008313AD"/>
    <w:rsid w:val="008323B5"/>
    <w:rsid w:val="0083279F"/>
    <w:rsid w:val="008330AD"/>
    <w:rsid w:val="00833640"/>
    <w:rsid w:val="00833ADE"/>
    <w:rsid w:val="00833EAE"/>
    <w:rsid w:val="00835102"/>
    <w:rsid w:val="0083594A"/>
    <w:rsid w:val="00836079"/>
    <w:rsid w:val="00836802"/>
    <w:rsid w:val="008374C1"/>
    <w:rsid w:val="00840EEE"/>
    <w:rsid w:val="008410B2"/>
    <w:rsid w:val="00841F35"/>
    <w:rsid w:val="00841FF8"/>
    <w:rsid w:val="00842A0C"/>
    <w:rsid w:val="00843059"/>
    <w:rsid w:val="0084490D"/>
    <w:rsid w:val="008461DA"/>
    <w:rsid w:val="00846AD8"/>
    <w:rsid w:val="00847E17"/>
    <w:rsid w:val="0085075A"/>
    <w:rsid w:val="00854F3A"/>
    <w:rsid w:val="00860312"/>
    <w:rsid w:val="00860D9D"/>
    <w:rsid w:val="00863FB6"/>
    <w:rsid w:val="0086436C"/>
    <w:rsid w:val="008645B6"/>
    <w:rsid w:val="008707F7"/>
    <w:rsid w:val="00872122"/>
    <w:rsid w:val="00872503"/>
    <w:rsid w:val="008727FB"/>
    <w:rsid w:val="00872A07"/>
    <w:rsid w:val="008734E9"/>
    <w:rsid w:val="0087360D"/>
    <w:rsid w:val="00874BC9"/>
    <w:rsid w:val="00874D75"/>
    <w:rsid w:val="00875A11"/>
    <w:rsid w:val="00875D3E"/>
    <w:rsid w:val="008760FD"/>
    <w:rsid w:val="00876F1B"/>
    <w:rsid w:val="00877528"/>
    <w:rsid w:val="00877537"/>
    <w:rsid w:val="00882053"/>
    <w:rsid w:val="00882829"/>
    <w:rsid w:val="00882F16"/>
    <w:rsid w:val="00883683"/>
    <w:rsid w:val="00883DCD"/>
    <w:rsid w:val="00884AF8"/>
    <w:rsid w:val="0088606B"/>
    <w:rsid w:val="00886A67"/>
    <w:rsid w:val="00886F15"/>
    <w:rsid w:val="00890124"/>
    <w:rsid w:val="00890893"/>
    <w:rsid w:val="00890AB5"/>
    <w:rsid w:val="00890DF1"/>
    <w:rsid w:val="0089111B"/>
    <w:rsid w:val="0089143D"/>
    <w:rsid w:val="008923E9"/>
    <w:rsid w:val="008927F8"/>
    <w:rsid w:val="00893ABD"/>
    <w:rsid w:val="00895E64"/>
    <w:rsid w:val="008A2AB0"/>
    <w:rsid w:val="008A2CC5"/>
    <w:rsid w:val="008A4B63"/>
    <w:rsid w:val="008A741A"/>
    <w:rsid w:val="008A7477"/>
    <w:rsid w:val="008A7EBD"/>
    <w:rsid w:val="008B0251"/>
    <w:rsid w:val="008B048E"/>
    <w:rsid w:val="008B072A"/>
    <w:rsid w:val="008B135E"/>
    <w:rsid w:val="008B3822"/>
    <w:rsid w:val="008B4582"/>
    <w:rsid w:val="008B5679"/>
    <w:rsid w:val="008B56AF"/>
    <w:rsid w:val="008B775A"/>
    <w:rsid w:val="008C2375"/>
    <w:rsid w:val="008C359F"/>
    <w:rsid w:val="008C493F"/>
    <w:rsid w:val="008C6074"/>
    <w:rsid w:val="008D0FD4"/>
    <w:rsid w:val="008D105F"/>
    <w:rsid w:val="008D344D"/>
    <w:rsid w:val="008D4900"/>
    <w:rsid w:val="008D56E7"/>
    <w:rsid w:val="008D6EE8"/>
    <w:rsid w:val="008D725F"/>
    <w:rsid w:val="008D767B"/>
    <w:rsid w:val="008E10E7"/>
    <w:rsid w:val="008E1EA5"/>
    <w:rsid w:val="008E2B6C"/>
    <w:rsid w:val="008E2E7D"/>
    <w:rsid w:val="008E33A6"/>
    <w:rsid w:val="008E37FE"/>
    <w:rsid w:val="008E4073"/>
    <w:rsid w:val="008E4C98"/>
    <w:rsid w:val="008E4E11"/>
    <w:rsid w:val="008E6D0E"/>
    <w:rsid w:val="008E79F0"/>
    <w:rsid w:val="008F0B90"/>
    <w:rsid w:val="008F171B"/>
    <w:rsid w:val="008F19D2"/>
    <w:rsid w:val="008F23B0"/>
    <w:rsid w:val="008F2592"/>
    <w:rsid w:val="008F3827"/>
    <w:rsid w:val="008F4098"/>
    <w:rsid w:val="008F4407"/>
    <w:rsid w:val="008F4D69"/>
    <w:rsid w:val="008F4E94"/>
    <w:rsid w:val="008F5E5F"/>
    <w:rsid w:val="008F664B"/>
    <w:rsid w:val="008F681A"/>
    <w:rsid w:val="00900325"/>
    <w:rsid w:val="00900608"/>
    <w:rsid w:val="00901946"/>
    <w:rsid w:val="00901A61"/>
    <w:rsid w:val="00903FA2"/>
    <w:rsid w:val="00905CFE"/>
    <w:rsid w:val="00906AB5"/>
    <w:rsid w:val="009115C2"/>
    <w:rsid w:val="00911786"/>
    <w:rsid w:val="00911796"/>
    <w:rsid w:val="00911889"/>
    <w:rsid w:val="009124D7"/>
    <w:rsid w:val="00912D57"/>
    <w:rsid w:val="00913F70"/>
    <w:rsid w:val="00914BFB"/>
    <w:rsid w:val="00914D6A"/>
    <w:rsid w:val="00915A0E"/>
    <w:rsid w:val="00915D06"/>
    <w:rsid w:val="00916E30"/>
    <w:rsid w:val="00917FAF"/>
    <w:rsid w:val="00920E02"/>
    <w:rsid w:val="00921130"/>
    <w:rsid w:val="009219EB"/>
    <w:rsid w:val="00922388"/>
    <w:rsid w:val="00923329"/>
    <w:rsid w:val="00924972"/>
    <w:rsid w:val="0092538B"/>
    <w:rsid w:val="00925FAD"/>
    <w:rsid w:val="0092679F"/>
    <w:rsid w:val="00927237"/>
    <w:rsid w:val="00927D05"/>
    <w:rsid w:val="00931253"/>
    <w:rsid w:val="009313BC"/>
    <w:rsid w:val="0093193C"/>
    <w:rsid w:val="00931CCF"/>
    <w:rsid w:val="009325F2"/>
    <w:rsid w:val="00932E46"/>
    <w:rsid w:val="00933088"/>
    <w:rsid w:val="00933135"/>
    <w:rsid w:val="009331DD"/>
    <w:rsid w:val="00933AFF"/>
    <w:rsid w:val="00934D21"/>
    <w:rsid w:val="009355C0"/>
    <w:rsid w:val="00935D47"/>
    <w:rsid w:val="009372C7"/>
    <w:rsid w:val="009379EB"/>
    <w:rsid w:val="009409D2"/>
    <w:rsid w:val="00940B4F"/>
    <w:rsid w:val="00940E9C"/>
    <w:rsid w:val="00942176"/>
    <w:rsid w:val="009425C9"/>
    <w:rsid w:val="00942741"/>
    <w:rsid w:val="00945565"/>
    <w:rsid w:val="009464A4"/>
    <w:rsid w:val="0094742E"/>
    <w:rsid w:val="0094772D"/>
    <w:rsid w:val="00950A11"/>
    <w:rsid w:val="00951539"/>
    <w:rsid w:val="00951CFD"/>
    <w:rsid w:val="009521B2"/>
    <w:rsid w:val="00956637"/>
    <w:rsid w:val="009573F1"/>
    <w:rsid w:val="00957E05"/>
    <w:rsid w:val="00961040"/>
    <w:rsid w:val="0096136D"/>
    <w:rsid w:val="00961374"/>
    <w:rsid w:val="009613B2"/>
    <w:rsid w:val="0096200C"/>
    <w:rsid w:val="00962439"/>
    <w:rsid w:val="00966AB0"/>
    <w:rsid w:val="00966B7E"/>
    <w:rsid w:val="00966DDC"/>
    <w:rsid w:val="00967AAC"/>
    <w:rsid w:val="00970F65"/>
    <w:rsid w:val="009716C8"/>
    <w:rsid w:val="00971812"/>
    <w:rsid w:val="00975B78"/>
    <w:rsid w:val="009768D7"/>
    <w:rsid w:val="00977382"/>
    <w:rsid w:val="0098011A"/>
    <w:rsid w:val="00981888"/>
    <w:rsid w:val="00982516"/>
    <w:rsid w:val="0098305B"/>
    <w:rsid w:val="009830ED"/>
    <w:rsid w:val="009836F1"/>
    <w:rsid w:val="00984160"/>
    <w:rsid w:val="00984504"/>
    <w:rsid w:val="00984819"/>
    <w:rsid w:val="009856C0"/>
    <w:rsid w:val="00985C5B"/>
    <w:rsid w:val="0098601D"/>
    <w:rsid w:val="009875F8"/>
    <w:rsid w:val="00991367"/>
    <w:rsid w:val="00991449"/>
    <w:rsid w:val="00991C4C"/>
    <w:rsid w:val="009921B3"/>
    <w:rsid w:val="0099287D"/>
    <w:rsid w:val="00993AE9"/>
    <w:rsid w:val="009941B8"/>
    <w:rsid w:val="009945C6"/>
    <w:rsid w:val="00995513"/>
    <w:rsid w:val="00997131"/>
    <w:rsid w:val="009A0B5C"/>
    <w:rsid w:val="009A1215"/>
    <w:rsid w:val="009A1E5F"/>
    <w:rsid w:val="009A231A"/>
    <w:rsid w:val="009A50E2"/>
    <w:rsid w:val="009A56D3"/>
    <w:rsid w:val="009A5C38"/>
    <w:rsid w:val="009B041F"/>
    <w:rsid w:val="009B0655"/>
    <w:rsid w:val="009B0741"/>
    <w:rsid w:val="009B293F"/>
    <w:rsid w:val="009B318E"/>
    <w:rsid w:val="009B31F6"/>
    <w:rsid w:val="009B449E"/>
    <w:rsid w:val="009B7818"/>
    <w:rsid w:val="009B7BB3"/>
    <w:rsid w:val="009C0E91"/>
    <w:rsid w:val="009C1AFB"/>
    <w:rsid w:val="009C3645"/>
    <w:rsid w:val="009C3738"/>
    <w:rsid w:val="009C3A88"/>
    <w:rsid w:val="009C3F1F"/>
    <w:rsid w:val="009C551C"/>
    <w:rsid w:val="009C5E69"/>
    <w:rsid w:val="009C5FD2"/>
    <w:rsid w:val="009C7657"/>
    <w:rsid w:val="009C7750"/>
    <w:rsid w:val="009C7C3D"/>
    <w:rsid w:val="009D0C14"/>
    <w:rsid w:val="009D34E8"/>
    <w:rsid w:val="009D48EB"/>
    <w:rsid w:val="009D51D3"/>
    <w:rsid w:val="009D51D7"/>
    <w:rsid w:val="009D6B86"/>
    <w:rsid w:val="009D7954"/>
    <w:rsid w:val="009D7C36"/>
    <w:rsid w:val="009E0073"/>
    <w:rsid w:val="009E32D8"/>
    <w:rsid w:val="009E4035"/>
    <w:rsid w:val="009E5BA9"/>
    <w:rsid w:val="009E6272"/>
    <w:rsid w:val="009E7AB6"/>
    <w:rsid w:val="009F0467"/>
    <w:rsid w:val="009F0AED"/>
    <w:rsid w:val="009F10A6"/>
    <w:rsid w:val="009F1638"/>
    <w:rsid w:val="009F21D4"/>
    <w:rsid w:val="009F24D2"/>
    <w:rsid w:val="009F2B85"/>
    <w:rsid w:val="009F3D14"/>
    <w:rsid w:val="009F5F96"/>
    <w:rsid w:val="009F6C61"/>
    <w:rsid w:val="009F7DDF"/>
    <w:rsid w:val="00A0031E"/>
    <w:rsid w:val="00A01CA1"/>
    <w:rsid w:val="00A02A5D"/>
    <w:rsid w:val="00A0338D"/>
    <w:rsid w:val="00A042A1"/>
    <w:rsid w:val="00A042E4"/>
    <w:rsid w:val="00A04CC2"/>
    <w:rsid w:val="00A05190"/>
    <w:rsid w:val="00A05BB9"/>
    <w:rsid w:val="00A0616B"/>
    <w:rsid w:val="00A0691A"/>
    <w:rsid w:val="00A071C8"/>
    <w:rsid w:val="00A072A9"/>
    <w:rsid w:val="00A07360"/>
    <w:rsid w:val="00A11429"/>
    <w:rsid w:val="00A12FF9"/>
    <w:rsid w:val="00A13A76"/>
    <w:rsid w:val="00A13B90"/>
    <w:rsid w:val="00A14124"/>
    <w:rsid w:val="00A151A4"/>
    <w:rsid w:val="00A15304"/>
    <w:rsid w:val="00A15AB2"/>
    <w:rsid w:val="00A16E6E"/>
    <w:rsid w:val="00A1730A"/>
    <w:rsid w:val="00A177FE"/>
    <w:rsid w:val="00A205E2"/>
    <w:rsid w:val="00A20702"/>
    <w:rsid w:val="00A20872"/>
    <w:rsid w:val="00A21167"/>
    <w:rsid w:val="00A236CF"/>
    <w:rsid w:val="00A2380D"/>
    <w:rsid w:val="00A25EAC"/>
    <w:rsid w:val="00A270AB"/>
    <w:rsid w:val="00A27303"/>
    <w:rsid w:val="00A3065E"/>
    <w:rsid w:val="00A3083B"/>
    <w:rsid w:val="00A32EE3"/>
    <w:rsid w:val="00A33BE9"/>
    <w:rsid w:val="00A342DC"/>
    <w:rsid w:val="00A357B4"/>
    <w:rsid w:val="00A35B9F"/>
    <w:rsid w:val="00A36354"/>
    <w:rsid w:val="00A371E5"/>
    <w:rsid w:val="00A3723A"/>
    <w:rsid w:val="00A37C71"/>
    <w:rsid w:val="00A400DE"/>
    <w:rsid w:val="00A40B11"/>
    <w:rsid w:val="00A419AA"/>
    <w:rsid w:val="00A41D82"/>
    <w:rsid w:val="00A4331E"/>
    <w:rsid w:val="00A43C9A"/>
    <w:rsid w:val="00A446FE"/>
    <w:rsid w:val="00A45445"/>
    <w:rsid w:val="00A45B6D"/>
    <w:rsid w:val="00A463D7"/>
    <w:rsid w:val="00A502A0"/>
    <w:rsid w:val="00A50CAC"/>
    <w:rsid w:val="00A5142E"/>
    <w:rsid w:val="00A5211A"/>
    <w:rsid w:val="00A55A30"/>
    <w:rsid w:val="00A57043"/>
    <w:rsid w:val="00A57567"/>
    <w:rsid w:val="00A60F92"/>
    <w:rsid w:val="00A62086"/>
    <w:rsid w:val="00A62872"/>
    <w:rsid w:val="00A633C4"/>
    <w:rsid w:val="00A6382A"/>
    <w:rsid w:val="00A66A9F"/>
    <w:rsid w:val="00A70512"/>
    <w:rsid w:val="00A71498"/>
    <w:rsid w:val="00A71769"/>
    <w:rsid w:val="00A7285E"/>
    <w:rsid w:val="00A7324F"/>
    <w:rsid w:val="00A7382E"/>
    <w:rsid w:val="00A75148"/>
    <w:rsid w:val="00A757D0"/>
    <w:rsid w:val="00A75D6E"/>
    <w:rsid w:val="00A767B4"/>
    <w:rsid w:val="00A76D91"/>
    <w:rsid w:val="00A77523"/>
    <w:rsid w:val="00A808AB"/>
    <w:rsid w:val="00A81753"/>
    <w:rsid w:val="00A81DC6"/>
    <w:rsid w:val="00A81F20"/>
    <w:rsid w:val="00A82478"/>
    <w:rsid w:val="00A828AD"/>
    <w:rsid w:val="00A83846"/>
    <w:rsid w:val="00A83BA0"/>
    <w:rsid w:val="00A83E7E"/>
    <w:rsid w:val="00A83E8B"/>
    <w:rsid w:val="00A83EC1"/>
    <w:rsid w:val="00A84168"/>
    <w:rsid w:val="00A84F59"/>
    <w:rsid w:val="00A85938"/>
    <w:rsid w:val="00A8643C"/>
    <w:rsid w:val="00A87318"/>
    <w:rsid w:val="00A90470"/>
    <w:rsid w:val="00A90F6B"/>
    <w:rsid w:val="00A92030"/>
    <w:rsid w:val="00A935B5"/>
    <w:rsid w:val="00A93FFB"/>
    <w:rsid w:val="00A944E5"/>
    <w:rsid w:val="00A94F1E"/>
    <w:rsid w:val="00AA106E"/>
    <w:rsid w:val="00AA10F4"/>
    <w:rsid w:val="00AA1D6A"/>
    <w:rsid w:val="00AA3292"/>
    <w:rsid w:val="00AA389A"/>
    <w:rsid w:val="00AA5728"/>
    <w:rsid w:val="00AA59CD"/>
    <w:rsid w:val="00AA682F"/>
    <w:rsid w:val="00AB1949"/>
    <w:rsid w:val="00AB3B85"/>
    <w:rsid w:val="00AB4D9D"/>
    <w:rsid w:val="00AB55E4"/>
    <w:rsid w:val="00AC0813"/>
    <w:rsid w:val="00AC090E"/>
    <w:rsid w:val="00AC0D97"/>
    <w:rsid w:val="00AC37FB"/>
    <w:rsid w:val="00AC4E15"/>
    <w:rsid w:val="00AC53BD"/>
    <w:rsid w:val="00AC5A33"/>
    <w:rsid w:val="00AC6CA8"/>
    <w:rsid w:val="00AD0C8D"/>
    <w:rsid w:val="00AD1761"/>
    <w:rsid w:val="00AD1908"/>
    <w:rsid w:val="00AD1CA0"/>
    <w:rsid w:val="00AD1DE4"/>
    <w:rsid w:val="00AD2030"/>
    <w:rsid w:val="00AD295C"/>
    <w:rsid w:val="00AD37B5"/>
    <w:rsid w:val="00AD7F4D"/>
    <w:rsid w:val="00AE0354"/>
    <w:rsid w:val="00AE06DB"/>
    <w:rsid w:val="00AE1093"/>
    <w:rsid w:val="00AE1162"/>
    <w:rsid w:val="00AE2819"/>
    <w:rsid w:val="00AE331A"/>
    <w:rsid w:val="00AE3847"/>
    <w:rsid w:val="00AE3986"/>
    <w:rsid w:val="00AE4E0E"/>
    <w:rsid w:val="00AE69E4"/>
    <w:rsid w:val="00AE72E1"/>
    <w:rsid w:val="00AF0248"/>
    <w:rsid w:val="00AF04F6"/>
    <w:rsid w:val="00AF0780"/>
    <w:rsid w:val="00AF1320"/>
    <w:rsid w:val="00AF205C"/>
    <w:rsid w:val="00AF299F"/>
    <w:rsid w:val="00AF33CE"/>
    <w:rsid w:val="00AF3E4F"/>
    <w:rsid w:val="00AF4C99"/>
    <w:rsid w:val="00AF5E33"/>
    <w:rsid w:val="00AF6182"/>
    <w:rsid w:val="00AF759A"/>
    <w:rsid w:val="00B002D9"/>
    <w:rsid w:val="00B006BE"/>
    <w:rsid w:val="00B01433"/>
    <w:rsid w:val="00B02B62"/>
    <w:rsid w:val="00B0503B"/>
    <w:rsid w:val="00B06369"/>
    <w:rsid w:val="00B064D9"/>
    <w:rsid w:val="00B065FA"/>
    <w:rsid w:val="00B07A19"/>
    <w:rsid w:val="00B07A8C"/>
    <w:rsid w:val="00B07FA1"/>
    <w:rsid w:val="00B1226F"/>
    <w:rsid w:val="00B13049"/>
    <w:rsid w:val="00B1537D"/>
    <w:rsid w:val="00B16063"/>
    <w:rsid w:val="00B16CE3"/>
    <w:rsid w:val="00B16FBF"/>
    <w:rsid w:val="00B20E78"/>
    <w:rsid w:val="00B21F81"/>
    <w:rsid w:val="00B22109"/>
    <w:rsid w:val="00B221BA"/>
    <w:rsid w:val="00B228F7"/>
    <w:rsid w:val="00B2411A"/>
    <w:rsid w:val="00B244CA"/>
    <w:rsid w:val="00B24B1E"/>
    <w:rsid w:val="00B25919"/>
    <w:rsid w:val="00B274A0"/>
    <w:rsid w:val="00B279BD"/>
    <w:rsid w:val="00B27C0B"/>
    <w:rsid w:val="00B331BD"/>
    <w:rsid w:val="00B3361A"/>
    <w:rsid w:val="00B351C5"/>
    <w:rsid w:val="00B375A6"/>
    <w:rsid w:val="00B37DF8"/>
    <w:rsid w:val="00B405D5"/>
    <w:rsid w:val="00B42039"/>
    <w:rsid w:val="00B42769"/>
    <w:rsid w:val="00B42785"/>
    <w:rsid w:val="00B42F30"/>
    <w:rsid w:val="00B43296"/>
    <w:rsid w:val="00B436A3"/>
    <w:rsid w:val="00B446F3"/>
    <w:rsid w:val="00B4608E"/>
    <w:rsid w:val="00B46834"/>
    <w:rsid w:val="00B46CC7"/>
    <w:rsid w:val="00B47EC2"/>
    <w:rsid w:val="00B514ED"/>
    <w:rsid w:val="00B5182B"/>
    <w:rsid w:val="00B52E6B"/>
    <w:rsid w:val="00B53B6C"/>
    <w:rsid w:val="00B5449B"/>
    <w:rsid w:val="00B560DD"/>
    <w:rsid w:val="00B56BCD"/>
    <w:rsid w:val="00B56CFB"/>
    <w:rsid w:val="00B571A1"/>
    <w:rsid w:val="00B57985"/>
    <w:rsid w:val="00B57F32"/>
    <w:rsid w:val="00B60526"/>
    <w:rsid w:val="00B60670"/>
    <w:rsid w:val="00B60F05"/>
    <w:rsid w:val="00B637DC"/>
    <w:rsid w:val="00B63AA1"/>
    <w:rsid w:val="00B63DB3"/>
    <w:rsid w:val="00B749D1"/>
    <w:rsid w:val="00B7563B"/>
    <w:rsid w:val="00B77D9C"/>
    <w:rsid w:val="00B81350"/>
    <w:rsid w:val="00B82DBD"/>
    <w:rsid w:val="00B82E7A"/>
    <w:rsid w:val="00B85314"/>
    <w:rsid w:val="00B85434"/>
    <w:rsid w:val="00B87CE7"/>
    <w:rsid w:val="00B90369"/>
    <w:rsid w:val="00B9085D"/>
    <w:rsid w:val="00B9131D"/>
    <w:rsid w:val="00B91EE2"/>
    <w:rsid w:val="00B92E70"/>
    <w:rsid w:val="00B9428A"/>
    <w:rsid w:val="00B9591B"/>
    <w:rsid w:val="00B96592"/>
    <w:rsid w:val="00B96ADB"/>
    <w:rsid w:val="00B970AB"/>
    <w:rsid w:val="00B975F6"/>
    <w:rsid w:val="00BA07A6"/>
    <w:rsid w:val="00BA0ADF"/>
    <w:rsid w:val="00BA1C5B"/>
    <w:rsid w:val="00BA4625"/>
    <w:rsid w:val="00BA561E"/>
    <w:rsid w:val="00BA725C"/>
    <w:rsid w:val="00BA72D8"/>
    <w:rsid w:val="00BA7E89"/>
    <w:rsid w:val="00BB0BAE"/>
    <w:rsid w:val="00BB10C9"/>
    <w:rsid w:val="00BB2295"/>
    <w:rsid w:val="00BB26AC"/>
    <w:rsid w:val="00BB34AF"/>
    <w:rsid w:val="00BB36AD"/>
    <w:rsid w:val="00BB51F3"/>
    <w:rsid w:val="00BB6AFB"/>
    <w:rsid w:val="00BB715D"/>
    <w:rsid w:val="00BC24B8"/>
    <w:rsid w:val="00BC49B8"/>
    <w:rsid w:val="00BC4AE4"/>
    <w:rsid w:val="00BC68B1"/>
    <w:rsid w:val="00BC7D12"/>
    <w:rsid w:val="00BD0C5D"/>
    <w:rsid w:val="00BD1351"/>
    <w:rsid w:val="00BD23B5"/>
    <w:rsid w:val="00BD296E"/>
    <w:rsid w:val="00BD32A3"/>
    <w:rsid w:val="00BD55EF"/>
    <w:rsid w:val="00BD588F"/>
    <w:rsid w:val="00BD5AAA"/>
    <w:rsid w:val="00BD79E1"/>
    <w:rsid w:val="00BD7A47"/>
    <w:rsid w:val="00BE1107"/>
    <w:rsid w:val="00BE22C0"/>
    <w:rsid w:val="00BE3197"/>
    <w:rsid w:val="00BE35F2"/>
    <w:rsid w:val="00BE39F0"/>
    <w:rsid w:val="00BE4041"/>
    <w:rsid w:val="00BE441E"/>
    <w:rsid w:val="00BE67F2"/>
    <w:rsid w:val="00BE779B"/>
    <w:rsid w:val="00BF074B"/>
    <w:rsid w:val="00BF0F7D"/>
    <w:rsid w:val="00BF1413"/>
    <w:rsid w:val="00BF2E0D"/>
    <w:rsid w:val="00BF487E"/>
    <w:rsid w:val="00BF49DF"/>
    <w:rsid w:val="00BF5203"/>
    <w:rsid w:val="00BF557C"/>
    <w:rsid w:val="00BF5C7F"/>
    <w:rsid w:val="00BF7674"/>
    <w:rsid w:val="00BF7741"/>
    <w:rsid w:val="00BF7F78"/>
    <w:rsid w:val="00C01AEA"/>
    <w:rsid w:val="00C03610"/>
    <w:rsid w:val="00C04E05"/>
    <w:rsid w:val="00C04ECD"/>
    <w:rsid w:val="00C068A1"/>
    <w:rsid w:val="00C1005A"/>
    <w:rsid w:val="00C1032A"/>
    <w:rsid w:val="00C150AC"/>
    <w:rsid w:val="00C170A9"/>
    <w:rsid w:val="00C1789A"/>
    <w:rsid w:val="00C203A2"/>
    <w:rsid w:val="00C20F4E"/>
    <w:rsid w:val="00C21079"/>
    <w:rsid w:val="00C221B9"/>
    <w:rsid w:val="00C2233A"/>
    <w:rsid w:val="00C22FC5"/>
    <w:rsid w:val="00C2318C"/>
    <w:rsid w:val="00C24015"/>
    <w:rsid w:val="00C245C5"/>
    <w:rsid w:val="00C25AB2"/>
    <w:rsid w:val="00C25CF5"/>
    <w:rsid w:val="00C25EBF"/>
    <w:rsid w:val="00C26383"/>
    <w:rsid w:val="00C30C4B"/>
    <w:rsid w:val="00C31A5F"/>
    <w:rsid w:val="00C32390"/>
    <w:rsid w:val="00C32F2E"/>
    <w:rsid w:val="00C334CD"/>
    <w:rsid w:val="00C348BD"/>
    <w:rsid w:val="00C34C1F"/>
    <w:rsid w:val="00C34C20"/>
    <w:rsid w:val="00C35B70"/>
    <w:rsid w:val="00C35E21"/>
    <w:rsid w:val="00C35E27"/>
    <w:rsid w:val="00C37299"/>
    <w:rsid w:val="00C37644"/>
    <w:rsid w:val="00C40F2C"/>
    <w:rsid w:val="00C43488"/>
    <w:rsid w:val="00C45A00"/>
    <w:rsid w:val="00C45C6B"/>
    <w:rsid w:val="00C47D39"/>
    <w:rsid w:val="00C5374E"/>
    <w:rsid w:val="00C53BE2"/>
    <w:rsid w:val="00C54409"/>
    <w:rsid w:val="00C56BF6"/>
    <w:rsid w:val="00C57930"/>
    <w:rsid w:val="00C60900"/>
    <w:rsid w:val="00C610DE"/>
    <w:rsid w:val="00C621F4"/>
    <w:rsid w:val="00C63703"/>
    <w:rsid w:val="00C639A1"/>
    <w:rsid w:val="00C65037"/>
    <w:rsid w:val="00C651A4"/>
    <w:rsid w:val="00C65858"/>
    <w:rsid w:val="00C65E80"/>
    <w:rsid w:val="00C670CD"/>
    <w:rsid w:val="00C704C5"/>
    <w:rsid w:val="00C71EE5"/>
    <w:rsid w:val="00C72AE2"/>
    <w:rsid w:val="00C751BA"/>
    <w:rsid w:val="00C7703D"/>
    <w:rsid w:val="00C77075"/>
    <w:rsid w:val="00C77F24"/>
    <w:rsid w:val="00C80559"/>
    <w:rsid w:val="00C81DD8"/>
    <w:rsid w:val="00C82029"/>
    <w:rsid w:val="00C82850"/>
    <w:rsid w:val="00C83A28"/>
    <w:rsid w:val="00C85966"/>
    <w:rsid w:val="00C86BD5"/>
    <w:rsid w:val="00C86C97"/>
    <w:rsid w:val="00C87399"/>
    <w:rsid w:val="00C90457"/>
    <w:rsid w:val="00C911B0"/>
    <w:rsid w:val="00C92E6E"/>
    <w:rsid w:val="00C93331"/>
    <w:rsid w:val="00C939EF"/>
    <w:rsid w:val="00C94E9A"/>
    <w:rsid w:val="00C94FE4"/>
    <w:rsid w:val="00C96602"/>
    <w:rsid w:val="00C97B82"/>
    <w:rsid w:val="00CA0124"/>
    <w:rsid w:val="00CA0C94"/>
    <w:rsid w:val="00CA11DE"/>
    <w:rsid w:val="00CA1CFE"/>
    <w:rsid w:val="00CA2531"/>
    <w:rsid w:val="00CA316F"/>
    <w:rsid w:val="00CA33A2"/>
    <w:rsid w:val="00CA352F"/>
    <w:rsid w:val="00CA48A3"/>
    <w:rsid w:val="00CA53BD"/>
    <w:rsid w:val="00CA5E42"/>
    <w:rsid w:val="00CA68F3"/>
    <w:rsid w:val="00CB03F5"/>
    <w:rsid w:val="00CB14A7"/>
    <w:rsid w:val="00CB1E40"/>
    <w:rsid w:val="00CB1F4F"/>
    <w:rsid w:val="00CB3CCC"/>
    <w:rsid w:val="00CB40A2"/>
    <w:rsid w:val="00CB5191"/>
    <w:rsid w:val="00CB5B7F"/>
    <w:rsid w:val="00CB67D4"/>
    <w:rsid w:val="00CB6DDD"/>
    <w:rsid w:val="00CB6FA9"/>
    <w:rsid w:val="00CB727B"/>
    <w:rsid w:val="00CB73E8"/>
    <w:rsid w:val="00CC0400"/>
    <w:rsid w:val="00CC35BF"/>
    <w:rsid w:val="00CC4467"/>
    <w:rsid w:val="00CC49BC"/>
    <w:rsid w:val="00CC4DBA"/>
    <w:rsid w:val="00CC5565"/>
    <w:rsid w:val="00CC5839"/>
    <w:rsid w:val="00CC5A37"/>
    <w:rsid w:val="00CC5DCC"/>
    <w:rsid w:val="00CC692B"/>
    <w:rsid w:val="00CD1B4A"/>
    <w:rsid w:val="00CD1DEF"/>
    <w:rsid w:val="00CD2F4B"/>
    <w:rsid w:val="00CD3ACB"/>
    <w:rsid w:val="00CD3DEA"/>
    <w:rsid w:val="00CD49B5"/>
    <w:rsid w:val="00CD4C90"/>
    <w:rsid w:val="00CD5BAB"/>
    <w:rsid w:val="00CD6383"/>
    <w:rsid w:val="00CD65D3"/>
    <w:rsid w:val="00CD6C33"/>
    <w:rsid w:val="00CD7127"/>
    <w:rsid w:val="00CE0588"/>
    <w:rsid w:val="00CE0931"/>
    <w:rsid w:val="00CE79AA"/>
    <w:rsid w:val="00CF0E16"/>
    <w:rsid w:val="00CF1D4A"/>
    <w:rsid w:val="00D01B8F"/>
    <w:rsid w:val="00D02F63"/>
    <w:rsid w:val="00D03B31"/>
    <w:rsid w:val="00D06830"/>
    <w:rsid w:val="00D11987"/>
    <w:rsid w:val="00D120B5"/>
    <w:rsid w:val="00D12D74"/>
    <w:rsid w:val="00D1460F"/>
    <w:rsid w:val="00D14E27"/>
    <w:rsid w:val="00D14FC5"/>
    <w:rsid w:val="00D1538F"/>
    <w:rsid w:val="00D15EAB"/>
    <w:rsid w:val="00D1626C"/>
    <w:rsid w:val="00D1751A"/>
    <w:rsid w:val="00D17E74"/>
    <w:rsid w:val="00D2014C"/>
    <w:rsid w:val="00D21044"/>
    <w:rsid w:val="00D23245"/>
    <w:rsid w:val="00D258DF"/>
    <w:rsid w:val="00D258F5"/>
    <w:rsid w:val="00D2601B"/>
    <w:rsid w:val="00D26E09"/>
    <w:rsid w:val="00D27CBF"/>
    <w:rsid w:val="00D27F24"/>
    <w:rsid w:val="00D3021B"/>
    <w:rsid w:val="00D309F1"/>
    <w:rsid w:val="00D30A65"/>
    <w:rsid w:val="00D311DF"/>
    <w:rsid w:val="00D3280B"/>
    <w:rsid w:val="00D354F9"/>
    <w:rsid w:val="00D35A3A"/>
    <w:rsid w:val="00D372FC"/>
    <w:rsid w:val="00D37F4E"/>
    <w:rsid w:val="00D37F8F"/>
    <w:rsid w:val="00D40641"/>
    <w:rsid w:val="00D41B0B"/>
    <w:rsid w:val="00D41DD7"/>
    <w:rsid w:val="00D42B49"/>
    <w:rsid w:val="00D42D84"/>
    <w:rsid w:val="00D42DD2"/>
    <w:rsid w:val="00D43659"/>
    <w:rsid w:val="00D43703"/>
    <w:rsid w:val="00D43A1B"/>
    <w:rsid w:val="00D44E3A"/>
    <w:rsid w:val="00D454F2"/>
    <w:rsid w:val="00D4619B"/>
    <w:rsid w:val="00D46874"/>
    <w:rsid w:val="00D47579"/>
    <w:rsid w:val="00D47F48"/>
    <w:rsid w:val="00D50FA4"/>
    <w:rsid w:val="00D5113D"/>
    <w:rsid w:val="00D56336"/>
    <w:rsid w:val="00D6053E"/>
    <w:rsid w:val="00D62A9B"/>
    <w:rsid w:val="00D62AEC"/>
    <w:rsid w:val="00D6376D"/>
    <w:rsid w:val="00D64587"/>
    <w:rsid w:val="00D6547D"/>
    <w:rsid w:val="00D65B93"/>
    <w:rsid w:val="00D65EB8"/>
    <w:rsid w:val="00D65F5F"/>
    <w:rsid w:val="00D70ED6"/>
    <w:rsid w:val="00D73956"/>
    <w:rsid w:val="00D75092"/>
    <w:rsid w:val="00D7512D"/>
    <w:rsid w:val="00D7561B"/>
    <w:rsid w:val="00D75B8A"/>
    <w:rsid w:val="00D769C0"/>
    <w:rsid w:val="00D774BA"/>
    <w:rsid w:val="00D77AB0"/>
    <w:rsid w:val="00D802EB"/>
    <w:rsid w:val="00D807CC"/>
    <w:rsid w:val="00D818C4"/>
    <w:rsid w:val="00D82231"/>
    <w:rsid w:val="00D83073"/>
    <w:rsid w:val="00D83F36"/>
    <w:rsid w:val="00D844CD"/>
    <w:rsid w:val="00D858C5"/>
    <w:rsid w:val="00D865E2"/>
    <w:rsid w:val="00D87A97"/>
    <w:rsid w:val="00D90F7C"/>
    <w:rsid w:val="00D912E9"/>
    <w:rsid w:val="00D91D5D"/>
    <w:rsid w:val="00D9224E"/>
    <w:rsid w:val="00D92318"/>
    <w:rsid w:val="00D947AE"/>
    <w:rsid w:val="00D94ABE"/>
    <w:rsid w:val="00D94C1D"/>
    <w:rsid w:val="00D962CC"/>
    <w:rsid w:val="00D978E7"/>
    <w:rsid w:val="00DA01A9"/>
    <w:rsid w:val="00DA06E2"/>
    <w:rsid w:val="00DA29A4"/>
    <w:rsid w:val="00DA3920"/>
    <w:rsid w:val="00DA3E34"/>
    <w:rsid w:val="00DA4F1A"/>
    <w:rsid w:val="00DA5CD0"/>
    <w:rsid w:val="00DA66A1"/>
    <w:rsid w:val="00DB0C25"/>
    <w:rsid w:val="00DB145B"/>
    <w:rsid w:val="00DB308B"/>
    <w:rsid w:val="00DB3134"/>
    <w:rsid w:val="00DB3C4F"/>
    <w:rsid w:val="00DB496F"/>
    <w:rsid w:val="00DB58EF"/>
    <w:rsid w:val="00DB647C"/>
    <w:rsid w:val="00DB6D52"/>
    <w:rsid w:val="00DB6E4A"/>
    <w:rsid w:val="00DB7198"/>
    <w:rsid w:val="00DC0B56"/>
    <w:rsid w:val="00DC1022"/>
    <w:rsid w:val="00DC1078"/>
    <w:rsid w:val="00DC27C4"/>
    <w:rsid w:val="00DC2B35"/>
    <w:rsid w:val="00DC2B75"/>
    <w:rsid w:val="00DC3457"/>
    <w:rsid w:val="00DC358C"/>
    <w:rsid w:val="00DC6A56"/>
    <w:rsid w:val="00DD04D5"/>
    <w:rsid w:val="00DD066B"/>
    <w:rsid w:val="00DD07DA"/>
    <w:rsid w:val="00DD0E25"/>
    <w:rsid w:val="00DD2386"/>
    <w:rsid w:val="00DD35D8"/>
    <w:rsid w:val="00DD3BA9"/>
    <w:rsid w:val="00DD3DCE"/>
    <w:rsid w:val="00DD3E8F"/>
    <w:rsid w:val="00DD56A8"/>
    <w:rsid w:val="00DD7271"/>
    <w:rsid w:val="00DD7803"/>
    <w:rsid w:val="00DD7AAA"/>
    <w:rsid w:val="00DD7FA0"/>
    <w:rsid w:val="00DE1208"/>
    <w:rsid w:val="00DE1FDE"/>
    <w:rsid w:val="00DE3A54"/>
    <w:rsid w:val="00DE4515"/>
    <w:rsid w:val="00DE5347"/>
    <w:rsid w:val="00DE58B1"/>
    <w:rsid w:val="00DE59E9"/>
    <w:rsid w:val="00DE5DF0"/>
    <w:rsid w:val="00DE7227"/>
    <w:rsid w:val="00DE73DE"/>
    <w:rsid w:val="00DE79B4"/>
    <w:rsid w:val="00DF003A"/>
    <w:rsid w:val="00DF057A"/>
    <w:rsid w:val="00DF090F"/>
    <w:rsid w:val="00DF427B"/>
    <w:rsid w:val="00DF496D"/>
    <w:rsid w:val="00DF4A56"/>
    <w:rsid w:val="00DF697F"/>
    <w:rsid w:val="00E00200"/>
    <w:rsid w:val="00E00DB9"/>
    <w:rsid w:val="00E014A7"/>
    <w:rsid w:val="00E01EB8"/>
    <w:rsid w:val="00E02F57"/>
    <w:rsid w:val="00E044D6"/>
    <w:rsid w:val="00E06717"/>
    <w:rsid w:val="00E06E82"/>
    <w:rsid w:val="00E07F1B"/>
    <w:rsid w:val="00E10AD8"/>
    <w:rsid w:val="00E11956"/>
    <w:rsid w:val="00E12C3E"/>
    <w:rsid w:val="00E13073"/>
    <w:rsid w:val="00E1354C"/>
    <w:rsid w:val="00E14FC6"/>
    <w:rsid w:val="00E15064"/>
    <w:rsid w:val="00E15953"/>
    <w:rsid w:val="00E15A1C"/>
    <w:rsid w:val="00E16D94"/>
    <w:rsid w:val="00E1792D"/>
    <w:rsid w:val="00E17E13"/>
    <w:rsid w:val="00E20325"/>
    <w:rsid w:val="00E20650"/>
    <w:rsid w:val="00E20F32"/>
    <w:rsid w:val="00E211B3"/>
    <w:rsid w:val="00E21A65"/>
    <w:rsid w:val="00E23F14"/>
    <w:rsid w:val="00E24371"/>
    <w:rsid w:val="00E30E35"/>
    <w:rsid w:val="00E31724"/>
    <w:rsid w:val="00E3267F"/>
    <w:rsid w:val="00E32E6F"/>
    <w:rsid w:val="00E34B4C"/>
    <w:rsid w:val="00E35515"/>
    <w:rsid w:val="00E370C4"/>
    <w:rsid w:val="00E370CF"/>
    <w:rsid w:val="00E37FAB"/>
    <w:rsid w:val="00E4062E"/>
    <w:rsid w:val="00E40660"/>
    <w:rsid w:val="00E42F59"/>
    <w:rsid w:val="00E43612"/>
    <w:rsid w:val="00E4699D"/>
    <w:rsid w:val="00E50E50"/>
    <w:rsid w:val="00E517C2"/>
    <w:rsid w:val="00E5213A"/>
    <w:rsid w:val="00E52458"/>
    <w:rsid w:val="00E52740"/>
    <w:rsid w:val="00E54F32"/>
    <w:rsid w:val="00E553AB"/>
    <w:rsid w:val="00E56E69"/>
    <w:rsid w:val="00E60424"/>
    <w:rsid w:val="00E60CFC"/>
    <w:rsid w:val="00E60DDE"/>
    <w:rsid w:val="00E610FB"/>
    <w:rsid w:val="00E61333"/>
    <w:rsid w:val="00E6133B"/>
    <w:rsid w:val="00E61540"/>
    <w:rsid w:val="00E64F04"/>
    <w:rsid w:val="00E65A13"/>
    <w:rsid w:val="00E66957"/>
    <w:rsid w:val="00E66AFF"/>
    <w:rsid w:val="00E67114"/>
    <w:rsid w:val="00E71E77"/>
    <w:rsid w:val="00E7335E"/>
    <w:rsid w:val="00E735B1"/>
    <w:rsid w:val="00E73636"/>
    <w:rsid w:val="00E738D8"/>
    <w:rsid w:val="00E75035"/>
    <w:rsid w:val="00E755A5"/>
    <w:rsid w:val="00E8494B"/>
    <w:rsid w:val="00E8519C"/>
    <w:rsid w:val="00E852BF"/>
    <w:rsid w:val="00E85749"/>
    <w:rsid w:val="00E86137"/>
    <w:rsid w:val="00E86244"/>
    <w:rsid w:val="00E86718"/>
    <w:rsid w:val="00E91B70"/>
    <w:rsid w:val="00E91F53"/>
    <w:rsid w:val="00E94162"/>
    <w:rsid w:val="00E9426A"/>
    <w:rsid w:val="00E94D07"/>
    <w:rsid w:val="00E94D68"/>
    <w:rsid w:val="00E95DC2"/>
    <w:rsid w:val="00E96524"/>
    <w:rsid w:val="00E97B32"/>
    <w:rsid w:val="00EA0C79"/>
    <w:rsid w:val="00EA0CEA"/>
    <w:rsid w:val="00EA0F77"/>
    <w:rsid w:val="00EA267C"/>
    <w:rsid w:val="00EA2A24"/>
    <w:rsid w:val="00EA2CDD"/>
    <w:rsid w:val="00EA497A"/>
    <w:rsid w:val="00EA5050"/>
    <w:rsid w:val="00EA515C"/>
    <w:rsid w:val="00EA587D"/>
    <w:rsid w:val="00EA6325"/>
    <w:rsid w:val="00EA6EC0"/>
    <w:rsid w:val="00EA7C2A"/>
    <w:rsid w:val="00EB0CC9"/>
    <w:rsid w:val="00EB12B8"/>
    <w:rsid w:val="00EB15E5"/>
    <w:rsid w:val="00EB1694"/>
    <w:rsid w:val="00EB3281"/>
    <w:rsid w:val="00EB5151"/>
    <w:rsid w:val="00EB58E1"/>
    <w:rsid w:val="00EB6728"/>
    <w:rsid w:val="00EB6E8E"/>
    <w:rsid w:val="00EB71A0"/>
    <w:rsid w:val="00EB7A31"/>
    <w:rsid w:val="00EC0351"/>
    <w:rsid w:val="00EC461A"/>
    <w:rsid w:val="00EC4A7F"/>
    <w:rsid w:val="00EC5762"/>
    <w:rsid w:val="00EC733E"/>
    <w:rsid w:val="00EC7D00"/>
    <w:rsid w:val="00ED00EF"/>
    <w:rsid w:val="00ED0C19"/>
    <w:rsid w:val="00ED0EAD"/>
    <w:rsid w:val="00ED192D"/>
    <w:rsid w:val="00ED1F36"/>
    <w:rsid w:val="00ED247F"/>
    <w:rsid w:val="00ED3935"/>
    <w:rsid w:val="00ED3AE3"/>
    <w:rsid w:val="00ED473B"/>
    <w:rsid w:val="00ED7671"/>
    <w:rsid w:val="00ED79A2"/>
    <w:rsid w:val="00EE17CC"/>
    <w:rsid w:val="00EE3307"/>
    <w:rsid w:val="00EE53D6"/>
    <w:rsid w:val="00EE579C"/>
    <w:rsid w:val="00EE6B35"/>
    <w:rsid w:val="00EE7049"/>
    <w:rsid w:val="00EE7092"/>
    <w:rsid w:val="00EE7608"/>
    <w:rsid w:val="00EE7CAE"/>
    <w:rsid w:val="00EF069C"/>
    <w:rsid w:val="00EF1DD4"/>
    <w:rsid w:val="00EF2975"/>
    <w:rsid w:val="00EF616B"/>
    <w:rsid w:val="00EF6A04"/>
    <w:rsid w:val="00EF6B67"/>
    <w:rsid w:val="00EF7109"/>
    <w:rsid w:val="00EF7478"/>
    <w:rsid w:val="00EF752F"/>
    <w:rsid w:val="00EF7F97"/>
    <w:rsid w:val="00F01098"/>
    <w:rsid w:val="00F015A5"/>
    <w:rsid w:val="00F023E7"/>
    <w:rsid w:val="00F04AB7"/>
    <w:rsid w:val="00F04C3A"/>
    <w:rsid w:val="00F04EA2"/>
    <w:rsid w:val="00F108EC"/>
    <w:rsid w:val="00F109F1"/>
    <w:rsid w:val="00F11584"/>
    <w:rsid w:val="00F115B3"/>
    <w:rsid w:val="00F12888"/>
    <w:rsid w:val="00F13A79"/>
    <w:rsid w:val="00F141E5"/>
    <w:rsid w:val="00F157AB"/>
    <w:rsid w:val="00F16281"/>
    <w:rsid w:val="00F17B20"/>
    <w:rsid w:val="00F21F24"/>
    <w:rsid w:val="00F2400F"/>
    <w:rsid w:val="00F25D6A"/>
    <w:rsid w:val="00F26EE8"/>
    <w:rsid w:val="00F27BA6"/>
    <w:rsid w:val="00F27F12"/>
    <w:rsid w:val="00F30715"/>
    <w:rsid w:val="00F309BD"/>
    <w:rsid w:val="00F313AC"/>
    <w:rsid w:val="00F32550"/>
    <w:rsid w:val="00F3346A"/>
    <w:rsid w:val="00F33BA8"/>
    <w:rsid w:val="00F36F67"/>
    <w:rsid w:val="00F41211"/>
    <w:rsid w:val="00F4141E"/>
    <w:rsid w:val="00F41FF0"/>
    <w:rsid w:val="00F42DFA"/>
    <w:rsid w:val="00F44671"/>
    <w:rsid w:val="00F44FBA"/>
    <w:rsid w:val="00F45003"/>
    <w:rsid w:val="00F45BE5"/>
    <w:rsid w:val="00F46710"/>
    <w:rsid w:val="00F46918"/>
    <w:rsid w:val="00F5022A"/>
    <w:rsid w:val="00F51B96"/>
    <w:rsid w:val="00F520AF"/>
    <w:rsid w:val="00F521ED"/>
    <w:rsid w:val="00F523B5"/>
    <w:rsid w:val="00F526EB"/>
    <w:rsid w:val="00F55E64"/>
    <w:rsid w:val="00F560C5"/>
    <w:rsid w:val="00F56DC0"/>
    <w:rsid w:val="00F56E63"/>
    <w:rsid w:val="00F5750D"/>
    <w:rsid w:val="00F61129"/>
    <w:rsid w:val="00F61FA0"/>
    <w:rsid w:val="00F63CA0"/>
    <w:rsid w:val="00F6411B"/>
    <w:rsid w:val="00F64232"/>
    <w:rsid w:val="00F67693"/>
    <w:rsid w:val="00F71193"/>
    <w:rsid w:val="00F7178B"/>
    <w:rsid w:val="00F72905"/>
    <w:rsid w:val="00F729C5"/>
    <w:rsid w:val="00F73F15"/>
    <w:rsid w:val="00F73F4E"/>
    <w:rsid w:val="00F74936"/>
    <w:rsid w:val="00F7518E"/>
    <w:rsid w:val="00F7522D"/>
    <w:rsid w:val="00F75453"/>
    <w:rsid w:val="00F7661C"/>
    <w:rsid w:val="00F76F13"/>
    <w:rsid w:val="00F77624"/>
    <w:rsid w:val="00F7779E"/>
    <w:rsid w:val="00F77928"/>
    <w:rsid w:val="00F80744"/>
    <w:rsid w:val="00F8206B"/>
    <w:rsid w:val="00F8207C"/>
    <w:rsid w:val="00F8261B"/>
    <w:rsid w:val="00F82D29"/>
    <w:rsid w:val="00F83047"/>
    <w:rsid w:val="00F8389E"/>
    <w:rsid w:val="00F84424"/>
    <w:rsid w:val="00F86AC4"/>
    <w:rsid w:val="00F86B56"/>
    <w:rsid w:val="00F870B2"/>
    <w:rsid w:val="00F90FF9"/>
    <w:rsid w:val="00F92C6B"/>
    <w:rsid w:val="00F93906"/>
    <w:rsid w:val="00F941C2"/>
    <w:rsid w:val="00F94456"/>
    <w:rsid w:val="00F953E1"/>
    <w:rsid w:val="00F9669F"/>
    <w:rsid w:val="00FA2462"/>
    <w:rsid w:val="00FA2E3E"/>
    <w:rsid w:val="00FA371E"/>
    <w:rsid w:val="00FA3916"/>
    <w:rsid w:val="00FA3A24"/>
    <w:rsid w:val="00FA400E"/>
    <w:rsid w:val="00FA47A0"/>
    <w:rsid w:val="00FA4E4F"/>
    <w:rsid w:val="00FA6C64"/>
    <w:rsid w:val="00FA7A05"/>
    <w:rsid w:val="00FA7CBB"/>
    <w:rsid w:val="00FB17D8"/>
    <w:rsid w:val="00FB1B46"/>
    <w:rsid w:val="00FB2309"/>
    <w:rsid w:val="00FB28C0"/>
    <w:rsid w:val="00FB2E3B"/>
    <w:rsid w:val="00FB4B86"/>
    <w:rsid w:val="00FB4FE9"/>
    <w:rsid w:val="00FB5472"/>
    <w:rsid w:val="00FB6B6A"/>
    <w:rsid w:val="00FB7102"/>
    <w:rsid w:val="00FB7456"/>
    <w:rsid w:val="00FC004F"/>
    <w:rsid w:val="00FC17A6"/>
    <w:rsid w:val="00FC1BAF"/>
    <w:rsid w:val="00FC25FC"/>
    <w:rsid w:val="00FC3309"/>
    <w:rsid w:val="00FC486D"/>
    <w:rsid w:val="00FC48F9"/>
    <w:rsid w:val="00FC56FF"/>
    <w:rsid w:val="00FC59DE"/>
    <w:rsid w:val="00FC5DCF"/>
    <w:rsid w:val="00FC5DEA"/>
    <w:rsid w:val="00FC63E2"/>
    <w:rsid w:val="00FC7C38"/>
    <w:rsid w:val="00FD01B9"/>
    <w:rsid w:val="00FD1173"/>
    <w:rsid w:val="00FD19E1"/>
    <w:rsid w:val="00FD1E2F"/>
    <w:rsid w:val="00FD2462"/>
    <w:rsid w:val="00FD26E7"/>
    <w:rsid w:val="00FD3378"/>
    <w:rsid w:val="00FD42DC"/>
    <w:rsid w:val="00FD4851"/>
    <w:rsid w:val="00FD53FA"/>
    <w:rsid w:val="00FD54E9"/>
    <w:rsid w:val="00FD6376"/>
    <w:rsid w:val="00FD645B"/>
    <w:rsid w:val="00FD6831"/>
    <w:rsid w:val="00FD6F41"/>
    <w:rsid w:val="00FD711A"/>
    <w:rsid w:val="00FD7B40"/>
    <w:rsid w:val="00FE1372"/>
    <w:rsid w:val="00FE24A9"/>
    <w:rsid w:val="00FE4EE3"/>
    <w:rsid w:val="00FE5C10"/>
    <w:rsid w:val="00FE5D3A"/>
    <w:rsid w:val="00FE6302"/>
    <w:rsid w:val="00FE6D72"/>
    <w:rsid w:val="00FE74A7"/>
    <w:rsid w:val="00FE7B92"/>
    <w:rsid w:val="00FF0F54"/>
    <w:rsid w:val="00FF33AF"/>
    <w:rsid w:val="00FF3E60"/>
    <w:rsid w:val="00FF6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BCB43"/>
  <w15:chartTrackingRefBased/>
  <w15:docId w15:val="{23F76694-76B6-40AC-B7DB-168A6172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7A6"/>
    <w:pPr>
      <w:keepNext/>
      <w:keepLines/>
      <w:numPr>
        <w:numId w:val="7"/>
      </w:numPr>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BD23B5"/>
    <w:pPr>
      <w:keepNext/>
      <w:keepLines/>
      <w:numPr>
        <w:ilvl w:val="1"/>
        <w:numId w:val="7"/>
      </w:numPr>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D23B5"/>
    <w:pPr>
      <w:keepNext/>
      <w:keepLines/>
      <w:numPr>
        <w:ilvl w:val="2"/>
        <w:numId w:val="7"/>
      </w:numPr>
      <w:spacing w:before="4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19209C"/>
    <w:pPr>
      <w:keepNext/>
      <w:keepLines/>
      <w:numPr>
        <w:ilvl w:val="3"/>
        <w:numId w:val="7"/>
      </w:numPr>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077235"/>
    <w:pPr>
      <w:keepNext/>
      <w:keepLines/>
      <w:numPr>
        <w:ilvl w:val="4"/>
        <w:numId w:val="7"/>
      </w:numPr>
      <w:outlineLvl w:val="4"/>
    </w:pPr>
    <w:rPr>
      <w:rFonts w:eastAsiaTheme="majorEastAsia" w:cstheme="majorBidi"/>
      <w:b/>
      <w:sz w:val="28"/>
    </w:rPr>
  </w:style>
  <w:style w:type="paragraph" w:styleId="Heading6">
    <w:name w:val="heading 6"/>
    <w:basedOn w:val="Normal"/>
    <w:next w:val="Normal"/>
    <w:link w:val="Heading6Char"/>
    <w:uiPriority w:val="9"/>
    <w:unhideWhenUsed/>
    <w:qFormat/>
    <w:rsid w:val="00077235"/>
    <w:pPr>
      <w:keepNext/>
      <w:keepLines/>
      <w:numPr>
        <w:ilvl w:val="5"/>
        <w:numId w:val="7"/>
      </w:numPr>
      <w:outlineLvl w:val="5"/>
    </w:pPr>
    <w:rPr>
      <w:rFonts w:eastAsiaTheme="majorEastAsia" w:cstheme="majorBidi"/>
      <w:b/>
      <w:sz w:val="28"/>
    </w:rPr>
  </w:style>
  <w:style w:type="paragraph" w:styleId="Heading7">
    <w:name w:val="heading 7"/>
    <w:basedOn w:val="Normal"/>
    <w:next w:val="Normal"/>
    <w:link w:val="Heading7Char"/>
    <w:uiPriority w:val="9"/>
    <w:unhideWhenUsed/>
    <w:qFormat/>
    <w:rsid w:val="00077235"/>
    <w:pPr>
      <w:keepNext/>
      <w:keepLines/>
      <w:numPr>
        <w:ilvl w:val="6"/>
        <w:numId w:val="7"/>
      </w:numPr>
      <w:outlineLvl w:val="6"/>
    </w:pPr>
    <w:rPr>
      <w:rFonts w:eastAsiaTheme="majorEastAsia" w:cstheme="majorBidi"/>
      <w:b/>
      <w:iCs/>
      <w:sz w:val="28"/>
    </w:rPr>
  </w:style>
  <w:style w:type="paragraph" w:styleId="Heading8">
    <w:name w:val="heading 8"/>
    <w:basedOn w:val="Normal"/>
    <w:next w:val="Normal"/>
    <w:link w:val="Heading8Char"/>
    <w:uiPriority w:val="9"/>
    <w:unhideWhenUsed/>
    <w:qFormat/>
    <w:rsid w:val="00077235"/>
    <w:pPr>
      <w:keepNext/>
      <w:keepLines/>
      <w:numPr>
        <w:ilvl w:val="7"/>
        <w:numId w:val="7"/>
      </w:numPr>
      <w:outlineLvl w:val="7"/>
    </w:pPr>
    <w:rPr>
      <w:rFonts w:eastAsiaTheme="majorEastAsia" w:cstheme="majorBidi"/>
      <w:b/>
      <w:sz w:val="28"/>
      <w:szCs w:val="21"/>
    </w:rPr>
  </w:style>
  <w:style w:type="paragraph" w:styleId="Heading9">
    <w:name w:val="heading 9"/>
    <w:basedOn w:val="Normal"/>
    <w:next w:val="Normal"/>
    <w:link w:val="Heading9Char"/>
    <w:uiPriority w:val="9"/>
    <w:unhideWhenUsed/>
    <w:qFormat/>
    <w:rsid w:val="00077235"/>
    <w:pPr>
      <w:keepNext/>
      <w:keepLines/>
      <w:numPr>
        <w:ilvl w:val="8"/>
        <w:numId w:val="7"/>
      </w:numPr>
      <w:outlineLvl w:val="8"/>
    </w:pPr>
    <w:rPr>
      <w:rFonts w:eastAsiaTheme="majorEastAsia" w:cstheme="majorBidi"/>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F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FC5"/>
    <w:rPr>
      <w:rFonts w:ascii="Segoe UI" w:hAnsi="Segoe UI" w:cs="Segoe UI"/>
      <w:sz w:val="18"/>
      <w:szCs w:val="18"/>
    </w:rPr>
  </w:style>
  <w:style w:type="paragraph" w:styleId="Header">
    <w:name w:val="header"/>
    <w:basedOn w:val="Normal"/>
    <w:link w:val="HeaderChar"/>
    <w:uiPriority w:val="99"/>
    <w:unhideWhenUsed/>
    <w:rsid w:val="000D7F77"/>
    <w:pPr>
      <w:tabs>
        <w:tab w:val="center" w:pos="4680"/>
        <w:tab w:val="right" w:pos="9360"/>
      </w:tabs>
      <w:spacing w:line="240" w:lineRule="auto"/>
    </w:pPr>
  </w:style>
  <w:style w:type="character" w:customStyle="1" w:styleId="HeaderChar">
    <w:name w:val="Header Char"/>
    <w:basedOn w:val="DefaultParagraphFont"/>
    <w:link w:val="Header"/>
    <w:uiPriority w:val="99"/>
    <w:rsid w:val="000D7F77"/>
  </w:style>
  <w:style w:type="paragraph" w:styleId="Footer">
    <w:name w:val="footer"/>
    <w:basedOn w:val="Normal"/>
    <w:link w:val="FooterChar"/>
    <w:uiPriority w:val="99"/>
    <w:unhideWhenUsed/>
    <w:rsid w:val="000D7F77"/>
    <w:pPr>
      <w:tabs>
        <w:tab w:val="center" w:pos="4680"/>
        <w:tab w:val="right" w:pos="9360"/>
      </w:tabs>
      <w:spacing w:line="240" w:lineRule="auto"/>
    </w:pPr>
  </w:style>
  <w:style w:type="character" w:customStyle="1" w:styleId="FooterChar">
    <w:name w:val="Footer Char"/>
    <w:basedOn w:val="DefaultParagraphFont"/>
    <w:link w:val="Footer"/>
    <w:uiPriority w:val="99"/>
    <w:rsid w:val="000D7F77"/>
  </w:style>
  <w:style w:type="paragraph" w:styleId="ListParagraph">
    <w:name w:val="List Paragraph"/>
    <w:basedOn w:val="Normal"/>
    <w:uiPriority w:val="34"/>
    <w:qFormat/>
    <w:rsid w:val="000D7F77"/>
    <w:pPr>
      <w:ind w:left="720"/>
      <w:contextualSpacing/>
    </w:pPr>
  </w:style>
  <w:style w:type="paragraph" w:customStyle="1" w:styleId="Default">
    <w:name w:val="Default"/>
    <w:rsid w:val="00E755A5"/>
    <w:pPr>
      <w:autoSpaceDE w:val="0"/>
      <w:autoSpaceDN w:val="0"/>
      <w:adjustRightInd w:val="0"/>
      <w:spacing w:line="240" w:lineRule="auto"/>
    </w:pPr>
    <w:rPr>
      <w:rFonts w:cs="Times New Roman"/>
      <w:color w:val="000000"/>
      <w:szCs w:val="24"/>
    </w:rPr>
  </w:style>
  <w:style w:type="paragraph" w:styleId="Caption">
    <w:name w:val="caption"/>
    <w:basedOn w:val="Normal"/>
    <w:next w:val="Normal"/>
    <w:uiPriority w:val="35"/>
    <w:unhideWhenUsed/>
    <w:qFormat/>
    <w:rsid w:val="004000AD"/>
    <w:pPr>
      <w:widowControl w:val="0"/>
      <w:autoSpaceDE w:val="0"/>
      <w:autoSpaceDN w:val="0"/>
      <w:adjustRightInd w:val="0"/>
      <w:spacing w:after="200" w:line="240" w:lineRule="auto"/>
      <w:jc w:val="center"/>
    </w:pPr>
    <w:rPr>
      <w:rFonts w:eastAsia="Times New Roman" w:cs="Times New Roman"/>
      <w:i/>
      <w:iCs/>
      <w:szCs w:val="24"/>
    </w:rPr>
  </w:style>
  <w:style w:type="character" w:customStyle="1" w:styleId="Heading1Char">
    <w:name w:val="Heading 1 Char"/>
    <w:basedOn w:val="DefaultParagraphFont"/>
    <w:link w:val="Heading1"/>
    <w:uiPriority w:val="9"/>
    <w:rsid w:val="00FC17A6"/>
    <w:rPr>
      <w:rFonts w:eastAsiaTheme="majorEastAsia" w:cstheme="majorBidi"/>
      <w:b/>
      <w:sz w:val="28"/>
      <w:szCs w:val="32"/>
    </w:rPr>
  </w:style>
  <w:style w:type="paragraph" w:styleId="TOCHeading">
    <w:name w:val="TOC Heading"/>
    <w:basedOn w:val="Heading1"/>
    <w:next w:val="Normal"/>
    <w:uiPriority w:val="39"/>
    <w:unhideWhenUsed/>
    <w:qFormat/>
    <w:rsid w:val="00FC17A6"/>
    <w:pPr>
      <w:spacing w:line="259" w:lineRule="auto"/>
      <w:outlineLvl w:val="9"/>
    </w:pPr>
  </w:style>
  <w:style w:type="paragraph" w:styleId="TOC2">
    <w:name w:val="toc 2"/>
    <w:basedOn w:val="Normal"/>
    <w:next w:val="Normal"/>
    <w:autoRedefine/>
    <w:uiPriority w:val="39"/>
    <w:unhideWhenUsed/>
    <w:rsid w:val="0023211B"/>
    <w:pPr>
      <w:ind w:left="216"/>
    </w:pPr>
    <w:rPr>
      <w:rFonts w:eastAsiaTheme="minorEastAsia" w:cs="Times New Roman"/>
    </w:rPr>
  </w:style>
  <w:style w:type="paragraph" w:styleId="TOC1">
    <w:name w:val="toc 1"/>
    <w:basedOn w:val="Normal"/>
    <w:next w:val="Normal"/>
    <w:autoRedefine/>
    <w:uiPriority w:val="39"/>
    <w:unhideWhenUsed/>
    <w:rsid w:val="005D361B"/>
    <w:rPr>
      <w:rFonts w:eastAsiaTheme="minorEastAsia" w:cs="Times New Roman"/>
    </w:rPr>
  </w:style>
  <w:style w:type="paragraph" w:styleId="TOC3">
    <w:name w:val="toc 3"/>
    <w:basedOn w:val="Normal"/>
    <w:next w:val="Normal"/>
    <w:autoRedefine/>
    <w:uiPriority w:val="39"/>
    <w:unhideWhenUsed/>
    <w:rsid w:val="0023211B"/>
    <w:pPr>
      <w:ind w:left="446"/>
    </w:pPr>
    <w:rPr>
      <w:rFonts w:eastAsiaTheme="minorEastAsia" w:cs="Times New Roman"/>
    </w:rPr>
  </w:style>
  <w:style w:type="character" w:styleId="Hyperlink">
    <w:name w:val="Hyperlink"/>
    <w:basedOn w:val="DefaultParagraphFont"/>
    <w:uiPriority w:val="99"/>
    <w:unhideWhenUsed/>
    <w:rsid w:val="008F23B0"/>
    <w:rPr>
      <w:color w:val="0563C1" w:themeColor="hyperlink"/>
      <w:u w:val="single"/>
    </w:rPr>
  </w:style>
  <w:style w:type="character" w:customStyle="1" w:styleId="Heading2Char">
    <w:name w:val="Heading 2 Char"/>
    <w:basedOn w:val="DefaultParagraphFont"/>
    <w:link w:val="Heading2"/>
    <w:uiPriority w:val="9"/>
    <w:rsid w:val="00BD23B5"/>
    <w:rPr>
      <w:rFonts w:eastAsiaTheme="majorEastAsia" w:cstheme="majorBidi"/>
      <w:b/>
      <w:sz w:val="28"/>
      <w:szCs w:val="26"/>
    </w:rPr>
  </w:style>
  <w:style w:type="character" w:customStyle="1" w:styleId="Heading3Char">
    <w:name w:val="Heading 3 Char"/>
    <w:basedOn w:val="DefaultParagraphFont"/>
    <w:link w:val="Heading3"/>
    <w:uiPriority w:val="9"/>
    <w:rsid w:val="00BD23B5"/>
    <w:rPr>
      <w:rFonts w:eastAsiaTheme="majorEastAsia" w:cstheme="majorBidi"/>
      <w:b/>
      <w:sz w:val="28"/>
      <w:szCs w:val="24"/>
    </w:rPr>
  </w:style>
  <w:style w:type="paragraph" w:styleId="TableofFigures">
    <w:name w:val="table of figures"/>
    <w:basedOn w:val="Normal"/>
    <w:next w:val="Normal"/>
    <w:uiPriority w:val="99"/>
    <w:unhideWhenUsed/>
    <w:rsid w:val="00137E28"/>
  </w:style>
  <w:style w:type="paragraph" w:styleId="BodyText">
    <w:name w:val="Body Text"/>
    <w:basedOn w:val="Normal"/>
    <w:link w:val="BodyTextChar"/>
    <w:uiPriority w:val="1"/>
    <w:qFormat/>
    <w:rsid w:val="00BB10C9"/>
    <w:pPr>
      <w:widowControl w:val="0"/>
      <w:autoSpaceDE w:val="0"/>
      <w:autoSpaceDN w:val="0"/>
      <w:spacing w:line="240" w:lineRule="auto"/>
    </w:pPr>
    <w:rPr>
      <w:rFonts w:ascii="Calibri" w:eastAsia="Calibri" w:hAnsi="Calibri" w:cs="Calibri"/>
      <w:szCs w:val="24"/>
    </w:rPr>
  </w:style>
  <w:style w:type="character" w:customStyle="1" w:styleId="BodyTextChar">
    <w:name w:val="Body Text Char"/>
    <w:basedOn w:val="DefaultParagraphFont"/>
    <w:link w:val="BodyText"/>
    <w:uiPriority w:val="1"/>
    <w:rsid w:val="00BB10C9"/>
    <w:rPr>
      <w:rFonts w:ascii="Calibri" w:eastAsia="Calibri" w:hAnsi="Calibri" w:cs="Calibri"/>
      <w:szCs w:val="24"/>
    </w:rPr>
  </w:style>
  <w:style w:type="character" w:styleId="PlaceholderText">
    <w:name w:val="Placeholder Text"/>
    <w:basedOn w:val="DefaultParagraphFont"/>
    <w:uiPriority w:val="99"/>
    <w:semiHidden/>
    <w:rsid w:val="00D844CD"/>
    <w:rPr>
      <w:color w:val="808080"/>
    </w:rPr>
  </w:style>
  <w:style w:type="table" w:styleId="TableGrid">
    <w:name w:val="Table Grid"/>
    <w:basedOn w:val="TableNormal"/>
    <w:uiPriority w:val="39"/>
    <w:rsid w:val="005E39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7324F"/>
    <w:pPr>
      <w:spacing w:line="240" w:lineRule="auto"/>
    </w:pPr>
    <w:rPr>
      <w:sz w:val="20"/>
      <w:szCs w:val="20"/>
    </w:rPr>
  </w:style>
  <w:style w:type="character" w:customStyle="1" w:styleId="EndnoteTextChar">
    <w:name w:val="Endnote Text Char"/>
    <w:basedOn w:val="DefaultParagraphFont"/>
    <w:link w:val="EndnoteText"/>
    <w:uiPriority w:val="99"/>
    <w:semiHidden/>
    <w:rsid w:val="00A7324F"/>
    <w:rPr>
      <w:sz w:val="20"/>
      <w:szCs w:val="20"/>
    </w:rPr>
  </w:style>
  <w:style w:type="character" w:styleId="EndnoteReference">
    <w:name w:val="endnote reference"/>
    <w:basedOn w:val="DefaultParagraphFont"/>
    <w:uiPriority w:val="99"/>
    <w:semiHidden/>
    <w:unhideWhenUsed/>
    <w:rsid w:val="00A7324F"/>
    <w:rPr>
      <w:vertAlign w:val="superscript"/>
    </w:rPr>
  </w:style>
  <w:style w:type="paragraph" w:styleId="FootnoteText">
    <w:name w:val="footnote text"/>
    <w:basedOn w:val="Normal"/>
    <w:link w:val="FootnoteTextChar"/>
    <w:uiPriority w:val="99"/>
    <w:semiHidden/>
    <w:unhideWhenUsed/>
    <w:rsid w:val="00A7324F"/>
    <w:pPr>
      <w:spacing w:line="240" w:lineRule="auto"/>
    </w:pPr>
    <w:rPr>
      <w:sz w:val="20"/>
      <w:szCs w:val="20"/>
    </w:rPr>
  </w:style>
  <w:style w:type="character" w:customStyle="1" w:styleId="FootnoteTextChar">
    <w:name w:val="Footnote Text Char"/>
    <w:basedOn w:val="DefaultParagraphFont"/>
    <w:link w:val="FootnoteText"/>
    <w:uiPriority w:val="99"/>
    <w:semiHidden/>
    <w:rsid w:val="00A7324F"/>
    <w:rPr>
      <w:sz w:val="20"/>
      <w:szCs w:val="20"/>
    </w:rPr>
  </w:style>
  <w:style w:type="character" w:styleId="FootnoteReference">
    <w:name w:val="footnote reference"/>
    <w:basedOn w:val="DefaultParagraphFont"/>
    <w:uiPriority w:val="99"/>
    <w:semiHidden/>
    <w:unhideWhenUsed/>
    <w:rsid w:val="00A7324F"/>
    <w:rPr>
      <w:vertAlign w:val="superscript"/>
    </w:rPr>
  </w:style>
  <w:style w:type="character" w:customStyle="1" w:styleId="Heading4Char">
    <w:name w:val="Heading 4 Char"/>
    <w:basedOn w:val="DefaultParagraphFont"/>
    <w:link w:val="Heading4"/>
    <w:uiPriority w:val="9"/>
    <w:rsid w:val="0019209C"/>
    <w:rPr>
      <w:rFonts w:eastAsiaTheme="majorEastAsia" w:cstheme="majorBidi"/>
      <w:b/>
      <w:iCs/>
      <w:sz w:val="28"/>
    </w:rPr>
  </w:style>
  <w:style w:type="character" w:customStyle="1" w:styleId="Heading5Char">
    <w:name w:val="Heading 5 Char"/>
    <w:basedOn w:val="DefaultParagraphFont"/>
    <w:link w:val="Heading5"/>
    <w:uiPriority w:val="9"/>
    <w:rsid w:val="00077235"/>
    <w:rPr>
      <w:rFonts w:eastAsiaTheme="majorEastAsia" w:cstheme="majorBidi"/>
      <w:b/>
      <w:sz w:val="28"/>
    </w:rPr>
  </w:style>
  <w:style w:type="character" w:customStyle="1" w:styleId="Heading6Char">
    <w:name w:val="Heading 6 Char"/>
    <w:basedOn w:val="DefaultParagraphFont"/>
    <w:link w:val="Heading6"/>
    <w:uiPriority w:val="9"/>
    <w:rsid w:val="00077235"/>
    <w:rPr>
      <w:rFonts w:eastAsiaTheme="majorEastAsia" w:cstheme="majorBidi"/>
      <w:b/>
      <w:sz w:val="28"/>
    </w:rPr>
  </w:style>
  <w:style w:type="character" w:customStyle="1" w:styleId="Heading7Char">
    <w:name w:val="Heading 7 Char"/>
    <w:basedOn w:val="DefaultParagraphFont"/>
    <w:link w:val="Heading7"/>
    <w:uiPriority w:val="9"/>
    <w:rsid w:val="00077235"/>
    <w:rPr>
      <w:rFonts w:eastAsiaTheme="majorEastAsia" w:cstheme="majorBidi"/>
      <w:b/>
      <w:iCs/>
      <w:sz w:val="28"/>
    </w:rPr>
  </w:style>
  <w:style w:type="character" w:customStyle="1" w:styleId="Heading8Char">
    <w:name w:val="Heading 8 Char"/>
    <w:basedOn w:val="DefaultParagraphFont"/>
    <w:link w:val="Heading8"/>
    <w:uiPriority w:val="9"/>
    <w:rsid w:val="00077235"/>
    <w:rPr>
      <w:rFonts w:eastAsiaTheme="majorEastAsia" w:cstheme="majorBidi"/>
      <w:b/>
      <w:sz w:val="28"/>
      <w:szCs w:val="21"/>
    </w:rPr>
  </w:style>
  <w:style w:type="character" w:customStyle="1" w:styleId="Heading9Char">
    <w:name w:val="Heading 9 Char"/>
    <w:basedOn w:val="DefaultParagraphFont"/>
    <w:link w:val="Heading9"/>
    <w:uiPriority w:val="9"/>
    <w:rsid w:val="00077235"/>
    <w:rPr>
      <w:rFonts w:eastAsiaTheme="majorEastAsia" w:cstheme="majorBidi"/>
      <w:b/>
      <w:iCs/>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7187">
      <w:bodyDiv w:val="1"/>
      <w:marLeft w:val="0"/>
      <w:marRight w:val="0"/>
      <w:marTop w:val="0"/>
      <w:marBottom w:val="0"/>
      <w:divBdr>
        <w:top w:val="none" w:sz="0" w:space="0" w:color="auto"/>
        <w:left w:val="none" w:sz="0" w:space="0" w:color="auto"/>
        <w:bottom w:val="none" w:sz="0" w:space="0" w:color="auto"/>
        <w:right w:val="none" w:sz="0" w:space="0" w:color="auto"/>
      </w:divBdr>
    </w:div>
    <w:div w:id="67532588">
      <w:bodyDiv w:val="1"/>
      <w:marLeft w:val="0"/>
      <w:marRight w:val="0"/>
      <w:marTop w:val="0"/>
      <w:marBottom w:val="0"/>
      <w:divBdr>
        <w:top w:val="none" w:sz="0" w:space="0" w:color="auto"/>
        <w:left w:val="none" w:sz="0" w:space="0" w:color="auto"/>
        <w:bottom w:val="none" w:sz="0" w:space="0" w:color="auto"/>
        <w:right w:val="none" w:sz="0" w:space="0" w:color="auto"/>
      </w:divBdr>
    </w:div>
    <w:div w:id="170612409">
      <w:bodyDiv w:val="1"/>
      <w:marLeft w:val="0"/>
      <w:marRight w:val="0"/>
      <w:marTop w:val="0"/>
      <w:marBottom w:val="0"/>
      <w:divBdr>
        <w:top w:val="none" w:sz="0" w:space="0" w:color="auto"/>
        <w:left w:val="none" w:sz="0" w:space="0" w:color="auto"/>
        <w:bottom w:val="none" w:sz="0" w:space="0" w:color="auto"/>
        <w:right w:val="none" w:sz="0" w:space="0" w:color="auto"/>
      </w:divBdr>
    </w:div>
    <w:div w:id="273638866">
      <w:bodyDiv w:val="1"/>
      <w:marLeft w:val="0"/>
      <w:marRight w:val="0"/>
      <w:marTop w:val="0"/>
      <w:marBottom w:val="0"/>
      <w:divBdr>
        <w:top w:val="none" w:sz="0" w:space="0" w:color="auto"/>
        <w:left w:val="none" w:sz="0" w:space="0" w:color="auto"/>
        <w:bottom w:val="none" w:sz="0" w:space="0" w:color="auto"/>
        <w:right w:val="none" w:sz="0" w:space="0" w:color="auto"/>
      </w:divBdr>
    </w:div>
    <w:div w:id="288316408">
      <w:bodyDiv w:val="1"/>
      <w:marLeft w:val="0"/>
      <w:marRight w:val="0"/>
      <w:marTop w:val="0"/>
      <w:marBottom w:val="0"/>
      <w:divBdr>
        <w:top w:val="none" w:sz="0" w:space="0" w:color="auto"/>
        <w:left w:val="none" w:sz="0" w:space="0" w:color="auto"/>
        <w:bottom w:val="none" w:sz="0" w:space="0" w:color="auto"/>
        <w:right w:val="none" w:sz="0" w:space="0" w:color="auto"/>
      </w:divBdr>
    </w:div>
    <w:div w:id="291905957">
      <w:bodyDiv w:val="1"/>
      <w:marLeft w:val="0"/>
      <w:marRight w:val="0"/>
      <w:marTop w:val="0"/>
      <w:marBottom w:val="0"/>
      <w:divBdr>
        <w:top w:val="none" w:sz="0" w:space="0" w:color="auto"/>
        <w:left w:val="none" w:sz="0" w:space="0" w:color="auto"/>
        <w:bottom w:val="none" w:sz="0" w:space="0" w:color="auto"/>
        <w:right w:val="none" w:sz="0" w:space="0" w:color="auto"/>
      </w:divBdr>
    </w:div>
    <w:div w:id="323314915">
      <w:bodyDiv w:val="1"/>
      <w:marLeft w:val="0"/>
      <w:marRight w:val="0"/>
      <w:marTop w:val="0"/>
      <w:marBottom w:val="0"/>
      <w:divBdr>
        <w:top w:val="none" w:sz="0" w:space="0" w:color="auto"/>
        <w:left w:val="none" w:sz="0" w:space="0" w:color="auto"/>
        <w:bottom w:val="none" w:sz="0" w:space="0" w:color="auto"/>
        <w:right w:val="none" w:sz="0" w:space="0" w:color="auto"/>
      </w:divBdr>
    </w:div>
    <w:div w:id="347105833">
      <w:bodyDiv w:val="1"/>
      <w:marLeft w:val="0"/>
      <w:marRight w:val="0"/>
      <w:marTop w:val="0"/>
      <w:marBottom w:val="0"/>
      <w:divBdr>
        <w:top w:val="none" w:sz="0" w:space="0" w:color="auto"/>
        <w:left w:val="none" w:sz="0" w:space="0" w:color="auto"/>
        <w:bottom w:val="none" w:sz="0" w:space="0" w:color="auto"/>
        <w:right w:val="none" w:sz="0" w:space="0" w:color="auto"/>
      </w:divBdr>
    </w:div>
    <w:div w:id="391078639">
      <w:bodyDiv w:val="1"/>
      <w:marLeft w:val="0"/>
      <w:marRight w:val="0"/>
      <w:marTop w:val="0"/>
      <w:marBottom w:val="0"/>
      <w:divBdr>
        <w:top w:val="none" w:sz="0" w:space="0" w:color="auto"/>
        <w:left w:val="none" w:sz="0" w:space="0" w:color="auto"/>
        <w:bottom w:val="none" w:sz="0" w:space="0" w:color="auto"/>
        <w:right w:val="none" w:sz="0" w:space="0" w:color="auto"/>
      </w:divBdr>
    </w:div>
    <w:div w:id="446319988">
      <w:bodyDiv w:val="1"/>
      <w:marLeft w:val="0"/>
      <w:marRight w:val="0"/>
      <w:marTop w:val="0"/>
      <w:marBottom w:val="0"/>
      <w:divBdr>
        <w:top w:val="none" w:sz="0" w:space="0" w:color="auto"/>
        <w:left w:val="none" w:sz="0" w:space="0" w:color="auto"/>
        <w:bottom w:val="none" w:sz="0" w:space="0" w:color="auto"/>
        <w:right w:val="none" w:sz="0" w:space="0" w:color="auto"/>
      </w:divBdr>
    </w:div>
    <w:div w:id="486752074">
      <w:bodyDiv w:val="1"/>
      <w:marLeft w:val="0"/>
      <w:marRight w:val="0"/>
      <w:marTop w:val="0"/>
      <w:marBottom w:val="0"/>
      <w:divBdr>
        <w:top w:val="none" w:sz="0" w:space="0" w:color="auto"/>
        <w:left w:val="none" w:sz="0" w:space="0" w:color="auto"/>
        <w:bottom w:val="none" w:sz="0" w:space="0" w:color="auto"/>
        <w:right w:val="none" w:sz="0" w:space="0" w:color="auto"/>
      </w:divBdr>
    </w:div>
    <w:div w:id="556597337">
      <w:bodyDiv w:val="1"/>
      <w:marLeft w:val="0"/>
      <w:marRight w:val="0"/>
      <w:marTop w:val="0"/>
      <w:marBottom w:val="0"/>
      <w:divBdr>
        <w:top w:val="none" w:sz="0" w:space="0" w:color="auto"/>
        <w:left w:val="none" w:sz="0" w:space="0" w:color="auto"/>
        <w:bottom w:val="none" w:sz="0" w:space="0" w:color="auto"/>
        <w:right w:val="none" w:sz="0" w:space="0" w:color="auto"/>
      </w:divBdr>
    </w:div>
    <w:div w:id="641538503">
      <w:bodyDiv w:val="1"/>
      <w:marLeft w:val="0"/>
      <w:marRight w:val="0"/>
      <w:marTop w:val="0"/>
      <w:marBottom w:val="0"/>
      <w:divBdr>
        <w:top w:val="none" w:sz="0" w:space="0" w:color="auto"/>
        <w:left w:val="none" w:sz="0" w:space="0" w:color="auto"/>
        <w:bottom w:val="none" w:sz="0" w:space="0" w:color="auto"/>
        <w:right w:val="none" w:sz="0" w:space="0" w:color="auto"/>
      </w:divBdr>
    </w:div>
    <w:div w:id="689335370">
      <w:bodyDiv w:val="1"/>
      <w:marLeft w:val="0"/>
      <w:marRight w:val="0"/>
      <w:marTop w:val="0"/>
      <w:marBottom w:val="0"/>
      <w:divBdr>
        <w:top w:val="none" w:sz="0" w:space="0" w:color="auto"/>
        <w:left w:val="none" w:sz="0" w:space="0" w:color="auto"/>
        <w:bottom w:val="none" w:sz="0" w:space="0" w:color="auto"/>
        <w:right w:val="none" w:sz="0" w:space="0" w:color="auto"/>
      </w:divBdr>
    </w:div>
    <w:div w:id="822815449">
      <w:bodyDiv w:val="1"/>
      <w:marLeft w:val="0"/>
      <w:marRight w:val="0"/>
      <w:marTop w:val="0"/>
      <w:marBottom w:val="0"/>
      <w:divBdr>
        <w:top w:val="none" w:sz="0" w:space="0" w:color="auto"/>
        <w:left w:val="none" w:sz="0" w:space="0" w:color="auto"/>
        <w:bottom w:val="none" w:sz="0" w:space="0" w:color="auto"/>
        <w:right w:val="none" w:sz="0" w:space="0" w:color="auto"/>
      </w:divBdr>
    </w:div>
    <w:div w:id="848180269">
      <w:bodyDiv w:val="1"/>
      <w:marLeft w:val="0"/>
      <w:marRight w:val="0"/>
      <w:marTop w:val="0"/>
      <w:marBottom w:val="0"/>
      <w:divBdr>
        <w:top w:val="none" w:sz="0" w:space="0" w:color="auto"/>
        <w:left w:val="none" w:sz="0" w:space="0" w:color="auto"/>
        <w:bottom w:val="none" w:sz="0" w:space="0" w:color="auto"/>
        <w:right w:val="none" w:sz="0" w:space="0" w:color="auto"/>
      </w:divBdr>
    </w:div>
    <w:div w:id="930508075">
      <w:bodyDiv w:val="1"/>
      <w:marLeft w:val="0"/>
      <w:marRight w:val="0"/>
      <w:marTop w:val="0"/>
      <w:marBottom w:val="0"/>
      <w:divBdr>
        <w:top w:val="none" w:sz="0" w:space="0" w:color="auto"/>
        <w:left w:val="none" w:sz="0" w:space="0" w:color="auto"/>
        <w:bottom w:val="none" w:sz="0" w:space="0" w:color="auto"/>
        <w:right w:val="none" w:sz="0" w:space="0" w:color="auto"/>
      </w:divBdr>
    </w:div>
    <w:div w:id="941839507">
      <w:bodyDiv w:val="1"/>
      <w:marLeft w:val="0"/>
      <w:marRight w:val="0"/>
      <w:marTop w:val="0"/>
      <w:marBottom w:val="0"/>
      <w:divBdr>
        <w:top w:val="none" w:sz="0" w:space="0" w:color="auto"/>
        <w:left w:val="none" w:sz="0" w:space="0" w:color="auto"/>
        <w:bottom w:val="none" w:sz="0" w:space="0" w:color="auto"/>
        <w:right w:val="none" w:sz="0" w:space="0" w:color="auto"/>
      </w:divBdr>
    </w:div>
    <w:div w:id="950893427">
      <w:bodyDiv w:val="1"/>
      <w:marLeft w:val="0"/>
      <w:marRight w:val="0"/>
      <w:marTop w:val="0"/>
      <w:marBottom w:val="0"/>
      <w:divBdr>
        <w:top w:val="none" w:sz="0" w:space="0" w:color="auto"/>
        <w:left w:val="none" w:sz="0" w:space="0" w:color="auto"/>
        <w:bottom w:val="none" w:sz="0" w:space="0" w:color="auto"/>
        <w:right w:val="none" w:sz="0" w:space="0" w:color="auto"/>
      </w:divBdr>
    </w:div>
    <w:div w:id="957447850">
      <w:bodyDiv w:val="1"/>
      <w:marLeft w:val="0"/>
      <w:marRight w:val="0"/>
      <w:marTop w:val="0"/>
      <w:marBottom w:val="0"/>
      <w:divBdr>
        <w:top w:val="none" w:sz="0" w:space="0" w:color="auto"/>
        <w:left w:val="none" w:sz="0" w:space="0" w:color="auto"/>
        <w:bottom w:val="none" w:sz="0" w:space="0" w:color="auto"/>
        <w:right w:val="none" w:sz="0" w:space="0" w:color="auto"/>
      </w:divBdr>
    </w:div>
    <w:div w:id="1009913751">
      <w:bodyDiv w:val="1"/>
      <w:marLeft w:val="0"/>
      <w:marRight w:val="0"/>
      <w:marTop w:val="0"/>
      <w:marBottom w:val="0"/>
      <w:divBdr>
        <w:top w:val="none" w:sz="0" w:space="0" w:color="auto"/>
        <w:left w:val="none" w:sz="0" w:space="0" w:color="auto"/>
        <w:bottom w:val="none" w:sz="0" w:space="0" w:color="auto"/>
        <w:right w:val="none" w:sz="0" w:space="0" w:color="auto"/>
      </w:divBdr>
    </w:div>
    <w:div w:id="1066417683">
      <w:bodyDiv w:val="1"/>
      <w:marLeft w:val="0"/>
      <w:marRight w:val="0"/>
      <w:marTop w:val="0"/>
      <w:marBottom w:val="0"/>
      <w:divBdr>
        <w:top w:val="none" w:sz="0" w:space="0" w:color="auto"/>
        <w:left w:val="none" w:sz="0" w:space="0" w:color="auto"/>
        <w:bottom w:val="none" w:sz="0" w:space="0" w:color="auto"/>
        <w:right w:val="none" w:sz="0" w:space="0" w:color="auto"/>
      </w:divBdr>
    </w:div>
    <w:div w:id="1078941271">
      <w:bodyDiv w:val="1"/>
      <w:marLeft w:val="0"/>
      <w:marRight w:val="0"/>
      <w:marTop w:val="0"/>
      <w:marBottom w:val="0"/>
      <w:divBdr>
        <w:top w:val="none" w:sz="0" w:space="0" w:color="auto"/>
        <w:left w:val="none" w:sz="0" w:space="0" w:color="auto"/>
        <w:bottom w:val="none" w:sz="0" w:space="0" w:color="auto"/>
        <w:right w:val="none" w:sz="0" w:space="0" w:color="auto"/>
      </w:divBdr>
    </w:div>
    <w:div w:id="1094088446">
      <w:bodyDiv w:val="1"/>
      <w:marLeft w:val="0"/>
      <w:marRight w:val="0"/>
      <w:marTop w:val="0"/>
      <w:marBottom w:val="0"/>
      <w:divBdr>
        <w:top w:val="none" w:sz="0" w:space="0" w:color="auto"/>
        <w:left w:val="none" w:sz="0" w:space="0" w:color="auto"/>
        <w:bottom w:val="none" w:sz="0" w:space="0" w:color="auto"/>
        <w:right w:val="none" w:sz="0" w:space="0" w:color="auto"/>
      </w:divBdr>
    </w:div>
    <w:div w:id="1132359977">
      <w:bodyDiv w:val="1"/>
      <w:marLeft w:val="0"/>
      <w:marRight w:val="0"/>
      <w:marTop w:val="0"/>
      <w:marBottom w:val="0"/>
      <w:divBdr>
        <w:top w:val="none" w:sz="0" w:space="0" w:color="auto"/>
        <w:left w:val="none" w:sz="0" w:space="0" w:color="auto"/>
        <w:bottom w:val="none" w:sz="0" w:space="0" w:color="auto"/>
        <w:right w:val="none" w:sz="0" w:space="0" w:color="auto"/>
      </w:divBdr>
    </w:div>
    <w:div w:id="1293444429">
      <w:bodyDiv w:val="1"/>
      <w:marLeft w:val="0"/>
      <w:marRight w:val="0"/>
      <w:marTop w:val="0"/>
      <w:marBottom w:val="0"/>
      <w:divBdr>
        <w:top w:val="none" w:sz="0" w:space="0" w:color="auto"/>
        <w:left w:val="none" w:sz="0" w:space="0" w:color="auto"/>
        <w:bottom w:val="none" w:sz="0" w:space="0" w:color="auto"/>
        <w:right w:val="none" w:sz="0" w:space="0" w:color="auto"/>
      </w:divBdr>
    </w:div>
    <w:div w:id="1329943083">
      <w:bodyDiv w:val="1"/>
      <w:marLeft w:val="0"/>
      <w:marRight w:val="0"/>
      <w:marTop w:val="0"/>
      <w:marBottom w:val="0"/>
      <w:divBdr>
        <w:top w:val="none" w:sz="0" w:space="0" w:color="auto"/>
        <w:left w:val="none" w:sz="0" w:space="0" w:color="auto"/>
        <w:bottom w:val="none" w:sz="0" w:space="0" w:color="auto"/>
        <w:right w:val="none" w:sz="0" w:space="0" w:color="auto"/>
      </w:divBdr>
    </w:div>
    <w:div w:id="1340618601">
      <w:bodyDiv w:val="1"/>
      <w:marLeft w:val="0"/>
      <w:marRight w:val="0"/>
      <w:marTop w:val="0"/>
      <w:marBottom w:val="0"/>
      <w:divBdr>
        <w:top w:val="none" w:sz="0" w:space="0" w:color="auto"/>
        <w:left w:val="none" w:sz="0" w:space="0" w:color="auto"/>
        <w:bottom w:val="none" w:sz="0" w:space="0" w:color="auto"/>
        <w:right w:val="none" w:sz="0" w:space="0" w:color="auto"/>
      </w:divBdr>
    </w:div>
    <w:div w:id="1445415758">
      <w:bodyDiv w:val="1"/>
      <w:marLeft w:val="0"/>
      <w:marRight w:val="0"/>
      <w:marTop w:val="0"/>
      <w:marBottom w:val="0"/>
      <w:divBdr>
        <w:top w:val="none" w:sz="0" w:space="0" w:color="auto"/>
        <w:left w:val="none" w:sz="0" w:space="0" w:color="auto"/>
        <w:bottom w:val="none" w:sz="0" w:space="0" w:color="auto"/>
        <w:right w:val="none" w:sz="0" w:space="0" w:color="auto"/>
      </w:divBdr>
    </w:div>
    <w:div w:id="1590390000">
      <w:bodyDiv w:val="1"/>
      <w:marLeft w:val="0"/>
      <w:marRight w:val="0"/>
      <w:marTop w:val="0"/>
      <w:marBottom w:val="0"/>
      <w:divBdr>
        <w:top w:val="none" w:sz="0" w:space="0" w:color="auto"/>
        <w:left w:val="none" w:sz="0" w:space="0" w:color="auto"/>
        <w:bottom w:val="none" w:sz="0" w:space="0" w:color="auto"/>
        <w:right w:val="none" w:sz="0" w:space="0" w:color="auto"/>
      </w:divBdr>
    </w:div>
    <w:div w:id="1619990909">
      <w:bodyDiv w:val="1"/>
      <w:marLeft w:val="0"/>
      <w:marRight w:val="0"/>
      <w:marTop w:val="0"/>
      <w:marBottom w:val="0"/>
      <w:divBdr>
        <w:top w:val="none" w:sz="0" w:space="0" w:color="auto"/>
        <w:left w:val="none" w:sz="0" w:space="0" w:color="auto"/>
        <w:bottom w:val="none" w:sz="0" w:space="0" w:color="auto"/>
        <w:right w:val="none" w:sz="0" w:space="0" w:color="auto"/>
      </w:divBdr>
    </w:div>
    <w:div w:id="1731995652">
      <w:bodyDiv w:val="1"/>
      <w:marLeft w:val="0"/>
      <w:marRight w:val="0"/>
      <w:marTop w:val="0"/>
      <w:marBottom w:val="0"/>
      <w:divBdr>
        <w:top w:val="none" w:sz="0" w:space="0" w:color="auto"/>
        <w:left w:val="none" w:sz="0" w:space="0" w:color="auto"/>
        <w:bottom w:val="none" w:sz="0" w:space="0" w:color="auto"/>
        <w:right w:val="none" w:sz="0" w:space="0" w:color="auto"/>
      </w:divBdr>
    </w:div>
    <w:div w:id="1736466934">
      <w:bodyDiv w:val="1"/>
      <w:marLeft w:val="0"/>
      <w:marRight w:val="0"/>
      <w:marTop w:val="0"/>
      <w:marBottom w:val="0"/>
      <w:divBdr>
        <w:top w:val="none" w:sz="0" w:space="0" w:color="auto"/>
        <w:left w:val="none" w:sz="0" w:space="0" w:color="auto"/>
        <w:bottom w:val="none" w:sz="0" w:space="0" w:color="auto"/>
        <w:right w:val="none" w:sz="0" w:space="0" w:color="auto"/>
      </w:divBdr>
    </w:div>
    <w:div w:id="1742483873">
      <w:bodyDiv w:val="1"/>
      <w:marLeft w:val="0"/>
      <w:marRight w:val="0"/>
      <w:marTop w:val="0"/>
      <w:marBottom w:val="0"/>
      <w:divBdr>
        <w:top w:val="none" w:sz="0" w:space="0" w:color="auto"/>
        <w:left w:val="none" w:sz="0" w:space="0" w:color="auto"/>
        <w:bottom w:val="none" w:sz="0" w:space="0" w:color="auto"/>
        <w:right w:val="none" w:sz="0" w:space="0" w:color="auto"/>
      </w:divBdr>
    </w:div>
    <w:div w:id="1762798324">
      <w:bodyDiv w:val="1"/>
      <w:marLeft w:val="0"/>
      <w:marRight w:val="0"/>
      <w:marTop w:val="0"/>
      <w:marBottom w:val="0"/>
      <w:divBdr>
        <w:top w:val="none" w:sz="0" w:space="0" w:color="auto"/>
        <w:left w:val="none" w:sz="0" w:space="0" w:color="auto"/>
        <w:bottom w:val="none" w:sz="0" w:space="0" w:color="auto"/>
        <w:right w:val="none" w:sz="0" w:space="0" w:color="auto"/>
      </w:divBdr>
    </w:div>
    <w:div w:id="1825121067">
      <w:bodyDiv w:val="1"/>
      <w:marLeft w:val="0"/>
      <w:marRight w:val="0"/>
      <w:marTop w:val="0"/>
      <w:marBottom w:val="0"/>
      <w:divBdr>
        <w:top w:val="none" w:sz="0" w:space="0" w:color="auto"/>
        <w:left w:val="none" w:sz="0" w:space="0" w:color="auto"/>
        <w:bottom w:val="none" w:sz="0" w:space="0" w:color="auto"/>
        <w:right w:val="none" w:sz="0" w:space="0" w:color="auto"/>
      </w:divBdr>
    </w:div>
    <w:div w:id="1866019944">
      <w:bodyDiv w:val="1"/>
      <w:marLeft w:val="0"/>
      <w:marRight w:val="0"/>
      <w:marTop w:val="0"/>
      <w:marBottom w:val="0"/>
      <w:divBdr>
        <w:top w:val="none" w:sz="0" w:space="0" w:color="auto"/>
        <w:left w:val="none" w:sz="0" w:space="0" w:color="auto"/>
        <w:bottom w:val="none" w:sz="0" w:space="0" w:color="auto"/>
        <w:right w:val="none" w:sz="0" w:space="0" w:color="auto"/>
      </w:divBdr>
    </w:div>
    <w:div w:id="1871910648">
      <w:bodyDiv w:val="1"/>
      <w:marLeft w:val="0"/>
      <w:marRight w:val="0"/>
      <w:marTop w:val="0"/>
      <w:marBottom w:val="0"/>
      <w:divBdr>
        <w:top w:val="none" w:sz="0" w:space="0" w:color="auto"/>
        <w:left w:val="none" w:sz="0" w:space="0" w:color="auto"/>
        <w:bottom w:val="none" w:sz="0" w:space="0" w:color="auto"/>
        <w:right w:val="none" w:sz="0" w:space="0" w:color="auto"/>
      </w:divBdr>
    </w:div>
    <w:div w:id="1977445494">
      <w:bodyDiv w:val="1"/>
      <w:marLeft w:val="0"/>
      <w:marRight w:val="0"/>
      <w:marTop w:val="0"/>
      <w:marBottom w:val="0"/>
      <w:divBdr>
        <w:top w:val="none" w:sz="0" w:space="0" w:color="auto"/>
        <w:left w:val="none" w:sz="0" w:space="0" w:color="auto"/>
        <w:bottom w:val="none" w:sz="0" w:space="0" w:color="auto"/>
        <w:right w:val="none" w:sz="0" w:space="0" w:color="auto"/>
      </w:divBdr>
    </w:div>
    <w:div w:id="2047677188">
      <w:bodyDiv w:val="1"/>
      <w:marLeft w:val="0"/>
      <w:marRight w:val="0"/>
      <w:marTop w:val="0"/>
      <w:marBottom w:val="0"/>
      <w:divBdr>
        <w:top w:val="none" w:sz="0" w:space="0" w:color="auto"/>
        <w:left w:val="none" w:sz="0" w:space="0" w:color="auto"/>
        <w:bottom w:val="none" w:sz="0" w:space="0" w:color="auto"/>
        <w:right w:val="none" w:sz="0" w:space="0" w:color="auto"/>
      </w:divBdr>
    </w:div>
    <w:div w:id="2113888953">
      <w:bodyDiv w:val="1"/>
      <w:marLeft w:val="0"/>
      <w:marRight w:val="0"/>
      <w:marTop w:val="0"/>
      <w:marBottom w:val="0"/>
      <w:divBdr>
        <w:top w:val="none" w:sz="0" w:space="0" w:color="auto"/>
        <w:left w:val="none" w:sz="0" w:space="0" w:color="auto"/>
        <w:bottom w:val="none" w:sz="0" w:space="0" w:color="auto"/>
        <w:right w:val="none" w:sz="0" w:space="0" w:color="auto"/>
      </w:divBdr>
    </w:div>
    <w:div w:id="211871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hart" Target="charts/chart6.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5.png"/><Relationship Id="rId47" Type="http://schemas.openxmlformats.org/officeDocument/2006/relationships/chart" Target="charts/chart9.xml"/><Relationship Id="rId50" Type="http://schemas.openxmlformats.org/officeDocument/2006/relationships/image" Target="media/image2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chart" Target="charts/chart2.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chart" Target="charts/chart4.xml"/><Relationship Id="rId40" Type="http://schemas.openxmlformats.org/officeDocument/2006/relationships/image" Target="media/image23.png"/><Relationship Id="rId45" Type="http://schemas.openxmlformats.org/officeDocument/2006/relationships/chart" Target="charts/chart7.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6.png"/><Relationship Id="rId48" Type="http://schemas.openxmlformats.org/officeDocument/2006/relationships/chart" Target="charts/chart10.xml"/><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chart" Target="charts/chart5.xml"/><Relationship Id="rId46" Type="http://schemas.openxmlformats.org/officeDocument/2006/relationships/chart" Target="charts/chart8.xml"/><Relationship Id="rId20" Type="http://schemas.openxmlformats.org/officeDocument/2006/relationships/image" Target="media/image9.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chart" Target="charts/chart1.xml"/><Relationship Id="rId36" Type="http://schemas.openxmlformats.org/officeDocument/2006/relationships/chart" Target="charts/chart3.xml"/><Relationship Id="rId49"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First%20Order%20Rate%20of%20Sampl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MINEQL+\Adsorption%20Data%20&amp;%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MINEQL+\Adsorption%20Data%20&amp;%20Graph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MINEQL+\Adsorption%20Data%20&amp;%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Sample%20Data%20(version%201)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Sample%20Data%20(version%201)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Sample%20Data%20(version%201)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Sample%20Data%20(version%201)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MINEQL+\Adsorption%20Data%20&amp;%20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MINEQL+\Adsorption%20Data%20&amp;%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tsul\Desktop\Grad%20School\Research-Battery%20Waste\My%20Research\THESIS\MINEQL+\Adsorption%20Data%20&amp;%20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Aluminum</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WSLogisticCalibrated!$AV$29</c:f>
              <c:strCache>
                <c:ptCount val="1"/>
                <c:pt idx="0">
                  <c:v>Acidic</c:v>
                </c:pt>
              </c:strCache>
            </c:strRef>
          </c:tx>
          <c:spPr>
            <a:solidFill>
              <a:schemeClr val="accent1"/>
            </a:solidFill>
            <a:ln>
              <a:noFill/>
            </a:ln>
            <a:effectLst/>
          </c:spPr>
          <c:invertIfNegative val="0"/>
          <c:errBars>
            <c:errBarType val="plus"/>
            <c:errValType val="cust"/>
            <c:noEndCap val="0"/>
            <c:plus>
              <c:numRef>
                <c:f>WSLogisticCalibrated!$BJ$32:$BJ$40</c:f>
                <c:numCache>
                  <c:formatCode>General</c:formatCode>
                  <c:ptCount val="9"/>
                  <c:pt idx="0">
                    <c:v>1.304415956517529E-3</c:v>
                  </c:pt>
                  <c:pt idx="1">
                    <c:v>5.5580392316354236E-4</c:v>
                  </c:pt>
                  <c:pt idx="2">
                    <c:v>3.8849451633423695E-4</c:v>
                  </c:pt>
                  <c:pt idx="3">
                    <c:v>2.9283658877540906E-4</c:v>
                  </c:pt>
                  <c:pt idx="4">
                    <c:v>4.0798984008701215E-4</c:v>
                  </c:pt>
                  <c:pt idx="5">
                    <c:v>7.2901655544210255E-4</c:v>
                  </c:pt>
                  <c:pt idx="6">
                    <c:v>3.8608364656788599E-4</c:v>
                  </c:pt>
                  <c:pt idx="7">
                    <c:v>3.3931681923394467E-4</c:v>
                  </c:pt>
                  <c:pt idx="8">
                    <c:v>6.3128457093733004E-4</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numRef>
              <c:f>WSLogisticCalibrated!$AU$32:$AU$40</c:f>
              <c:numCache>
                <c:formatCode>General</c:formatCode>
                <c:ptCount val="9"/>
                <c:pt idx="0">
                  <c:v>1</c:v>
                </c:pt>
                <c:pt idx="1">
                  <c:v>2</c:v>
                </c:pt>
                <c:pt idx="2">
                  <c:v>4</c:v>
                </c:pt>
                <c:pt idx="3">
                  <c:v>6</c:v>
                </c:pt>
                <c:pt idx="4">
                  <c:v>8</c:v>
                </c:pt>
                <c:pt idx="5">
                  <c:v>12</c:v>
                </c:pt>
                <c:pt idx="6">
                  <c:v>16</c:v>
                </c:pt>
                <c:pt idx="7">
                  <c:v>20</c:v>
                </c:pt>
                <c:pt idx="8">
                  <c:v>24</c:v>
                </c:pt>
              </c:numCache>
            </c:numRef>
          </c:cat>
          <c:val>
            <c:numRef>
              <c:f>WSLogisticCalibrated!$AZ$32:$AZ$40</c:f>
              <c:numCache>
                <c:formatCode>0.000</c:formatCode>
                <c:ptCount val="9"/>
                <c:pt idx="0">
                  <c:v>4.374421316116326E-2</c:v>
                </c:pt>
                <c:pt idx="1">
                  <c:v>7.6448482900522433E-2</c:v>
                </c:pt>
                <c:pt idx="2">
                  <c:v>0.16710558677484671</c:v>
                </c:pt>
                <c:pt idx="3">
                  <c:v>0.30808571151735714</c:v>
                </c:pt>
                <c:pt idx="4">
                  <c:v>0.46520023523509019</c:v>
                </c:pt>
                <c:pt idx="5">
                  <c:v>0.96840166303832076</c:v>
                </c:pt>
                <c:pt idx="6">
                  <c:v>1.3196512221188896</c:v>
                </c:pt>
                <c:pt idx="7">
                  <c:v>1.5134947427767518</c:v>
                </c:pt>
                <c:pt idx="8">
                  <c:v>1.6892905800289624</c:v>
                </c:pt>
              </c:numCache>
            </c:numRef>
          </c:val>
          <c:extLst>
            <c:ext xmlns:c16="http://schemas.microsoft.com/office/drawing/2014/chart" uri="{C3380CC4-5D6E-409C-BE32-E72D297353CC}">
              <c16:uniqueId val="{00000000-DBDA-418E-B185-970539068D88}"/>
            </c:ext>
          </c:extLst>
        </c:ser>
        <c:ser>
          <c:idx val="1"/>
          <c:order val="1"/>
          <c:tx>
            <c:strRef>
              <c:f>WSLogisticCalibrated!$AV$42</c:f>
              <c:strCache>
                <c:ptCount val="1"/>
                <c:pt idx="0">
                  <c:v>Basic</c:v>
                </c:pt>
              </c:strCache>
            </c:strRef>
          </c:tx>
          <c:spPr>
            <a:solidFill>
              <a:schemeClr val="accent2"/>
            </a:solidFill>
            <a:ln>
              <a:noFill/>
            </a:ln>
            <a:effectLst/>
          </c:spPr>
          <c:invertIfNegative val="0"/>
          <c:errBars>
            <c:errBarType val="plus"/>
            <c:errValType val="cust"/>
            <c:noEndCap val="0"/>
            <c:plus>
              <c:numRef>
                <c:f>WSLogisticCalibrated!$BJ$45:$BJ$53</c:f>
                <c:numCache>
                  <c:formatCode>General</c:formatCode>
                  <c:ptCount val="9"/>
                  <c:pt idx="0">
                    <c:v>8.2367992071626431E-4</c:v>
                  </c:pt>
                  <c:pt idx="1">
                    <c:v>6.1544487020712493E-4</c:v>
                  </c:pt>
                  <c:pt idx="2">
                    <c:v>6.2569918967284662E-4</c:v>
                  </c:pt>
                  <c:pt idx="3">
                    <c:v>4.5000799710333316E-4</c:v>
                  </c:pt>
                  <c:pt idx="4">
                    <c:v>5.4660672620814065E-4</c:v>
                  </c:pt>
                  <c:pt idx="5">
                    <c:v>4.6367583838931222E-4</c:v>
                  </c:pt>
                  <c:pt idx="6">
                    <c:v>4.3696832254338732E-4</c:v>
                  </c:pt>
                  <c:pt idx="7">
                    <c:v>4.5770993874041406E-4</c:v>
                  </c:pt>
                  <c:pt idx="8">
                    <c:v>8.3865360916120766E-4</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numRef>
              <c:f>WSLogisticCalibrated!$AU$32:$AU$40</c:f>
              <c:numCache>
                <c:formatCode>General</c:formatCode>
                <c:ptCount val="9"/>
                <c:pt idx="0">
                  <c:v>1</c:v>
                </c:pt>
                <c:pt idx="1">
                  <c:v>2</c:v>
                </c:pt>
                <c:pt idx="2">
                  <c:v>4</c:v>
                </c:pt>
                <c:pt idx="3">
                  <c:v>6</c:v>
                </c:pt>
                <c:pt idx="4">
                  <c:v>8</c:v>
                </c:pt>
                <c:pt idx="5">
                  <c:v>12</c:v>
                </c:pt>
                <c:pt idx="6">
                  <c:v>16</c:v>
                </c:pt>
                <c:pt idx="7">
                  <c:v>20</c:v>
                </c:pt>
                <c:pt idx="8">
                  <c:v>24</c:v>
                </c:pt>
              </c:numCache>
            </c:numRef>
          </c:cat>
          <c:val>
            <c:numRef>
              <c:f>WSLogisticCalibrated!$AZ$45:$AZ$53</c:f>
              <c:numCache>
                <c:formatCode>0.000</c:formatCode>
                <c:ptCount val="9"/>
                <c:pt idx="0">
                  <c:v>0.24386709978493376</c:v>
                </c:pt>
                <c:pt idx="1">
                  <c:v>0.41033911497627296</c:v>
                </c:pt>
                <c:pt idx="2">
                  <c:v>0.57966801291626824</c:v>
                </c:pt>
                <c:pt idx="3">
                  <c:v>0.65684280318498245</c:v>
                </c:pt>
                <c:pt idx="4">
                  <c:v>0.98282628111061632</c:v>
                </c:pt>
                <c:pt idx="5">
                  <c:v>1.9996915715524783</c:v>
                </c:pt>
                <c:pt idx="6">
                  <c:v>2.7498535166855613</c:v>
                </c:pt>
                <c:pt idx="7">
                  <c:v>3.5325669926762737</c:v>
                </c:pt>
                <c:pt idx="8">
                  <c:v>3.9698139224865825</c:v>
                </c:pt>
              </c:numCache>
            </c:numRef>
          </c:val>
          <c:extLst>
            <c:ext xmlns:c16="http://schemas.microsoft.com/office/drawing/2014/chart" uri="{C3380CC4-5D6E-409C-BE32-E72D297353CC}">
              <c16:uniqueId val="{00000001-DBDA-418E-B185-970539068D88}"/>
            </c:ext>
          </c:extLst>
        </c:ser>
        <c:dLbls>
          <c:showLegendKey val="0"/>
          <c:showVal val="0"/>
          <c:showCatName val="0"/>
          <c:showSerName val="0"/>
          <c:showPercent val="0"/>
          <c:showBubbleSize val="0"/>
        </c:dLbls>
        <c:gapWidth val="219"/>
        <c:overlap val="-27"/>
        <c:axId val="1319812320"/>
        <c:axId val="1319817312"/>
      </c:barChart>
      <c:catAx>
        <c:axId val="1319812320"/>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(Weeks)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19817312"/>
        <c:crosses val="autoZero"/>
        <c:auto val="1"/>
        <c:lblAlgn val="ctr"/>
        <c:lblOffset val="100"/>
        <c:noMultiLvlLbl val="0"/>
      </c:catAx>
      <c:valAx>
        <c:axId val="1319817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a:t>Δ</a:t>
                </a:r>
                <a:r>
                  <a:rPr lang="en-US"/>
                  <a:t>C (mg/L)</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1981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ysClr val="windowText" lastClr="000000"/>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Aluminum pC -- pH Adsorption Diagram</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AlDLM2!$M$1</c:f>
              <c:strCache>
                <c:ptCount val="1"/>
                <c:pt idx="0">
                  <c:v>Al3+</c:v>
                </c:pt>
              </c:strCache>
            </c:strRef>
          </c:tx>
          <c:spPr>
            <a:ln w="19050" cap="rnd">
              <a:solidFill>
                <a:schemeClr val="accent1"/>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AlDLM2!$M$2:$M$21</c:f>
              <c:numCache>
                <c:formatCode>0.000</c:formatCode>
                <c:ptCount val="20"/>
                <c:pt idx="0">
                  <c:v>-4.719421629631924</c:v>
                </c:pt>
                <c:pt idx="1">
                  <c:v>-5.6675615400843951</c:v>
                </c:pt>
                <c:pt idx="2">
                  <c:v>-6.6154673845057514</c:v>
                </c:pt>
                <c:pt idx="3">
                  <c:v>-7.5605094096103169</c:v>
                </c:pt>
                <c:pt idx="4">
                  <c:v>-8.5084982337626744</c:v>
                </c:pt>
                <c:pt idx="5">
                  <c:v>-9.4564285760376343</c:v>
                </c:pt>
                <c:pt idx="6">
                  <c:v>-10.404503778174426</c:v>
                </c:pt>
                <c:pt idx="7">
                  <c:v>-11.352421445787545</c:v>
                </c:pt>
                <c:pt idx="8">
                  <c:v>-12.297483302561849</c:v>
                </c:pt>
                <c:pt idx="9">
                  <c:v>-13.245498770613082</c:v>
                </c:pt>
                <c:pt idx="10">
                  <c:v>-14.193480865919295</c:v>
                </c:pt>
                <c:pt idx="11">
                  <c:v>-15.141462802430361</c:v>
                </c:pt>
                <c:pt idx="12">
                  <c:v>-16.086451042093483</c:v>
                </c:pt>
                <c:pt idx="13">
                  <c:v>-17.034469056377141</c:v>
                </c:pt>
                <c:pt idx="14">
                  <c:v>-17.982549270489464</c:v>
                </c:pt>
                <c:pt idx="15">
                  <c:v>-18.930331903088405</c:v>
                </c:pt>
                <c:pt idx="16">
                  <c:v>-19.878440155812498</c:v>
                </c:pt>
                <c:pt idx="17">
                  <c:v>-20.823330067331849</c:v>
                </c:pt>
                <c:pt idx="18">
                  <c:v>-21.771343041891065</c:v>
                </c:pt>
                <c:pt idx="19">
                  <c:v>-22.719421629631924</c:v>
                </c:pt>
              </c:numCache>
            </c:numRef>
          </c:yVal>
          <c:smooth val="1"/>
          <c:extLst>
            <c:ext xmlns:c16="http://schemas.microsoft.com/office/drawing/2014/chart" uri="{C3380CC4-5D6E-409C-BE32-E72D297353CC}">
              <c16:uniqueId val="{00000000-9221-403B-9C87-08B6D36735B8}"/>
            </c:ext>
          </c:extLst>
        </c:ser>
        <c:ser>
          <c:idx val="1"/>
          <c:order val="1"/>
          <c:tx>
            <c:strRef>
              <c:f>AlDLM2!$N$1</c:f>
              <c:strCache>
                <c:ptCount val="1"/>
                <c:pt idx="0">
                  <c:v>Al(OH)2+</c:v>
                </c:pt>
              </c:strCache>
            </c:strRef>
          </c:tx>
          <c:spPr>
            <a:ln w="19050" cap="rnd">
              <a:solidFill>
                <a:schemeClr val="accent2"/>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AlDLM2!$N$2:$N$21</c:f>
              <c:numCache>
                <c:formatCode>0.000</c:formatCode>
                <c:ptCount val="20"/>
                <c:pt idx="0">
                  <c:v>-7.1757439623703174</c:v>
                </c:pt>
                <c:pt idx="1">
                  <c:v>-7.4917396944876655</c:v>
                </c:pt>
                <c:pt idx="2">
                  <c:v>-7.8077113874318798</c:v>
                </c:pt>
                <c:pt idx="3">
                  <c:v>-8.1227438668864131</c:v>
                </c:pt>
                <c:pt idx="4">
                  <c:v>-8.4386600585410996</c:v>
                </c:pt>
                <c:pt idx="5">
                  <c:v>-8.7547341605425384</c:v>
                </c:pt>
                <c:pt idx="6">
                  <c:v>-9.0707343817469344</c:v>
                </c:pt>
                <c:pt idx="7">
                  <c:v>-9.3866868385445397</c:v>
                </c:pt>
                <c:pt idx="8">
                  <c:v>-9.7018021328901849</c:v>
                </c:pt>
                <c:pt idx="9">
                  <c:v>-10.017728766960431</c:v>
                </c:pt>
                <c:pt idx="10">
                  <c:v>-10.333762904104196</c:v>
                </c:pt>
                <c:pt idx="11">
                  <c:v>-10.649751981665837</c:v>
                </c:pt>
                <c:pt idx="12">
                  <c:v>-10.964570261815451</c:v>
                </c:pt>
                <c:pt idx="13">
                  <c:v>-11.280751601552053</c:v>
                </c:pt>
                <c:pt idx="14">
                  <c:v>-11.596707854841746</c:v>
                </c:pt>
                <c:pt idx="15">
                  <c:v>-11.912573542963715</c:v>
                </c:pt>
                <c:pt idx="16">
                  <c:v>-12.228706557370939</c:v>
                </c:pt>
                <c:pt idx="17">
                  <c:v>-12.543785844642011</c:v>
                </c:pt>
                <c:pt idx="18">
                  <c:v>-12.859806321421368</c:v>
                </c:pt>
                <c:pt idx="19">
                  <c:v>-13.175743962370317</c:v>
                </c:pt>
              </c:numCache>
            </c:numRef>
          </c:yVal>
          <c:smooth val="1"/>
          <c:extLst>
            <c:ext xmlns:c16="http://schemas.microsoft.com/office/drawing/2014/chart" uri="{C3380CC4-5D6E-409C-BE32-E72D297353CC}">
              <c16:uniqueId val="{00000001-9221-403B-9C87-08B6D36735B8}"/>
            </c:ext>
          </c:extLst>
        </c:ser>
        <c:ser>
          <c:idx val="2"/>
          <c:order val="2"/>
          <c:tx>
            <c:strRef>
              <c:f>AlDLM2!$O$1</c:f>
              <c:strCache>
                <c:ptCount val="1"/>
                <c:pt idx="0">
                  <c:v>Al(OH)3</c:v>
                </c:pt>
              </c:strCache>
            </c:strRef>
          </c:tx>
          <c:spPr>
            <a:ln w="19050" cap="rnd">
              <a:solidFill>
                <a:schemeClr val="accent3"/>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AlDLM2!$O$2:$O$21</c:f>
              <c:numCache>
                <c:formatCode>0.000</c:formatCode>
                <c:ptCount val="20"/>
                <c:pt idx="0">
                  <c:v>-9.9179330657148874</c:v>
                </c:pt>
                <c:pt idx="1">
                  <c:v>-9.9179330657148874</c:v>
                </c:pt>
                <c:pt idx="2">
                  <c:v>-9.9179330657148874</c:v>
                </c:pt>
                <c:pt idx="3">
                  <c:v>-9.9179330657148874</c:v>
                </c:pt>
                <c:pt idx="4">
                  <c:v>-9.9179330657148874</c:v>
                </c:pt>
                <c:pt idx="5">
                  <c:v>-9.9179330657148874</c:v>
                </c:pt>
                <c:pt idx="6">
                  <c:v>-9.9179330657148874</c:v>
                </c:pt>
                <c:pt idx="7">
                  <c:v>-9.9179330657148874</c:v>
                </c:pt>
                <c:pt idx="8">
                  <c:v>-9.9179330657148874</c:v>
                </c:pt>
                <c:pt idx="9">
                  <c:v>-9.9179330657148874</c:v>
                </c:pt>
                <c:pt idx="10">
                  <c:v>-9.9179330657148874</c:v>
                </c:pt>
                <c:pt idx="11">
                  <c:v>-9.9179330657148874</c:v>
                </c:pt>
                <c:pt idx="12">
                  <c:v>-9.9179330657148874</c:v>
                </c:pt>
                <c:pt idx="13">
                  <c:v>-9.9179330657148874</c:v>
                </c:pt>
                <c:pt idx="14">
                  <c:v>-9.9179330657148874</c:v>
                </c:pt>
                <c:pt idx="15">
                  <c:v>-9.9179330657148874</c:v>
                </c:pt>
                <c:pt idx="16">
                  <c:v>-9.9179330657148874</c:v>
                </c:pt>
                <c:pt idx="17">
                  <c:v>-9.9179330657148874</c:v>
                </c:pt>
                <c:pt idx="18">
                  <c:v>-9.9179330657148874</c:v>
                </c:pt>
                <c:pt idx="19">
                  <c:v>-9.9179330657148874</c:v>
                </c:pt>
              </c:numCache>
            </c:numRef>
          </c:yVal>
          <c:smooth val="1"/>
          <c:extLst>
            <c:ext xmlns:c16="http://schemas.microsoft.com/office/drawing/2014/chart" uri="{C3380CC4-5D6E-409C-BE32-E72D297353CC}">
              <c16:uniqueId val="{00000002-9221-403B-9C87-08B6D36735B8}"/>
            </c:ext>
          </c:extLst>
        </c:ser>
        <c:ser>
          <c:idx val="3"/>
          <c:order val="3"/>
          <c:tx>
            <c:strRef>
              <c:f>AlDLM2!$P$1</c:f>
              <c:strCache>
                <c:ptCount val="1"/>
                <c:pt idx="0">
                  <c:v>Al(OH)4-</c:v>
                </c:pt>
              </c:strCache>
            </c:strRef>
          </c:tx>
          <c:spPr>
            <a:ln w="19050" cap="rnd">
              <a:solidFill>
                <a:schemeClr val="accent4"/>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AlDLM2!$P$2:$P$21</c:f>
              <c:numCache>
                <c:formatCode>0.000</c:formatCode>
                <c:ptCount val="20"/>
                <c:pt idx="0">
                  <c:v>-11.769806621130954</c:v>
                </c:pt>
                <c:pt idx="1">
                  <c:v>-11.453704164878557</c:v>
                </c:pt>
                <c:pt idx="2">
                  <c:v>-11.137689690045729</c:v>
                </c:pt>
                <c:pt idx="3">
                  <c:v>-10.822752163744376</c:v>
                </c:pt>
                <c:pt idx="4">
                  <c:v>-10.506681391767899</c:v>
                </c:pt>
                <c:pt idx="5">
                  <c:v>-10.190709698823685</c:v>
                </c:pt>
                <c:pt idx="6">
                  <c:v>-9.87484417041947</c:v>
                </c:pt>
                <c:pt idx="7">
                  <c:v>-9.5587763257573872</c:v>
                </c:pt>
                <c:pt idx="8">
                  <c:v>-9.2437443512457662</c:v>
                </c:pt>
                <c:pt idx="9">
                  <c:v>-8.9277501023864847</c:v>
                </c:pt>
                <c:pt idx="10">
                  <c:v>-8.6117211365403605</c:v>
                </c:pt>
                <c:pt idx="11">
                  <c:v>-8.2956778591777649</c:v>
                </c:pt>
                <c:pt idx="12">
                  <c:v>-7.980883709552927</c:v>
                </c:pt>
                <c:pt idx="13">
                  <c:v>-7.6647427435654683</c:v>
                </c:pt>
                <c:pt idx="14">
                  <c:v>-7.3487219860018564</c:v>
                </c:pt>
                <c:pt idx="15">
                  <c:v>-7.0327329084402148</c:v>
                </c:pt>
                <c:pt idx="16">
                  <c:v>-6.7166987712964508</c:v>
                </c:pt>
                <c:pt idx="17">
                  <c:v>-6.4017568083463772</c:v>
                </c:pt>
                <c:pt idx="18">
                  <c:v>-6.0857097443340509</c:v>
                </c:pt>
                <c:pt idx="19">
                  <c:v>-5.7698066211309547</c:v>
                </c:pt>
              </c:numCache>
            </c:numRef>
          </c:yVal>
          <c:smooth val="1"/>
          <c:extLst>
            <c:ext xmlns:c16="http://schemas.microsoft.com/office/drawing/2014/chart" uri="{C3380CC4-5D6E-409C-BE32-E72D297353CC}">
              <c16:uniqueId val="{00000003-9221-403B-9C87-08B6D36735B8}"/>
            </c:ext>
          </c:extLst>
        </c:ser>
        <c:ser>
          <c:idx val="4"/>
          <c:order val="4"/>
          <c:tx>
            <c:strRef>
              <c:f>AlDLM2!$Q$1</c:f>
              <c:strCache>
                <c:ptCount val="1"/>
                <c:pt idx="0">
                  <c:v>AlOH2+</c:v>
                </c:pt>
              </c:strCache>
            </c:strRef>
          </c:tx>
          <c:spPr>
            <a:ln w="19050" cap="rnd">
              <a:solidFill>
                <a:schemeClr val="accent5"/>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AlDLM2!$Q$2:$Q$21</c:f>
              <c:numCache>
                <c:formatCode>0.000</c:formatCode>
                <c:ptCount val="20"/>
                <c:pt idx="0">
                  <c:v>-5.942714355581785</c:v>
                </c:pt>
                <c:pt idx="1">
                  <c:v>-6.5749551254486116</c:v>
                </c:pt>
                <c:pt idx="2">
                  <c:v>-7.20690839982342</c:v>
                </c:pt>
                <c:pt idx="3">
                  <c:v>-7.836838625022982</c:v>
                </c:pt>
                <c:pt idx="4">
                  <c:v>-8.4689044531299729</c:v>
                </c:pt>
                <c:pt idx="5">
                  <c:v>-9.100891141806601</c:v>
                </c:pt>
                <c:pt idx="6">
                  <c:v>-9.7328282715969863</c:v>
                </c:pt>
                <c:pt idx="7">
                  <c:v>-10.364918563989127</c:v>
                </c:pt>
                <c:pt idx="8">
                  <c:v>-10.994819487496219</c:v>
                </c:pt>
                <c:pt idx="9">
                  <c:v>-11.626904012921273</c:v>
                </c:pt>
                <c:pt idx="10">
                  <c:v>-12.258848401148216</c:v>
                </c:pt>
                <c:pt idx="11">
                  <c:v>-12.890759031411797</c:v>
                </c:pt>
                <c:pt idx="12">
                  <c:v>-13.520856752021388</c:v>
                </c:pt>
                <c:pt idx="13">
                  <c:v>-14.152859382586593</c:v>
                </c:pt>
                <c:pt idx="14">
                  <c:v>-14.784891418946907</c:v>
                </c:pt>
                <c:pt idx="15">
                  <c:v>-15.416914633652313</c:v>
                </c:pt>
                <c:pt idx="16">
                  <c:v>-16.048856839892448</c:v>
                </c:pt>
                <c:pt idx="17">
                  <c:v>-16.678815972697684</c:v>
                </c:pt>
                <c:pt idx="18">
                  <c:v>-17.310868802765501</c:v>
                </c:pt>
                <c:pt idx="19">
                  <c:v>-17.942714355581785</c:v>
                </c:pt>
              </c:numCache>
            </c:numRef>
          </c:yVal>
          <c:smooth val="1"/>
          <c:extLst>
            <c:ext xmlns:c16="http://schemas.microsoft.com/office/drawing/2014/chart" uri="{C3380CC4-5D6E-409C-BE32-E72D297353CC}">
              <c16:uniqueId val="{00000004-9221-403B-9C87-08B6D36735B8}"/>
            </c:ext>
          </c:extLst>
        </c:ser>
        <c:ser>
          <c:idx val="7"/>
          <c:order val="7"/>
          <c:tx>
            <c:strRef>
              <c:f>AlDLM2!$T$1</c:f>
              <c:strCache>
                <c:ptCount val="1"/>
                <c:pt idx="0">
                  <c:v>Adsorbed Al3+</c:v>
                </c:pt>
              </c:strCache>
            </c:strRef>
          </c:tx>
          <c:spPr>
            <a:ln w="19050" cap="rnd">
              <a:solidFill>
                <a:schemeClr val="accent2">
                  <a:lumMod val="60000"/>
                </a:schemeClr>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AlDLM2!$T$2:$T$21</c:f>
              <c:numCache>
                <c:formatCode>0.000</c:formatCode>
                <c:ptCount val="20"/>
                <c:pt idx="0">
                  <c:v>-6.4936302829044958</c:v>
                </c:pt>
                <c:pt idx="1">
                  <c:v>-5.8880657236673182</c:v>
                </c:pt>
                <c:pt idx="2">
                  <c:v>-5.414539270491499</c:v>
                </c:pt>
                <c:pt idx="3">
                  <c:v>-4.9771593891234724</c:v>
                </c:pt>
                <c:pt idx="4">
                  <c:v>-4.5815329790533994</c:v>
                </c:pt>
                <c:pt idx="5">
                  <c:v>-4.230844309285601</c:v>
                </c:pt>
                <c:pt idx="6">
                  <c:v>-3.904481957676849</c:v>
                </c:pt>
                <c:pt idx="7">
                  <c:v>-3.5861974832306487</c:v>
                </c:pt>
                <c:pt idx="8">
                  <c:v>-3.2710783536271406</c:v>
                </c:pt>
                <c:pt idx="9">
                  <c:v>-2.9558523791212772</c:v>
                </c:pt>
                <c:pt idx="10">
                  <c:v>-2.6422556748196242</c:v>
                </c:pt>
                <c:pt idx="11">
                  <c:v>-2.3307761260691944</c:v>
                </c:pt>
                <c:pt idx="12">
                  <c:v>-2.0255343642627577</c:v>
                </c:pt>
                <c:pt idx="13">
                  <c:v>-1.730253626869233</c:v>
                </c:pt>
                <c:pt idx="14">
                  <c:v>-1.4600461583436033</c:v>
                </c:pt>
                <c:pt idx="15">
                  <c:v>-1.2468767553182873</c:v>
                </c:pt>
                <c:pt idx="16">
                  <c:v>-1.1378089689484028</c:v>
                </c:pt>
                <c:pt idx="17">
                  <c:v>-1.1123264475455525</c:v>
                </c:pt>
                <c:pt idx="18">
                  <c:v>-1.1089087735322762</c:v>
                </c:pt>
                <c:pt idx="19">
                  <c:v>-1.10851829616048</c:v>
                </c:pt>
              </c:numCache>
            </c:numRef>
          </c:yVal>
          <c:smooth val="1"/>
          <c:extLst>
            <c:ext xmlns:c16="http://schemas.microsoft.com/office/drawing/2014/chart" uri="{C3380CC4-5D6E-409C-BE32-E72D297353CC}">
              <c16:uniqueId val="{00000005-9221-403B-9C87-08B6D36735B8}"/>
            </c:ext>
          </c:extLst>
        </c:ser>
        <c:ser>
          <c:idx val="8"/>
          <c:order val="8"/>
          <c:tx>
            <c:strRef>
              <c:f>AlDLM2!$U$1</c:f>
              <c:strCache>
                <c:ptCount val="1"/>
                <c:pt idx="0">
                  <c:v>Desorbed Al3+</c:v>
                </c:pt>
              </c:strCache>
            </c:strRef>
          </c:tx>
          <c:spPr>
            <a:ln w="19050" cap="rnd">
              <a:solidFill>
                <a:schemeClr val="accent3">
                  <a:lumMod val="60000"/>
                </a:schemeClr>
              </a:solidFill>
              <a:round/>
            </a:ln>
            <a:effectLst/>
          </c:spPr>
          <c:marker>
            <c:symbol val="none"/>
          </c:marker>
          <c:xVal>
            <c:numRef>
              <c:f>AlDLM2!$L$2:$L$21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AlDLM2!$U$2:$U$21</c:f>
              <c:numCache>
                <c:formatCode>0.000</c:formatCode>
                <c:ptCount val="20"/>
                <c:pt idx="0">
                  <c:v>-4.6927179529666541</c:v>
                </c:pt>
                <c:pt idx="1">
                  <c:v>-5.611011214875286</c:v>
                </c:pt>
                <c:pt idx="2">
                  <c:v>-6.4945786724167194</c:v>
                </c:pt>
                <c:pt idx="3">
                  <c:v>-7.3032069149182561</c:v>
                </c:pt>
                <c:pt idx="4">
                  <c:v>-7.9875846252375675</c:v>
                </c:pt>
                <c:pt idx="5">
                  <c:v>-8.510463370517904</c:v>
                </c:pt>
                <c:pt idx="6">
                  <c:v>-8.8768019249680012</c:v>
                </c:pt>
                <c:pt idx="7">
                  <c:v>-9.0679830935657986</c:v>
                </c:pt>
                <c:pt idx="8">
                  <c:v>-9.045419837256242</c:v>
                </c:pt>
                <c:pt idx="9">
                  <c:v>-8.8538719643217618</c:v>
                </c:pt>
                <c:pt idx="10">
                  <c:v>-8.5828605902726736</c:v>
                </c:pt>
                <c:pt idx="11">
                  <c:v>-8.2835792661534455</c:v>
                </c:pt>
                <c:pt idx="12">
                  <c:v>-7.975104039892515</c:v>
                </c:pt>
                <c:pt idx="13">
                  <c:v>-7.662141570958906</c:v>
                </c:pt>
                <c:pt idx="14">
                  <c:v>-7.3475602524105801</c:v>
                </c:pt>
                <c:pt idx="15">
                  <c:v>-7.0321713206698444</c:v>
                </c:pt>
                <c:pt idx="16">
                  <c:v>-6.7164726351383059</c:v>
                </c:pt>
                <c:pt idx="17">
                  <c:v>-6.4015377995258493</c:v>
                </c:pt>
                <c:pt idx="18">
                  <c:v>-6.0856568428805593</c:v>
                </c:pt>
                <c:pt idx="19">
                  <c:v>-5.7698066211309547</c:v>
                </c:pt>
              </c:numCache>
            </c:numRef>
          </c:yVal>
          <c:smooth val="1"/>
          <c:extLst>
            <c:ext xmlns:c16="http://schemas.microsoft.com/office/drawing/2014/chart" uri="{C3380CC4-5D6E-409C-BE32-E72D297353CC}">
              <c16:uniqueId val="{00000006-9221-403B-9C87-08B6D36735B8}"/>
            </c:ext>
          </c:extLst>
        </c:ser>
        <c:dLbls>
          <c:showLegendKey val="0"/>
          <c:showVal val="0"/>
          <c:showCatName val="0"/>
          <c:showSerName val="0"/>
          <c:showPercent val="0"/>
          <c:showBubbleSize val="0"/>
        </c:dLbls>
        <c:axId val="1847232351"/>
        <c:axId val="1847249823"/>
        <c:extLst>
          <c:ext xmlns:c15="http://schemas.microsoft.com/office/drawing/2012/chart" uri="{02D57815-91ED-43cb-92C2-25804820EDAC}">
            <c15:filteredScatterSeries>
              <c15:ser>
                <c:idx val="5"/>
                <c:order val="5"/>
                <c:tx>
                  <c:strRef>
                    <c:extLst>
                      <c:ext uri="{02D57815-91ED-43cb-92C2-25804820EDAC}">
                        <c15:formulaRef>
                          <c15:sqref>AlDLM2!$R$1</c15:sqref>
                        </c15:formulaRef>
                      </c:ext>
                    </c:extLst>
                    <c:strCache>
                      <c:ptCount val="1"/>
                      <c:pt idx="0">
                        <c:v>S:DIASPORE  </c:v>
                      </c:pt>
                    </c:strCache>
                  </c:strRef>
                </c:tx>
                <c:spPr>
                  <a:ln w="19050" cap="rnd">
                    <a:solidFill>
                      <a:schemeClr val="accent6"/>
                    </a:solidFill>
                    <a:round/>
                  </a:ln>
                  <a:effectLst/>
                </c:spPr>
                <c:marker>
                  <c:symbol val="none"/>
                </c:marker>
                <c:xVal>
                  <c:numRef>
                    <c:extLst>
                      <c:ext uri="{02D57815-91ED-43cb-92C2-25804820EDAC}">
                        <c15:formulaRef>
                          <c15:sqref>AlDLM2!$L$2:$L$21</c15:sqref>
                        </c15:formulaRef>
                      </c:ext>
                    </c:extLst>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extLst>
                      <c:ext uri="{02D57815-91ED-43cb-92C2-25804820EDAC}">
                        <c15:formulaRef>
                          <c15:sqref>AlDLM2!$R$2:$R$21</c15:sqref>
                        </c15:formulaRef>
                      </c:ext>
                    </c:extLst>
                    <c:numCache>
                      <c:formatCode>0.000</c:formatCode>
                      <c:ptCount val="20"/>
                      <c:pt idx="0">
                        <c:v>-3.0087739243075053</c:v>
                      </c:pt>
                      <c:pt idx="1">
                        <c:v>-3.0005214663206901</c:v>
                      </c:pt>
                      <c:pt idx="2">
                        <c:v>-2.9982662871909995</c:v>
                      </c:pt>
                      <c:pt idx="3">
                        <c:v>-2.9956786262173574</c:v>
                      </c:pt>
                      <c:pt idx="4">
                        <c:v>-2.9888526392242025</c:v>
                      </c:pt>
                      <c:pt idx="5">
                        <c:v>-2.975104039892515</c:v>
                      </c:pt>
                      <c:pt idx="6">
                        <c:v>-2.9488474775526186</c:v>
                      </c:pt>
                      <c:pt idx="7">
                        <c:v>-2.8999742698921374</c:v>
                      </c:pt>
                      <c:pt idx="8">
                        <c:v>-2.813608784304507</c:v>
                      </c:pt>
                      <c:pt idx="9">
                        <c:v>-2.6763354643919</c:v>
                      </c:pt>
                      <c:pt idx="10">
                        <c:v>-2.484258583330635</c:v>
                      </c:pt>
                      <c:pt idx="11">
                        <c:v>-2.2464935430090298</c:v>
                      </c:pt>
                      <c:pt idx="12">
                        <c:v>-1.9817156915734691</c:v>
                      </c:pt>
                      <c:pt idx="13">
                        <c:v>-1.7075224063322161</c:v>
                      </c:pt>
                      <c:pt idx="14">
                        <c:v>-1.4476968906616461</c:v>
                      </c:pt>
                      <c:pt idx="15">
                        <c:v>-1.2392760278580484</c:v>
                      </c:pt>
                      <c:pt idx="16">
                        <c:v>-1.1318847946727828</c:v>
                      </c:pt>
                      <c:pt idx="17">
                        <c:v>-1.1067377141120087</c:v>
                      </c:pt>
                      <c:pt idx="18">
                        <c:v>-1.1033635694704158</c:v>
                      </c:pt>
                      <c:pt idx="19">
                        <c:v>-1.1029780439396366</c:v>
                      </c:pt>
                    </c:numCache>
                  </c:numRef>
                </c:yVal>
                <c:smooth val="1"/>
                <c:extLst>
                  <c:ext xmlns:c16="http://schemas.microsoft.com/office/drawing/2014/chart" uri="{C3380CC4-5D6E-409C-BE32-E72D297353CC}">
                    <c16:uniqueId val="{00000007-9221-403B-9C87-08B6D36735B8}"/>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AlDLM2!$S$1</c15:sqref>
                        </c15:formulaRef>
                      </c:ext>
                    </c:extLst>
                    <c:strCache>
                      <c:ptCount val="1"/>
                      <c:pt idx="0">
                        <c:v>Total Al3+</c:v>
                      </c:pt>
                    </c:strCache>
                  </c:strRef>
                </c:tx>
                <c:spPr>
                  <a:ln w="19050" cap="rnd">
                    <a:solidFill>
                      <a:schemeClr val="accent1">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AlDLM2!$L$2:$L$21</c15:sqref>
                        </c15:formulaRef>
                      </c:ext>
                    </c:extLst>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extLst xmlns:c15="http://schemas.microsoft.com/office/drawing/2012/chart">
                      <c:ext xmlns:c15="http://schemas.microsoft.com/office/drawing/2012/chart" uri="{02D57815-91ED-43cb-92C2-25804820EDAC}">
                        <c15:formulaRef>
                          <c15:sqref>AlDLM2!$S$2:$S$21</c15:sqref>
                        </c15:formulaRef>
                      </c:ext>
                    </c:extLst>
                    <c:numCache>
                      <c:formatCode>0.000</c:formatCode>
                      <c:ptCount val="20"/>
                      <c:pt idx="0">
                        <c:v>-4.6998394630486473</c:v>
                      </c:pt>
                      <c:pt idx="1">
                        <c:v>-5.9374180157718373</c:v>
                      </c:pt>
                      <c:pt idx="2">
                        <c:v>-5.4523483416400307</c:v>
                      </c:pt>
                      <c:pt idx="3">
                        <c:v>-4.979224511806442</c:v>
                      </c:pt>
                      <c:pt idx="4">
                        <c:v>-4.5816987086802543</c:v>
                      </c:pt>
                      <c:pt idx="5">
                        <c:v>-4.2309182128817815</c:v>
                      </c:pt>
                      <c:pt idx="6">
                        <c:v>-3.904481957676849</c:v>
                      </c:pt>
                      <c:pt idx="7">
                        <c:v>-3.5861974832306487</c:v>
                      </c:pt>
                      <c:pt idx="8">
                        <c:v>-3.2710783536271406</c:v>
                      </c:pt>
                      <c:pt idx="9">
                        <c:v>-2.9558523791212772</c:v>
                      </c:pt>
                      <c:pt idx="10">
                        <c:v>-2.6422556748196242</c:v>
                      </c:pt>
                      <c:pt idx="11">
                        <c:v>-2.3307761260691944</c:v>
                      </c:pt>
                      <c:pt idx="12">
                        <c:v>-2.0255343642627577</c:v>
                      </c:pt>
                      <c:pt idx="13">
                        <c:v>-1.730253626869233</c:v>
                      </c:pt>
                      <c:pt idx="14">
                        <c:v>-1.4600461583436033</c:v>
                      </c:pt>
                      <c:pt idx="15">
                        <c:v>-1.2468767553182873</c:v>
                      </c:pt>
                      <c:pt idx="16">
                        <c:v>-1.1378089689484028</c:v>
                      </c:pt>
                      <c:pt idx="17">
                        <c:v>-1.1123264475455525</c:v>
                      </c:pt>
                      <c:pt idx="18">
                        <c:v>-1.1089087735322762</c:v>
                      </c:pt>
                      <c:pt idx="19">
                        <c:v>-1.10851829616048</c:v>
                      </c:pt>
                    </c:numCache>
                  </c:numRef>
                </c:yVal>
                <c:smooth val="1"/>
                <c:extLst xmlns:c15="http://schemas.microsoft.com/office/drawing/2012/chart">
                  <c:ext xmlns:c16="http://schemas.microsoft.com/office/drawing/2014/chart" uri="{C3380CC4-5D6E-409C-BE32-E72D297353CC}">
                    <c16:uniqueId val="{00000008-9221-403B-9C87-08B6D36735B8}"/>
                  </c:ext>
                </c:extLst>
              </c15:ser>
            </c15:filteredScatterSeries>
          </c:ext>
        </c:extLst>
      </c:scatterChart>
      <c:valAx>
        <c:axId val="1847232351"/>
        <c:scaling>
          <c:orientation val="minMax"/>
          <c:max val="10"/>
          <c:min val="4"/>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7249823"/>
        <c:crosses val="autoZero"/>
        <c:crossBetween val="midCat"/>
      </c:valAx>
      <c:valAx>
        <c:axId val="1847249823"/>
        <c:scaling>
          <c:orientation val="minMax"/>
          <c:max val="0"/>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 (M)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723235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Cobalt pC -- pH Adsorption Diagram</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'Co2+DLM2'!$V$1</c:f>
              <c:strCache>
                <c:ptCount val="1"/>
                <c:pt idx="0">
                  <c:v>Co2+</c:v>
                </c:pt>
              </c:strCache>
            </c:strRef>
          </c:tx>
          <c:spPr>
            <a:ln w="19050" cap="rnd">
              <a:solidFill>
                <a:schemeClr val="accent1"/>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'Co2+DLM2'!$V$2:$V$21</c:f>
              <c:numCache>
                <c:formatCode>0.000</c:formatCode>
                <c:ptCount val="20"/>
                <c:pt idx="0">
                  <c:v>-3.0005214663206901</c:v>
                </c:pt>
                <c:pt idx="1">
                  <c:v>-3.0005214663206901</c:v>
                </c:pt>
                <c:pt idx="2">
                  <c:v>-3.0005214663206901</c:v>
                </c:pt>
                <c:pt idx="3">
                  <c:v>-3.0005214663206901</c:v>
                </c:pt>
                <c:pt idx="4">
                  <c:v>-3.0005214663206901</c:v>
                </c:pt>
                <c:pt idx="5">
                  <c:v>-3.0005649501236702</c:v>
                </c:pt>
                <c:pt idx="6">
                  <c:v>-3.0005649501236702</c:v>
                </c:pt>
                <c:pt idx="7">
                  <c:v>-3.0006084382809091</c:v>
                </c:pt>
                <c:pt idx="8">
                  <c:v>-3.0007389288868995</c:v>
                </c:pt>
                <c:pt idx="9">
                  <c:v>-3.0009565003968373</c:v>
                </c:pt>
                <c:pt idx="10">
                  <c:v>-3.0014355417390584</c:v>
                </c:pt>
                <c:pt idx="11">
                  <c:v>-3.0024825605852752</c:v>
                </c:pt>
                <c:pt idx="12">
                  <c:v>-3.0045842014575848</c:v>
                </c:pt>
                <c:pt idx="13">
                  <c:v>-3.0093060393202484</c:v>
                </c:pt>
                <c:pt idx="14">
                  <c:v>-3.5668704824195143</c:v>
                </c:pt>
                <c:pt idx="15">
                  <c:v>-4.1988708124202958</c:v>
                </c:pt>
                <c:pt idx="16">
                  <c:v>-4.8309136425129768</c:v>
                </c:pt>
                <c:pt idx="17">
                  <c:v>-5.4609239012072237</c:v>
                </c:pt>
                <c:pt idx="18">
                  <c:v>-6.0928574689968595</c:v>
                </c:pt>
                <c:pt idx="19">
                  <c:v>-6.7249191015431418</c:v>
                </c:pt>
              </c:numCache>
            </c:numRef>
          </c:yVal>
          <c:smooth val="1"/>
          <c:extLst>
            <c:ext xmlns:c16="http://schemas.microsoft.com/office/drawing/2014/chart" uri="{C3380CC4-5D6E-409C-BE32-E72D297353CC}">
              <c16:uniqueId val="{00000000-B133-4ADD-BBAC-0A8D31FD7E48}"/>
            </c:ext>
          </c:extLst>
        </c:ser>
        <c:ser>
          <c:idx val="1"/>
          <c:order val="1"/>
          <c:tx>
            <c:strRef>
              <c:f>'Co2+DLM2'!$W$1</c:f>
              <c:strCache>
                <c:ptCount val="1"/>
                <c:pt idx="0">
                  <c:v>Co(OH)2</c:v>
                </c:pt>
              </c:strCache>
            </c:strRef>
          </c:tx>
          <c:spPr>
            <a:ln w="19050" cap="rnd">
              <a:solidFill>
                <a:schemeClr val="accent2"/>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'Co2+DLM2'!$W$2:$W$21</c:f>
              <c:numCache>
                <c:formatCode>0.000</c:formatCode>
                <c:ptCount val="20"/>
                <c:pt idx="0">
                  <c:v>-13.975514332300833</c:v>
                </c:pt>
                <c:pt idx="1">
                  <c:v>-13.343614280941312</c:v>
                </c:pt>
                <c:pt idx="2">
                  <c:v>-12.711750774428014</c:v>
                </c:pt>
                <c:pt idx="3">
                  <c:v>-12.081655071037725</c:v>
                </c:pt>
                <c:pt idx="4">
                  <c:v>-11.449649327698385</c:v>
                </c:pt>
                <c:pt idx="5">
                  <c:v>-10.817585347565446</c:v>
                </c:pt>
                <c:pt idx="6">
                  <c:v>-10.185685799792541</c:v>
                </c:pt>
                <c:pt idx="7">
                  <c:v>-9.5537735982218361</c:v>
                </c:pt>
                <c:pt idx="8">
                  <c:v>-8.9237237445957831</c:v>
                </c:pt>
                <c:pt idx="9">
                  <c:v>-8.292089334286894</c:v>
                </c:pt>
                <c:pt idx="10">
                  <c:v>-7.6605485586935593</c:v>
                </c:pt>
                <c:pt idx="11">
                  <c:v>-7.0296066279203995</c:v>
                </c:pt>
                <c:pt idx="12">
                  <c:v>-6.4017568083463772</c:v>
                </c:pt>
                <c:pt idx="13">
                  <c:v>-5.7744322865605291</c:v>
                </c:pt>
                <c:pt idx="14">
                  <c:v>-5.7000570999772329</c:v>
                </c:pt>
                <c:pt idx="15">
                  <c:v>-5.7000570999772329</c:v>
                </c:pt>
                <c:pt idx="16">
                  <c:v>-5.7000570999772329</c:v>
                </c:pt>
                <c:pt idx="17">
                  <c:v>-5.7000570999772329</c:v>
                </c:pt>
                <c:pt idx="18">
                  <c:v>-5.7000570999772329</c:v>
                </c:pt>
                <c:pt idx="19">
                  <c:v>-5.7000570999772329</c:v>
                </c:pt>
              </c:numCache>
            </c:numRef>
          </c:yVal>
          <c:smooth val="1"/>
          <c:extLst>
            <c:ext xmlns:c16="http://schemas.microsoft.com/office/drawing/2014/chart" uri="{C3380CC4-5D6E-409C-BE32-E72D297353CC}">
              <c16:uniqueId val="{00000001-B133-4ADD-BBAC-0A8D31FD7E48}"/>
            </c:ext>
          </c:extLst>
        </c:ser>
        <c:ser>
          <c:idx val="7"/>
          <c:order val="2"/>
          <c:tx>
            <c:strRef>
              <c:f>'Co2+DLM2'!$AC$1</c:f>
              <c:strCache>
                <c:ptCount val="1"/>
                <c:pt idx="0">
                  <c:v>CoOH+     </c:v>
                </c:pt>
              </c:strCache>
            </c:strRef>
          </c:tx>
          <c:spPr>
            <a:ln w="19050" cap="rnd">
              <a:solidFill>
                <a:schemeClr val="accent2">
                  <a:lumMod val="60000"/>
                </a:schemeClr>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'Co2+DLM2'!$AC$2:$AC$21</c:f>
              <c:numCache>
                <c:formatCode>0.000</c:formatCode>
                <c:ptCount val="20"/>
                <c:pt idx="0">
                  <c:v>-8.8332739444199486</c:v>
                </c:pt>
                <c:pt idx="1">
                  <c:v>-8.5174122304732318</c:v>
                </c:pt>
                <c:pt idx="2">
                  <c:v>-8.2013493545547309</c:v>
                </c:pt>
                <c:pt idx="3">
                  <c:v>-7.8863908489269718</c:v>
                </c:pt>
                <c:pt idx="4">
                  <c:v>-7.5704091977766987</c:v>
                </c:pt>
                <c:pt idx="5">
                  <c:v>-7.2543787786930611</c:v>
                </c:pt>
                <c:pt idx="6">
                  <c:v>-6.9385475209128069</c:v>
                </c:pt>
                <c:pt idx="7">
                  <c:v>-6.6225116166238669</c:v>
                </c:pt>
                <c:pt idx="8">
                  <c:v>-6.3075937651663692</c:v>
                </c:pt>
                <c:pt idx="9">
                  <c:v>-5.9918258159935736</c:v>
                </c:pt>
                <c:pt idx="10">
                  <c:v>-5.6763354643919</c:v>
                </c:pt>
                <c:pt idx="11">
                  <c:v>-5.3613111133098768</c:v>
                </c:pt>
                <c:pt idx="12">
                  <c:v>-5.0484682094576518</c:v>
                </c:pt>
                <c:pt idx="13">
                  <c:v>-4.7370745306681687</c:v>
                </c:pt>
                <c:pt idx="14">
                  <c:v>-4.9788107009300617</c:v>
                </c:pt>
                <c:pt idx="15">
                  <c:v>-5.2947351376825962</c:v>
                </c:pt>
                <c:pt idx="16">
                  <c:v>-5.6106566887479223</c:v>
                </c:pt>
                <c:pt idx="17">
                  <c:v>-5.9255492810454085</c:v>
                </c:pt>
                <c:pt idx="18">
                  <c:v>-6.2416938182746931</c:v>
                </c:pt>
                <c:pt idx="19">
                  <c:v>-6.5576770442544259</c:v>
                </c:pt>
              </c:numCache>
            </c:numRef>
          </c:yVal>
          <c:smooth val="1"/>
          <c:extLst>
            <c:ext xmlns:c16="http://schemas.microsoft.com/office/drawing/2014/chart" uri="{C3380CC4-5D6E-409C-BE32-E72D297353CC}">
              <c16:uniqueId val="{00000002-B133-4ADD-BBAC-0A8D31FD7E48}"/>
            </c:ext>
          </c:extLst>
        </c:ser>
        <c:ser>
          <c:idx val="9"/>
          <c:order val="4"/>
          <c:tx>
            <c:strRef>
              <c:f>'Co2+DLM2'!$AE$1</c:f>
              <c:strCache>
                <c:ptCount val="1"/>
                <c:pt idx="0">
                  <c:v>Adsorbed Co2+</c:v>
                </c:pt>
              </c:strCache>
            </c:strRef>
          </c:tx>
          <c:spPr>
            <a:ln w="19050" cap="rnd">
              <a:solidFill>
                <a:schemeClr val="accent4">
                  <a:lumMod val="60000"/>
                </a:schemeClr>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'Co2+DLM2'!$AE$2:$AE$21</c:f>
              <c:numCache>
                <c:formatCode>0.000</c:formatCode>
                <c:ptCount val="20"/>
                <c:pt idx="0">
                  <c:v>-5.9179330657148874</c:v>
                </c:pt>
                <c:pt idx="1">
                  <c:v>-5.9179330657148874</c:v>
                </c:pt>
                <c:pt idx="2">
                  <c:v>-5.9179330657148874</c:v>
                </c:pt>
                <c:pt idx="3">
                  <c:v>-5.9179330657148874</c:v>
                </c:pt>
                <c:pt idx="4">
                  <c:v>-5.9179330657148874</c:v>
                </c:pt>
                <c:pt idx="5">
                  <c:v>-5.9179330657148874</c:v>
                </c:pt>
                <c:pt idx="6">
                  <c:v>-5.9179330657148874</c:v>
                </c:pt>
                <c:pt idx="7">
                  <c:v>-5.9179330657148874</c:v>
                </c:pt>
                <c:pt idx="8">
                  <c:v>-5.9182927299026504</c:v>
                </c:pt>
                <c:pt idx="9">
                  <c:v>-5.9182927299026504</c:v>
                </c:pt>
                <c:pt idx="10">
                  <c:v>-5.9186526921958675</c:v>
                </c:pt>
                <c:pt idx="11">
                  <c:v>-5.9190129530891129</c:v>
                </c:pt>
                <c:pt idx="12">
                  <c:v>-5.9200955323332796</c:v>
                </c:pt>
                <c:pt idx="13">
                  <c:v>-5.9226320947158433</c:v>
                </c:pt>
                <c:pt idx="14">
                  <c:v>-6.2470301349709159</c:v>
                </c:pt>
                <c:pt idx="15">
                  <c:v>-6.8965383779052951</c:v>
                </c:pt>
                <c:pt idx="16">
                  <c:v>-6.6127881996862694</c:v>
                </c:pt>
                <c:pt idx="17">
                  <c:v>-6.1283103343144845</c:v>
                </c:pt>
                <c:pt idx="18">
                  <c:v>-5.7848914189469065</c:v>
                </c:pt>
                <c:pt idx="19">
                  <c:v>-5.4708263967382766</c:v>
                </c:pt>
              </c:numCache>
            </c:numRef>
          </c:yVal>
          <c:smooth val="1"/>
          <c:extLst>
            <c:ext xmlns:c16="http://schemas.microsoft.com/office/drawing/2014/chart" uri="{C3380CC4-5D6E-409C-BE32-E72D297353CC}">
              <c16:uniqueId val="{00000003-B133-4ADD-BBAC-0A8D31FD7E48}"/>
            </c:ext>
          </c:extLst>
        </c:ser>
        <c:ser>
          <c:idx val="10"/>
          <c:order val="5"/>
          <c:tx>
            <c:strRef>
              <c:f>'Co2+DLM2'!$AF$1</c:f>
              <c:strCache>
                <c:ptCount val="1"/>
                <c:pt idx="0">
                  <c:v>Desorbed Co2+</c:v>
                </c:pt>
              </c:strCache>
            </c:strRef>
          </c:tx>
          <c:spPr>
            <a:ln w="19050" cap="rnd">
              <a:solidFill>
                <a:schemeClr val="accent5">
                  <a:lumMod val="60000"/>
                </a:schemeClr>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'Co2+DLM2'!$AF$2:$AF$21</c:f>
              <c:numCache>
                <c:formatCode>0.000</c:formatCode>
                <c:ptCount val="20"/>
                <c:pt idx="0">
                  <c:v>-3.0005214663206901</c:v>
                </c:pt>
                <c:pt idx="1">
                  <c:v>-3.0005214663206901</c:v>
                </c:pt>
                <c:pt idx="2">
                  <c:v>-3.0005214663206901</c:v>
                </c:pt>
                <c:pt idx="3">
                  <c:v>-3.0005214663206901</c:v>
                </c:pt>
                <c:pt idx="4">
                  <c:v>-3.0005214663206901</c:v>
                </c:pt>
                <c:pt idx="5">
                  <c:v>-3.0005214663206901</c:v>
                </c:pt>
                <c:pt idx="6">
                  <c:v>-3.0005214663206901</c:v>
                </c:pt>
                <c:pt idx="7">
                  <c:v>-3.0005214663206901</c:v>
                </c:pt>
                <c:pt idx="8">
                  <c:v>-3.0005214663206901</c:v>
                </c:pt>
                <c:pt idx="9">
                  <c:v>-3.0005214663206901</c:v>
                </c:pt>
                <c:pt idx="10">
                  <c:v>-3.0005214663206901</c:v>
                </c:pt>
                <c:pt idx="11">
                  <c:v>-3.0005214663206901</c:v>
                </c:pt>
                <c:pt idx="12">
                  <c:v>-3.0005214663206901</c:v>
                </c:pt>
                <c:pt idx="13">
                  <c:v>-3.0005214663206901</c:v>
                </c:pt>
                <c:pt idx="14">
                  <c:v>-3.5472937734889709</c:v>
                </c:pt>
                <c:pt idx="15">
                  <c:v>-4.1528593825865938</c:v>
                </c:pt>
                <c:pt idx="16">
                  <c:v>-4.7164726351383059</c:v>
                </c:pt>
                <c:pt idx="17">
                  <c:v>-5.1776357475584502</c:v>
                </c:pt>
                <c:pt idx="18">
                  <c:v>-5.471211808225104</c:v>
                </c:pt>
                <c:pt idx="19">
                  <c:v>-5.6080069277402869</c:v>
                </c:pt>
              </c:numCache>
            </c:numRef>
          </c:yVal>
          <c:smooth val="1"/>
          <c:extLst>
            <c:ext xmlns:c16="http://schemas.microsoft.com/office/drawing/2014/chart" uri="{C3380CC4-5D6E-409C-BE32-E72D297353CC}">
              <c16:uniqueId val="{00000004-B133-4ADD-BBAC-0A8D31FD7E48}"/>
            </c:ext>
          </c:extLst>
        </c:ser>
        <c:ser>
          <c:idx val="2"/>
          <c:order val="6"/>
          <c:tx>
            <c:strRef>
              <c:f>'Co2+DLM2'!$AG$1</c:f>
              <c:strCache>
                <c:ptCount val="1"/>
                <c:pt idx="0">
                  <c:v>Co3+</c:v>
                </c:pt>
              </c:strCache>
            </c:strRef>
          </c:tx>
          <c:spPr>
            <a:ln w="19050" cap="rnd">
              <a:solidFill>
                <a:schemeClr val="accent3"/>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'Co2+DLM2'!$AG$2:$AG$21</c:f>
              <c:numCache>
                <c:formatCode>General</c:formatCode>
                <c:ptCount val="20"/>
                <c:pt idx="0">
                  <c:v>-13.901356274182943</c:v>
                </c:pt>
                <c:pt idx="1">
                  <c:v>-14.849550590539119</c:v>
                </c:pt>
                <c:pt idx="2">
                  <c:v>-15.797511682939906</c:v>
                </c:pt>
                <c:pt idx="3">
                  <c:v>-16.742561433140185</c:v>
                </c:pt>
                <c:pt idx="4">
                  <c:v>-17.690369832574103</c:v>
                </c:pt>
                <c:pt idx="5">
                  <c:v>-18.63846102873072</c:v>
                </c:pt>
                <c:pt idx="6">
                  <c:v>-19.586532587014176</c:v>
                </c:pt>
                <c:pt idx="7">
                  <c:v>-20.534468443026451</c:v>
                </c:pt>
                <c:pt idx="8">
                  <c:v>-21.479516467259209</c:v>
                </c:pt>
                <c:pt idx="9">
                  <c:v>-22.427476902150364</c:v>
                </c:pt>
                <c:pt idx="10">
                  <c:v>-23.37551163748655</c:v>
                </c:pt>
                <c:pt idx="11">
                  <c:v>-24.323489289717447</c:v>
                </c:pt>
                <c:pt idx="12">
                  <c:v>-25.268491816403973</c:v>
                </c:pt>
                <c:pt idx="13">
                  <c:v>-26.216453717729649</c:v>
                </c:pt>
                <c:pt idx="14">
                  <c:v>-27.164436248330905</c:v>
                </c:pt>
                <c:pt idx="15">
                  <c:v>-28.112495225764622</c:v>
                </c:pt>
                <c:pt idx="16">
                  <c:v>-29.06048074738138</c:v>
                </c:pt>
                <c:pt idx="17">
                  <c:v>-30.005462895701502</c:v>
                </c:pt>
                <c:pt idx="18">
                  <c:v>-30.953504835665292</c:v>
                </c:pt>
                <c:pt idx="19">
                  <c:v>-31.901356274182945</c:v>
                </c:pt>
              </c:numCache>
            </c:numRef>
          </c:yVal>
          <c:smooth val="1"/>
          <c:extLst>
            <c:ext xmlns:c16="http://schemas.microsoft.com/office/drawing/2014/chart" uri="{C3380CC4-5D6E-409C-BE32-E72D297353CC}">
              <c16:uniqueId val="{00000005-B133-4ADD-BBAC-0A8D31FD7E48}"/>
            </c:ext>
          </c:extLst>
        </c:ser>
        <c:ser>
          <c:idx val="3"/>
          <c:order val="7"/>
          <c:tx>
            <c:strRef>
              <c:f>'Co2+DLM2'!$AH$1</c:f>
              <c:strCache>
                <c:ptCount val="1"/>
                <c:pt idx="0">
                  <c:v>CoOH2+</c:v>
                </c:pt>
              </c:strCache>
            </c:strRef>
          </c:tx>
          <c:spPr>
            <a:ln w="19050" cap="rnd">
              <a:solidFill>
                <a:schemeClr val="accent4"/>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'Co2+DLM2'!$AH$2:$AH$21</c:f>
              <c:numCache>
                <c:formatCode>General</c:formatCode>
                <c:ptCount val="20"/>
                <c:pt idx="0">
                  <c:v>-11.418847108033711</c:v>
                </c:pt>
                <c:pt idx="1">
                  <c:v>-12.050854047580057</c:v>
                </c:pt>
                <c:pt idx="2">
                  <c:v>-12.68277265082358</c:v>
                </c:pt>
                <c:pt idx="3">
                  <c:v>-13.312917155395629</c:v>
                </c:pt>
                <c:pt idx="4">
                  <c:v>-13.945004138470859</c:v>
                </c:pt>
                <c:pt idx="5">
                  <c:v>-14.576918041702768</c:v>
                </c:pt>
                <c:pt idx="6">
                  <c:v>-15.208870999272714</c:v>
                </c:pt>
                <c:pt idx="7">
                  <c:v>-15.840733668906505</c:v>
                </c:pt>
                <c:pt idx="8">
                  <c:v>-16.470826396738278</c:v>
                </c:pt>
                <c:pt idx="9">
                  <c:v>-17.102867956617906</c:v>
                </c:pt>
                <c:pt idx="10">
                  <c:v>-17.734946211495984</c:v>
                </c:pt>
                <c:pt idx="11">
                  <c:v>-18.366834646316097</c:v>
                </c:pt>
                <c:pt idx="12">
                  <c:v>-18.996970529446383</c:v>
                </c:pt>
                <c:pt idx="13">
                  <c:v>-19.628932137728263</c:v>
                </c:pt>
                <c:pt idx="14">
                  <c:v>-20.260902553882524</c:v>
                </c:pt>
                <c:pt idx="15">
                  <c:v>-20.892790030352131</c:v>
                </c:pt>
                <c:pt idx="16">
                  <c:v>-21.524910196610993</c:v>
                </c:pt>
                <c:pt idx="17">
                  <c:v>-22.154901959985743</c:v>
                </c:pt>
                <c:pt idx="18">
                  <c:v>-22.786747947803605</c:v>
                </c:pt>
                <c:pt idx="19">
                  <c:v>-23.41884710803371</c:v>
                </c:pt>
              </c:numCache>
            </c:numRef>
          </c:yVal>
          <c:smooth val="1"/>
          <c:extLst>
            <c:ext xmlns:c16="http://schemas.microsoft.com/office/drawing/2014/chart" uri="{C3380CC4-5D6E-409C-BE32-E72D297353CC}">
              <c16:uniqueId val="{00000006-B133-4ADD-BBAC-0A8D31FD7E48}"/>
            </c:ext>
          </c:extLst>
        </c:ser>
        <c:ser>
          <c:idx val="4"/>
          <c:order val="8"/>
          <c:tx>
            <c:strRef>
              <c:f>'Co2+DLM2'!$AI$1</c:f>
              <c:strCache>
                <c:ptCount val="1"/>
                <c:pt idx="0">
                  <c:v>Adsorbed Co3+</c:v>
                </c:pt>
              </c:strCache>
            </c:strRef>
          </c:tx>
          <c:spPr>
            <a:ln w="19050" cap="rnd">
              <a:solidFill>
                <a:schemeClr val="accent5"/>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'Co2+DLM2'!$AI$2:$AI$21</c:f>
              <c:numCache>
                <c:formatCode>General</c:formatCode>
                <c:ptCount val="20"/>
                <c:pt idx="0">
                  <c:v>-2.7387371312075066</c:v>
                </c:pt>
                <c:pt idx="1">
                  <c:v>-2.4263163069062021</c:v>
                </c:pt>
                <c:pt idx="2">
                  <c:v>-2.1181020264269885</c:v>
                </c:pt>
                <c:pt idx="3">
                  <c:v>-1.8195873671616762</c:v>
                </c:pt>
                <c:pt idx="4">
                  <c:v>-1.5392524581558031</c:v>
                </c:pt>
                <c:pt idx="5">
                  <c:v>-1.3033815407677751</c:v>
                </c:pt>
                <c:pt idx="6">
                  <c:v>-1.1592667653881932</c:v>
                </c:pt>
                <c:pt idx="7">
                  <c:v>-1.1158279304760872</c:v>
                </c:pt>
                <c:pt idx="8">
                  <c:v>-1.1092996023011248</c:v>
                </c:pt>
                <c:pt idx="9">
                  <c:v>-1.108574057152006</c:v>
                </c:pt>
                <c:pt idx="10">
                  <c:v>-1.1084625423274355</c:v>
                </c:pt>
                <c:pt idx="11">
                  <c:v>-1.1084625423274355</c:v>
                </c:pt>
                <c:pt idx="12">
                  <c:v>-1.1084625423274355</c:v>
                </c:pt>
                <c:pt idx="13">
                  <c:v>-1.1084625423274355</c:v>
                </c:pt>
                <c:pt idx="14">
                  <c:v>-1.1084625423274355</c:v>
                </c:pt>
                <c:pt idx="15">
                  <c:v>-1.1084625423274355</c:v>
                </c:pt>
                <c:pt idx="16">
                  <c:v>-1.1084625423274355</c:v>
                </c:pt>
                <c:pt idx="17">
                  <c:v>-1.1084625423274355</c:v>
                </c:pt>
                <c:pt idx="18">
                  <c:v>-1.1084625423274355</c:v>
                </c:pt>
                <c:pt idx="19">
                  <c:v>-1.1084625423274355</c:v>
                </c:pt>
              </c:numCache>
            </c:numRef>
          </c:yVal>
          <c:smooth val="1"/>
          <c:extLst>
            <c:ext xmlns:c16="http://schemas.microsoft.com/office/drawing/2014/chart" uri="{C3380CC4-5D6E-409C-BE32-E72D297353CC}">
              <c16:uniqueId val="{00000007-B133-4ADD-BBAC-0A8D31FD7E48}"/>
            </c:ext>
          </c:extLst>
        </c:ser>
        <c:ser>
          <c:idx val="5"/>
          <c:order val="9"/>
          <c:tx>
            <c:strRef>
              <c:f>'Co2+DLM2'!$AJ$1</c:f>
              <c:strCache>
                <c:ptCount val="1"/>
                <c:pt idx="0">
                  <c:v>Desorbed Co3+</c:v>
                </c:pt>
              </c:strCache>
            </c:strRef>
          </c:tx>
          <c:spPr>
            <a:ln w="19050" cap="rnd">
              <a:solidFill>
                <a:schemeClr val="accent6"/>
              </a:solidFill>
              <a:round/>
            </a:ln>
            <a:effectLst/>
          </c:spPr>
          <c:marker>
            <c:symbol val="none"/>
          </c:marker>
          <c:xVal>
            <c:numRef>
              <c:f>'Co2+DLM2'!$U$2:$U$21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'Co2+DLM2'!$AJ$2:$AJ$21</c:f>
              <c:numCache>
                <c:formatCode>General</c:formatCode>
                <c:ptCount val="20"/>
                <c:pt idx="0">
                  <c:v>-11.417482116395938</c:v>
                </c:pt>
                <c:pt idx="1">
                  <c:v>-12.050171041064687</c:v>
                </c:pt>
                <c:pt idx="2">
                  <c:v>-12.6825635034649</c:v>
                </c:pt>
                <c:pt idx="3">
                  <c:v>-13.312738653756494</c:v>
                </c:pt>
                <c:pt idx="4">
                  <c:v>-13.944621668625</c:v>
                </c:pt>
                <c:pt idx="5">
                  <c:v>-14.576918041702768</c:v>
                </c:pt>
                <c:pt idx="6">
                  <c:v>-15.208870999272714</c:v>
                </c:pt>
                <c:pt idx="7">
                  <c:v>-15.840733668906505</c:v>
                </c:pt>
                <c:pt idx="8">
                  <c:v>-16.470826396738278</c:v>
                </c:pt>
                <c:pt idx="9">
                  <c:v>-17.102867956617906</c:v>
                </c:pt>
                <c:pt idx="10">
                  <c:v>-17.734946211495984</c:v>
                </c:pt>
                <c:pt idx="11">
                  <c:v>-18.366834646316097</c:v>
                </c:pt>
                <c:pt idx="12">
                  <c:v>-18.996970529446383</c:v>
                </c:pt>
                <c:pt idx="13">
                  <c:v>-19.628932137728263</c:v>
                </c:pt>
                <c:pt idx="14">
                  <c:v>-20.260902553882524</c:v>
                </c:pt>
                <c:pt idx="15">
                  <c:v>-20.892790030352131</c:v>
                </c:pt>
                <c:pt idx="16">
                  <c:v>-21.524910196610993</c:v>
                </c:pt>
                <c:pt idx="17">
                  <c:v>-22.154901959985743</c:v>
                </c:pt>
                <c:pt idx="18">
                  <c:v>-22.786747947803605</c:v>
                </c:pt>
                <c:pt idx="19">
                  <c:v>-23.41884710803371</c:v>
                </c:pt>
              </c:numCache>
            </c:numRef>
          </c:yVal>
          <c:smooth val="1"/>
          <c:extLst>
            <c:ext xmlns:c16="http://schemas.microsoft.com/office/drawing/2014/chart" uri="{C3380CC4-5D6E-409C-BE32-E72D297353CC}">
              <c16:uniqueId val="{00000008-B133-4ADD-BBAC-0A8D31FD7E48}"/>
            </c:ext>
          </c:extLst>
        </c:ser>
        <c:dLbls>
          <c:showLegendKey val="0"/>
          <c:showVal val="0"/>
          <c:showCatName val="0"/>
          <c:showSerName val="0"/>
          <c:showPercent val="0"/>
          <c:showBubbleSize val="0"/>
        </c:dLbls>
        <c:axId val="1024400415"/>
        <c:axId val="1024403327"/>
        <c:extLst>
          <c:ext xmlns:c15="http://schemas.microsoft.com/office/drawing/2012/chart" uri="{02D57815-91ED-43cb-92C2-25804820EDAC}">
            <c15:filteredScatterSeries>
              <c15:ser>
                <c:idx val="8"/>
                <c:order val="3"/>
                <c:tx>
                  <c:strRef>
                    <c:extLst>
                      <c:ext uri="{02D57815-91ED-43cb-92C2-25804820EDAC}">
                        <c15:formulaRef>
                          <c15:sqref>'Co2+DLM2'!$AD$1</c15:sqref>
                        </c15:formulaRef>
                      </c:ext>
                    </c:extLst>
                    <c:strCache>
                      <c:ptCount val="1"/>
                      <c:pt idx="0">
                        <c:v>7:TOTAL CO(2+</c:v>
                      </c:pt>
                    </c:strCache>
                  </c:strRef>
                </c:tx>
                <c:spPr>
                  <a:ln w="19050" cap="rnd">
                    <a:solidFill>
                      <a:schemeClr val="accent3">
                        <a:lumMod val="60000"/>
                      </a:schemeClr>
                    </a:solidFill>
                    <a:round/>
                  </a:ln>
                  <a:effectLst/>
                </c:spPr>
                <c:marker>
                  <c:symbol val="none"/>
                </c:marker>
                <c:xVal>
                  <c:numRef>
                    <c:extLst>
                      <c:ext uri="{02D57815-91ED-43cb-92C2-25804820EDAC}">
                        <c15:formulaRef>
                          <c15:sqref>'Co2+DLM2'!$U$2:$U$21</c15:sqref>
                        </c15:formulaRef>
                      </c:ext>
                    </c:extLst>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extLst>
                      <c:ext uri="{02D57815-91ED-43cb-92C2-25804820EDAC}">
                        <c15:formulaRef>
                          <c15:sqref>'Co2+DLM2'!$AD$2:$AD$21</c15:sqref>
                        </c15:formulaRef>
                      </c:ext>
                    </c:extLst>
                    <c:numCache>
                      <c:formatCode>0.000</c:formatCode>
                      <c:ptCount val="20"/>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-3.5463759264085488</c:v>
                      </c:pt>
                      <c:pt idx="15">
                        <c:v>-4.1520573611547764</c:v>
                      </c:pt>
                      <c:pt idx="16">
                        <c:v>-4.7221616669979527</c:v>
                      </c:pt>
                      <c:pt idx="17">
                        <c:v>-5.2292216038308528</c:v>
                      </c:pt>
                      <c:pt idx="18">
                        <c:v>-5.7602001815529009</c:v>
                      </c:pt>
                      <c:pt idx="19">
                        <c:v>-6.0383890919087193</c:v>
                      </c:pt>
                    </c:numCache>
                  </c:numRef>
                </c:yVal>
                <c:smooth val="1"/>
                <c:extLst>
                  <c:ext xmlns:c16="http://schemas.microsoft.com/office/drawing/2014/chart" uri="{C3380CC4-5D6E-409C-BE32-E72D297353CC}">
                    <c16:uniqueId val="{00000009-B133-4ADD-BBAC-0A8D31FD7E48}"/>
                  </c:ext>
                </c:extLst>
              </c15:ser>
            </c15:filteredScatterSeries>
          </c:ext>
        </c:extLst>
      </c:scatterChart>
      <c:valAx>
        <c:axId val="1024400415"/>
        <c:scaling>
          <c:orientation val="minMax"/>
          <c:max val="10"/>
          <c:min val="4"/>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4403327"/>
        <c:crosses val="autoZero"/>
        <c:crossBetween val="midCat"/>
      </c:valAx>
      <c:valAx>
        <c:axId val="1024403327"/>
        <c:scaling>
          <c:orientation val="minMax"/>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 (M)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440041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LIB pC -- pH Adsorption Diagram</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Organized!$L$1</c:f>
              <c:strCache>
                <c:ptCount val="1"/>
                <c:pt idx="0">
                  <c:v>Al3+</c:v>
                </c:pt>
              </c:strCache>
            </c:strRef>
          </c:tx>
          <c:spPr>
            <a:ln w="19050" cap="rnd">
              <a:solidFill>
                <a:schemeClr val="accent1"/>
              </a:solidFill>
              <a:prstDash val="dash"/>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Organized!$L$2:$L$21</c:f>
              <c:numCache>
                <c:formatCode>0.00</c:formatCode>
                <c:ptCount val="20"/>
                <c:pt idx="0">
                  <c:v>-6.4936302829044958</c:v>
                </c:pt>
                <c:pt idx="1">
                  <c:v>-5.8880657236673182</c:v>
                </c:pt>
                <c:pt idx="2">
                  <c:v>-5.414539270491499</c:v>
                </c:pt>
                <c:pt idx="3">
                  <c:v>-4.9771593891234724</c:v>
                </c:pt>
                <c:pt idx="4">
                  <c:v>-4.5815329790533994</c:v>
                </c:pt>
                <c:pt idx="5">
                  <c:v>-4.230844309285601</c:v>
                </c:pt>
                <c:pt idx="6">
                  <c:v>-3.904481957676849</c:v>
                </c:pt>
                <c:pt idx="7">
                  <c:v>-3.5861974832306487</c:v>
                </c:pt>
                <c:pt idx="8">
                  <c:v>-3.2710783536271406</c:v>
                </c:pt>
                <c:pt idx="9">
                  <c:v>-2.9558523791212772</c:v>
                </c:pt>
                <c:pt idx="10">
                  <c:v>-2.6422556748196242</c:v>
                </c:pt>
                <c:pt idx="11">
                  <c:v>-2.3307761260691944</c:v>
                </c:pt>
                <c:pt idx="12">
                  <c:v>-2.0255343642627577</c:v>
                </c:pt>
                <c:pt idx="13">
                  <c:v>-1.730253626869233</c:v>
                </c:pt>
                <c:pt idx="14">
                  <c:v>-1.4600461583436033</c:v>
                </c:pt>
                <c:pt idx="15">
                  <c:v>-1.2468767553182873</c:v>
                </c:pt>
                <c:pt idx="16">
                  <c:v>-1.1378089689484028</c:v>
                </c:pt>
                <c:pt idx="17">
                  <c:v>-1.1123264475455525</c:v>
                </c:pt>
                <c:pt idx="18">
                  <c:v>-1.1089087735322762</c:v>
                </c:pt>
                <c:pt idx="19">
                  <c:v>-1.10851829616048</c:v>
                </c:pt>
              </c:numCache>
            </c:numRef>
          </c:yVal>
          <c:smooth val="1"/>
          <c:extLst>
            <c:ext xmlns:c16="http://schemas.microsoft.com/office/drawing/2014/chart" uri="{C3380CC4-5D6E-409C-BE32-E72D297353CC}">
              <c16:uniqueId val="{00000000-7C2A-4A90-BE45-267DE0B59BEB}"/>
            </c:ext>
          </c:extLst>
        </c:ser>
        <c:ser>
          <c:idx val="1"/>
          <c:order val="1"/>
          <c:tx>
            <c:strRef>
              <c:f>Organized!$M$1</c:f>
              <c:strCache>
                <c:ptCount val="1"/>
                <c:pt idx="0">
                  <c:v>Co2+</c:v>
                </c:pt>
              </c:strCache>
            </c:strRef>
          </c:tx>
          <c:spPr>
            <a:ln w="19050" cap="rnd">
              <a:solidFill>
                <a:srgbClr val="7030A0"/>
              </a:solidFill>
              <a:prstDash val="sysDash"/>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Organized!$M$2:$M$21</c:f>
              <c:numCache>
                <c:formatCode>0.00</c:formatCode>
                <c:ptCount val="20"/>
                <c:pt idx="0">
                  <c:v>-5.9179330657148874</c:v>
                </c:pt>
                <c:pt idx="1">
                  <c:v>-5.9179330657148874</c:v>
                </c:pt>
                <c:pt idx="2">
                  <c:v>-5.9179330657148874</c:v>
                </c:pt>
                <c:pt idx="3">
                  <c:v>-5.9179330657148874</c:v>
                </c:pt>
                <c:pt idx="4">
                  <c:v>-5.9179330657148874</c:v>
                </c:pt>
                <c:pt idx="5">
                  <c:v>-5.9179330657148874</c:v>
                </c:pt>
                <c:pt idx="6">
                  <c:v>-5.9179330657148874</c:v>
                </c:pt>
                <c:pt idx="7">
                  <c:v>-5.9179330657148874</c:v>
                </c:pt>
                <c:pt idx="8">
                  <c:v>-5.9182927299026504</c:v>
                </c:pt>
                <c:pt idx="9">
                  <c:v>-5.9182927299026504</c:v>
                </c:pt>
                <c:pt idx="10">
                  <c:v>-5.9186526921958675</c:v>
                </c:pt>
                <c:pt idx="11">
                  <c:v>-5.9190129530891129</c:v>
                </c:pt>
                <c:pt idx="12">
                  <c:v>-5.9200955323332796</c:v>
                </c:pt>
                <c:pt idx="13">
                  <c:v>-5.9226320947158433</c:v>
                </c:pt>
                <c:pt idx="14">
                  <c:v>-6.2470301349709159</c:v>
                </c:pt>
                <c:pt idx="15">
                  <c:v>-6.8965383779052951</c:v>
                </c:pt>
                <c:pt idx="16">
                  <c:v>-6.6127881996862694</c:v>
                </c:pt>
                <c:pt idx="17">
                  <c:v>-6.1283103343144845</c:v>
                </c:pt>
                <c:pt idx="18">
                  <c:v>-5.7848914189469065</c:v>
                </c:pt>
                <c:pt idx="19">
                  <c:v>-5.4708263967382766</c:v>
                </c:pt>
              </c:numCache>
            </c:numRef>
          </c:yVal>
          <c:smooth val="1"/>
          <c:extLst>
            <c:ext xmlns:c16="http://schemas.microsoft.com/office/drawing/2014/chart" uri="{C3380CC4-5D6E-409C-BE32-E72D297353CC}">
              <c16:uniqueId val="{00000001-7C2A-4A90-BE45-267DE0B59BEB}"/>
            </c:ext>
          </c:extLst>
        </c:ser>
        <c:ser>
          <c:idx val="2"/>
          <c:order val="2"/>
          <c:tx>
            <c:strRef>
              <c:f>Organized!$N$1</c:f>
              <c:strCache>
                <c:ptCount val="1"/>
                <c:pt idx="0">
                  <c:v>Co3+</c:v>
                </c:pt>
              </c:strCache>
            </c:strRef>
          </c:tx>
          <c:spPr>
            <a:ln w="19050" cap="rnd">
              <a:solidFill>
                <a:schemeClr val="accent3"/>
              </a:solidFill>
              <a:prstDash val="sysDot"/>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Organized!$N$2:$N$21</c:f>
              <c:numCache>
                <c:formatCode>0.00</c:formatCode>
                <c:ptCount val="20"/>
                <c:pt idx="0">
                  <c:v>-2.7387371312075066</c:v>
                </c:pt>
                <c:pt idx="1">
                  <c:v>-2.4263163069062021</c:v>
                </c:pt>
                <c:pt idx="2">
                  <c:v>-2.1181020264269885</c:v>
                </c:pt>
                <c:pt idx="3">
                  <c:v>-1.8195873671616762</c:v>
                </c:pt>
                <c:pt idx="4">
                  <c:v>-1.5392524581558031</c:v>
                </c:pt>
                <c:pt idx="5">
                  <c:v>-1.3033815407677751</c:v>
                </c:pt>
                <c:pt idx="6">
                  <c:v>-1.1592667653881932</c:v>
                </c:pt>
                <c:pt idx="7">
                  <c:v>-1.1158279304760872</c:v>
                </c:pt>
                <c:pt idx="8">
                  <c:v>-1.1092996023011248</c:v>
                </c:pt>
                <c:pt idx="9">
                  <c:v>-1.108574057152006</c:v>
                </c:pt>
                <c:pt idx="10">
                  <c:v>-1.1084625423274355</c:v>
                </c:pt>
                <c:pt idx="11">
                  <c:v>-1.1084625423274355</c:v>
                </c:pt>
                <c:pt idx="12">
                  <c:v>-1.1084625423274355</c:v>
                </c:pt>
                <c:pt idx="13">
                  <c:v>-1.1084625423274355</c:v>
                </c:pt>
                <c:pt idx="14">
                  <c:v>-1.1084625423274355</c:v>
                </c:pt>
                <c:pt idx="15">
                  <c:v>-1.1084625423274355</c:v>
                </c:pt>
                <c:pt idx="16">
                  <c:v>-1.1084625423274355</c:v>
                </c:pt>
                <c:pt idx="17">
                  <c:v>-1.1084625423274355</c:v>
                </c:pt>
                <c:pt idx="18">
                  <c:v>-1.1084625423274355</c:v>
                </c:pt>
                <c:pt idx="19">
                  <c:v>-1.1084625423274355</c:v>
                </c:pt>
              </c:numCache>
            </c:numRef>
          </c:yVal>
          <c:smooth val="1"/>
          <c:extLst>
            <c:ext xmlns:c16="http://schemas.microsoft.com/office/drawing/2014/chart" uri="{C3380CC4-5D6E-409C-BE32-E72D297353CC}">
              <c16:uniqueId val="{00000002-7C2A-4A90-BE45-267DE0B59BEB}"/>
            </c:ext>
          </c:extLst>
        </c:ser>
        <c:ser>
          <c:idx val="3"/>
          <c:order val="3"/>
          <c:tx>
            <c:strRef>
              <c:f>Organized!$O$1</c:f>
              <c:strCache>
                <c:ptCount val="1"/>
                <c:pt idx="0">
                  <c:v>Cu+</c:v>
                </c:pt>
              </c:strCache>
            </c:strRef>
          </c:tx>
          <c:spPr>
            <a:ln w="19050" cap="rnd">
              <a:solidFill>
                <a:schemeClr val="accent4"/>
              </a:solidFill>
              <a:prstDash val="dashDot"/>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Organized!$O$2:$O$21</c:f>
              <c:numCache>
                <c:formatCode>0.00</c:formatCode>
                <c:ptCount val="20"/>
                <c:pt idx="0">
                  <c:v>-7.2251911696892943</c:v>
                </c:pt>
                <c:pt idx="1">
                  <c:v>-6.6034519620128682</c:v>
                </c:pt>
                <c:pt idx="2">
                  <c:v>-6.3265183029266527</c:v>
                </c:pt>
                <c:pt idx="3">
                  <c:v>-6.1225710592117801</c:v>
                </c:pt>
                <c:pt idx="4">
                  <c:v>-5.9461535731477477</c:v>
                </c:pt>
                <c:pt idx="5">
                  <c:v>-5.7806774915806631</c:v>
                </c:pt>
                <c:pt idx="6">
                  <c:v>-5.6219656775426685</c:v>
                </c:pt>
                <c:pt idx="7">
                  <c:v>-5.4672456210075024</c:v>
                </c:pt>
                <c:pt idx="8">
                  <c:v>-5.3164126824272326</c:v>
                </c:pt>
                <c:pt idx="9">
                  <c:v>-5.1685781829349775</c:v>
                </c:pt>
                <c:pt idx="10">
                  <c:v>-5.0247980377421477</c:v>
                </c:pt>
                <c:pt idx="11">
                  <c:v>-4.8857227034384136</c:v>
                </c:pt>
                <c:pt idx="12">
                  <c:v>-4.7522721670902772</c:v>
                </c:pt>
                <c:pt idx="13">
                  <c:v>-4.62397081827182</c:v>
                </c:pt>
                <c:pt idx="14">
                  <c:v>-4.5012760292520957</c:v>
                </c:pt>
                <c:pt idx="15">
                  <c:v>-4.383209513670284</c:v>
                </c:pt>
                <c:pt idx="16">
                  <c:v>-4.269137007953506</c:v>
                </c:pt>
                <c:pt idx="17">
                  <c:v>-4.1583277499263653</c:v>
                </c:pt>
                <c:pt idx="18">
                  <c:v>-4.0491971770353414</c:v>
                </c:pt>
                <c:pt idx="19">
                  <c:v>-3.9415739755429944</c:v>
                </c:pt>
              </c:numCache>
            </c:numRef>
          </c:yVal>
          <c:smooth val="1"/>
          <c:extLst>
            <c:ext xmlns:c16="http://schemas.microsoft.com/office/drawing/2014/chart" uri="{C3380CC4-5D6E-409C-BE32-E72D297353CC}">
              <c16:uniqueId val="{00000003-7C2A-4A90-BE45-267DE0B59BEB}"/>
            </c:ext>
          </c:extLst>
        </c:ser>
        <c:ser>
          <c:idx val="4"/>
          <c:order val="4"/>
          <c:tx>
            <c:strRef>
              <c:f>Organized!$P$1</c:f>
              <c:strCache>
                <c:ptCount val="1"/>
                <c:pt idx="0">
                  <c:v>Cu2+</c:v>
                </c:pt>
              </c:strCache>
            </c:strRef>
          </c:tx>
          <c:spPr>
            <a:ln w="19050" cap="rnd">
              <a:solidFill>
                <a:schemeClr val="accent5"/>
              </a:solidFill>
              <a:prstDash val="lgDash"/>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Organized!$P$2:$P$21</c:f>
              <c:numCache>
                <c:formatCode>0.00</c:formatCode>
                <c:ptCount val="20"/>
                <c:pt idx="0">
                  <c:v>-5.9179330657148874</c:v>
                </c:pt>
                <c:pt idx="1">
                  <c:v>-5.9182927299026504</c:v>
                </c:pt>
                <c:pt idx="2">
                  <c:v>-5.9182927299026504</c:v>
                </c:pt>
                <c:pt idx="3">
                  <c:v>-5.9186526921958675</c:v>
                </c:pt>
                <c:pt idx="4">
                  <c:v>-5.9193735130781944</c:v>
                </c:pt>
                <c:pt idx="5">
                  <c:v>-6.1024278861742696</c:v>
                </c:pt>
                <c:pt idx="6">
                  <c:v>-6.5673513399868932</c:v>
                </c:pt>
                <c:pt idx="7">
                  <c:v>-6.9901243662878398</c:v>
                </c:pt>
                <c:pt idx="8">
                  <c:v>-6.2765443279648139</c:v>
                </c:pt>
                <c:pt idx="9">
                  <c:v>-5.90622821850127</c:v>
                </c:pt>
                <c:pt idx="10">
                  <c:v>-5.5853608532629906</c:v>
                </c:pt>
                <c:pt idx="11">
                  <c:v>-5.281000362121282</c:v>
                </c:pt>
                <c:pt idx="12">
                  <c:v>-4.9922522219992604</c:v>
                </c:pt>
                <c:pt idx="13">
                  <c:v>-4.7217037919087259</c:v>
                </c:pt>
                <c:pt idx="14">
                  <c:v>-4.4731440128741253</c:v>
                </c:pt>
                <c:pt idx="15">
                  <c:v>-4.242907779881067</c:v>
                </c:pt>
                <c:pt idx="16">
                  <c:v>-4.0235124626948098</c:v>
                </c:pt>
                <c:pt idx="17">
                  <c:v>-3.8099485822407941</c:v>
                </c:pt>
                <c:pt idx="18">
                  <c:v>-3.598254917762937</c:v>
                </c:pt>
                <c:pt idx="19">
                  <c:v>-3.3873220816834984</c:v>
                </c:pt>
              </c:numCache>
            </c:numRef>
          </c:yVal>
          <c:smooth val="1"/>
          <c:extLst>
            <c:ext xmlns:c16="http://schemas.microsoft.com/office/drawing/2014/chart" uri="{C3380CC4-5D6E-409C-BE32-E72D297353CC}">
              <c16:uniqueId val="{00000004-7C2A-4A90-BE45-267DE0B59BEB}"/>
            </c:ext>
          </c:extLst>
        </c:ser>
        <c:ser>
          <c:idx val="6"/>
          <c:order val="5"/>
          <c:tx>
            <c:strRef>
              <c:f>Organized!$Q$1</c:f>
              <c:strCache>
                <c:ptCount val="1"/>
                <c:pt idx="0">
                  <c:v>Mn2+</c:v>
                </c:pt>
              </c:strCache>
            </c:strRef>
          </c:tx>
          <c:spPr>
            <a:ln w="19050" cap="rnd">
              <a:solidFill>
                <a:srgbClr val="00B050"/>
              </a:solidFill>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Organized!$Q$2:$Q$21</c:f>
              <c:numCache>
                <c:formatCode>0.00</c:formatCode>
                <c:ptCount val="20"/>
                <c:pt idx="0">
                  <c:v>-5.9179330657148874</c:v>
                </c:pt>
                <c:pt idx="1">
                  <c:v>-5.9179330657148874</c:v>
                </c:pt>
                <c:pt idx="2">
                  <c:v>-5.9179330657148874</c:v>
                </c:pt>
                <c:pt idx="3">
                  <c:v>-5.9179330657148874</c:v>
                </c:pt>
                <c:pt idx="4">
                  <c:v>-5.9179330657148874</c:v>
                </c:pt>
                <c:pt idx="5">
                  <c:v>-5.9179330657148874</c:v>
                </c:pt>
                <c:pt idx="6">
                  <c:v>-5.9179330657148874</c:v>
                </c:pt>
                <c:pt idx="7">
                  <c:v>-5.9179330657148874</c:v>
                </c:pt>
                <c:pt idx="8">
                  <c:v>-5.9179330657148874</c:v>
                </c:pt>
                <c:pt idx="9">
                  <c:v>-5.9179330657148874</c:v>
                </c:pt>
                <c:pt idx="10">
                  <c:v>-5.9179330657148874</c:v>
                </c:pt>
                <c:pt idx="11">
                  <c:v>-5.9182927299026504</c:v>
                </c:pt>
                <c:pt idx="12">
                  <c:v>-5.9182927299026504</c:v>
                </c:pt>
                <c:pt idx="13">
                  <c:v>-5.9186526921958675</c:v>
                </c:pt>
                <c:pt idx="14">
                  <c:v>-5.9190129530891129</c:v>
                </c:pt>
                <c:pt idx="15">
                  <c:v>-5.920456992597094</c:v>
                </c:pt>
                <c:pt idx="16">
                  <c:v>-5.9226320947158433</c:v>
                </c:pt>
                <c:pt idx="17">
                  <c:v>-6.1188436789244367</c:v>
                </c:pt>
                <c:pt idx="18">
                  <c:v>-6.5972229303896528</c:v>
                </c:pt>
                <c:pt idx="19">
                  <c:v>-6.9255492810454085</c:v>
                </c:pt>
              </c:numCache>
            </c:numRef>
          </c:yVal>
          <c:smooth val="1"/>
          <c:extLst>
            <c:ext xmlns:c16="http://schemas.microsoft.com/office/drawing/2014/chart" uri="{C3380CC4-5D6E-409C-BE32-E72D297353CC}">
              <c16:uniqueId val="{00000005-7C2A-4A90-BE45-267DE0B59BEB}"/>
            </c:ext>
          </c:extLst>
        </c:ser>
        <c:ser>
          <c:idx val="7"/>
          <c:order val="6"/>
          <c:tx>
            <c:strRef>
              <c:f>Organized!$R$1</c:f>
              <c:strCache>
                <c:ptCount val="1"/>
                <c:pt idx="0">
                  <c:v>Mn3+</c:v>
                </c:pt>
              </c:strCache>
            </c:strRef>
          </c:tx>
          <c:spPr>
            <a:ln w="19050" cap="rnd">
              <a:solidFill>
                <a:schemeClr val="accent2">
                  <a:lumMod val="60000"/>
                </a:schemeClr>
              </a:solidFill>
              <a:prstDash val="lgDashDotDot"/>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Organized!$R$2:$R$21</c:f>
              <c:numCache>
                <c:formatCode>0.00</c:formatCode>
                <c:ptCount val="20"/>
                <c:pt idx="0">
                  <c:v>-3.3985919394653163</c:v>
                </c:pt>
                <c:pt idx="1">
                  <c:v>-3.0831251214613165</c:v>
                </c:pt>
                <c:pt idx="2">
                  <c:v>-2.7687853520373991</c:v>
                </c:pt>
                <c:pt idx="3">
                  <c:v>-2.4571745730408199</c:v>
                </c:pt>
                <c:pt idx="4">
                  <c:v>-2.1483747968466909</c:v>
                </c:pt>
                <c:pt idx="5">
                  <c:v>-1.8477116556169435</c:v>
                </c:pt>
                <c:pt idx="6">
                  <c:v>-1.5647928967592524</c:v>
                </c:pt>
                <c:pt idx="7">
                  <c:v>-1.3229408226078385</c:v>
                </c:pt>
                <c:pt idx="8">
                  <c:v>-1.1683221508085333</c:v>
                </c:pt>
                <c:pt idx="9">
                  <c:v>-1.1175323851046286</c:v>
                </c:pt>
                <c:pt idx="10">
                  <c:v>-1.1095230910398293</c:v>
                </c:pt>
                <c:pt idx="11">
                  <c:v>-1.108574057152006</c:v>
                </c:pt>
                <c:pt idx="12">
                  <c:v>-1.1084625423274355</c:v>
                </c:pt>
                <c:pt idx="13">
                  <c:v>-1.1084625423274355</c:v>
                </c:pt>
                <c:pt idx="14">
                  <c:v>-1.1084625423274355</c:v>
                </c:pt>
                <c:pt idx="15">
                  <c:v>-1.1084625423274355</c:v>
                </c:pt>
                <c:pt idx="16">
                  <c:v>-1.1084625423274355</c:v>
                </c:pt>
                <c:pt idx="17">
                  <c:v>-1.1084625423274355</c:v>
                </c:pt>
                <c:pt idx="18">
                  <c:v>-1.1084625423274355</c:v>
                </c:pt>
                <c:pt idx="19">
                  <c:v>-1.1084625423274355</c:v>
                </c:pt>
              </c:numCache>
            </c:numRef>
          </c:yVal>
          <c:smooth val="1"/>
          <c:extLst>
            <c:ext xmlns:c16="http://schemas.microsoft.com/office/drawing/2014/chart" uri="{C3380CC4-5D6E-409C-BE32-E72D297353CC}">
              <c16:uniqueId val="{00000006-7C2A-4A90-BE45-267DE0B59BEB}"/>
            </c:ext>
          </c:extLst>
        </c:ser>
        <c:ser>
          <c:idx val="8"/>
          <c:order val="7"/>
          <c:tx>
            <c:strRef>
              <c:f>Organized!$S$1</c:f>
              <c:strCache>
                <c:ptCount val="1"/>
                <c:pt idx="0">
                  <c:v>Ni2+</c:v>
                </c:pt>
              </c:strCache>
            </c:strRef>
          </c:tx>
          <c:spPr>
            <a:ln w="19050" cap="rnd">
              <a:solidFill>
                <a:srgbClr val="E8F21E"/>
              </a:solidFill>
              <a:prstDash val="lgDashDot"/>
              <a:round/>
            </a:ln>
            <a:effectLst/>
          </c:spPr>
          <c:marker>
            <c:symbol val="none"/>
          </c:marker>
          <c:xVal>
            <c:numRef>
              <c:f>Organized!$K$2:$K$21</c:f>
              <c:numCache>
                <c:formatCode>General</c:formatCode>
                <c:ptCount val="20"/>
                <c:pt idx="0">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Organized!$S$2:$S$21</c:f>
              <c:numCache>
                <c:formatCode>0.00</c:formatCode>
                <c:ptCount val="20"/>
                <c:pt idx="0">
                  <c:v>-5.9179330657148874</c:v>
                </c:pt>
                <c:pt idx="1">
                  <c:v>-5.9179330657148874</c:v>
                </c:pt>
                <c:pt idx="2">
                  <c:v>-5.9179330657148874</c:v>
                </c:pt>
                <c:pt idx="3">
                  <c:v>-5.9179330657148874</c:v>
                </c:pt>
                <c:pt idx="4">
                  <c:v>-5.9179330657148874</c:v>
                </c:pt>
                <c:pt idx="5">
                  <c:v>-5.9179330657148874</c:v>
                </c:pt>
                <c:pt idx="6">
                  <c:v>-5.9179330657148874</c:v>
                </c:pt>
                <c:pt idx="7">
                  <c:v>-5.9179330657148874</c:v>
                </c:pt>
                <c:pt idx="8">
                  <c:v>-5.9182927299026504</c:v>
                </c:pt>
                <c:pt idx="9">
                  <c:v>-5.9182927299026504</c:v>
                </c:pt>
                <c:pt idx="10">
                  <c:v>-5.9182927299026504</c:v>
                </c:pt>
                <c:pt idx="11">
                  <c:v>-5.9186526921958675</c:v>
                </c:pt>
                <c:pt idx="12">
                  <c:v>-5.9193735130781944</c:v>
                </c:pt>
                <c:pt idx="13">
                  <c:v>-6.2576677176428515</c:v>
                </c:pt>
                <c:pt idx="14">
                  <c:v>-6.9299621333922445</c:v>
                </c:pt>
                <c:pt idx="15">
                  <c:v>-6.5949953349496306</c:v>
                </c:pt>
                <c:pt idx="16">
                  <c:v>-6.1176462536112863</c:v>
                </c:pt>
                <c:pt idx="17">
                  <c:v>-5.7762445463427587</c:v>
                </c:pt>
                <c:pt idx="18">
                  <c:v>-5.46344155742847</c:v>
                </c:pt>
                <c:pt idx="19">
                  <c:v>-5.1644362483309028</c:v>
                </c:pt>
              </c:numCache>
            </c:numRef>
          </c:yVal>
          <c:smooth val="1"/>
          <c:extLst>
            <c:ext xmlns:c16="http://schemas.microsoft.com/office/drawing/2014/chart" uri="{C3380CC4-5D6E-409C-BE32-E72D297353CC}">
              <c16:uniqueId val="{00000007-7C2A-4A90-BE45-267DE0B59BEB}"/>
            </c:ext>
          </c:extLst>
        </c:ser>
        <c:dLbls>
          <c:showLegendKey val="0"/>
          <c:showVal val="0"/>
          <c:showCatName val="0"/>
          <c:showSerName val="0"/>
          <c:showPercent val="0"/>
          <c:showBubbleSize val="0"/>
        </c:dLbls>
        <c:axId val="1854692351"/>
        <c:axId val="1854679039"/>
      </c:scatterChart>
      <c:valAx>
        <c:axId val="1854692351"/>
        <c:scaling>
          <c:orientation val="minMax"/>
          <c:max val="10"/>
          <c:min val="4"/>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4679039"/>
        <c:crosses val="autoZero"/>
        <c:crossBetween val="midCat"/>
      </c:valAx>
      <c:valAx>
        <c:axId val="1854679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 (M)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4692351"/>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Copper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'Soil Graphs'!$B$1</c:f>
              <c:strCache>
                <c:ptCount val="1"/>
                <c:pt idx="0">
                  <c:v>Acidic</c:v>
                </c:pt>
              </c:strCache>
            </c:strRef>
          </c:tx>
          <c:spPr>
            <a:ln w="19050" cap="rnd">
              <a:solidFill>
                <a:schemeClr val="accent1"/>
              </a:solidFill>
              <a:prstDash val="lgDashDot"/>
              <a:round/>
            </a:ln>
            <a:effectLst/>
          </c:spPr>
          <c:marker>
            <c:symbol val="none"/>
          </c:marker>
          <c:xVal>
            <c:numRef>
              <c:f>'Soil Graphs'!$A$3:$A$12</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Graphs'!$C$3:$C$12</c:f>
              <c:numCache>
                <c:formatCode>0.000</c:formatCode>
                <c:ptCount val="10"/>
                <c:pt idx="0">
                  <c:v>1</c:v>
                </c:pt>
                <c:pt idx="1">
                  <c:v>28.845999999999997</c:v>
                </c:pt>
                <c:pt idx="2">
                  <c:v>48.406666666666673</c:v>
                </c:pt>
                <c:pt idx="3">
                  <c:v>60.336444444444446</c:v>
                </c:pt>
                <c:pt idx="4">
                  <c:v>78.436555555555557</c:v>
                </c:pt>
                <c:pt idx="5">
                  <c:v>89.185555555555538</c:v>
                </c:pt>
                <c:pt idx="6">
                  <c:v>101.33600000000001</c:v>
                </c:pt>
                <c:pt idx="7">
                  <c:v>107.78866666666667</c:v>
                </c:pt>
                <c:pt idx="8">
                  <c:v>109.22444444444444</c:v>
                </c:pt>
                <c:pt idx="9">
                  <c:v>122.47433333333333</c:v>
                </c:pt>
              </c:numCache>
            </c:numRef>
          </c:yVal>
          <c:smooth val="1"/>
          <c:extLst>
            <c:ext xmlns:c16="http://schemas.microsoft.com/office/drawing/2014/chart" uri="{C3380CC4-5D6E-409C-BE32-E72D297353CC}">
              <c16:uniqueId val="{00000000-AEB0-4E16-9532-720CC225F7AB}"/>
            </c:ext>
          </c:extLst>
        </c:ser>
        <c:ser>
          <c:idx val="1"/>
          <c:order val="1"/>
          <c:tx>
            <c:strRef>
              <c:f>'Soil Graphs'!$B$14</c:f>
              <c:strCache>
                <c:ptCount val="1"/>
                <c:pt idx="0">
                  <c:v>Basic</c:v>
                </c:pt>
              </c:strCache>
            </c:strRef>
          </c:tx>
          <c:spPr>
            <a:ln w="19050" cap="rnd">
              <a:solidFill>
                <a:schemeClr val="accent2"/>
              </a:solidFill>
              <a:round/>
            </a:ln>
            <a:effectLst/>
          </c:spPr>
          <c:marker>
            <c:symbol val="none"/>
          </c:marker>
          <c:xVal>
            <c:numRef>
              <c:f>'Soil Graphs'!$A$16:$A$25</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Graphs'!$C$16:$C$25</c:f>
              <c:numCache>
                <c:formatCode>0.000</c:formatCode>
                <c:ptCount val="10"/>
                <c:pt idx="0">
                  <c:v>1</c:v>
                </c:pt>
                <c:pt idx="1">
                  <c:v>58.783888888888882</c:v>
                </c:pt>
                <c:pt idx="2">
                  <c:v>70.519222222222226</c:v>
                </c:pt>
                <c:pt idx="3">
                  <c:v>90.458888888888893</c:v>
                </c:pt>
                <c:pt idx="4">
                  <c:v>153.73933333333332</c:v>
                </c:pt>
                <c:pt idx="5">
                  <c:v>162.71655555555554</c:v>
                </c:pt>
                <c:pt idx="6">
                  <c:v>171.47922222222223</c:v>
                </c:pt>
                <c:pt idx="7">
                  <c:v>195.65211111111108</c:v>
                </c:pt>
                <c:pt idx="8">
                  <c:v>211.18900000000002</c:v>
                </c:pt>
                <c:pt idx="9">
                  <c:v>224.63088888888888</c:v>
                </c:pt>
              </c:numCache>
            </c:numRef>
          </c:yVal>
          <c:smooth val="1"/>
          <c:extLst>
            <c:ext xmlns:c16="http://schemas.microsoft.com/office/drawing/2014/chart" uri="{C3380CC4-5D6E-409C-BE32-E72D297353CC}">
              <c16:uniqueId val="{00000001-AEB0-4E16-9532-720CC225F7AB}"/>
            </c:ext>
          </c:extLst>
        </c:ser>
        <c:dLbls>
          <c:showLegendKey val="0"/>
          <c:showVal val="0"/>
          <c:showCatName val="0"/>
          <c:showSerName val="0"/>
          <c:showPercent val="0"/>
          <c:showBubbleSize val="0"/>
        </c:dLbls>
        <c:axId val="1845495712"/>
        <c:axId val="1849525232"/>
      </c:scatterChart>
      <c:valAx>
        <c:axId val="1845495712"/>
        <c:scaling>
          <c:orientation val="minMax"/>
          <c:max val="2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(Weeks)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9525232"/>
        <c:crosses val="autoZero"/>
        <c:crossBetween val="midCat"/>
      </c:valAx>
      <c:valAx>
        <c:axId val="1849525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Concentration (mg/kg)</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54957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rgbClr val="000000"/>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Manganese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'Soil Graphs'!$B$1</c:f>
              <c:strCache>
                <c:ptCount val="1"/>
                <c:pt idx="0">
                  <c:v>Acidic</c:v>
                </c:pt>
              </c:strCache>
            </c:strRef>
          </c:tx>
          <c:spPr>
            <a:ln w="19050" cap="rnd">
              <a:solidFill>
                <a:schemeClr val="accent1"/>
              </a:solidFill>
              <a:prstDash val="lgDashDot"/>
              <a:round/>
            </a:ln>
            <a:effectLst/>
          </c:spPr>
          <c:marker>
            <c:symbol val="none"/>
          </c:marker>
          <c:xVal>
            <c:numRef>
              <c:f>'Soil Graphs'!$A$3:$A$12</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Graphs'!$E$3:$E$12</c:f>
              <c:numCache>
                <c:formatCode>0.000</c:formatCode>
                <c:ptCount val="10"/>
                <c:pt idx="0">
                  <c:v>400.71533333333332</c:v>
                </c:pt>
                <c:pt idx="1">
                  <c:v>413.4158888888889</c:v>
                </c:pt>
                <c:pt idx="2">
                  <c:v>415.49788888888884</c:v>
                </c:pt>
                <c:pt idx="3">
                  <c:v>429.78311111111105</c:v>
                </c:pt>
                <c:pt idx="4">
                  <c:v>430.77677777777785</c:v>
                </c:pt>
                <c:pt idx="5">
                  <c:v>433.07877777777776</c:v>
                </c:pt>
                <c:pt idx="6">
                  <c:v>438.94966666666664</c:v>
                </c:pt>
                <c:pt idx="7">
                  <c:v>446.36677777777777</c:v>
                </c:pt>
                <c:pt idx="8">
                  <c:v>448.05799999999999</c:v>
                </c:pt>
                <c:pt idx="9">
                  <c:v>455.72433333333333</c:v>
                </c:pt>
              </c:numCache>
            </c:numRef>
          </c:yVal>
          <c:smooth val="1"/>
          <c:extLst>
            <c:ext xmlns:c16="http://schemas.microsoft.com/office/drawing/2014/chart" uri="{C3380CC4-5D6E-409C-BE32-E72D297353CC}">
              <c16:uniqueId val="{00000000-6089-4575-B181-A097AE811D64}"/>
            </c:ext>
          </c:extLst>
        </c:ser>
        <c:ser>
          <c:idx val="1"/>
          <c:order val="1"/>
          <c:tx>
            <c:strRef>
              <c:f>'Soil Graphs'!$B$14</c:f>
              <c:strCache>
                <c:ptCount val="1"/>
                <c:pt idx="0">
                  <c:v>Basic</c:v>
                </c:pt>
              </c:strCache>
            </c:strRef>
          </c:tx>
          <c:spPr>
            <a:ln w="19050" cap="rnd">
              <a:solidFill>
                <a:schemeClr val="accent2"/>
              </a:solidFill>
              <a:round/>
            </a:ln>
            <a:effectLst/>
          </c:spPr>
          <c:marker>
            <c:symbol val="none"/>
          </c:marker>
          <c:xVal>
            <c:numRef>
              <c:f>'Soil Graphs'!$A$16:$A$25</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Graphs'!$E$16:$E$25</c:f>
              <c:numCache>
                <c:formatCode>0.000</c:formatCode>
                <c:ptCount val="10"/>
                <c:pt idx="0">
                  <c:v>404.86833333333334</c:v>
                </c:pt>
                <c:pt idx="1">
                  <c:v>428.92433333333332</c:v>
                </c:pt>
                <c:pt idx="2">
                  <c:v>446.32555555555558</c:v>
                </c:pt>
                <c:pt idx="3">
                  <c:v>452.25744444444439</c:v>
                </c:pt>
                <c:pt idx="4">
                  <c:v>452.61511111111116</c:v>
                </c:pt>
                <c:pt idx="5">
                  <c:v>459.41433333333327</c:v>
                </c:pt>
                <c:pt idx="6">
                  <c:v>468.09722222222223</c:v>
                </c:pt>
                <c:pt idx="7">
                  <c:v>469.49577777777785</c:v>
                </c:pt>
                <c:pt idx="8">
                  <c:v>479.36811111111115</c:v>
                </c:pt>
                <c:pt idx="9">
                  <c:v>479.75088888888888</c:v>
                </c:pt>
              </c:numCache>
            </c:numRef>
          </c:yVal>
          <c:smooth val="1"/>
          <c:extLst>
            <c:ext xmlns:c16="http://schemas.microsoft.com/office/drawing/2014/chart" uri="{C3380CC4-5D6E-409C-BE32-E72D297353CC}">
              <c16:uniqueId val="{00000001-6089-4575-B181-A097AE811D64}"/>
            </c:ext>
          </c:extLst>
        </c:ser>
        <c:dLbls>
          <c:showLegendKey val="0"/>
          <c:showVal val="0"/>
          <c:showCatName val="0"/>
          <c:showSerName val="0"/>
          <c:showPercent val="0"/>
          <c:showBubbleSize val="0"/>
        </c:dLbls>
        <c:axId val="1478724448"/>
        <c:axId val="1888247888"/>
      </c:scatterChart>
      <c:valAx>
        <c:axId val="1478724448"/>
        <c:scaling>
          <c:orientation val="minMax"/>
          <c:max val="2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(Weeks)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8247888"/>
        <c:crosses val="autoZero"/>
        <c:crossBetween val="midCat"/>
      </c:valAx>
      <c:valAx>
        <c:axId val="1888247888"/>
        <c:scaling>
          <c:orientation val="minMax"/>
          <c:max val="500"/>
          <c:min val="37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Concentration (mg/kg)</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787244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Nickel</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'Soil Graphs'!$B$1</c:f>
              <c:strCache>
                <c:ptCount val="1"/>
                <c:pt idx="0">
                  <c:v>Acidic</c:v>
                </c:pt>
              </c:strCache>
            </c:strRef>
          </c:tx>
          <c:spPr>
            <a:ln w="19050" cap="rnd">
              <a:solidFill>
                <a:schemeClr val="accent1"/>
              </a:solidFill>
              <a:prstDash val="lgDashDot"/>
              <a:round/>
            </a:ln>
            <a:effectLst/>
          </c:spPr>
          <c:marker>
            <c:symbol val="none"/>
          </c:marker>
          <c:xVal>
            <c:numRef>
              <c:f>'Soil Graphs'!$A$3:$A$12</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Graphs'!$D$3:$D$12</c:f>
              <c:numCache>
                <c:formatCode>0.000</c:formatCode>
                <c:ptCount val="10"/>
                <c:pt idx="0">
                  <c:v>1</c:v>
                </c:pt>
                <c:pt idx="1">
                  <c:v>28.230666666666668</c:v>
                </c:pt>
                <c:pt idx="2">
                  <c:v>31.591000000000001</c:v>
                </c:pt>
                <c:pt idx="3">
                  <c:v>38.903333333333336</c:v>
                </c:pt>
                <c:pt idx="4">
                  <c:v>48.934444444444438</c:v>
                </c:pt>
                <c:pt idx="5">
                  <c:v>49.467111111111109</c:v>
                </c:pt>
                <c:pt idx="6">
                  <c:v>52.922222222222224</c:v>
                </c:pt>
                <c:pt idx="7">
                  <c:v>67.204333333333338</c:v>
                </c:pt>
                <c:pt idx="8">
                  <c:v>75.557222222222222</c:v>
                </c:pt>
                <c:pt idx="9">
                  <c:v>85.790333333333322</c:v>
                </c:pt>
              </c:numCache>
            </c:numRef>
          </c:yVal>
          <c:smooth val="1"/>
          <c:extLst>
            <c:ext xmlns:c16="http://schemas.microsoft.com/office/drawing/2014/chart" uri="{C3380CC4-5D6E-409C-BE32-E72D297353CC}">
              <c16:uniqueId val="{00000000-AC34-4AD1-B9B8-D3C603BD9ABF}"/>
            </c:ext>
          </c:extLst>
        </c:ser>
        <c:ser>
          <c:idx val="1"/>
          <c:order val="1"/>
          <c:tx>
            <c:strRef>
              <c:f>'Soil Graphs'!$B$14</c:f>
              <c:strCache>
                <c:ptCount val="1"/>
                <c:pt idx="0">
                  <c:v>Basic</c:v>
                </c:pt>
              </c:strCache>
            </c:strRef>
          </c:tx>
          <c:spPr>
            <a:ln w="19050" cap="rnd">
              <a:solidFill>
                <a:schemeClr val="accent2"/>
              </a:solidFill>
              <a:round/>
            </a:ln>
            <a:effectLst/>
          </c:spPr>
          <c:marker>
            <c:symbol val="none"/>
          </c:marker>
          <c:xVal>
            <c:numRef>
              <c:f>'Soil Graphs'!$A$16:$A$25</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Graphs'!$D$16:$D$25</c:f>
              <c:numCache>
                <c:formatCode>0.000</c:formatCode>
                <c:ptCount val="10"/>
                <c:pt idx="0">
                  <c:v>1</c:v>
                </c:pt>
                <c:pt idx="1">
                  <c:v>45.37822222222222</c:v>
                </c:pt>
                <c:pt idx="2">
                  <c:v>50.087444444444436</c:v>
                </c:pt>
                <c:pt idx="3">
                  <c:v>52.566444444444443</c:v>
                </c:pt>
                <c:pt idx="4">
                  <c:v>56.476777777777784</c:v>
                </c:pt>
                <c:pt idx="5">
                  <c:v>61.283111111111111</c:v>
                </c:pt>
                <c:pt idx="6">
                  <c:v>74.660666666666671</c:v>
                </c:pt>
                <c:pt idx="7">
                  <c:v>79.187222222222232</c:v>
                </c:pt>
                <c:pt idx="8">
                  <c:v>91.783444444444456</c:v>
                </c:pt>
                <c:pt idx="9">
                  <c:v>101.41644444444444</c:v>
                </c:pt>
              </c:numCache>
            </c:numRef>
          </c:yVal>
          <c:smooth val="1"/>
          <c:extLst>
            <c:ext xmlns:c16="http://schemas.microsoft.com/office/drawing/2014/chart" uri="{C3380CC4-5D6E-409C-BE32-E72D297353CC}">
              <c16:uniqueId val="{00000001-AC34-4AD1-B9B8-D3C603BD9ABF}"/>
            </c:ext>
          </c:extLst>
        </c:ser>
        <c:dLbls>
          <c:showLegendKey val="0"/>
          <c:showVal val="0"/>
          <c:showCatName val="0"/>
          <c:showSerName val="0"/>
          <c:showPercent val="0"/>
          <c:showBubbleSize val="0"/>
        </c:dLbls>
        <c:axId val="1478724448"/>
        <c:axId val="1888247888"/>
      </c:scatterChart>
      <c:valAx>
        <c:axId val="1478724448"/>
        <c:scaling>
          <c:orientation val="minMax"/>
          <c:max val="2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r>
                  <a:rPr lang="en-US" baseline="0"/>
                  <a:t> (Weeks)</a:t>
                </a:r>
                <a:endParaRPr lang="en-US"/>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8247888"/>
        <c:crosses val="autoZero"/>
        <c:crossBetween val="midCat"/>
      </c:valAx>
      <c:valAx>
        <c:axId val="188824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Concentration (mg/kg)</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787244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Aluminum</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'Soil Graphs'!$B$1</c:f>
              <c:strCache>
                <c:ptCount val="1"/>
                <c:pt idx="0">
                  <c:v>Acidic</c:v>
                </c:pt>
              </c:strCache>
            </c:strRef>
          </c:tx>
          <c:spPr>
            <a:ln w="19050" cap="rnd">
              <a:solidFill>
                <a:schemeClr val="accent1"/>
              </a:solidFill>
              <a:prstDash val="lgDashDot"/>
              <a:round/>
            </a:ln>
            <a:effectLst/>
          </c:spPr>
          <c:marker>
            <c:symbol val="none"/>
          </c:marker>
          <c:xVal>
            <c:numRef>
              <c:f>'Soil Graphs'!$A$3:$A$12</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Graphs'!$F$3:$F$12</c:f>
              <c:numCache>
                <c:formatCode>0.000</c:formatCode>
                <c:ptCount val="10"/>
                <c:pt idx="0">
                  <c:v>37702.162666666663</c:v>
                </c:pt>
                <c:pt idx="1">
                  <c:v>38252.357555555558</c:v>
                </c:pt>
                <c:pt idx="2">
                  <c:v>38467.049666666666</c:v>
                </c:pt>
                <c:pt idx="3">
                  <c:v>39086.872777777782</c:v>
                </c:pt>
                <c:pt idx="4">
                  <c:v>39652.642444444449</c:v>
                </c:pt>
                <c:pt idx="5">
                  <c:v>40053.966999999997</c:v>
                </c:pt>
                <c:pt idx="6">
                  <c:v>40936.084999999999</c:v>
                </c:pt>
                <c:pt idx="7">
                  <c:v>41053.444333333326</c:v>
                </c:pt>
                <c:pt idx="8">
                  <c:v>42829.583777777771</c:v>
                </c:pt>
                <c:pt idx="9">
                  <c:v>43761.481666666659</c:v>
                </c:pt>
              </c:numCache>
            </c:numRef>
          </c:yVal>
          <c:smooth val="1"/>
          <c:extLst>
            <c:ext xmlns:c16="http://schemas.microsoft.com/office/drawing/2014/chart" uri="{C3380CC4-5D6E-409C-BE32-E72D297353CC}">
              <c16:uniqueId val="{00000000-CA38-4E0E-9210-C9216B01C889}"/>
            </c:ext>
          </c:extLst>
        </c:ser>
        <c:ser>
          <c:idx val="1"/>
          <c:order val="1"/>
          <c:tx>
            <c:strRef>
              <c:f>'Soil Graphs'!$B$14</c:f>
              <c:strCache>
                <c:ptCount val="1"/>
                <c:pt idx="0">
                  <c:v>Basic</c:v>
                </c:pt>
              </c:strCache>
            </c:strRef>
          </c:tx>
          <c:spPr>
            <a:ln w="19050" cap="rnd">
              <a:solidFill>
                <a:schemeClr val="accent2"/>
              </a:solidFill>
              <a:round/>
            </a:ln>
            <a:effectLst/>
          </c:spPr>
          <c:marker>
            <c:symbol val="none"/>
          </c:marker>
          <c:xVal>
            <c:numRef>
              <c:f>'Soil Graphs'!$A$16:$A$25</c:f>
              <c:numCache>
                <c:formatCode>General</c:formatCode>
                <c:ptCount val="10"/>
                <c:pt idx="0">
                  <c:v>0</c:v>
                </c:pt>
                <c:pt idx="1">
                  <c:v>1</c:v>
                </c:pt>
                <c:pt idx="2">
                  <c:v>2</c:v>
                </c:pt>
                <c:pt idx="3">
                  <c:v>4</c:v>
                </c:pt>
                <c:pt idx="4">
                  <c:v>6</c:v>
                </c:pt>
                <c:pt idx="5">
                  <c:v>8</c:v>
                </c:pt>
                <c:pt idx="6">
                  <c:v>12</c:v>
                </c:pt>
                <c:pt idx="7">
                  <c:v>16</c:v>
                </c:pt>
                <c:pt idx="8">
                  <c:v>20</c:v>
                </c:pt>
                <c:pt idx="9">
                  <c:v>24</c:v>
                </c:pt>
              </c:numCache>
            </c:numRef>
          </c:xVal>
          <c:yVal>
            <c:numRef>
              <c:f>'Soil Graphs'!$F$16:$F$25</c:f>
              <c:numCache>
                <c:formatCode>0.000</c:formatCode>
                <c:ptCount val="10"/>
                <c:pt idx="0">
                  <c:v>43732.212333333329</c:v>
                </c:pt>
                <c:pt idx="1">
                  <c:v>44610.867666666658</c:v>
                </c:pt>
                <c:pt idx="2">
                  <c:v>45163.939666666658</c:v>
                </c:pt>
                <c:pt idx="3">
                  <c:v>46137.842555555559</c:v>
                </c:pt>
                <c:pt idx="4">
                  <c:v>46828.056333333341</c:v>
                </c:pt>
                <c:pt idx="5">
                  <c:v>47093.112111111113</c:v>
                </c:pt>
                <c:pt idx="6">
                  <c:v>47334.296888888894</c:v>
                </c:pt>
                <c:pt idx="7">
                  <c:v>47513.96155555555</c:v>
                </c:pt>
                <c:pt idx="8">
                  <c:v>49719.88455555556</c:v>
                </c:pt>
                <c:pt idx="9">
                  <c:v>50791.33422222222</c:v>
                </c:pt>
              </c:numCache>
            </c:numRef>
          </c:yVal>
          <c:smooth val="1"/>
          <c:extLst>
            <c:ext xmlns:c16="http://schemas.microsoft.com/office/drawing/2014/chart" uri="{C3380CC4-5D6E-409C-BE32-E72D297353CC}">
              <c16:uniqueId val="{00000001-CA38-4E0E-9210-C9216B01C889}"/>
            </c:ext>
          </c:extLst>
        </c:ser>
        <c:dLbls>
          <c:showLegendKey val="0"/>
          <c:showVal val="0"/>
          <c:showCatName val="0"/>
          <c:showSerName val="0"/>
          <c:showPercent val="0"/>
          <c:showBubbleSize val="0"/>
        </c:dLbls>
        <c:axId val="1478724448"/>
        <c:axId val="1888247888"/>
      </c:scatterChart>
      <c:valAx>
        <c:axId val="1478724448"/>
        <c:scaling>
          <c:orientation val="minMax"/>
          <c:max val="2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(Weeks)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8247888"/>
        <c:crosses val="autoZero"/>
        <c:crossBetween val="midCat"/>
      </c:valAx>
      <c:valAx>
        <c:axId val="1888247888"/>
        <c:scaling>
          <c:orientation val="minMax"/>
          <c:max val="55000"/>
          <c:min val="3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Concentration (mg/kg)</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787244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Copper pC -- pH Adsorption Diagram</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'Cu2+DLM2'!$T$1</c:f>
              <c:strCache>
                <c:ptCount val="1"/>
                <c:pt idx="0">
                  <c:v>Cu2+</c:v>
                </c:pt>
              </c:strCache>
            </c:strRef>
          </c:tx>
          <c:spPr>
            <a:ln w="19050" cap="rnd">
              <a:solidFill>
                <a:schemeClr val="accent1"/>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'Cu2+DLM2'!$T$2:$T$21</c:f>
              <c:numCache>
                <c:formatCode>General</c:formatCode>
                <c:ptCount val="20"/>
                <c:pt idx="0">
                  <c:v>-3.0006084382809091</c:v>
                </c:pt>
                <c:pt idx="1">
                  <c:v>-3.0007389288868995</c:v>
                </c:pt>
                <c:pt idx="2">
                  <c:v>-3.0010000277816795</c:v>
                </c:pt>
                <c:pt idx="3">
                  <c:v>-3.0015226969634936</c:v>
                </c:pt>
                <c:pt idx="4">
                  <c:v>-3.0028758443407955</c:v>
                </c:pt>
                <c:pt idx="5">
                  <c:v>-3.3329207945357835</c:v>
                </c:pt>
                <c:pt idx="6">
                  <c:v>-3.9649707177976317</c:v>
                </c:pt>
                <c:pt idx="7">
                  <c:v>-4.5968794788241825</c:v>
                </c:pt>
                <c:pt idx="8">
                  <c:v>-5.2268720759666651</c:v>
                </c:pt>
                <c:pt idx="9">
                  <c:v>-5.8588639098792612</c:v>
                </c:pt>
                <c:pt idx="10">
                  <c:v>-6.4909319549828384</c:v>
                </c:pt>
                <c:pt idx="11">
                  <c:v>-7.1228591102151793</c:v>
                </c:pt>
                <c:pt idx="12">
                  <c:v>-7.7527634504932363</c:v>
                </c:pt>
                <c:pt idx="13">
                  <c:v>-8.3848920125568061</c:v>
                </c:pt>
                <c:pt idx="14">
                  <c:v>-9.0168700752653006</c:v>
                </c:pt>
                <c:pt idx="15">
                  <c:v>-9.648783654660658</c:v>
                </c:pt>
                <c:pt idx="16">
                  <c:v>-10.280834505910788</c:v>
                </c:pt>
                <c:pt idx="17">
                  <c:v>-10.910801633194851</c:v>
                </c:pt>
                <c:pt idx="18">
                  <c:v>-11.542875373696591</c:v>
                </c:pt>
                <c:pt idx="19">
                  <c:v>-12.174898588401996</c:v>
                </c:pt>
              </c:numCache>
            </c:numRef>
          </c:yVal>
          <c:smooth val="1"/>
          <c:extLst>
            <c:ext xmlns:c16="http://schemas.microsoft.com/office/drawing/2014/chart" uri="{C3380CC4-5D6E-409C-BE32-E72D297353CC}">
              <c16:uniqueId val="{00000000-8332-4C87-8709-72DC4552E789}"/>
            </c:ext>
          </c:extLst>
        </c:ser>
        <c:ser>
          <c:idx val="1"/>
          <c:order val="1"/>
          <c:tx>
            <c:strRef>
              <c:f>'Cu2+DLM2'!$U$1</c:f>
              <c:strCache>
                <c:ptCount val="1"/>
                <c:pt idx="0">
                  <c:v>Cu2(OH)22+</c:v>
                </c:pt>
              </c:strCache>
            </c:strRef>
          </c:tx>
          <c:spPr>
            <a:ln w="19050" cap="rnd">
              <a:solidFill>
                <a:schemeClr val="accent2"/>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'Cu2+DLM2'!$U$2:$U$21</c:f>
              <c:numCache>
                <c:formatCode>General</c:formatCode>
                <c:ptCount val="20"/>
                <c:pt idx="0">
                  <c:v>-8.776504059037606</c:v>
                </c:pt>
                <c:pt idx="1">
                  <c:v>-8.1446020033459305</c:v>
                </c:pt>
                <c:pt idx="2">
                  <c:v>-7.5131446447230568</c:v>
                </c:pt>
                <c:pt idx="3">
                  <c:v>-6.8840568230609449</c:v>
                </c:pt>
                <c:pt idx="4">
                  <c:v>-6.2548471049230994</c:v>
                </c:pt>
                <c:pt idx="5">
                  <c:v>-6.2829122750729809</c:v>
                </c:pt>
                <c:pt idx="6">
                  <c:v>-6.9147094217699347</c:v>
                </c:pt>
                <c:pt idx="7">
                  <c:v>-7.5468346074741426</c:v>
                </c:pt>
                <c:pt idx="8">
                  <c:v>-8.1768519401893069</c:v>
                </c:pt>
                <c:pt idx="9">
                  <c:v>-8.8088285442714422</c:v>
                </c:pt>
                <c:pt idx="10">
                  <c:v>-9.4409316659654632</c:v>
                </c:pt>
                <c:pt idx="11">
                  <c:v>-10.072886388066239</c:v>
                </c:pt>
                <c:pt idx="12">
                  <c:v>-10.702896349850743</c:v>
                </c:pt>
                <c:pt idx="13">
                  <c:v>-11.334888262924949</c:v>
                </c:pt>
                <c:pt idx="14">
                  <c:v>-11.966978555317089</c:v>
                </c:pt>
                <c:pt idx="15">
                  <c:v>-12.598944274228156</c:v>
                </c:pt>
                <c:pt idx="16">
                  <c:v>-13.230844309285601</c:v>
                </c:pt>
                <c:pt idx="17">
                  <c:v>-13.860750782428394</c:v>
                </c:pt>
                <c:pt idx="18">
                  <c:v>-14.492819022739759</c:v>
                </c:pt>
                <c:pt idx="19">
                  <c:v>-15.124880834537432</c:v>
                </c:pt>
              </c:numCache>
            </c:numRef>
          </c:yVal>
          <c:smooth val="1"/>
          <c:extLst>
            <c:ext xmlns:c16="http://schemas.microsoft.com/office/drawing/2014/chart" uri="{C3380CC4-5D6E-409C-BE32-E72D297353CC}">
              <c16:uniqueId val="{00000001-8332-4C87-8709-72DC4552E789}"/>
            </c:ext>
          </c:extLst>
        </c:ser>
        <c:ser>
          <c:idx val="4"/>
          <c:order val="2"/>
          <c:tx>
            <c:strRef>
              <c:f>'Cu2+DLM2'!$X$1</c:f>
              <c:strCache>
                <c:ptCount val="1"/>
                <c:pt idx="0">
                  <c:v>CuOH+     </c:v>
                </c:pt>
              </c:strCache>
            </c:strRef>
          </c:tx>
          <c:spPr>
            <a:ln w="19050" cap="rnd">
              <a:solidFill>
                <a:schemeClr val="accent5"/>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'Cu2+DLM2'!$X$2:$X$21</c:f>
              <c:numCache>
                <c:formatCode>General</c:formatCode>
                <c:ptCount val="20"/>
                <c:pt idx="0">
                  <c:v>-6.6333902896075703</c:v>
                </c:pt>
                <c:pt idx="1">
                  <c:v>-6.3175841383226414</c:v>
                </c:pt>
                <c:pt idx="2">
                  <c:v>-6.001827878060559</c:v>
                </c:pt>
                <c:pt idx="3">
                  <c:v>-5.6873995607387409</c:v>
                </c:pt>
                <c:pt idx="4">
                  <c:v>-5.3727365834317791</c:v>
                </c:pt>
                <c:pt idx="5">
                  <c:v>-5.3866868385445406</c:v>
                </c:pt>
                <c:pt idx="6">
                  <c:v>-5.7026772857946977</c:v>
                </c:pt>
                <c:pt idx="7">
                  <c:v>-6.018725167293411</c:v>
                </c:pt>
                <c:pt idx="8">
                  <c:v>-6.3337629041041952</c:v>
                </c:pt>
                <c:pt idx="9">
                  <c:v>-6.6497519816658368</c:v>
                </c:pt>
                <c:pt idx="10">
                  <c:v>-6.9657727392294495</c:v>
                </c:pt>
                <c:pt idx="11">
                  <c:v>-7.2817474999022496</c:v>
                </c:pt>
                <c:pt idx="12">
                  <c:v>-7.5967078548417462</c:v>
                </c:pt>
                <c:pt idx="13">
                  <c:v>-7.912573542963715</c:v>
                </c:pt>
                <c:pt idx="14">
                  <c:v>-8.2287065573709395</c:v>
                </c:pt>
                <c:pt idx="15">
                  <c:v>-8.5446982283429236</c:v>
                </c:pt>
                <c:pt idx="16">
                  <c:v>-8.8607507824283935</c:v>
                </c:pt>
                <c:pt idx="17">
                  <c:v>-9.1757439623703174</c:v>
                </c:pt>
                <c:pt idx="18">
                  <c:v>-9.4917396944876646</c:v>
                </c:pt>
                <c:pt idx="19">
                  <c:v>-9.8077113874318798</c:v>
                </c:pt>
              </c:numCache>
            </c:numRef>
          </c:yVal>
          <c:smooth val="1"/>
          <c:extLst>
            <c:ext xmlns:c16="http://schemas.microsoft.com/office/drawing/2014/chart" uri="{C3380CC4-5D6E-409C-BE32-E72D297353CC}">
              <c16:uniqueId val="{00000002-8332-4C87-8709-72DC4552E789}"/>
            </c:ext>
          </c:extLst>
        </c:ser>
        <c:ser>
          <c:idx val="7"/>
          <c:order val="4"/>
          <c:tx>
            <c:strRef>
              <c:f>'Cu2+DLM2'!$AA$1</c:f>
              <c:strCache>
                <c:ptCount val="1"/>
                <c:pt idx="0">
                  <c:v>Adsorbed Cu2+</c:v>
                </c:pt>
              </c:strCache>
            </c:strRef>
          </c:tx>
          <c:spPr>
            <a:ln w="19050" cap="rnd">
              <a:solidFill>
                <a:schemeClr val="accent2">
                  <a:lumMod val="60000"/>
                </a:schemeClr>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'Cu2+DLM2'!$AA$2:$AA$21</c:f>
              <c:numCache>
                <c:formatCode>General</c:formatCode>
                <c:ptCount val="20"/>
                <c:pt idx="0">
                  <c:v>-5.9179330657148874</c:v>
                </c:pt>
                <c:pt idx="1">
                  <c:v>-5.9182927299026504</c:v>
                </c:pt>
                <c:pt idx="2">
                  <c:v>-5.9182927299026504</c:v>
                </c:pt>
                <c:pt idx="3">
                  <c:v>-5.9186526921958675</c:v>
                </c:pt>
                <c:pt idx="4">
                  <c:v>-5.9193735130781944</c:v>
                </c:pt>
                <c:pt idx="5">
                  <c:v>-6.1024278861742696</c:v>
                </c:pt>
                <c:pt idx="6">
                  <c:v>-6.5673513399868932</c:v>
                </c:pt>
                <c:pt idx="7">
                  <c:v>-6.9901243662878398</c:v>
                </c:pt>
                <c:pt idx="8">
                  <c:v>-6.2765443279648139</c:v>
                </c:pt>
                <c:pt idx="9">
                  <c:v>-5.90622821850127</c:v>
                </c:pt>
                <c:pt idx="10">
                  <c:v>-5.5853608532629906</c:v>
                </c:pt>
                <c:pt idx="11">
                  <c:v>-5.281000362121282</c:v>
                </c:pt>
                <c:pt idx="12">
                  <c:v>-4.9922522219992604</c:v>
                </c:pt>
                <c:pt idx="13">
                  <c:v>-4.7217037919087259</c:v>
                </c:pt>
                <c:pt idx="14">
                  <c:v>-4.4731440128741253</c:v>
                </c:pt>
                <c:pt idx="15">
                  <c:v>-4.242907779881067</c:v>
                </c:pt>
                <c:pt idx="16">
                  <c:v>-4.0235124626948098</c:v>
                </c:pt>
                <c:pt idx="17">
                  <c:v>-3.8099485822407941</c:v>
                </c:pt>
                <c:pt idx="18">
                  <c:v>-3.598254917762937</c:v>
                </c:pt>
                <c:pt idx="19">
                  <c:v>-3.3873220816834984</c:v>
                </c:pt>
              </c:numCache>
            </c:numRef>
          </c:yVal>
          <c:smooth val="1"/>
          <c:extLst>
            <c:ext xmlns:c16="http://schemas.microsoft.com/office/drawing/2014/chart" uri="{C3380CC4-5D6E-409C-BE32-E72D297353CC}">
              <c16:uniqueId val="{00000003-8332-4C87-8709-72DC4552E789}"/>
            </c:ext>
          </c:extLst>
        </c:ser>
        <c:ser>
          <c:idx val="8"/>
          <c:order val="5"/>
          <c:tx>
            <c:strRef>
              <c:f>'Cu2+DLM2'!$AB$1</c:f>
              <c:strCache>
                <c:ptCount val="1"/>
                <c:pt idx="0">
                  <c:v>Desorbed Cu2+</c:v>
                </c:pt>
              </c:strCache>
            </c:strRef>
          </c:tx>
          <c:spPr>
            <a:ln w="19050" cap="rnd">
              <a:solidFill>
                <a:schemeClr val="accent3">
                  <a:lumMod val="60000"/>
                </a:schemeClr>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'Cu2+DLM2'!$AB$2:$AB$21</c:f>
              <c:numCache>
                <c:formatCode>General</c:formatCode>
                <c:ptCount val="20"/>
                <c:pt idx="0">
                  <c:v>-3.0005214663206901</c:v>
                </c:pt>
                <c:pt idx="1">
                  <c:v>-3.0005214663206901</c:v>
                </c:pt>
                <c:pt idx="2">
                  <c:v>-3.0005214663206901</c:v>
                </c:pt>
                <c:pt idx="3">
                  <c:v>-3.0005214663206901</c:v>
                </c:pt>
                <c:pt idx="4">
                  <c:v>-3.0005214663206901</c:v>
                </c:pt>
                <c:pt idx="5">
                  <c:v>-3.3280869875584131</c:v>
                </c:pt>
                <c:pt idx="6">
                  <c:v>-3.9558523791212772</c:v>
                </c:pt>
                <c:pt idx="7">
                  <c:v>-4.5797141150580822</c:v>
                </c:pt>
                <c:pt idx="8">
                  <c:v>-5.1930742231162679</c:v>
                </c:pt>
                <c:pt idx="9">
                  <c:v>-5.7920964696139485</c:v>
                </c:pt>
                <c:pt idx="10">
                  <c:v>-6.3618103598091631</c:v>
                </c:pt>
                <c:pt idx="11">
                  <c:v>-6.8840568230609449</c:v>
                </c:pt>
                <c:pt idx="12">
                  <c:v>-7.3387553910406664</c:v>
                </c:pt>
                <c:pt idx="13">
                  <c:v>-7.7171513971653551</c:v>
                </c:pt>
                <c:pt idx="14">
                  <c:v>-8.013004460275619</c:v>
                </c:pt>
                <c:pt idx="15">
                  <c:v>-8.226872075966666</c:v>
                </c:pt>
                <c:pt idx="16">
                  <c:v>-8.3643152374527769</c:v>
                </c:pt>
                <c:pt idx="17">
                  <c:v>-8.4378261366353513</c:v>
                </c:pt>
                <c:pt idx="18">
                  <c:v>-8.4614262661931452</c:v>
                </c:pt>
                <c:pt idx="19">
                  <c:v>-8.4410515540219606</c:v>
                </c:pt>
              </c:numCache>
            </c:numRef>
          </c:yVal>
          <c:smooth val="1"/>
          <c:extLst>
            <c:ext xmlns:c16="http://schemas.microsoft.com/office/drawing/2014/chart" uri="{C3380CC4-5D6E-409C-BE32-E72D297353CC}">
              <c16:uniqueId val="{00000004-8332-4C87-8709-72DC4552E789}"/>
            </c:ext>
          </c:extLst>
        </c:ser>
        <c:ser>
          <c:idx val="2"/>
          <c:order val="6"/>
          <c:tx>
            <c:strRef>
              <c:f>'Cu2+DLM2'!$AC$1</c:f>
              <c:strCache>
                <c:ptCount val="1"/>
                <c:pt idx="0">
                  <c:v>Cu+    </c:v>
                </c:pt>
              </c:strCache>
            </c:strRef>
          </c:tx>
          <c:spPr>
            <a:ln w="19050" cap="rnd">
              <a:solidFill>
                <a:schemeClr val="accent3"/>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'Cu2+DLM2'!$AC$2:$AC$21</c:f>
              <c:numCache>
                <c:formatCode>General</c:formatCode>
                <c:ptCount val="20"/>
                <c:pt idx="0">
                  <c:v>-4.6577747706392092</c:v>
                </c:pt>
                <c:pt idx="1">
                  <c:v>-4.9738754832545498</c:v>
                </c:pt>
                <c:pt idx="2">
                  <c:v>-5.2897133522971087</c:v>
                </c:pt>
                <c:pt idx="3">
                  <c:v>-5.6046736069306489</c:v>
                </c:pt>
                <c:pt idx="4">
                  <c:v>-5.9208187539523749</c:v>
                </c:pt>
                <c:pt idx="5">
                  <c:v>-6.2367217889810211</c:v>
                </c:pt>
                <c:pt idx="6">
                  <c:v>-6.5526868911764318</c:v>
                </c:pt>
                <c:pt idx="7">
                  <c:v>-6.8687022034023766</c:v>
                </c:pt>
                <c:pt idx="8">
                  <c:v>-7.1836924005680602</c:v>
                </c:pt>
                <c:pt idx="9">
                  <c:v>-7.4997635251743615</c:v>
                </c:pt>
                <c:pt idx="10">
                  <c:v>-7.8155925145876797</c:v>
                </c:pt>
                <c:pt idx="11">
                  <c:v>-8.1317083119821447</c:v>
                </c:pt>
                <c:pt idx="12">
                  <c:v>-8.4467239538629002</c:v>
                </c:pt>
                <c:pt idx="13">
                  <c:v>-8.7627076624325415</c:v>
                </c:pt>
                <c:pt idx="14">
                  <c:v>-9.0787298144901882</c:v>
                </c:pt>
                <c:pt idx="15">
                  <c:v>-9.39469495385889</c:v>
                </c:pt>
                <c:pt idx="16">
                  <c:v>-9.7106340484799691</c:v>
                </c:pt>
                <c:pt idx="17">
                  <c:v>-10.02571864112217</c:v>
                </c:pt>
                <c:pt idx="18">
                  <c:v>-10.341702349691809</c:v>
                </c:pt>
                <c:pt idx="19">
                  <c:v>-10.657774770639209</c:v>
                </c:pt>
              </c:numCache>
            </c:numRef>
          </c:yVal>
          <c:smooth val="1"/>
          <c:extLst>
            <c:ext xmlns:c16="http://schemas.microsoft.com/office/drawing/2014/chart" uri="{C3380CC4-5D6E-409C-BE32-E72D297353CC}">
              <c16:uniqueId val="{00000005-8332-4C87-8709-72DC4552E789}"/>
            </c:ext>
          </c:extLst>
        </c:ser>
        <c:ser>
          <c:idx val="9"/>
          <c:order val="7"/>
          <c:tx>
            <c:strRef>
              <c:f>'Cu2+DLM2'!$AE$1</c:f>
              <c:strCache>
                <c:ptCount val="1"/>
                <c:pt idx="0">
                  <c:v>Adsorbed Cu+</c:v>
                </c:pt>
              </c:strCache>
            </c:strRef>
          </c:tx>
          <c:spPr>
            <a:ln w="19050" cap="rnd">
              <a:solidFill>
                <a:schemeClr val="accent4">
                  <a:lumMod val="60000"/>
                </a:schemeClr>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'Cu2+DLM2'!$AE$2:$AE$21</c:f>
              <c:numCache>
                <c:formatCode>General</c:formatCode>
                <c:ptCount val="20"/>
                <c:pt idx="0">
                  <c:v>-7.2251911696892943</c:v>
                </c:pt>
                <c:pt idx="1">
                  <c:v>-6.6034519620128682</c:v>
                </c:pt>
                <c:pt idx="2">
                  <c:v>-6.3265183029266527</c:v>
                </c:pt>
                <c:pt idx="3">
                  <c:v>-6.1225710592117801</c:v>
                </c:pt>
                <c:pt idx="4">
                  <c:v>-5.9461535731477477</c:v>
                </c:pt>
                <c:pt idx="5">
                  <c:v>-5.7806774915806631</c:v>
                </c:pt>
                <c:pt idx="6">
                  <c:v>-5.6219656775426685</c:v>
                </c:pt>
                <c:pt idx="7">
                  <c:v>-5.4672456210075024</c:v>
                </c:pt>
                <c:pt idx="8">
                  <c:v>-5.3164126824272326</c:v>
                </c:pt>
                <c:pt idx="9">
                  <c:v>-5.1685781829349775</c:v>
                </c:pt>
                <c:pt idx="10">
                  <c:v>-5.0247980377421477</c:v>
                </c:pt>
                <c:pt idx="11">
                  <c:v>-4.8857227034384136</c:v>
                </c:pt>
                <c:pt idx="12">
                  <c:v>-4.7522721670902772</c:v>
                </c:pt>
                <c:pt idx="13">
                  <c:v>-4.62397081827182</c:v>
                </c:pt>
                <c:pt idx="14">
                  <c:v>-4.5012760292520957</c:v>
                </c:pt>
                <c:pt idx="15">
                  <c:v>-4.383209513670284</c:v>
                </c:pt>
                <c:pt idx="16">
                  <c:v>-4.269137007953506</c:v>
                </c:pt>
                <c:pt idx="17">
                  <c:v>-4.1583277499263653</c:v>
                </c:pt>
                <c:pt idx="18">
                  <c:v>-4.0491971770353414</c:v>
                </c:pt>
                <c:pt idx="19">
                  <c:v>-3.9415739755429944</c:v>
                </c:pt>
              </c:numCache>
            </c:numRef>
          </c:yVal>
          <c:smooth val="1"/>
          <c:extLst>
            <c:ext xmlns:c16="http://schemas.microsoft.com/office/drawing/2014/chart" uri="{C3380CC4-5D6E-409C-BE32-E72D297353CC}">
              <c16:uniqueId val="{00000006-8332-4C87-8709-72DC4552E789}"/>
            </c:ext>
          </c:extLst>
        </c:ser>
        <c:ser>
          <c:idx val="10"/>
          <c:order val="8"/>
          <c:tx>
            <c:strRef>
              <c:f>'Cu2+DLM2'!$AF$1</c:f>
              <c:strCache>
                <c:ptCount val="1"/>
                <c:pt idx="0">
                  <c:v>Desorbed Cu+</c:v>
                </c:pt>
              </c:strCache>
            </c:strRef>
          </c:tx>
          <c:spPr>
            <a:ln w="19050" cap="rnd">
              <a:solidFill>
                <a:schemeClr val="accent5">
                  <a:lumMod val="60000"/>
                </a:schemeClr>
              </a:solidFill>
              <a:round/>
            </a:ln>
            <a:effectLst/>
          </c:spPr>
          <c:marker>
            <c:symbol val="none"/>
          </c:marker>
          <c:xVal>
            <c:numRef>
              <c:f>'Cu2+DLM2'!$S$2:$S$21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'Cu2+DLM2'!$AF$2:$AF$21</c:f>
              <c:numCache>
                <c:formatCode>General</c:formatCode>
                <c:ptCount val="20"/>
                <c:pt idx="0">
                  <c:v>-4.6577747706392092</c:v>
                </c:pt>
                <c:pt idx="1">
                  <c:v>-4.9738754832545498</c:v>
                </c:pt>
                <c:pt idx="2">
                  <c:v>-5.2897133522971087</c:v>
                </c:pt>
                <c:pt idx="3">
                  <c:v>-5.6046736069306489</c:v>
                </c:pt>
                <c:pt idx="4">
                  <c:v>-5.9208187539523749</c:v>
                </c:pt>
                <c:pt idx="5">
                  <c:v>-6.2367217889810211</c:v>
                </c:pt>
                <c:pt idx="6">
                  <c:v>-6.5526868911764318</c:v>
                </c:pt>
                <c:pt idx="7">
                  <c:v>-6.8687022034023766</c:v>
                </c:pt>
                <c:pt idx="8">
                  <c:v>-7.1836924005680602</c:v>
                </c:pt>
                <c:pt idx="9">
                  <c:v>-7.4997635251743615</c:v>
                </c:pt>
                <c:pt idx="10">
                  <c:v>-7.8155925145876797</c:v>
                </c:pt>
                <c:pt idx="11">
                  <c:v>-8.1317083119821447</c:v>
                </c:pt>
                <c:pt idx="12">
                  <c:v>-8.4467239538629002</c:v>
                </c:pt>
                <c:pt idx="13">
                  <c:v>-8.7627076624325415</c:v>
                </c:pt>
                <c:pt idx="14">
                  <c:v>-9.0787298144901882</c:v>
                </c:pt>
                <c:pt idx="15">
                  <c:v>-9.39469495385889</c:v>
                </c:pt>
                <c:pt idx="16">
                  <c:v>-9.7106340484799691</c:v>
                </c:pt>
                <c:pt idx="17">
                  <c:v>-10.02571864112217</c:v>
                </c:pt>
                <c:pt idx="18">
                  <c:v>-10.341702349691809</c:v>
                </c:pt>
                <c:pt idx="19">
                  <c:v>-10.657774770639209</c:v>
                </c:pt>
              </c:numCache>
            </c:numRef>
          </c:yVal>
          <c:smooth val="1"/>
          <c:extLst>
            <c:ext xmlns:c16="http://schemas.microsoft.com/office/drawing/2014/chart" uri="{C3380CC4-5D6E-409C-BE32-E72D297353CC}">
              <c16:uniqueId val="{00000007-8332-4C87-8709-72DC4552E789}"/>
            </c:ext>
          </c:extLst>
        </c:ser>
        <c:dLbls>
          <c:showLegendKey val="0"/>
          <c:showVal val="0"/>
          <c:showCatName val="0"/>
          <c:showSerName val="0"/>
          <c:showPercent val="0"/>
          <c:showBubbleSize val="0"/>
        </c:dLbls>
        <c:axId val="1028277871"/>
        <c:axId val="1028302415"/>
        <c:extLst>
          <c:ext xmlns:c15="http://schemas.microsoft.com/office/drawing/2012/chart" uri="{02D57815-91ED-43cb-92C2-25804820EDAC}">
            <c15:filteredScatterSeries>
              <c15:ser>
                <c:idx val="6"/>
                <c:order val="3"/>
                <c:tx>
                  <c:strRef>
                    <c:extLst>
                      <c:ext uri="{02D57815-91ED-43cb-92C2-25804820EDAC}">
                        <c15:formulaRef>
                          <c15:sqref>'Cu2+DLM2'!$Z$1</c15:sqref>
                        </c15:formulaRef>
                      </c:ext>
                    </c:extLst>
                    <c:strCache>
                      <c:ptCount val="1"/>
                      <c:pt idx="0">
                        <c:v>7:TOTAL CU(2+</c:v>
                      </c:pt>
                    </c:strCache>
                  </c:strRef>
                </c:tx>
                <c:spPr>
                  <a:ln w="19050" cap="rnd">
                    <a:solidFill>
                      <a:schemeClr val="accent1">
                        <a:lumMod val="60000"/>
                      </a:schemeClr>
                    </a:solidFill>
                    <a:round/>
                  </a:ln>
                  <a:effectLst/>
                </c:spPr>
                <c:marker>
                  <c:symbol val="none"/>
                </c:marker>
                <c:xVal>
                  <c:numRef>
                    <c:extLst>
                      <c:ext uri="{02D57815-91ED-43cb-92C2-25804820EDAC}">
                        <c15:formulaRef>
                          <c15:sqref>'Cu2+DLM2'!$S$2:$S$21</c15:sqref>
                        </c15:formulaRef>
                      </c:ext>
                    </c:extLst>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extLst>
                      <c:ext uri="{02D57815-91ED-43cb-92C2-25804820EDAC}">
                        <c15:formulaRef>
                          <c15:sqref>'Cu2+DLM2'!$Z$2:$Z$21</c15:sqref>
                        </c15:formulaRef>
                      </c:ext>
                    </c:extLst>
                    <c:numCache>
                      <c:formatCode>General</c:formatCode>
                      <c:ptCount val="20"/>
                      <c:pt idx="0">
                        <c:v>-3</c:v>
                      </c:pt>
                      <c:pt idx="1">
                        <c:v>-3</c:v>
                      </c:pt>
                      <c:pt idx="2">
                        <c:v>-3</c:v>
                      </c:pt>
                      <c:pt idx="3">
                        <c:v>-3</c:v>
                      </c:pt>
                      <c:pt idx="4">
                        <c:v>-3</c:v>
                      </c:pt>
                      <c:pt idx="5">
                        <c:v>-3.3273480771599977</c:v>
                      </c:pt>
                      <c:pt idx="6">
                        <c:v>-3.9550684538508398</c:v>
                      </c:pt>
                      <c:pt idx="7">
                        <c:v>-4.5813673126459342</c:v>
                      </c:pt>
                      <c:pt idx="8">
                        <c:v>-5.2304749798289496</c:v>
                      </c:pt>
                      <c:pt idx="9">
                        <c:v>-6.4281747509591707</c:v>
                      </c:pt>
                      <c:pt idx="10">
                        <c:v>-5.6649434805609085</c:v>
                      </c:pt>
                      <c:pt idx="11">
                        <c:v>-5.2920042535770708</c:v>
                      </c:pt>
                      <c:pt idx="12">
                        <c:v>-4.9939620450026831</c:v>
                      </c:pt>
                      <c:pt idx="13">
                        <c:v>-4.7221616669979527</c:v>
                      </c:pt>
                      <c:pt idx="14">
                        <c:v>-4.4732731326853648</c:v>
                      </c:pt>
                      <c:pt idx="15">
                        <c:v>-4.242907779881067</c:v>
                      </c:pt>
                      <c:pt idx="16">
                        <c:v>-4.0235124626948098</c:v>
                      </c:pt>
                      <c:pt idx="17">
                        <c:v>-3.8099485822407941</c:v>
                      </c:pt>
                      <c:pt idx="18">
                        <c:v>-3.598254917762937</c:v>
                      </c:pt>
                      <c:pt idx="19">
                        <c:v>-3.3873220816834984</c:v>
                      </c:pt>
                    </c:numCache>
                  </c:numRef>
                </c:yVal>
                <c:smooth val="1"/>
                <c:extLst>
                  <c:ext xmlns:c16="http://schemas.microsoft.com/office/drawing/2014/chart" uri="{C3380CC4-5D6E-409C-BE32-E72D297353CC}">
                    <c16:uniqueId val="{00000008-8332-4C87-8709-72DC4552E789}"/>
                  </c:ext>
                </c:extLst>
              </c15:ser>
            </c15:filteredScatterSeries>
          </c:ext>
        </c:extLst>
      </c:scatterChart>
      <c:valAx>
        <c:axId val="1028277871"/>
        <c:scaling>
          <c:orientation val="minMax"/>
          <c:max val="10"/>
          <c:min val="4"/>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8302415"/>
        <c:crosses val="autoZero"/>
        <c:crossBetween val="midCat"/>
      </c:valAx>
      <c:valAx>
        <c:axId val="1028302415"/>
        <c:scaling>
          <c:orientation val="minMax"/>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 (M)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82778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Manganese pC -- pH Adsorption Diagram</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'Mn2+DLM2'!$Q$1</c:f>
              <c:strCache>
                <c:ptCount val="1"/>
                <c:pt idx="0">
                  <c:v>Mn2+</c:v>
                </c:pt>
              </c:strCache>
            </c:strRef>
          </c:tx>
          <c:spPr>
            <a:ln w="19050" cap="rnd">
              <a:solidFill>
                <a:schemeClr val="accent1"/>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'Mn2+DLM2'!$Q$2:$Q$21</c:f>
              <c:numCache>
                <c:formatCode>General</c:formatCode>
                <c:ptCount val="20"/>
                <c:pt idx="0">
                  <c:v>-3.0005214663206901</c:v>
                </c:pt>
                <c:pt idx="1">
                  <c:v>-3.0005214663206901</c:v>
                </c:pt>
                <c:pt idx="2">
                  <c:v>-3.0005214663206901</c:v>
                </c:pt>
                <c:pt idx="3">
                  <c:v>-3.0005214663206901</c:v>
                </c:pt>
                <c:pt idx="4">
                  <c:v>-3.0005214663206901</c:v>
                </c:pt>
                <c:pt idx="5">
                  <c:v>-3.0005214663206901</c:v>
                </c:pt>
                <c:pt idx="6">
                  <c:v>-3.0005214663206901</c:v>
                </c:pt>
                <c:pt idx="7">
                  <c:v>-3.0005214663206901</c:v>
                </c:pt>
                <c:pt idx="8">
                  <c:v>-3.0005649501236702</c:v>
                </c:pt>
                <c:pt idx="9">
                  <c:v>-3.0005649501236702</c:v>
                </c:pt>
                <c:pt idx="10">
                  <c:v>-3.0006519307932784</c:v>
                </c:pt>
                <c:pt idx="11">
                  <c:v>-3.0007824344698966</c:v>
                </c:pt>
                <c:pt idx="12">
                  <c:v>-3.0010000277816795</c:v>
                </c:pt>
                <c:pt idx="13">
                  <c:v>-3.0015662811355313</c:v>
                </c:pt>
                <c:pt idx="14">
                  <c:v>-3.0026573093983777</c:v>
                </c:pt>
                <c:pt idx="15">
                  <c:v>-3.0048915422552596</c:v>
                </c:pt>
                <c:pt idx="16">
                  <c:v>-3.0094835559717712</c:v>
                </c:pt>
                <c:pt idx="17">
                  <c:v>-3.3609121289162625</c:v>
                </c:pt>
                <c:pt idx="18">
                  <c:v>-3.9926790470772553</c:v>
                </c:pt>
                <c:pt idx="19">
                  <c:v>-4.6248853153077754</c:v>
                </c:pt>
              </c:numCache>
            </c:numRef>
          </c:yVal>
          <c:smooth val="1"/>
          <c:extLst>
            <c:ext xmlns:c16="http://schemas.microsoft.com/office/drawing/2014/chart" uri="{C3380CC4-5D6E-409C-BE32-E72D297353CC}">
              <c16:uniqueId val="{00000000-0FCB-42CB-BB86-9C8DF47B41A3}"/>
            </c:ext>
          </c:extLst>
        </c:ser>
        <c:ser>
          <c:idx val="1"/>
          <c:order val="1"/>
          <c:tx>
            <c:strRef>
              <c:f>'Mn2+DLM2'!$R$1</c:f>
              <c:strCache>
                <c:ptCount val="1"/>
                <c:pt idx="0">
                  <c:v>MnOH+</c:v>
                </c:pt>
              </c:strCache>
            </c:strRef>
          </c:tx>
          <c:spPr>
            <a:ln w="19050" cap="rnd">
              <a:solidFill>
                <a:schemeClr val="accent2"/>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'Mn2+DLM2'!$R$2:$R$21</c:f>
              <c:numCache>
                <c:formatCode>General</c:formatCode>
                <c:ptCount val="20"/>
                <c:pt idx="0">
                  <c:v>-9.7332980331159114</c:v>
                </c:pt>
                <c:pt idx="1">
                  <c:v>-9.4173685605103632</c:v>
                </c:pt>
                <c:pt idx="2">
                  <c:v>-9.101384502583814</c:v>
                </c:pt>
                <c:pt idx="3">
                  <c:v>-8.7864822430036948</c:v>
                </c:pt>
                <c:pt idx="4">
                  <c:v>-8.4703130462270835</c:v>
                </c:pt>
                <c:pt idx="5">
                  <c:v>-8.1543439400164548</c:v>
                </c:pt>
                <c:pt idx="6">
                  <c:v>-7.838332587562264</c:v>
                </c:pt>
                <c:pt idx="7">
                  <c:v>-7.5224446678010191</c:v>
                </c:pt>
                <c:pt idx="8">
                  <c:v>-7.2073982188350332</c:v>
                </c:pt>
                <c:pt idx="9">
                  <c:v>-6.8914349762671652</c:v>
                </c:pt>
                <c:pt idx="10">
                  <c:v>-6.5754450233932866</c:v>
                </c:pt>
                <c:pt idx="11">
                  <c:v>-6.2596373105057559</c:v>
                </c:pt>
                <c:pt idx="12">
                  <c:v>-5.9450041384708587</c:v>
                </c:pt>
                <c:pt idx="13">
                  <c:v>-5.6293019074244235</c:v>
                </c:pt>
                <c:pt idx="14">
                  <c:v>-5.3144373888417702</c:v>
                </c:pt>
                <c:pt idx="15">
                  <c:v>-5.0007389288868991</c:v>
                </c:pt>
                <c:pt idx="16">
                  <c:v>-4.6893066876566394</c:v>
                </c:pt>
                <c:pt idx="17">
                  <c:v>-4.7256112044496215</c:v>
                </c:pt>
                <c:pt idx="18">
                  <c:v>-5.0417228744523026</c:v>
                </c:pt>
                <c:pt idx="19">
                  <c:v>-5.3577333810973267</c:v>
                </c:pt>
              </c:numCache>
            </c:numRef>
          </c:yVal>
          <c:smooth val="1"/>
          <c:extLst>
            <c:ext xmlns:c16="http://schemas.microsoft.com/office/drawing/2014/chart" uri="{C3380CC4-5D6E-409C-BE32-E72D297353CC}">
              <c16:uniqueId val="{00000001-0FCB-42CB-BB86-9C8DF47B41A3}"/>
            </c:ext>
          </c:extLst>
        </c:ser>
        <c:ser>
          <c:idx val="2"/>
          <c:order val="2"/>
          <c:tx>
            <c:strRef>
              <c:f>'Mn2+DLM2'!$S$1</c:f>
              <c:strCache>
                <c:ptCount val="1"/>
                <c:pt idx="0">
                  <c:v>Mn(OH)3-  </c:v>
                </c:pt>
              </c:strCache>
            </c:strRef>
          </c:tx>
          <c:spPr>
            <a:ln w="19050" cap="rnd">
              <a:solidFill>
                <a:schemeClr val="accent3"/>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'Mn2+DLM2'!$S$2:$S$21</c:f>
              <c:numCache>
                <c:formatCode>General</c:formatCode>
                <c:ptCount val="20"/>
                <c:pt idx="0">
                  <c:v>-25.936291440608581</c:v>
                </c:pt>
                <c:pt idx="1">
                  <c:v>-24.988429556402721</c:v>
                </c:pt>
                <c:pt idx="2">
                  <c:v>-24.040386288928957</c:v>
                </c:pt>
                <c:pt idx="3">
                  <c:v>-23.095392636184553</c:v>
                </c:pt>
                <c:pt idx="4">
                  <c:v>-22.147398030661765</c:v>
                </c:pt>
                <c:pt idx="5">
                  <c:v>-21.19935164463601</c:v>
                </c:pt>
                <c:pt idx="6">
                  <c:v>-20.251346906575733</c:v>
                </c:pt>
                <c:pt idx="7">
                  <c:v>-19.303381540767774</c:v>
                </c:pt>
                <c:pt idx="8">
                  <c:v>-18.358426746821824</c:v>
                </c:pt>
                <c:pt idx="9">
                  <c:v>-17.410385459368733</c:v>
                </c:pt>
                <c:pt idx="10">
                  <c:v>-16.462432742847326</c:v>
                </c:pt>
                <c:pt idx="11">
                  <c:v>-15.514562518923698</c:v>
                </c:pt>
                <c:pt idx="12">
                  <c:v>-14.569924944448061</c:v>
                </c:pt>
                <c:pt idx="13">
                  <c:v>-13.622329560665676</c:v>
                </c:pt>
                <c:pt idx="14">
                  <c:v>-12.675511766692344</c:v>
                </c:pt>
                <c:pt idx="15">
                  <c:v>-11.729787145103757</c:v>
                </c:pt>
                <c:pt idx="16">
                  <c:v>-10.786216700664696</c:v>
                </c:pt>
                <c:pt idx="17">
                  <c:v>-10.192735644723893</c:v>
                </c:pt>
                <c:pt idx="18">
                  <c:v>-9.8768019249680012</c:v>
                </c:pt>
                <c:pt idx="19">
                  <c:v>-9.5606673061697371</c:v>
                </c:pt>
              </c:numCache>
            </c:numRef>
          </c:yVal>
          <c:smooth val="1"/>
          <c:extLst>
            <c:ext xmlns:c16="http://schemas.microsoft.com/office/drawing/2014/chart" uri="{C3380CC4-5D6E-409C-BE32-E72D297353CC}">
              <c16:uniqueId val="{00000002-0FCB-42CB-BB86-9C8DF47B41A3}"/>
            </c:ext>
          </c:extLst>
        </c:ser>
        <c:ser>
          <c:idx val="4"/>
          <c:order val="3"/>
          <c:tx>
            <c:strRef>
              <c:f>'Mn2+DLM2'!$U$1</c:f>
              <c:strCache>
                <c:ptCount val="1"/>
                <c:pt idx="0">
                  <c:v>Adsorbed Mn2+</c:v>
                </c:pt>
              </c:strCache>
            </c:strRef>
          </c:tx>
          <c:spPr>
            <a:ln w="19050" cap="rnd">
              <a:solidFill>
                <a:schemeClr val="accent5"/>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'Mn2+DLM2'!$U$2:$U$21</c:f>
              <c:numCache>
                <c:formatCode>General</c:formatCode>
                <c:ptCount val="20"/>
                <c:pt idx="0">
                  <c:v>-5.9179330657148874</c:v>
                </c:pt>
                <c:pt idx="1">
                  <c:v>-5.9179330657148874</c:v>
                </c:pt>
                <c:pt idx="2">
                  <c:v>-5.9179330657148874</c:v>
                </c:pt>
                <c:pt idx="3">
                  <c:v>-5.9179330657148874</c:v>
                </c:pt>
                <c:pt idx="4">
                  <c:v>-5.9179330657148874</c:v>
                </c:pt>
                <c:pt idx="5">
                  <c:v>-5.9179330657148874</c:v>
                </c:pt>
                <c:pt idx="6">
                  <c:v>-5.9179330657148874</c:v>
                </c:pt>
                <c:pt idx="7">
                  <c:v>-5.9179330657148874</c:v>
                </c:pt>
                <c:pt idx="8">
                  <c:v>-5.9179330657148874</c:v>
                </c:pt>
                <c:pt idx="9">
                  <c:v>-5.9179330657148874</c:v>
                </c:pt>
                <c:pt idx="10">
                  <c:v>-5.9179330657148874</c:v>
                </c:pt>
                <c:pt idx="11">
                  <c:v>-5.9182927299026504</c:v>
                </c:pt>
                <c:pt idx="12">
                  <c:v>-5.9182927299026504</c:v>
                </c:pt>
                <c:pt idx="13">
                  <c:v>-5.9186526921958675</c:v>
                </c:pt>
                <c:pt idx="14">
                  <c:v>-5.9190129530891129</c:v>
                </c:pt>
                <c:pt idx="15">
                  <c:v>-5.920456992597094</c:v>
                </c:pt>
                <c:pt idx="16">
                  <c:v>-5.9226320947158433</c:v>
                </c:pt>
                <c:pt idx="17">
                  <c:v>-6.1188436789244367</c:v>
                </c:pt>
                <c:pt idx="18">
                  <c:v>-6.5972229303896528</c:v>
                </c:pt>
                <c:pt idx="19">
                  <c:v>-6.9255492810454085</c:v>
                </c:pt>
              </c:numCache>
            </c:numRef>
          </c:yVal>
          <c:smooth val="1"/>
          <c:extLst>
            <c:ext xmlns:c16="http://schemas.microsoft.com/office/drawing/2014/chart" uri="{C3380CC4-5D6E-409C-BE32-E72D297353CC}">
              <c16:uniqueId val="{00000003-0FCB-42CB-BB86-9C8DF47B41A3}"/>
            </c:ext>
          </c:extLst>
        </c:ser>
        <c:ser>
          <c:idx val="5"/>
          <c:order val="4"/>
          <c:tx>
            <c:strRef>
              <c:f>'Mn2+DLM2'!$V$1</c:f>
              <c:strCache>
                <c:ptCount val="1"/>
                <c:pt idx="0">
                  <c:v>Desorbed Mn2+</c:v>
                </c:pt>
              </c:strCache>
            </c:strRef>
          </c:tx>
          <c:spPr>
            <a:ln w="19050" cap="rnd">
              <a:solidFill>
                <a:schemeClr val="accent6"/>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'Mn2+DLM2'!$V$2:$V$21</c:f>
              <c:numCache>
                <c:formatCode>General</c:formatCode>
                <c:ptCount val="20"/>
                <c:pt idx="0">
                  <c:v>-3.0005214663206901</c:v>
                </c:pt>
                <c:pt idx="1">
                  <c:v>-3.0005214663206901</c:v>
                </c:pt>
                <c:pt idx="2">
                  <c:v>-3.0005214663206901</c:v>
                </c:pt>
                <c:pt idx="3">
                  <c:v>-3.0005214663206901</c:v>
                </c:pt>
                <c:pt idx="4">
                  <c:v>-3.0005214663206901</c:v>
                </c:pt>
                <c:pt idx="5">
                  <c:v>-3.0005214663206901</c:v>
                </c:pt>
                <c:pt idx="6">
                  <c:v>-3.0005214663206901</c:v>
                </c:pt>
                <c:pt idx="7">
                  <c:v>-3.0005214663206901</c:v>
                </c:pt>
                <c:pt idx="8">
                  <c:v>-3.0005214663206901</c:v>
                </c:pt>
                <c:pt idx="9">
                  <c:v>-3.0005214663206901</c:v>
                </c:pt>
                <c:pt idx="10">
                  <c:v>-3.0005214663206901</c:v>
                </c:pt>
                <c:pt idx="11">
                  <c:v>-3.0005214663206901</c:v>
                </c:pt>
                <c:pt idx="12">
                  <c:v>-3.0005214663206901</c:v>
                </c:pt>
                <c:pt idx="13">
                  <c:v>-3.0005214663206901</c:v>
                </c:pt>
                <c:pt idx="14">
                  <c:v>-3.0005214663206901</c:v>
                </c:pt>
                <c:pt idx="15">
                  <c:v>-3.0005214663206901</c:v>
                </c:pt>
                <c:pt idx="16">
                  <c:v>-3.0005214663206901</c:v>
                </c:pt>
                <c:pt idx="17">
                  <c:v>-3.3425616772970375</c:v>
                </c:pt>
                <c:pt idx="18">
                  <c:v>-3.9558523791212772</c:v>
                </c:pt>
                <c:pt idx="19">
                  <c:v>-4.5511391543925592</c:v>
                </c:pt>
              </c:numCache>
            </c:numRef>
          </c:yVal>
          <c:smooth val="1"/>
          <c:extLst>
            <c:ext xmlns:c16="http://schemas.microsoft.com/office/drawing/2014/chart" uri="{C3380CC4-5D6E-409C-BE32-E72D297353CC}">
              <c16:uniqueId val="{00000004-0FCB-42CB-BB86-9C8DF47B41A3}"/>
            </c:ext>
          </c:extLst>
        </c:ser>
        <c:ser>
          <c:idx val="3"/>
          <c:order val="5"/>
          <c:tx>
            <c:strRef>
              <c:f>'Mn2+DLM2'!$W$1</c:f>
              <c:strCache>
                <c:ptCount val="1"/>
                <c:pt idx="0">
                  <c:v>Mn3+</c:v>
                </c:pt>
              </c:strCache>
            </c:strRef>
          </c:tx>
          <c:spPr>
            <a:ln w="19050" cap="rnd">
              <a:solidFill>
                <a:schemeClr val="accent4"/>
              </a:solidFill>
              <a:round/>
            </a:ln>
            <a:effectLst/>
          </c:spPr>
          <c:marker>
            <c:symbol val="none"/>
          </c:marker>
          <c:xVal>
            <c:numRef>
              <c:f>'Mn2+DLM2'!$P$2:$P$22</c:f>
              <c:numCache>
                <c:formatCode>0.00</c:formatCode>
                <c:ptCount val="21"/>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'Mn2+DLM2'!$W$2:$W$21</c:f>
              <c:numCache>
                <c:formatCode>General</c:formatCode>
                <c:ptCount val="20"/>
                <c:pt idx="0">
                  <c:v>-11.914352711703144</c:v>
                </c:pt>
                <c:pt idx="1">
                  <c:v>-12.862329462763245</c:v>
                </c:pt>
                <c:pt idx="2">
                  <c:v>-13.810509686300632</c:v>
                </c:pt>
                <c:pt idx="3">
                  <c:v>-14.755475488429916</c:v>
                </c:pt>
                <c:pt idx="4">
                  <c:v>-15.703554205793603</c:v>
                </c:pt>
                <c:pt idx="5">
                  <c:v>-16.651500429716162</c:v>
                </c:pt>
                <c:pt idx="6">
                  <c:v>-17.599462010608054</c:v>
                </c:pt>
                <c:pt idx="7">
                  <c:v>-18.547446936771074</c:v>
                </c:pt>
                <c:pt idx="8">
                  <c:v>-19.492413960236988</c:v>
                </c:pt>
                <c:pt idx="9">
                  <c:v>-20.440452444419567</c:v>
                </c:pt>
                <c:pt idx="10">
                  <c:v>-21.388489112873344</c:v>
                </c:pt>
                <c:pt idx="11">
                  <c:v>-22.336487529584844</c:v>
                </c:pt>
                <c:pt idx="12">
                  <c:v>-23.281498311132726</c:v>
                </c:pt>
                <c:pt idx="13">
                  <c:v>-24.229442525149004</c:v>
                </c:pt>
                <c:pt idx="14">
                  <c:v>-25.177439663057307</c:v>
                </c:pt>
                <c:pt idx="15">
                  <c:v>-26.125460202928991</c:v>
                </c:pt>
                <c:pt idx="16">
                  <c:v>-27.073451775364383</c:v>
                </c:pt>
                <c:pt idx="17">
                  <c:v>-28.018453194954763</c:v>
                </c:pt>
                <c:pt idx="18">
                  <c:v>-28.96657624451305</c:v>
                </c:pt>
                <c:pt idx="19">
                  <c:v>-29.914352711703142</c:v>
                </c:pt>
              </c:numCache>
            </c:numRef>
          </c:yVal>
          <c:smooth val="1"/>
          <c:extLst>
            <c:ext xmlns:c16="http://schemas.microsoft.com/office/drawing/2014/chart" uri="{C3380CC4-5D6E-409C-BE32-E72D297353CC}">
              <c16:uniqueId val="{00000005-0FCB-42CB-BB86-9C8DF47B41A3}"/>
            </c:ext>
          </c:extLst>
        </c:ser>
        <c:ser>
          <c:idx val="6"/>
          <c:order val="6"/>
          <c:tx>
            <c:strRef>
              <c:f>'Mn2+DLM2'!$X$1</c:f>
              <c:strCache>
                <c:ptCount val="1"/>
                <c:pt idx="0">
                  <c:v>Adsorbed Mn3+</c:v>
                </c:pt>
              </c:strCache>
            </c:strRef>
          </c:tx>
          <c:spPr>
            <a:ln w="19050" cap="rnd">
              <a:solidFill>
                <a:schemeClr val="accent1">
                  <a:lumMod val="60000"/>
                </a:schemeClr>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'Mn2+DLM2'!$X$2:$X$21</c:f>
              <c:numCache>
                <c:formatCode>General</c:formatCode>
                <c:ptCount val="20"/>
                <c:pt idx="0">
                  <c:v>-3.3985919394653163</c:v>
                </c:pt>
                <c:pt idx="1">
                  <c:v>-3.0831251214613165</c:v>
                </c:pt>
                <c:pt idx="2">
                  <c:v>-2.7687853520373991</c:v>
                </c:pt>
                <c:pt idx="3">
                  <c:v>-2.4571745730408199</c:v>
                </c:pt>
                <c:pt idx="4">
                  <c:v>-2.1483747968466909</c:v>
                </c:pt>
                <c:pt idx="5">
                  <c:v>-1.8477116556169435</c:v>
                </c:pt>
                <c:pt idx="6">
                  <c:v>-1.5647928967592524</c:v>
                </c:pt>
                <c:pt idx="7">
                  <c:v>-1.3229408226078385</c:v>
                </c:pt>
                <c:pt idx="8">
                  <c:v>-1.1683221508085333</c:v>
                </c:pt>
                <c:pt idx="9">
                  <c:v>-1.1175323851046286</c:v>
                </c:pt>
                <c:pt idx="10">
                  <c:v>-1.1095230910398293</c:v>
                </c:pt>
                <c:pt idx="11">
                  <c:v>-1.108574057152006</c:v>
                </c:pt>
                <c:pt idx="12">
                  <c:v>-1.1084625423274355</c:v>
                </c:pt>
                <c:pt idx="13">
                  <c:v>-1.1084625423274355</c:v>
                </c:pt>
                <c:pt idx="14">
                  <c:v>-1.1084625423274355</c:v>
                </c:pt>
                <c:pt idx="15">
                  <c:v>-1.1084625423274355</c:v>
                </c:pt>
                <c:pt idx="16">
                  <c:v>-1.1084625423274355</c:v>
                </c:pt>
                <c:pt idx="17">
                  <c:v>-1.1084625423274355</c:v>
                </c:pt>
                <c:pt idx="18">
                  <c:v>-1.1084625423274355</c:v>
                </c:pt>
                <c:pt idx="19">
                  <c:v>-1.1084625423274355</c:v>
                </c:pt>
              </c:numCache>
            </c:numRef>
          </c:yVal>
          <c:smooth val="1"/>
          <c:extLst>
            <c:ext xmlns:c16="http://schemas.microsoft.com/office/drawing/2014/chart" uri="{C3380CC4-5D6E-409C-BE32-E72D297353CC}">
              <c16:uniqueId val="{00000006-0FCB-42CB-BB86-9C8DF47B41A3}"/>
            </c:ext>
          </c:extLst>
        </c:ser>
        <c:ser>
          <c:idx val="7"/>
          <c:order val="7"/>
          <c:tx>
            <c:strRef>
              <c:f>'Mn2+DLM2'!$Y$1</c:f>
              <c:strCache>
                <c:ptCount val="1"/>
                <c:pt idx="0">
                  <c:v>Desorbed Mn3+</c:v>
                </c:pt>
              </c:strCache>
            </c:strRef>
          </c:tx>
          <c:spPr>
            <a:ln w="19050" cap="rnd">
              <a:solidFill>
                <a:schemeClr val="accent2">
                  <a:lumMod val="60000"/>
                </a:schemeClr>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'Mn2+DLM2'!$Y$2:$Y$21</c:f>
              <c:numCache>
                <c:formatCode>General</c:formatCode>
                <c:ptCount val="20"/>
                <c:pt idx="0">
                  <c:v>-11.914352711703144</c:v>
                </c:pt>
                <c:pt idx="1">
                  <c:v>-12.862329462763245</c:v>
                </c:pt>
                <c:pt idx="2">
                  <c:v>-13.810509686300632</c:v>
                </c:pt>
                <c:pt idx="3">
                  <c:v>-14.755475488429916</c:v>
                </c:pt>
                <c:pt idx="4">
                  <c:v>-15.703554205793603</c:v>
                </c:pt>
                <c:pt idx="5">
                  <c:v>-16.651500429716162</c:v>
                </c:pt>
                <c:pt idx="6">
                  <c:v>-17.599462010608054</c:v>
                </c:pt>
                <c:pt idx="7">
                  <c:v>-18.547446936771074</c:v>
                </c:pt>
                <c:pt idx="8">
                  <c:v>-19.492413960236988</c:v>
                </c:pt>
                <c:pt idx="9">
                  <c:v>-20.440452444419567</c:v>
                </c:pt>
                <c:pt idx="10">
                  <c:v>-21.388489112873344</c:v>
                </c:pt>
                <c:pt idx="11">
                  <c:v>-22.336487529584844</c:v>
                </c:pt>
                <c:pt idx="12">
                  <c:v>-23.281498311132726</c:v>
                </c:pt>
                <c:pt idx="13">
                  <c:v>-24.229442525149004</c:v>
                </c:pt>
                <c:pt idx="14">
                  <c:v>-25.177439663057307</c:v>
                </c:pt>
                <c:pt idx="15">
                  <c:v>-26.125460202928991</c:v>
                </c:pt>
                <c:pt idx="16">
                  <c:v>-27.073451775364383</c:v>
                </c:pt>
                <c:pt idx="17">
                  <c:v>-28.018453194954763</c:v>
                </c:pt>
                <c:pt idx="18">
                  <c:v>-28.96657624451305</c:v>
                </c:pt>
                <c:pt idx="19">
                  <c:v>-29.914352711703142</c:v>
                </c:pt>
              </c:numCache>
            </c:numRef>
          </c:yVal>
          <c:smooth val="1"/>
          <c:extLst>
            <c:ext xmlns:c16="http://schemas.microsoft.com/office/drawing/2014/chart" uri="{C3380CC4-5D6E-409C-BE32-E72D297353CC}">
              <c16:uniqueId val="{00000007-0FCB-42CB-BB86-9C8DF47B41A3}"/>
            </c:ext>
          </c:extLst>
        </c:ser>
        <c:dLbls>
          <c:showLegendKey val="0"/>
          <c:showVal val="0"/>
          <c:showCatName val="0"/>
          <c:showSerName val="0"/>
          <c:showPercent val="0"/>
          <c:showBubbleSize val="0"/>
        </c:dLbls>
        <c:axId val="2066581679"/>
        <c:axId val="2066574607"/>
      </c:scatterChart>
      <c:valAx>
        <c:axId val="2066581679"/>
        <c:scaling>
          <c:orientation val="minMax"/>
          <c:max val="10"/>
          <c:min val="4"/>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6574607"/>
        <c:crosses val="autoZero"/>
        <c:crossBetween val="midCat"/>
      </c:valAx>
      <c:valAx>
        <c:axId val="2066574607"/>
        <c:scaling>
          <c:orientation val="minMax"/>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 (M)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658167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Manganese pC -- pH Adsorption Diagram</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'Mn2+DLM2'!$Q$1</c:f>
              <c:strCache>
                <c:ptCount val="1"/>
                <c:pt idx="0">
                  <c:v>Mn2+</c:v>
                </c:pt>
              </c:strCache>
            </c:strRef>
          </c:tx>
          <c:spPr>
            <a:ln w="19050" cap="rnd">
              <a:solidFill>
                <a:schemeClr val="accent1"/>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'Mn2+DLM2'!$Q$2:$Q$21</c:f>
              <c:numCache>
                <c:formatCode>General</c:formatCode>
                <c:ptCount val="20"/>
                <c:pt idx="0">
                  <c:v>-3.0005214663206901</c:v>
                </c:pt>
                <c:pt idx="1">
                  <c:v>-3.0005214663206901</c:v>
                </c:pt>
                <c:pt idx="2">
                  <c:v>-3.0005214663206901</c:v>
                </c:pt>
                <c:pt idx="3">
                  <c:v>-3.0005214663206901</c:v>
                </c:pt>
                <c:pt idx="4">
                  <c:v>-3.0005214663206901</c:v>
                </c:pt>
                <c:pt idx="5">
                  <c:v>-3.0005214663206901</c:v>
                </c:pt>
                <c:pt idx="6">
                  <c:v>-3.0005214663206901</c:v>
                </c:pt>
                <c:pt idx="7">
                  <c:v>-3.0005214663206901</c:v>
                </c:pt>
                <c:pt idx="8">
                  <c:v>-3.0005649501236702</c:v>
                </c:pt>
                <c:pt idx="9">
                  <c:v>-3.0005649501236702</c:v>
                </c:pt>
                <c:pt idx="10">
                  <c:v>-3.0006519307932784</c:v>
                </c:pt>
                <c:pt idx="11">
                  <c:v>-3.0007824344698966</c:v>
                </c:pt>
                <c:pt idx="12">
                  <c:v>-3.0010000277816795</c:v>
                </c:pt>
                <c:pt idx="13">
                  <c:v>-3.0015662811355313</c:v>
                </c:pt>
                <c:pt idx="14">
                  <c:v>-3.0026573093983777</c:v>
                </c:pt>
                <c:pt idx="15">
                  <c:v>-3.0048915422552596</c:v>
                </c:pt>
                <c:pt idx="16">
                  <c:v>-3.0094835559717712</c:v>
                </c:pt>
                <c:pt idx="17">
                  <c:v>-3.3609121289162625</c:v>
                </c:pt>
                <c:pt idx="18">
                  <c:v>-3.9926790470772553</c:v>
                </c:pt>
                <c:pt idx="19">
                  <c:v>-4.6248853153077754</c:v>
                </c:pt>
              </c:numCache>
            </c:numRef>
          </c:yVal>
          <c:smooth val="1"/>
          <c:extLst>
            <c:ext xmlns:c16="http://schemas.microsoft.com/office/drawing/2014/chart" uri="{C3380CC4-5D6E-409C-BE32-E72D297353CC}">
              <c16:uniqueId val="{00000000-3363-4CAB-A08C-F6CA29C86036}"/>
            </c:ext>
          </c:extLst>
        </c:ser>
        <c:ser>
          <c:idx val="1"/>
          <c:order val="1"/>
          <c:tx>
            <c:strRef>
              <c:f>'Mn2+DLM2'!$R$1</c:f>
              <c:strCache>
                <c:ptCount val="1"/>
                <c:pt idx="0">
                  <c:v>MnOH+</c:v>
                </c:pt>
              </c:strCache>
            </c:strRef>
          </c:tx>
          <c:spPr>
            <a:ln w="19050" cap="rnd">
              <a:solidFill>
                <a:schemeClr val="accent2"/>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'Mn2+DLM2'!$R$2:$R$21</c:f>
              <c:numCache>
                <c:formatCode>General</c:formatCode>
                <c:ptCount val="20"/>
                <c:pt idx="0">
                  <c:v>-9.7332980331159114</c:v>
                </c:pt>
                <c:pt idx="1">
                  <c:v>-9.4173685605103632</c:v>
                </c:pt>
                <c:pt idx="2">
                  <c:v>-9.101384502583814</c:v>
                </c:pt>
                <c:pt idx="3">
                  <c:v>-8.7864822430036948</c:v>
                </c:pt>
                <c:pt idx="4">
                  <c:v>-8.4703130462270835</c:v>
                </c:pt>
                <c:pt idx="5">
                  <c:v>-8.1543439400164548</c:v>
                </c:pt>
                <c:pt idx="6">
                  <c:v>-7.838332587562264</c:v>
                </c:pt>
                <c:pt idx="7">
                  <c:v>-7.5224446678010191</c:v>
                </c:pt>
                <c:pt idx="8">
                  <c:v>-7.2073982188350332</c:v>
                </c:pt>
                <c:pt idx="9">
                  <c:v>-6.8914349762671652</c:v>
                </c:pt>
                <c:pt idx="10">
                  <c:v>-6.5754450233932866</c:v>
                </c:pt>
                <c:pt idx="11">
                  <c:v>-6.2596373105057559</c:v>
                </c:pt>
                <c:pt idx="12">
                  <c:v>-5.9450041384708587</c:v>
                </c:pt>
                <c:pt idx="13">
                  <c:v>-5.6293019074244235</c:v>
                </c:pt>
                <c:pt idx="14">
                  <c:v>-5.3144373888417702</c:v>
                </c:pt>
                <c:pt idx="15">
                  <c:v>-5.0007389288868991</c:v>
                </c:pt>
                <c:pt idx="16">
                  <c:v>-4.6893066876566394</c:v>
                </c:pt>
                <c:pt idx="17">
                  <c:v>-4.7256112044496215</c:v>
                </c:pt>
                <c:pt idx="18">
                  <c:v>-5.0417228744523026</c:v>
                </c:pt>
                <c:pt idx="19">
                  <c:v>-5.3577333810973267</c:v>
                </c:pt>
              </c:numCache>
            </c:numRef>
          </c:yVal>
          <c:smooth val="1"/>
          <c:extLst>
            <c:ext xmlns:c16="http://schemas.microsoft.com/office/drawing/2014/chart" uri="{C3380CC4-5D6E-409C-BE32-E72D297353CC}">
              <c16:uniqueId val="{00000001-3363-4CAB-A08C-F6CA29C86036}"/>
            </c:ext>
          </c:extLst>
        </c:ser>
        <c:ser>
          <c:idx val="2"/>
          <c:order val="2"/>
          <c:tx>
            <c:strRef>
              <c:f>'Mn2+DLM2'!$S$1</c:f>
              <c:strCache>
                <c:ptCount val="1"/>
                <c:pt idx="0">
                  <c:v>Mn(OH)3-  </c:v>
                </c:pt>
              </c:strCache>
            </c:strRef>
          </c:tx>
          <c:spPr>
            <a:ln w="19050" cap="rnd">
              <a:solidFill>
                <a:schemeClr val="accent3"/>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'Mn2+DLM2'!$S$2:$S$21</c:f>
              <c:numCache>
                <c:formatCode>General</c:formatCode>
                <c:ptCount val="20"/>
                <c:pt idx="0">
                  <c:v>-25.936291440608581</c:v>
                </c:pt>
                <c:pt idx="1">
                  <c:v>-24.988429556402721</c:v>
                </c:pt>
                <c:pt idx="2">
                  <c:v>-24.040386288928957</c:v>
                </c:pt>
                <c:pt idx="3">
                  <c:v>-23.095392636184553</c:v>
                </c:pt>
                <c:pt idx="4">
                  <c:v>-22.147398030661765</c:v>
                </c:pt>
                <c:pt idx="5">
                  <c:v>-21.19935164463601</c:v>
                </c:pt>
                <c:pt idx="6">
                  <c:v>-20.251346906575733</c:v>
                </c:pt>
                <c:pt idx="7">
                  <c:v>-19.303381540767774</c:v>
                </c:pt>
                <c:pt idx="8">
                  <c:v>-18.358426746821824</c:v>
                </c:pt>
                <c:pt idx="9">
                  <c:v>-17.410385459368733</c:v>
                </c:pt>
                <c:pt idx="10">
                  <c:v>-16.462432742847326</c:v>
                </c:pt>
                <c:pt idx="11">
                  <c:v>-15.514562518923698</c:v>
                </c:pt>
                <c:pt idx="12">
                  <c:v>-14.569924944448061</c:v>
                </c:pt>
                <c:pt idx="13">
                  <c:v>-13.622329560665676</c:v>
                </c:pt>
                <c:pt idx="14">
                  <c:v>-12.675511766692344</c:v>
                </c:pt>
                <c:pt idx="15">
                  <c:v>-11.729787145103757</c:v>
                </c:pt>
                <c:pt idx="16">
                  <c:v>-10.786216700664696</c:v>
                </c:pt>
                <c:pt idx="17">
                  <c:v>-10.192735644723893</c:v>
                </c:pt>
                <c:pt idx="18">
                  <c:v>-9.8768019249680012</c:v>
                </c:pt>
                <c:pt idx="19">
                  <c:v>-9.5606673061697371</c:v>
                </c:pt>
              </c:numCache>
            </c:numRef>
          </c:yVal>
          <c:smooth val="1"/>
          <c:extLst>
            <c:ext xmlns:c16="http://schemas.microsoft.com/office/drawing/2014/chart" uri="{C3380CC4-5D6E-409C-BE32-E72D297353CC}">
              <c16:uniqueId val="{00000002-3363-4CAB-A08C-F6CA29C86036}"/>
            </c:ext>
          </c:extLst>
        </c:ser>
        <c:ser>
          <c:idx val="4"/>
          <c:order val="3"/>
          <c:tx>
            <c:strRef>
              <c:f>'Mn2+DLM2'!$U$1</c:f>
              <c:strCache>
                <c:ptCount val="1"/>
                <c:pt idx="0">
                  <c:v>Adsorbed Mn2+</c:v>
                </c:pt>
              </c:strCache>
            </c:strRef>
          </c:tx>
          <c:spPr>
            <a:ln w="19050" cap="rnd">
              <a:solidFill>
                <a:schemeClr val="accent5"/>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'Mn2+DLM2'!$U$2:$U$21</c:f>
              <c:numCache>
                <c:formatCode>General</c:formatCode>
                <c:ptCount val="20"/>
                <c:pt idx="0">
                  <c:v>-5.9179330657148874</c:v>
                </c:pt>
                <c:pt idx="1">
                  <c:v>-5.9179330657148874</c:v>
                </c:pt>
                <c:pt idx="2">
                  <c:v>-5.9179330657148874</c:v>
                </c:pt>
                <c:pt idx="3">
                  <c:v>-5.9179330657148874</c:v>
                </c:pt>
                <c:pt idx="4">
                  <c:v>-5.9179330657148874</c:v>
                </c:pt>
                <c:pt idx="5">
                  <c:v>-5.9179330657148874</c:v>
                </c:pt>
                <c:pt idx="6">
                  <c:v>-5.9179330657148874</c:v>
                </c:pt>
                <c:pt idx="7">
                  <c:v>-5.9179330657148874</c:v>
                </c:pt>
                <c:pt idx="8">
                  <c:v>-5.9179330657148874</c:v>
                </c:pt>
                <c:pt idx="9">
                  <c:v>-5.9179330657148874</c:v>
                </c:pt>
                <c:pt idx="10">
                  <c:v>-5.9179330657148874</c:v>
                </c:pt>
                <c:pt idx="11">
                  <c:v>-5.9182927299026504</c:v>
                </c:pt>
                <c:pt idx="12">
                  <c:v>-5.9182927299026504</c:v>
                </c:pt>
                <c:pt idx="13">
                  <c:v>-5.9186526921958675</c:v>
                </c:pt>
                <c:pt idx="14">
                  <c:v>-5.9190129530891129</c:v>
                </c:pt>
                <c:pt idx="15">
                  <c:v>-5.920456992597094</c:v>
                </c:pt>
                <c:pt idx="16">
                  <c:v>-5.9226320947158433</c:v>
                </c:pt>
                <c:pt idx="17">
                  <c:v>-6.1188436789244367</c:v>
                </c:pt>
                <c:pt idx="18">
                  <c:v>-6.5972229303896528</c:v>
                </c:pt>
                <c:pt idx="19">
                  <c:v>-6.9255492810454085</c:v>
                </c:pt>
              </c:numCache>
            </c:numRef>
          </c:yVal>
          <c:smooth val="1"/>
          <c:extLst>
            <c:ext xmlns:c16="http://schemas.microsoft.com/office/drawing/2014/chart" uri="{C3380CC4-5D6E-409C-BE32-E72D297353CC}">
              <c16:uniqueId val="{00000003-3363-4CAB-A08C-F6CA29C86036}"/>
            </c:ext>
          </c:extLst>
        </c:ser>
        <c:ser>
          <c:idx val="5"/>
          <c:order val="4"/>
          <c:tx>
            <c:strRef>
              <c:f>'Mn2+DLM2'!$V$1</c:f>
              <c:strCache>
                <c:ptCount val="1"/>
                <c:pt idx="0">
                  <c:v>Desorbed Mn2+</c:v>
                </c:pt>
              </c:strCache>
            </c:strRef>
          </c:tx>
          <c:spPr>
            <a:ln w="19050" cap="rnd">
              <a:solidFill>
                <a:schemeClr val="accent6"/>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'Mn2+DLM2'!$V$2:$V$21</c:f>
              <c:numCache>
                <c:formatCode>General</c:formatCode>
                <c:ptCount val="20"/>
                <c:pt idx="0">
                  <c:v>-3.0005214663206901</c:v>
                </c:pt>
                <c:pt idx="1">
                  <c:v>-3.0005214663206901</c:v>
                </c:pt>
                <c:pt idx="2">
                  <c:v>-3.0005214663206901</c:v>
                </c:pt>
                <c:pt idx="3">
                  <c:v>-3.0005214663206901</c:v>
                </c:pt>
                <c:pt idx="4">
                  <c:v>-3.0005214663206901</c:v>
                </c:pt>
                <c:pt idx="5">
                  <c:v>-3.0005214663206901</c:v>
                </c:pt>
                <c:pt idx="6">
                  <c:v>-3.0005214663206901</c:v>
                </c:pt>
                <c:pt idx="7">
                  <c:v>-3.0005214663206901</c:v>
                </c:pt>
                <c:pt idx="8">
                  <c:v>-3.0005214663206901</c:v>
                </c:pt>
                <c:pt idx="9">
                  <c:v>-3.0005214663206901</c:v>
                </c:pt>
                <c:pt idx="10">
                  <c:v>-3.0005214663206901</c:v>
                </c:pt>
                <c:pt idx="11">
                  <c:v>-3.0005214663206901</c:v>
                </c:pt>
                <c:pt idx="12">
                  <c:v>-3.0005214663206901</c:v>
                </c:pt>
                <c:pt idx="13">
                  <c:v>-3.0005214663206901</c:v>
                </c:pt>
                <c:pt idx="14">
                  <c:v>-3.0005214663206901</c:v>
                </c:pt>
                <c:pt idx="15">
                  <c:v>-3.0005214663206901</c:v>
                </c:pt>
                <c:pt idx="16">
                  <c:v>-3.0005214663206901</c:v>
                </c:pt>
                <c:pt idx="17">
                  <c:v>-3.3425616772970375</c:v>
                </c:pt>
                <c:pt idx="18">
                  <c:v>-3.9558523791212772</c:v>
                </c:pt>
                <c:pt idx="19">
                  <c:v>-4.5511391543925592</c:v>
                </c:pt>
              </c:numCache>
            </c:numRef>
          </c:yVal>
          <c:smooth val="1"/>
          <c:extLst>
            <c:ext xmlns:c16="http://schemas.microsoft.com/office/drawing/2014/chart" uri="{C3380CC4-5D6E-409C-BE32-E72D297353CC}">
              <c16:uniqueId val="{00000004-3363-4CAB-A08C-F6CA29C86036}"/>
            </c:ext>
          </c:extLst>
        </c:ser>
        <c:ser>
          <c:idx val="3"/>
          <c:order val="5"/>
          <c:tx>
            <c:strRef>
              <c:f>'Mn2+DLM2'!$W$1</c:f>
              <c:strCache>
                <c:ptCount val="1"/>
                <c:pt idx="0">
                  <c:v>Mn3+</c:v>
                </c:pt>
              </c:strCache>
            </c:strRef>
          </c:tx>
          <c:spPr>
            <a:ln w="19050" cap="rnd">
              <a:solidFill>
                <a:schemeClr val="accent4"/>
              </a:solidFill>
              <a:round/>
            </a:ln>
            <a:effectLst/>
          </c:spPr>
          <c:marker>
            <c:symbol val="none"/>
          </c:marker>
          <c:xVal>
            <c:numRef>
              <c:f>'Mn2+DLM2'!$P$2:$P$22</c:f>
              <c:numCache>
                <c:formatCode>0.00</c:formatCode>
                <c:ptCount val="21"/>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'Mn2+DLM2'!$W$2:$W$21</c:f>
              <c:numCache>
                <c:formatCode>General</c:formatCode>
                <c:ptCount val="20"/>
                <c:pt idx="0">
                  <c:v>-11.914352711703144</c:v>
                </c:pt>
                <c:pt idx="1">
                  <c:v>-12.862329462763245</c:v>
                </c:pt>
                <c:pt idx="2">
                  <c:v>-13.810509686300632</c:v>
                </c:pt>
                <c:pt idx="3">
                  <c:v>-14.755475488429916</c:v>
                </c:pt>
                <c:pt idx="4">
                  <c:v>-15.703554205793603</c:v>
                </c:pt>
                <c:pt idx="5">
                  <c:v>-16.651500429716162</c:v>
                </c:pt>
                <c:pt idx="6">
                  <c:v>-17.599462010608054</c:v>
                </c:pt>
                <c:pt idx="7">
                  <c:v>-18.547446936771074</c:v>
                </c:pt>
                <c:pt idx="8">
                  <c:v>-19.492413960236988</c:v>
                </c:pt>
                <c:pt idx="9">
                  <c:v>-20.440452444419567</c:v>
                </c:pt>
                <c:pt idx="10">
                  <c:v>-21.388489112873344</c:v>
                </c:pt>
                <c:pt idx="11">
                  <c:v>-22.336487529584844</c:v>
                </c:pt>
                <c:pt idx="12">
                  <c:v>-23.281498311132726</c:v>
                </c:pt>
                <c:pt idx="13">
                  <c:v>-24.229442525149004</c:v>
                </c:pt>
                <c:pt idx="14">
                  <c:v>-25.177439663057307</c:v>
                </c:pt>
                <c:pt idx="15">
                  <c:v>-26.125460202928991</c:v>
                </c:pt>
                <c:pt idx="16">
                  <c:v>-27.073451775364383</c:v>
                </c:pt>
                <c:pt idx="17">
                  <c:v>-28.018453194954763</c:v>
                </c:pt>
                <c:pt idx="18">
                  <c:v>-28.96657624451305</c:v>
                </c:pt>
                <c:pt idx="19">
                  <c:v>-29.914352711703142</c:v>
                </c:pt>
              </c:numCache>
            </c:numRef>
          </c:yVal>
          <c:smooth val="1"/>
          <c:extLst>
            <c:ext xmlns:c16="http://schemas.microsoft.com/office/drawing/2014/chart" uri="{C3380CC4-5D6E-409C-BE32-E72D297353CC}">
              <c16:uniqueId val="{00000005-3363-4CAB-A08C-F6CA29C86036}"/>
            </c:ext>
          </c:extLst>
        </c:ser>
        <c:ser>
          <c:idx val="6"/>
          <c:order val="6"/>
          <c:tx>
            <c:strRef>
              <c:f>'Mn2+DLM2'!$X$1</c:f>
              <c:strCache>
                <c:ptCount val="1"/>
                <c:pt idx="0">
                  <c:v>Adsorbed Mn3+</c:v>
                </c:pt>
              </c:strCache>
            </c:strRef>
          </c:tx>
          <c:spPr>
            <a:ln w="19050" cap="rnd">
              <a:solidFill>
                <a:schemeClr val="accent1">
                  <a:lumMod val="60000"/>
                </a:schemeClr>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'Mn2+DLM2'!$X$2:$X$21</c:f>
              <c:numCache>
                <c:formatCode>General</c:formatCode>
                <c:ptCount val="20"/>
                <c:pt idx="0">
                  <c:v>-3.3985919394653163</c:v>
                </c:pt>
                <c:pt idx="1">
                  <c:v>-3.0831251214613165</c:v>
                </c:pt>
                <c:pt idx="2">
                  <c:v>-2.7687853520373991</c:v>
                </c:pt>
                <c:pt idx="3">
                  <c:v>-2.4571745730408199</c:v>
                </c:pt>
                <c:pt idx="4">
                  <c:v>-2.1483747968466909</c:v>
                </c:pt>
                <c:pt idx="5">
                  <c:v>-1.8477116556169435</c:v>
                </c:pt>
                <c:pt idx="6">
                  <c:v>-1.5647928967592524</c:v>
                </c:pt>
                <c:pt idx="7">
                  <c:v>-1.3229408226078385</c:v>
                </c:pt>
                <c:pt idx="8">
                  <c:v>-1.1683221508085333</c:v>
                </c:pt>
                <c:pt idx="9">
                  <c:v>-1.1175323851046286</c:v>
                </c:pt>
                <c:pt idx="10">
                  <c:v>-1.1095230910398293</c:v>
                </c:pt>
                <c:pt idx="11">
                  <c:v>-1.108574057152006</c:v>
                </c:pt>
                <c:pt idx="12">
                  <c:v>-1.1084625423274355</c:v>
                </c:pt>
                <c:pt idx="13">
                  <c:v>-1.1084625423274355</c:v>
                </c:pt>
                <c:pt idx="14">
                  <c:v>-1.1084625423274355</c:v>
                </c:pt>
                <c:pt idx="15">
                  <c:v>-1.1084625423274355</c:v>
                </c:pt>
                <c:pt idx="16">
                  <c:v>-1.1084625423274355</c:v>
                </c:pt>
                <c:pt idx="17">
                  <c:v>-1.1084625423274355</c:v>
                </c:pt>
                <c:pt idx="18">
                  <c:v>-1.1084625423274355</c:v>
                </c:pt>
                <c:pt idx="19">
                  <c:v>-1.1084625423274355</c:v>
                </c:pt>
              </c:numCache>
            </c:numRef>
          </c:yVal>
          <c:smooth val="1"/>
          <c:extLst>
            <c:ext xmlns:c16="http://schemas.microsoft.com/office/drawing/2014/chart" uri="{C3380CC4-5D6E-409C-BE32-E72D297353CC}">
              <c16:uniqueId val="{00000006-3363-4CAB-A08C-F6CA29C86036}"/>
            </c:ext>
          </c:extLst>
        </c:ser>
        <c:ser>
          <c:idx val="7"/>
          <c:order val="7"/>
          <c:tx>
            <c:strRef>
              <c:f>'Mn2+DLM2'!$Y$1</c:f>
              <c:strCache>
                <c:ptCount val="1"/>
                <c:pt idx="0">
                  <c:v>Desorbed Mn3+</c:v>
                </c:pt>
              </c:strCache>
            </c:strRef>
          </c:tx>
          <c:spPr>
            <a:ln w="19050" cap="rnd">
              <a:solidFill>
                <a:schemeClr val="accent2">
                  <a:lumMod val="60000"/>
                </a:schemeClr>
              </a:solidFill>
              <a:round/>
            </a:ln>
            <a:effectLst/>
          </c:spPr>
          <c:marker>
            <c:symbol val="none"/>
          </c:marker>
          <c:xVal>
            <c:numRef>
              <c:f>'Mn2+DLM2'!$P$2:$P$21</c:f>
              <c:numCache>
                <c:formatCode>0.00</c:formatCode>
                <c:ptCount val="20"/>
                <c:pt idx="0" formatCode="General">
                  <c:v>4</c:v>
                </c:pt>
                <c:pt idx="1">
                  <c:v>4.3158000000000003</c:v>
                </c:pt>
                <c:pt idx="2">
                  <c:v>4.6316000000000006</c:v>
                </c:pt>
                <c:pt idx="3">
                  <c:v>4.9474000000000009</c:v>
                </c:pt>
                <c:pt idx="4">
                  <c:v>5.2632000000000012</c:v>
                </c:pt>
                <c:pt idx="5">
                  <c:v>5.5790000000000015</c:v>
                </c:pt>
                <c:pt idx="6">
                  <c:v>5.8948000000000018</c:v>
                </c:pt>
                <c:pt idx="7">
                  <c:v>6.2106000000000021</c:v>
                </c:pt>
                <c:pt idx="8">
                  <c:v>6.5264000000000024</c:v>
                </c:pt>
                <c:pt idx="9">
                  <c:v>6.8422000000000027</c:v>
                </c:pt>
                <c:pt idx="10">
                  <c:v>7.158000000000003</c:v>
                </c:pt>
                <c:pt idx="11">
                  <c:v>7.4738000000000033</c:v>
                </c:pt>
                <c:pt idx="12">
                  <c:v>7.7896000000000036</c:v>
                </c:pt>
                <c:pt idx="13">
                  <c:v>8.105400000000003</c:v>
                </c:pt>
                <c:pt idx="14">
                  <c:v>8.4212000000000025</c:v>
                </c:pt>
                <c:pt idx="15">
                  <c:v>8.7370000000000019</c:v>
                </c:pt>
                <c:pt idx="16">
                  <c:v>9.0528000000000013</c:v>
                </c:pt>
                <c:pt idx="17">
                  <c:v>9.3686000000000007</c:v>
                </c:pt>
                <c:pt idx="18">
                  <c:v>9.6844000000000001</c:v>
                </c:pt>
                <c:pt idx="19">
                  <c:v>10.0002</c:v>
                </c:pt>
              </c:numCache>
            </c:numRef>
          </c:xVal>
          <c:yVal>
            <c:numRef>
              <c:f>'Mn2+DLM2'!$Y$2:$Y$21</c:f>
              <c:numCache>
                <c:formatCode>General</c:formatCode>
                <c:ptCount val="20"/>
                <c:pt idx="0">
                  <c:v>-11.914352711703144</c:v>
                </c:pt>
                <c:pt idx="1">
                  <c:v>-12.862329462763245</c:v>
                </c:pt>
                <c:pt idx="2">
                  <c:v>-13.810509686300632</c:v>
                </c:pt>
                <c:pt idx="3">
                  <c:v>-14.755475488429916</c:v>
                </c:pt>
                <c:pt idx="4">
                  <c:v>-15.703554205793603</c:v>
                </c:pt>
                <c:pt idx="5">
                  <c:v>-16.651500429716162</c:v>
                </c:pt>
                <c:pt idx="6">
                  <c:v>-17.599462010608054</c:v>
                </c:pt>
                <c:pt idx="7">
                  <c:v>-18.547446936771074</c:v>
                </c:pt>
                <c:pt idx="8">
                  <c:v>-19.492413960236988</c:v>
                </c:pt>
                <c:pt idx="9">
                  <c:v>-20.440452444419567</c:v>
                </c:pt>
                <c:pt idx="10">
                  <c:v>-21.388489112873344</c:v>
                </c:pt>
                <c:pt idx="11">
                  <c:v>-22.336487529584844</c:v>
                </c:pt>
                <c:pt idx="12">
                  <c:v>-23.281498311132726</c:v>
                </c:pt>
                <c:pt idx="13">
                  <c:v>-24.229442525149004</c:v>
                </c:pt>
                <c:pt idx="14">
                  <c:v>-25.177439663057307</c:v>
                </c:pt>
                <c:pt idx="15">
                  <c:v>-26.125460202928991</c:v>
                </c:pt>
                <c:pt idx="16">
                  <c:v>-27.073451775364383</c:v>
                </c:pt>
                <c:pt idx="17">
                  <c:v>-28.018453194954763</c:v>
                </c:pt>
                <c:pt idx="18">
                  <c:v>-28.96657624451305</c:v>
                </c:pt>
                <c:pt idx="19">
                  <c:v>-29.914352711703142</c:v>
                </c:pt>
              </c:numCache>
            </c:numRef>
          </c:yVal>
          <c:smooth val="1"/>
          <c:extLst>
            <c:ext xmlns:c16="http://schemas.microsoft.com/office/drawing/2014/chart" uri="{C3380CC4-5D6E-409C-BE32-E72D297353CC}">
              <c16:uniqueId val="{00000007-3363-4CAB-A08C-F6CA29C86036}"/>
            </c:ext>
          </c:extLst>
        </c:ser>
        <c:dLbls>
          <c:showLegendKey val="0"/>
          <c:showVal val="0"/>
          <c:showCatName val="0"/>
          <c:showSerName val="0"/>
          <c:showPercent val="0"/>
          <c:showBubbleSize val="0"/>
        </c:dLbls>
        <c:axId val="2066581679"/>
        <c:axId val="2066574607"/>
      </c:scatterChart>
      <c:valAx>
        <c:axId val="2066581679"/>
        <c:scaling>
          <c:orientation val="minMax"/>
          <c:max val="10"/>
          <c:min val="4"/>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6574607"/>
        <c:crosses val="autoZero"/>
        <c:crossBetween val="midCat"/>
      </c:valAx>
      <c:valAx>
        <c:axId val="2066574607"/>
        <c:scaling>
          <c:orientation val="minMax"/>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 (M)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658167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7CD8AC94863149A9B5FA86AFBC62B9" ma:contentTypeVersion="7" ma:contentTypeDescription="Create a new document." ma:contentTypeScope="" ma:versionID="340b8478efcb6235aed342c50694b9ed">
  <xsd:schema xmlns:xsd="http://www.w3.org/2001/XMLSchema" xmlns:xs="http://www.w3.org/2001/XMLSchema" xmlns:p="http://schemas.microsoft.com/office/2006/metadata/properties" xmlns:ns3="81f199a5-c13f-4cdb-ae92-0db20c558a9b" xmlns:ns4="1c0330fb-2573-43ce-9a42-008121db27da" targetNamespace="http://schemas.microsoft.com/office/2006/metadata/properties" ma:root="true" ma:fieldsID="3c2c6d35c5bfce037dd0b0f57daf3474" ns3:_="" ns4:_="">
    <xsd:import namespace="81f199a5-c13f-4cdb-ae92-0db20c558a9b"/>
    <xsd:import namespace="1c0330fb-2573-43ce-9a42-008121db27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199a5-c13f-4cdb-ae92-0db20c558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0330fb-2573-43ce-9a42-008121db27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5F2F3-98F0-4D25-8526-2333576C3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199a5-c13f-4cdb-ae92-0db20c558a9b"/>
    <ds:schemaRef ds:uri="1c0330fb-2573-43ce-9a42-008121db2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5AD68-75AF-43DC-B669-A485CEF70F1B}">
  <ds:schemaRefs>
    <ds:schemaRef ds:uri="http://schemas.microsoft.com/sharepoint/v3/contenttype/forms"/>
  </ds:schemaRefs>
</ds:datastoreItem>
</file>

<file path=customXml/itemProps3.xml><?xml version="1.0" encoding="utf-8"?>
<ds:datastoreItem xmlns:ds="http://schemas.openxmlformats.org/officeDocument/2006/customXml" ds:itemID="{33FC2EA6-6C09-472F-9466-413669AA13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07E757-2BF5-4B64-926D-F8D8B35CE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6956</TotalTime>
  <Pages>113</Pages>
  <Words>81562</Words>
  <Characters>464907</Characters>
  <Application>Microsoft Office Word</Application>
  <DocSecurity>0</DocSecurity>
  <Lines>3874</Lines>
  <Paragraphs>1090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mtsullivanjr@gmail.com</dc:creator>
  <cp:keywords/>
  <dc:description/>
  <cp:lastModifiedBy>mtsullivanjr@gmail.com</cp:lastModifiedBy>
  <cp:revision>49</cp:revision>
  <cp:lastPrinted>2021-05-07T01:06:00Z</cp:lastPrinted>
  <dcterms:created xsi:type="dcterms:W3CDTF">2021-04-24T21:39:00Z</dcterms:created>
  <dcterms:modified xsi:type="dcterms:W3CDTF">2021-05-07T19:57:00Z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abe5472b-f8db-382b-b18f-2ba749c4620c</vt:lpwstr>
  </property>
  <property fmtid="{D5CDD505-2E9C-101B-9397-08002B2CF9AE}" pid="24" name="Mendeley Citation Style_1">
    <vt:lpwstr>http://www.zotero.org/styles/apa</vt:lpwstr>
  </property>
  <property fmtid="{D5CDD505-2E9C-101B-9397-08002B2CF9AE}" pid="25" name="ContentTypeId">
    <vt:lpwstr>0x010100A17CD8AC94863149A9B5FA86AFBC62B9</vt:lpwstr>
  </property>
</Properties>
</file>