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FAD43" w14:textId="77777777" w:rsidR="00253BD1" w:rsidRPr="00253BD1" w:rsidRDefault="00253BD1" w:rsidP="00253BD1">
      <w:pPr>
        <w:jc w:val="center"/>
        <w:rPr>
          <w:rFonts w:cs="Times New Roman"/>
          <w:szCs w:val="24"/>
        </w:rPr>
      </w:pPr>
      <w:r w:rsidRPr="00253BD1">
        <w:rPr>
          <w:rFonts w:cs="Times New Roman"/>
          <w:szCs w:val="24"/>
        </w:rPr>
        <w:t>UNIVERSITY OF OKLAHOMA</w:t>
      </w:r>
    </w:p>
    <w:p w14:paraId="7EDD6F30" w14:textId="51953AE9" w:rsidR="00C33C26" w:rsidRDefault="00253BD1" w:rsidP="00253BD1">
      <w:pPr>
        <w:jc w:val="center"/>
        <w:rPr>
          <w:rFonts w:cs="Times New Roman"/>
          <w:szCs w:val="24"/>
        </w:rPr>
      </w:pPr>
      <w:r w:rsidRPr="00253BD1">
        <w:rPr>
          <w:rFonts w:cs="Times New Roman"/>
          <w:szCs w:val="24"/>
        </w:rPr>
        <w:t>GRADUATE COLLEGE</w:t>
      </w:r>
    </w:p>
    <w:p w14:paraId="6501D8A8" w14:textId="12E180F9" w:rsidR="00253BD1" w:rsidRDefault="00253BD1" w:rsidP="00253BD1">
      <w:pPr>
        <w:jc w:val="center"/>
        <w:rPr>
          <w:rFonts w:cs="Times New Roman"/>
          <w:szCs w:val="24"/>
        </w:rPr>
      </w:pPr>
    </w:p>
    <w:p w14:paraId="701D7F0F" w14:textId="77777777" w:rsidR="00253BD1" w:rsidRPr="00253BD1" w:rsidRDefault="00253BD1" w:rsidP="00253BD1">
      <w:pPr>
        <w:jc w:val="center"/>
        <w:rPr>
          <w:rFonts w:cs="Times New Roman"/>
          <w:szCs w:val="24"/>
        </w:rPr>
      </w:pPr>
    </w:p>
    <w:p w14:paraId="41D8B3B5" w14:textId="338C56F8" w:rsidR="00253BD1" w:rsidRDefault="7DF5B875" w:rsidP="00253BD1">
      <w:pPr>
        <w:jc w:val="center"/>
        <w:rPr>
          <w:rFonts w:cs="Times New Roman"/>
        </w:rPr>
      </w:pPr>
      <w:r w:rsidRPr="00153641">
        <w:rPr>
          <w:rFonts w:cs="Times New Roman"/>
        </w:rPr>
        <w:t xml:space="preserve">A DATA-DRIVEN APPROACH FOR THE </w:t>
      </w:r>
      <w:r w:rsidR="00253BD1" w:rsidRPr="00153641">
        <w:rPr>
          <w:rFonts w:cs="Times New Roman"/>
        </w:rPr>
        <w:t>EVALUATION OF SEISMICITY RISKS ASSOCIATED WITH CO</w:t>
      </w:r>
      <w:r w:rsidR="00253BD1" w:rsidRPr="00913DCF">
        <w:rPr>
          <w:rFonts w:cs="Times New Roman"/>
          <w:vertAlign w:val="subscript"/>
        </w:rPr>
        <w:t>2</w:t>
      </w:r>
      <w:r w:rsidR="00253BD1" w:rsidRPr="00153641">
        <w:rPr>
          <w:rFonts w:cs="Times New Roman"/>
        </w:rPr>
        <w:t xml:space="preserve"> INJECTION</w:t>
      </w:r>
    </w:p>
    <w:p w14:paraId="2551E8BA" w14:textId="77777777" w:rsidR="00253BD1" w:rsidRPr="00253BD1" w:rsidRDefault="00253BD1" w:rsidP="00253BD1">
      <w:pPr>
        <w:jc w:val="center"/>
        <w:rPr>
          <w:rFonts w:cs="Times New Roman"/>
          <w:szCs w:val="24"/>
        </w:rPr>
      </w:pPr>
    </w:p>
    <w:p w14:paraId="2AF456FA" w14:textId="77777777" w:rsidR="00253BD1" w:rsidRPr="00253BD1" w:rsidRDefault="00253BD1" w:rsidP="00253BD1">
      <w:pPr>
        <w:jc w:val="center"/>
        <w:rPr>
          <w:rFonts w:cs="Times New Roman"/>
          <w:szCs w:val="24"/>
        </w:rPr>
      </w:pPr>
      <w:r w:rsidRPr="00253BD1">
        <w:rPr>
          <w:rFonts w:cs="Times New Roman"/>
          <w:szCs w:val="24"/>
        </w:rPr>
        <w:t>A THESIS</w:t>
      </w:r>
    </w:p>
    <w:p w14:paraId="7AB98464" w14:textId="77777777" w:rsidR="00253BD1" w:rsidRPr="00253BD1" w:rsidRDefault="00253BD1" w:rsidP="00253BD1">
      <w:pPr>
        <w:jc w:val="center"/>
        <w:rPr>
          <w:rFonts w:cs="Times New Roman"/>
          <w:szCs w:val="24"/>
        </w:rPr>
      </w:pPr>
      <w:r w:rsidRPr="00253BD1">
        <w:rPr>
          <w:rFonts w:cs="Times New Roman"/>
          <w:szCs w:val="24"/>
        </w:rPr>
        <w:t>SUBMITTED TO THE GRADUATE FACULTY</w:t>
      </w:r>
    </w:p>
    <w:p w14:paraId="3A18ECC9" w14:textId="77777777" w:rsidR="00253BD1" w:rsidRPr="00253BD1" w:rsidRDefault="00253BD1" w:rsidP="00253BD1">
      <w:pPr>
        <w:jc w:val="center"/>
        <w:rPr>
          <w:rFonts w:cs="Times New Roman"/>
          <w:szCs w:val="24"/>
        </w:rPr>
      </w:pPr>
      <w:r w:rsidRPr="00253BD1">
        <w:rPr>
          <w:rFonts w:cs="Times New Roman"/>
          <w:szCs w:val="24"/>
        </w:rPr>
        <w:t>in partial fulfillment of the requirements for the</w:t>
      </w:r>
    </w:p>
    <w:p w14:paraId="6940A99E" w14:textId="77777777" w:rsidR="00253BD1" w:rsidRPr="00253BD1" w:rsidRDefault="00253BD1" w:rsidP="00253BD1">
      <w:pPr>
        <w:jc w:val="center"/>
        <w:rPr>
          <w:rFonts w:cs="Times New Roman"/>
          <w:szCs w:val="24"/>
        </w:rPr>
      </w:pPr>
      <w:r w:rsidRPr="00253BD1">
        <w:rPr>
          <w:rFonts w:cs="Times New Roman"/>
          <w:szCs w:val="24"/>
        </w:rPr>
        <w:t>Degree of</w:t>
      </w:r>
    </w:p>
    <w:p w14:paraId="7281CD07" w14:textId="4E653657" w:rsidR="00253BD1" w:rsidRPr="00253BD1" w:rsidRDefault="00253BD1" w:rsidP="00941244">
      <w:pPr>
        <w:jc w:val="center"/>
        <w:rPr>
          <w:rFonts w:cs="Times New Roman"/>
          <w:szCs w:val="24"/>
        </w:rPr>
      </w:pPr>
      <w:r w:rsidRPr="00253BD1">
        <w:rPr>
          <w:rFonts w:cs="Times New Roman"/>
          <w:szCs w:val="24"/>
        </w:rPr>
        <w:t>MASTER OF SCIENCE</w:t>
      </w:r>
    </w:p>
    <w:p w14:paraId="5E0AEE02" w14:textId="18C4A366" w:rsidR="00253BD1" w:rsidRDefault="00253BD1" w:rsidP="00253BD1">
      <w:pPr>
        <w:jc w:val="center"/>
        <w:rPr>
          <w:rFonts w:cs="Times New Roman"/>
          <w:szCs w:val="24"/>
        </w:rPr>
      </w:pPr>
      <w:r w:rsidRPr="00253BD1">
        <w:rPr>
          <w:rFonts w:cs="Times New Roman"/>
          <w:szCs w:val="24"/>
        </w:rPr>
        <w:t>By</w:t>
      </w:r>
    </w:p>
    <w:p w14:paraId="1C67535A" w14:textId="77777777" w:rsidR="00941244" w:rsidRPr="00253BD1" w:rsidRDefault="00941244" w:rsidP="00253BD1">
      <w:pPr>
        <w:jc w:val="center"/>
        <w:rPr>
          <w:rFonts w:cs="Times New Roman"/>
          <w:szCs w:val="24"/>
        </w:rPr>
      </w:pPr>
    </w:p>
    <w:p w14:paraId="6459A58E" w14:textId="4F052E67" w:rsidR="00253BD1" w:rsidRPr="00253BD1" w:rsidRDefault="00253BD1" w:rsidP="00941244">
      <w:pPr>
        <w:spacing w:line="240" w:lineRule="auto"/>
        <w:jc w:val="center"/>
        <w:rPr>
          <w:rFonts w:cs="Times New Roman"/>
          <w:szCs w:val="24"/>
        </w:rPr>
      </w:pPr>
      <w:r>
        <w:rPr>
          <w:rFonts w:cs="Times New Roman"/>
          <w:szCs w:val="24"/>
        </w:rPr>
        <w:t>KAREN IFEOMA OCHIE</w:t>
      </w:r>
    </w:p>
    <w:p w14:paraId="5E3128D4" w14:textId="77777777" w:rsidR="00253BD1" w:rsidRPr="00253BD1" w:rsidRDefault="00253BD1" w:rsidP="00941244">
      <w:pPr>
        <w:spacing w:line="240" w:lineRule="auto"/>
        <w:jc w:val="center"/>
        <w:rPr>
          <w:rFonts w:cs="Times New Roman"/>
          <w:szCs w:val="24"/>
        </w:rPr>
      </w:pPr>
      <w:r w:rsidRPr="00253BD1">
        <w:rPr>
          <w:rFonts w:cs="Times New Roman"/>
          <w:szCs w:val="24"/>
        </w:rPr>
        <w:t>Norman, Oklahoma</w:t>
      </w:r>
    </w:p>
    <w:p w14:paraId="64FBE915" w14:textId="07E6E725" w:rsidR="00253BD1" w:rsidRDefault="00253BD1" w:rsidP="00941244">
      <w:pPr>
        <w:spacing w:line="240" w:lineRule="auto"/>
        <w:jc w:val="center"/>
        <w:rPr>
          <w:rFonts w:cs="Times New Roman"/>
          <w:szCs w:val="24"/>
        </w:rPr>
      </w:pPr>
      <w:r w:rsidRPr="00253BD1">
        <w:rPr>
          <w:rFonts w:cs="Times New Roman"/>
          <w:szCs w:val="24"/>
        </w:rPr>
        <w:t>2022</w:t>
      </w:r>
    </w:p>
    <w:p w14:paraId="66A656B0" w14:textId="77777777" w:rsidR="009D1F21" w:rsidRDefault="009D1F21" w:rsidP="009D1F21">
      <w:pPr>
        <w:jc w:val="center"/>
        <w:rPr>
          <w:rFonts w:cs="Times New Roman"/>
        </w:rPr>
      </w:pPr>
      <w:r w:rsidRPr="00153641">
        <w:rPr>
          <w:rFonts w:cs="Times New Roman"/>
        </w:rPr>
        <w:lastRenderedPageBreak/>
        <w:t>A DATA-DRIVEN APPROACH FOR THE EVALUATION OF SEISMICITY RISKS ASSOCIATED WITH CO</w:t>
      </w:r>
      <w:r w:rsidRPr="00913DCF">
        <w:rPr>
          <w:rFonts w:cs="Times New Roman"/>
          <w:vertAlign w:val="subscript"/>
        </w:rPr>
        <w:t>2</w:t>
      </w:r>
      <w:r w:rsidRPr="00153641">
        <w:rPr>
          <w:rFonts w:cs="Times New Roman"/>
        </w:rPr>
        <w:t xml:space="preserve"> INJECTION</w:t>
      </w:r>
    </w:p>
    <w:p w14:paraId="21798558" w14:textId="61999A66" w:rsidR="00AB4395" w:rsidRPr="00AB4395" w:rsidRDefault="00AB4395" w:rsidP="00AB4395">
      <w:pPr>
        <w:pStyle w:val="Default"/>
        <w:jc w:val="center"/>
      </w:pPr>
      <w:r w:rsidRPr="00AB4395">
        <w:t>A THESIS APPROVED FOR THE</w:t>
      </w:r>
    </w:p>
    <w:p w14:paraId="4DFD4348" w14:textId="536784E4" w:rsidR="00AB4395" w:rsidRPr="00AB4395" w:rsidRDefault="00AB4395" w:rsidP="00AB4395">
      <w:pPr>
        <w:pStyle w:val="Default"/>
        <w:jc w:val="center"/>
      </w:pPr>
      <w:r w:rsidRPr="00AB4395">
        <w:t>MEWBOURNE SCHOOL OF PETROLEUM AND GEOLOGICAL ENGINEERING</w:t>
      </w:r>
    </w:p>
    <w:p w14:paraId="4561F8E4" w14:textId="5A962967" w:rsidR="00AB4395" w:rsidRPr="00AB4395" w:rsidRDefault="00AB4395" w:rsidP="00AB4395">
      <w:pPr>
        <w:pStyle w:val="Default"/>
        <w:jc w:val="center"/>
      </w:pPr>
    </w:p>
    <w:p w14:paraId="4DBF47CF" w14:textId="3E329F8C" w:rsidR="00AB4395" w:rsidRPr="00AB4395" w:rsidRDefault="00AB4395" w:rsidP="00AB4395">
      <w:pPr>
        <w:pStyle w:val="Default"/>
        <w:jc w:val="center"/>
      </w:pPr>
    </w:p>
    <w:p w14:paraId="371FA569" w14:textId="54198808" w:rsidR="00AB4395" w:rsidRPr="00AB4395" w:rsidRDefault="00AB4395" w:rsidP="00AB4395">
      <w:pPr>
        <w:pStyle w:val="Default"/>
        <w:jc w:val="center"/>
      </w:pPr>
    </w:p>
    <w:p w14:paraId="72848168" w14:textId="60655F33" w:rsidR="00AB4395" w:rsidRPr="00AB4395" w:rsidRDefault="00AB4395" w:rsidP="00AB4395">
      <w:pPr>
        <w:pStyle w:val="Default"/>
        <w:jc w:val="center"/>
      </w:pPr>
    </w:p>
    <w:p w14:paraId="2C022170" w14:textId="68C98D77" w:rsidR="00AB4395" w:rsidRPr="00AB4395" w:rsidRDefault="00AB4395" w:rsidP="00AB4395">
      <w:pPr>
        <w:pStyle w:val="Default"/>
        <w:jc w:val="center"/>
      </w:pPr>
    </w:p>
    <w:p w14:paraId="17450EE3" w14:textId="77777777" w:rsidR="00AB4395" w:rsidRPr="00AB4395" w:rsidRDefault="00AB4395" w:rsidP="00AB4395">
      <w:pPr>
        <w:pStyle w:val="Default"/>
        <w:jc w:val="center"/>
      </w:pPr>
    </w:p>
    <w:p w14:paraId="080AF17C" w14:textId="68225188" w:rsidR="00AB4395" w:rsidRDefault="00AB4395" w:rsidP="00AB4395">
      <w:pPr>
        <w:pStyle w:val="Default"/>
        <w:jc w:val="center"/>
      </w:pPr>
      <w:r w:rsidRPr="00AB4395">
        <w:t>BY THE COMMITTEE CONSISTING OF</w:t>
      </w:r>
    </w:p>
    <w:p w14:paraId="079EC1BA" w14:textId="707A9E96" w:rsidR="00153641" w:rsidRDefault="00153641" w:rsidP="00AB4395">
      <w:pPr>
        <w:pStyle w:val="Default"/>
        <w:jc w:val="center"/>
      </w:pPr>
    </w:p>
    <w:p w14:paraId="2B22CC2A" w14:textId="70FF41D8" w:rsidR="00153641" w:rsidRDefault="00153641" w:rsidP="00AB4395">
      <w:pPr>
        <w:pStyle w:val="Default"/>
        <w:jc w:val="center"/>
      </w:pPr>
    </w:p>
    <w:p w14:paraId="0B8DEC77" w14:textId="5EB54168" w:rsidR="00153641" w:rsidRDefault="00153641" w:rsidP="00AB4395">
      <w:pPr>
        <w:pStyle w:val="Default"/>
        <w:jc w:val="center"/>
      </w:pPr>
    </w:p>
    <w:p w14:paraId="36DBDBAD" w14:textId="46BB8038" w:rsidR="00153641" w:rsidRDefault="00153641" w:rsidP="00153641">
      <w:pPr>
        <w:pStyle w:val="Default"/>
        <w:jc w:val="center"/>
        <w:rPr>
          <w:sz w:val="23"/>
          <w:szCs w:val="23"/>
        </w:rPr>
      </w:pPr>
    </w:p>
    <w:p w14:paraId="5463B32E" w14:textId="77777777" w:rsidR="00153641" w:rsidRDefault="00153641" w:rsidP="00153641">
      <w:pPr>
        <w:pStyle w:val="Default"/>
        <w:jc w:val="right"/>
        <w:rPr>
          <w:sz w:val="23"/>
          <w:szCs w:val="23"/>
        </w:rPr>
      </w:pPr>
    </w:p>
    <w:p w14:paraId="486C8C5B" w14:textId="73E0BC5B" w:rsidR="00153641" w:rsidRDefault="00153641" w:rsidP="00153641">
      <w:pPr>
        <w:pStyle w:val="Default"/>
        <w:jc w:val="right"/>
        <w:rPr>
          <w:sz w:val="23"/>
          <w:szCs w:val="23"/>
        </w:rPr>
      </w:pPr>
    </w:p>
    <w:p w14:paraId="0FA6D7E3" w14:textId="0EB4D771" w:rsidR="00153641" w:rsidRDefault="00153641" w:rsidP="00153641">
      <w:pPr>
        <w:pStyle w:val="Default"/>
        <w:jc w:val="right"/>
        <w:rPr>
          <w:sz w:val="23"/>
          <w:szCs w:val="23"/>
        </w:rPr>
      </w:pPr>
    </w:p>
    <w:p w14:paraId="4AB9B176" w14:textId="77777777" w:rsidR="00153641" w:rsidRDefault="00153641" w:rsidP="00153641">
      <w:pPr>
        <w:pStyle w:val="Default"/>
        <w:jc w:val="right"/>
        <w:rPr>
          <w:sz w:val="23"/>
          <w:szCs w:val="23"/>
        </w:rPr>
      </w:pPr>
    </w:p>
    <w:p w14:paraId="53076E79" w14:textId="7002703E" w:rsidR="00153641" w:rsidRDefault="00153641" w:rsidP="00153641">
      <w:pPr>
        <w:pStyle w:val="Default"/>
        <w:jc w:val="right"/>
        <w:rPr>
          <w:sz w:val="23"/>
          <w:szCs w:val="23"/>
        </w:rPr>
      </w:pPr>
      <w:r>
        <w:rPr>
          <w:sz w:val="23"/>
          <w:szCs w:val="23"/>
        </w:rPr>
        <w:t>Dr.</w:t>
      </w:r>
      <w:r w:rsidR="00447392">
        <w:rPr>
          <w:sz w:val="23"/>
          <w:szCs w:val="23"/>
        </w:rPr>
        <w:t xml:space="preserve"> Rouzbeh</w:t>
      </w:r>
      <w:r>
        <w:rPr>
          <w:sz w:val="23"/>
          <w:szCs w:val="23"/>
        </w:rPr>
        <w:t xml:space="preserve"> Moghanloo, Chair</w:t>
      </w:r>
    </w:p>
    <w:p w14:paraId="4E71E881" w14:textId="77777777" w:rsidR="00153641" w:rsidRDefault="00153641" w:rsidP="00153641">
      <w:pPr>
        <w:pStyle w:val="Default"/>
        <w:jc w:val="right"/>
        <w:rPr>
          <w:sz w:val="23"/>
          <w:szCs w:val="23"/>
        </w:rPr>
      </w:pPr>
    </w:p>
    <w:p w14:paraId="0125DBAB" w14:textId="5F25F697" w:rsidR="00153641" w:rsidRDefault="00153641" w:rsidP="00153641">
      <w:pPr>
        <w:pStyle w:val="Default"/>
        <w:jc w:val="right"/>
        <w:rPr>
          <w:sz w:val="23"/>
          <w:szCs w:val="23"/>
        </w:rPr>
      </w:pPr>
      <w:r>
        <w:rPr>
          <w:sz w:val="23"/>
          <w:szCs w:val="23"/>
        </w:rPr>
        <w:t xml:space="preserve"> </w:t>
      </w:r>
    </w:p>
    <w:p w14:paraId="5841F06A" w14:textId="77777777" w:rsidR="00153641" w:rsidRDefault="00153641" w:rsidP="00153641">
      <w:pPr>
        <w:pStyle w:val="Default"/>
        <w:jc w:val="right"/>
        <w:rPr>
          <w:sz w:val="23"/>
          <w:szCs w:val="23"/>
        </w:rPr>
      </w:pPr>
    </w:p>
    <w:p w14:paraId="050A6191" w14:textId="51EDEB11" w:rsidR="00153641" w:rsidRDefault="00153641" w:rsidP="00153641">
      <w:pPr>
        <w:pStyle w:val="Default"/>
        <w:jc w:val="right"/>
        <w:rPr>
          <w:sz w:val="23"/>
          <w:szCs w:val="23"/>
        </w:rPr>
      </w:pPr>
      <w:r>
        <w:rPr>
          <w:sz w:val="23"/>
          <w:szCs w:val="23"/>
        </w:rPr>
        <w:t xml:space="preserve">Dr. </w:t>
      </w:r>
      <w:r w:rsidR="00447392" w:rsidRPr="00447392">
        <w:rPr>
          <w:sz w:val="23"/>
          <w:szCs w:val="23"/>
        </w:rPr>
        <w:t>Hamidreza</w:t>
      </w:r>
      <w:r w:rsidR="00447392">
        <w:rPr>
          <w:sz w:val="23"/>
          <w:szCs w:val="23"/>
        </w:rPr>
        <w:t xml:space="preserve"> </w:t>
      </w:r>
      <w:r>
        <w:rPr>
          <w:sz w:val="23"/>
          <w:szCs w:val="23"/>
        </w:rPr>
        <w:t>Karami, Co-Chair</w:t>
      </w:r>
    </w:p>
    <w:p w14:paraId="0F476FE0" w14:textId="77777777" w:rsidR="00153641" w:rsidRDefault="00153641" w:rsidP="00153641">
      <w:pPr>
        <w:pStyle w:val="Default"/>
        <w:jc w:val="right"/>
        <w:rPr>
          <w:sz w:val="23"/>
          <w:szCs w:val="23"/>
        </w:rPr>
      </w:pPr>
    </w:p>
    <w:p w14:paraId="63F579D8" w14:textId="7A4DA1DC" w:rsidR="00153641" w:rsidRDefault="00153641" w:rsidP="00153641">
      <w:pPr>
        <w:pStyle w:val="Default"/>
        <w:jc w:val="right"/>
        <w:rPr>
          <w:sz w:val="23"/>
          <w:szCs w:val="23"/>
        </w:rPr>
      </w:pPr>
      <w:r>
        <w:rPr>
          <w:sz w:val="23"/>
          <w:szCs w:val="23"/>
        </w:rPr>
        <w:t xml:space="preserve"> </w:t>
      </w:r>
    </w:p>
    <w:p w14:paraId="050F463E" w14:textId="77777777" w:rsidR="00153641" w:rsidRDefault="00153641" w:rsidP="00153641">
      <w:pPr>
        <w:pStyle w:val="Default"/>
        <w:jc w:val="right"/>
        <w:rPr>
          <w:sz w:val="23"/>
          <w:szCs w:val="23"/>
        </w:rPr>
      </w:pPr>
    </w:p>
    <w:p w14:paraId="6A9B2B1D" w14:textId="7C6914D0" w:rsidR="00153641" w:rsidRPr="00AB4395" w:rsidRDefault="0031585B" w:rsidP="00153641">
      <w:pPr>
        <w:pStyle w:val="Default"/>
        <w:jc w:val="right"/>
      </w:pPr>
      <w:r>
        <w:rPr>
          <w:sz w:val="23"/>
          <w:szCs w:val="23"/>
        </w:rPr>
        <w:t xml:space="preserve">Dr. </w:t>
      </w:r>
      <w:r w:rsidR="00153641">
        <w:rPr>
          <w:sz w:val="23"/>
          <w:szCs w:val="23"/>
        </w:rPr>
        <w:t>Jeff</w:t>
      </w:r>
      <w:r w:rsidR="00447392">
        <w:rPr>
          <w:sz w:val="23"/>
          <w:szCs w:val="23"/>
        </w:rPr>
        <w:t>ery</w:t>
      </w:r>
      <w:r w:rsidR="00153641">
        <w:rPr>
          <w:sz w:val="23"/>
          <w:szCs w:val="23"/>
        </w:rPr>
        <w:t xml:space="preserve"> </w:t>
      </w:r>
      <w:r w:rsidR="00447392">
        <w:rPr>
          <w:sz w:val="23"/>
          <w:szCs w:val="23"/>
        </w:rPr>
        <w:t>Burghardt</w:t>
      </w:r>
      <w:r w:rsidR="00153641">
        <w:rPr>
          <w:sz w:val="23"/>
          <w:szCs w:val="23"/>
        </w:rPr>
        <w:t>, Co-Chair</w:t>
      </w:r>
    </w:p>
    <w:p w14:paraId="103DE12D" w14:textId="30F438DD" w:rsidR="00AB4395" w:rsidRPr="00AB4395" w:rsidRDefault="00AB4395" w:rsidP="00153641">
      <w:pPr>
        <w:pStyle w:val="Default"/>
        <w:jc w:val="right"/>
      </w:pPr>
    </w:p>
    <w:p w14:paraId="243654FF" w14:textId="77777777" w:rsidR="00AB4395" w:rsidRPr="00AB4395" w:rsidRDefault="00AB4395" w:rsidP="00153641">
      <w:pPr>
        <w:pStyle w:val="Default"/>
        <w:jc w:val="right"/>
      </w:pPr>
    </w:p>
    <w:p w14:paraId="679CE771" w14:textId="1C2C505F" w:rsidR="00AB4395" w:rsidRPr="00AB4395" w:rsidRDefault="00AB4395">
      <w:pPr>
        <w:rPr>
          <w:rFonts w:cs="Times New Roman"/>
          <w:szCs w:val="24"/>
        </w:rPr>
      </w:pPr>
      <w:r w:rsidRPr="00AB4395">
        <w:rPr>
          <w:rFonts w:cs="Times New Roman"/>
          <w:szCs w:val="24"/>
        </w:rPr>
        <w:br w:type="page"/>
      </w:r>
    </w:p>
    <w:p w14:paraId="15813B4D" w14:textId="77777777" w:rsidR="00AB4395" w:rsidRDefault="00AB4395" w:rsidP="00AB4395">
      <w:pPr>
        <w:pStyle w:val="Default"/>
        <w:rPr>
          <w:sz w:val="23"/>
          <w:szCs w:val="23"/>
        </w:rPr>
      </w:pPr>
    </w:p>
    <w:p w14:paraId="5F7BA15B" w14:textId="77777777" w:rsidR="00AB4395" w:rsidRDefault="00AB4395" w:rsidP="00AB4395">
      <w:pPr>
        <w:pStyle w:val="Default"/>
        <w:rPr>
          <w:sz w:val="23"/>
          <w:szCs w:val="23"/>
        </w:rPr>
      </w:pPr>
    </w:p>
    <w:p w14:paraId="431890B4" w14:textId="77777777" w:rsidR="00AB4395" w:rsidRDefault="00AB4395" w:rsidP="00AB4395">
      <w:pPr>
        <w:pStyle w:val="Default"/>
        <w:rPr>
          <w:sz w:val="23"/>
          <w:szCs w:val="23"/>
        </w:rPr>
      </w:pPr>
    </w:p>
    <w:p w14:paraId="237B1478" w14:textId="77777777" w:rsidR="00AB4395" w:rsidRDefault="00AB4395" w:rsidP="00AB4395">
      <w:pPr>
        <w:pStyle w:val="Default"/>
        <w:rPr>
          <w:sz w:val="23"/>
          <w:szCs w:val="23"/>
        </w:rPr>
      </w:pPr>
    </w:p>
    <w:p w14:paraId="2A6D3601" w14:textId="77777777" w:rsidR="00AB4395" w:rsidRDefault="00AB4395" w:rsidP="00AB4395">
      <w:pPr>
        <w:pStyle w:val="Default"/>
        <w:rPr>
          <w:sz w:val="23"/>
          <w:szCs w:val="23"/>
        </w:rPr>
      </w:pPr>
    </w:p>
    <w:p w14:paraId="13CD6C35" w14:textId="77777777" w:rsidR="00AB4395" w:rsidRDefault="00AB4395" w:rsidP="00AB4395">
      <w:pPr>
        <w:pStyle w:val="Default"/>
        <w:rPr>
          <w:sz w:val="23"/>
          <w:szCs w:val="23"/>
        </w:rPr>
      </w:pPr>
    </w:p>
    <w:p w14:paraId="4E591153" w14:textId="77777777" w:rsidR="00AB4395" w:rsidRDefault="00AB4395" w:rsidP="00AB4395">
      <w:pPr>
        <w:pStyle w:val="Default"/>
        <w:rPr>
          <w:sz w:val="23"/>
          <w:szCs w:val="23"/>
        </w:rPr>
      </w:pPr>
    </w:p>
    <w:p w14:paraId="29CD7346" w14:textId="77777777" w:rsidR="00AB4395" w:rsidRDefault="00AB4395" w:rsidP="00AB4395">
      <w:pPr>
        <w:pStyle w:val="Default"/>
        <w:rPr>
          <w:sz w:val="23"/>
          <w:szCs w:val="23"/>
        </w:rPr>
      </w:pPr>
    </w:p>
    <w:p w14:paraId="3398B26F" w14:textId="77777777" w:rsidR="00AB4395" w:rsidRDefault="00AB4395" w:rsidP="00AB4395">
      <w:pPr>
        <w:pStyle w:val="Default"/>
        <w:rPr>
          <w:sz w:val="23"/>
          <w:szCs w:val="23"/>
        </w:rPr>
      </w:pPr>
    </w:p>
    <w:p w14:paraId="5F6842FC" w14:textId="77777777" w:rsidR="00AB4395" w:rsidRDefault="00AB4395" w:rsidP="00AB4395">
      <w:pPr>
        <w:pStyle w:val="Default"/>
        <w:rPr>
          <w:sz w:val="23"/>
          <w:szCs w:val="23"/>
        </w:rPr>
      </w:pPr>
    </w:p>
    <w:p w14:paraId="1F3484B5" w14:textId="77777777" w:rsidR="00AB4395" w:rsidRDefault="00AB4395" w:rsidP="00AB4395">
      <w:pPr>
        <w:pStyle w:val="Default"/>
        <w:rPr>
          <w:sz w:val="23"/>
          <w:szCs w:val="23"/>
        </w:rPr>
      </w:pPr>
    </w:p>
    <w:p w14:paraId="279F854B" w14:textId="77777777" w:rsidR="00AB4395" w:rsidRDefault="00AB4395" w:rsidP="00AB4395">
      <w:pPr>
        <w:pStyle w:val="Default"/>
        <w:rPr>
          <w:sz w:val="23"/>
          <w:szCs w:val="23"/>
        </w:rPr>
      </w:pPr>
    </w:p>
    <w:p w14:paraId="1D80A128" w14:textId="77777777" w:rsidR="00AB4395" w:rsidRDefault="00AB4395" w:rsidP="00AB4395">
      <w:pPr>
        <w:pStyle w:val="Default"/>
        <w:rPr>
          <w:sz w:val="23"/>
          <w:szCs w:val="23"/>
        </w:rPr>
      </w:pPr>
    </w:p>
    <w:p w14:paraId="796F56C1" w14:textId="77777777" w:rsidR="00AB4395" w:rsidRDefault="00AB4395" w:rsidP="00AB4395">
      <w:pPr>
        <w:pStyle w:val="Default"/>
        <w:rPr>
          <w:sz w:val="23"/>
          <w:szCs w:val="23"/>
        </w:rPr>
      </w:pPr>
    </w:p>
    <w:p w14:paraId="6675407B" w14:textId="77777777" w:rsidR="00AB4395" w:rsidRDefault="00AB4395" w:rsidP="00AB4395">
      <w:pPr>
        <w:pStyle w:val="Default"/>
        <w:rPr>
          <w:sz w:val="23"/>
          <w:szCs w:val="23"/>
        </w:rPr>
      </w:pPr>
    </w:p>
    <w:p w14:paraId="61B03279" w14:textId="77777777" w:rsidR="00AB4395" w:rsidRDefault="00AB4395" w:rsidP="00AB4395">
      <w:pPr>
        <w:pStyle w:val="Default"/>
        <w:rPr>
          <w:sz w:val="23"/>
          <w:szCs w:val="23"/>
        </w:rPr>
      </w:pPr>
    </w:p>
    <w:p w14:paraId="2662A41A" w14:textId="77777777" w:rsidR="00AB4395" w:rsidRDefault="00AB4395" w:rsidP="00AB4395">
      <w:pPr>
        <w:pStyle w:val="Default"/>
        <w:rPr>
          <w:sz w:val="23"/>
          <w:szCs w:val="23"/>
        </w:rPr>
      </w:pPr>
    </w:p>
    <w:p w14:paraId="3A0EC2BE" w14:textId="77777777" w:rsidR="00AB4395" w:rsidRDefault="00AB4395" w:rsidP="00AB4395">
      <w:pPr>
        <w:pStyle w:val="Default"/>
        <w:rPr>
          <w:sz w:val="23"/>
          <w:szCs w:val="23"/>
        </w:rPr>
      </w:pPr>
    </w:p>
    <w:p w14:paraId="52F979CB" w14:textId="77777777" w:rsidR="00AB4395" w:rsidRDefault="00AB4395" w:rsidP="00AB4395">
      <w:pPr>
        <w:pStyle w:val="Default"/>
        <w:rPr>
          <w:sz w:val="23"/>
          <w:szCs w:val="23"/>
        </w:rPr>
      </w:pPr>
    </w:p>
    <w:p w14:paraId="04145E39" w14:textId="77777777" w:rsidR="00AB4395" w:rsidRDefault="00AB4395" w:rsidP="00AB4395">
      <w:pPr>
        <w:pStyle w:val="Default"/>
        <w:rPr>
          <w:sz w:val="23"/>
          <w:szCs w:val="23"/>
        </w:rPr>
      </w:pPr>
    </w:p>
    <w:p w14:paraId="7B00F29C" w14:textId="77777777" w:rsidR="00AB4395" w:rsidRDefault="00AB4395" w:rsidP="00AB4395">
      <w:pPr>
        <w:pStyle w:val="Default"/>
        <w:rPr>
          <w:sz w:val="23"/>
          <w:szCs w:val="23"/>
        </w:rPr>
      </w:pPr>
    </w:p>
    <w:p w14:paraId="31D0E7EA" w14:textId="77777777" w:rsidR="00AB4395" w:rsidRDefault="00AB4395" w:rsidP="00AB4395">
      <w:pPr>
        <w:pStyle w:val="Default"/>
        <w:rPr>
          <w:sz w:val="23"/>
          <w:szCs w:val="23"/>
        </w:rPr>
      </w:pPr>
    </w:p>
    <w:p w14:paraId="46A2D15E" w14:textId="77777777" w:rsidR="00AB4395" w:rsidRDefault="00AB4395" w:rsidP="00AB4395">
      <w:pPr>
        <w:pStyle w:val="Default"/>
        <w:rPr>
          <w:sz w:val="23"/>
          <w:szCs w:val="23"/>
        </w:rPr>
      </w:pPr>
    </w:p>
    <w:p w14:paraId="0F50484A" w14:textId="77777777" w:rsidR="00AB4395" w:rsidRDefault="00AB4395" w:rsidP="00AB4395">
      <w:pPr>
        <w:pStyle w:val="Default"/>
        <w:rPr>
          <w:sz w:val="23"/>
          <w:szCs w:val="23"/>
        </w:rPr>
      </w:pPr>
    </w:p>
    <w:p w14:paraId="7DE0059C" w14:textId="77777777" w:rsidR="00AB4395" w:rsidRDefault="00AB4395" w:rsidP="00AB4395">
      <w:pPr>
        <w:pStyle w:val="Default"/>
        <w:rPr>
          <w:sz w:val="23"/>
          <w:szCs w:val="23"/>
        </w:rPr>
      </w:pPr>
    </w:p>
    <w:p w14:paraId="4DE196A9" w14:textId="77777777" w:rsidR="00AB4395" w:rsidRDefault="00AB4395" w:rsidP="00AB4395">
      <w:pPr>
        <w:pStyle w:val="Default"/>
        <w:rPr>
          <w:sz w:val="23"/>
          <w:szCs w:val="23"/>
        </w:rPr>
      </w:pPr>
    </w:p>
    <w:p w14:paraId="3F8A4271" w14:textId="77777777" w:rsidR="00AB4395" w:rsidRDefault="00AB4395" w:rsidP="00AB4395">
      <w:pPr>
        <w:pStyle w:val="Default"/>
        <w:rPr>
          <w:sz w:val="23"/>
          <w:szCs w:val="23"/>
        </w:rPr>
      </w:pPr>
    </w:p>
    <w:p w14:paraId="14F596A2" w14:textId="77777777" w:rsidR="00AB4395" w:rsidRDefault="00AB4395" w:rsidP="00AB4395">
      <w:pPr>
        <w:pStyle w:val="Default"/>
        <w:rPr>
          <w:sz w:val="23"/>
          <w:szCs w:val="23"/>
        </w:rPr>
      </w:pPr>
    </w:p>
    <w:p w14:paraId="23C1D9DA" w14:textId="77777777" w:rsidR="00AB4395" w:rsidRDefault="00AB4395" w:rsidP="00AB4395">
      <w:pPr>
        <w:pStyle w:val="Default"/>
        <w:rPr>
          <w:sz w:val="23"/>
          <w:szCs w:val="23"/>
        </w:rPr>
      </w:pPr>
    </w:p>
    <w:p w14:paraId="52288F2D" w14:textId="77777777" w:rsidR="00AB4395" w:rsidRDefault="00AB4395" w:rsidP="00AB4395">
      <w:pPr>
        <w:pStyle w:val="Default"/>
        <w:rPr>
          <w:sz w:val="23"/>
          <w:szCs w:val="23"/>
        </w:rPr>
      </w:pPr>
    </w:p>
    <w:p w14:paraId="7EF3D92F" w14:textId="77777777" w:rsidR="00AB4395" w:rsidRDefault="00AB4395" w:rsidP="00AB4395">
      <w:pPr>
        <w:pStyle w:val="Default"/>
        <w:rPr>
          <w:sz w:val="23"/>
          <w:szCs w:val="23"/>
        </w:rPr>
      </w:pPr>
    </w:p>
    <w:p w14:paraId="043EF17A" w14:textId="77777777" w:rsidR="00AB4395" w:rsidRDefault="00AB4395" w:rsidP="00AB4395">
      <w:pPr>
        <w:pStyle w:val="Default"/>
        <w:rPr>
          <w:sz w:val="23"/>
          <w:szCs w:val="23"/>
        </w:rPr>
      </w:pPr>
    </w:p>
    <w:p w14:paraId="2D2EB2F4" w14:textId="77777777" w:rsidR="00AB4395" w:rsidRDefault="00AB4395" w:rsidP="00AB4395">
      <w:pPr>
        <w:pStyle w:val="Default"/>
        <w:rPr>
          <w:sz w:val="23"/>
          <w:szCs w:val="23"/>
        </w:rPr>
      </w:pPr>
    </w:p>
    <w:p w14:paraId="0F3F2E43" w14:textId="77777777" w:rsidR="00AB4395" w:rsidRDefault="00AB4395" w:rsidP="00AB4395">
      <w:pPr>
        <w:pStyle w:val="Default"/>
        <w:rPr>
          <w:sz w:val="23"/>
          <w:szCs w:val="23"/>
        </w:rPr>
      </w:pPr>
    </w:p>
    <w:p w14:paraId="40E2F80C" w14:textId="77777777" w:rsidR="00AB4395" w:rsidRDefault="00AB4395" w:rsidP="00AB4395">
      <w:pPr>
        <w:pStyle w:val="Default"/>
        <w:rPr>
          <w:sz w:val="23"/>
          <w:szCs w:val="23"/>
        </w:rPr>
      </w:pPr>
    </w:p>
    <w:p w14:paraId="28433199" w14:textId="77777777" w:rsidR="00AB4395" w:rsidRDefault="00AB4395" w:rsidP="00AB4395">
      <w:pPr>
        <w:pStyle w:val="Default"/>
        <w:rPr>
          <w:sz w:val="23"/>
          <w:szCs w:val="23"/>
        </w:rPr>
      </w:pPr>
    </w:p>
    <w:p w14:paraId="08DD7B3A" w14:textId="77777777" w:rsidR="00AB4395" w:rsidRDefault="00AB4395" w:rsidP="00AB4395">
      <w:pPr>
        <w:pStyle w:val="Default"/>
        <w:rPr>
          <w:sz w:val="23"/>
          <w:szCs w:val="23"/>
        </w:rPr>
      </w:pPr>
    </w:p>
    <w:p w14:paraId="5E0EEC8C" w14:textId="77777777" w:rsidR="00AB4395" w:rsidRDefault="00AB4395" w:rsidP="00AB4395">
      <w:pPr>
        <w:pStyle w:val="Default"/>
        <w:rPr>
          <w:sz w:val="23"/>
          <w:szCs w:val="23"/>
        </w:rPr>
      </w:pPr>
    </w:p>
    <w:p w14:paraId="6EF0E848" w14:textId="77777777" w:rsidR="00AB4395" w:rsidRDefault="00AB4395" w:rsidP="00AB4395">
      <w:pPr>
        <w:pStyle w:val="Default"/>
        <w:rPr>
          <w:sz w:val="23"/>
          <w:szCs w:val="23"/>
        </w:rPr>
      </w:pPr>
    </w:p>
    <w:p w14:paraId="0751BA62" w14:textId="77777777" w:rsidR="00AB4395" w:rsidRPr="00AB4395" w:rsidRDefault="00AB4395" w:rsidP="00AB4395">
      <w:pPr>
        <w:pStyle w:val="Default"/>
      </w:pPr>
    </w:p>
    <w:p w14:paraId="5EF88008" w14:textId="77777777" w:rsidR="00AB4395" w:rsidRPr="00AB4395" w:rsidRDefault="00AB4395" w:rsidP="00AB4395">
      <w:pPr>
        <w:pStyle w:val="Default"/>
      </w:pPr>
    </w:p>
    <w:p w14:paraId="10AA7EE4" w14:textId="77777777" w:rsidR="00AB4395" w:rsidRPr="00AB4395" w:rsidRDefault="00AB4395" w:rsidP="00AB4395">
      <w:pPr>
        <w:pStyle w:val="Default"/>
      </w:pPr>
    </w:p>
    <w:p w14:paraId="6AA4EB96" w14:textId="77777777" w:rsidR="00AB4395" w:rsidRPr="00AB4395" w:rsidRDefault="00AB4395" w:rsidP="00AB4395">
      <w:pPr>
        <w:pStyle w:val="Default"/>
      </w:pPr>
    </w:p>
    <w:p w14:paraId="637601F5" w14:textId="174FB16A" w:rsidR="00AB4395" w:rsidRPr="00AB4395" w:rsidRDefault="00AB4395" w:rsidP="00AB4395">
      <w:pPr>
        <w:pStyle w:val="Default"/>
        <w:jc w:val="center"/>
      </w:pPr>
      <w:r w:rsidRPr="00AB4395">
        <w:t xml:space="preserve">© Copyright by </w:t>
      </w:r>
      <w:r w:rsidR="00564161">
        <w:t>KAREN IFEOMA OCHIE</w:t>
      </w:r>
      <w:r w:rsidRPr="00AB4395">
        <w:t xml:space="preserve"> 2022</w:t>
      </w:r>
    </w:p>
    <w:p w14:paraId="60B67104" w14:textId="4554CADD" w:rsidR="00E215EC" w:rsidRDefault="00AB4395" w:rsidP="00AB4395">
      <w:pPr>
        <w:jc w:val="center"/>
        <w:rPr>
          <w:rFonts w:cs="Times New Roman"/>
          <w:szCs w:val="24"/>
        </w:rPr>
        <w:sectPr w:rsidR="00E215EC" w:rsidSect="008670C9">
          <w:footerReference w:type="default" r:id="rId11"/>
          <w:footerReference w:type="first" r:id="rId12"/>
          <w:pgSz w:w="12240" w:h="15840"/>
          <w:pgMar w:top="1440" w:right="1440" w:bottom="1440" w:left="1440" w:header="720" w:footer="720" w:gutter="0"/>
          <w:cols w:space="720"/>
          <w:docGrid w:linePitch="360"/>
        </w:sectPr>
      </w:pPr>
      <w:r w:rsidRPr="00AB4395">
        <w:rPr>
          <w:rFonts w:cs="Times New Roman"/>
          <w:szCs w:val="24"/>
        </w:rPr>
        <w:t>All Rights Reserved</w:t>
      </w:r>
      <w:r w:rsidR="009D1F21">
        <w:rPr>
          <w:rFonts w:cs="Times New Roman"/>
          <w:szCs w:val="24"/>
        </w:rPr>
        <w:t>.</w:t>
      </w:r>
    </w:p>
    <w:p w14:paraId="6B141CFB" w14:textId="2C266D85" w:rsidR="00AB4395" w:rsidRDefault="00AB4395" w:rsidP="00AB4395">
      <w:pPr>
        <w:jc w:val="center"/>
        <w:rPr>
          <w:rFonts w:cs="Times New Roman"/>
          <w:szCs w:val="24"/>
        </w:rPr>
      </w:pPr>
    </w:p>
    <w:p w14:paraId="73250ADA" w14:textId="3293BABD" w:rsidR="00AB4395" w:rsidRDefault="00AB4395" w:rsidP="00447392">
      <w:pPr>
        <w:rPr>
          <w:sz w:val="23"/>
          <w:szCs w:val="23"/>
        </w:rPr>
      </w:pPr>
    </w:p>
    <w:p w14:paraId="78BA11BB" w14:textId="77777777" w:rsidR="00AB4395" w:rsidRDefault="00AB4395" w:rsidP="00AB4395">
      <w:pPr>
        <w:pStyle w:val="Default"/>
        <w:rPr>
          <w:sz w:val="23"/>
          <w:szCs w:val="23"/>
        </w:rPr>
      </w:pPr>
    </w:p>
    <w:p w14:paraId="645CBBAC" w14:textId="77777777" w:rsidR="00AB4395" w:rsidRDefault="00AB4395" w:rsidP="00AB4395">
      <w:pPr>
        <w:pStyle w:val="Default"/>
        <w:rPr>
          <w:sz w:val="23"/>
          <w:szCs w:val="23"/>
        </w:rPr>
      </w:pPr>
    </w:p>
    <w:p w14:paraId="7D2C4465" w14:textId="77777777" w:rsidR="00AB4395" w:rsidRDefault="00AB4395" w:rsidP="00AB4395">
      <w:pPr>
        <w:pStyle w:val="Default"/>
        <w:rPr>
          <w:sz w:val="23"/>
          <w:szCs w:val="23"/>
        </w:rPr>
      </w:pPr>
    </w:p>
    <w:p w14:paraId="5565A9F9" w14:textId="77777777" w:rsidR="00AB4395" w:rsidRDefault="00AB4395" w:rsidP="00AB4395">
      <w:pPr>
        <w:pStyle w:val="Default"/>
        <w:rPr>
          <w:sz w:val="23"/>
          <w:szCs w:val="23"/>
        </w:rPr>
      </w:pPr>
    </w:p>
    <w:p w14:paraId="1FFEC9F7" w14:textId="77777777" w:rsidR="00AB4395" w:rsidRDefault="00AB4395" w:rsidP="00AB4395">
      <w:pPr>
        <w:pStyle w:val="Default"/>
        <w:rPr>
          <w:sz w:val="23"/>
          <w:szCs w:val="23"/>
        </w:rPr>
      </w:pPr>
    </w:p>
    <w:p w14:paraId="0FF55574" w14:textId="77777777" w:rsidR="00AB4395" w:rsidRDefault="00AB4395" w:rsidP="00AB4395">
      <w:pPr>
        <w:pStyle w:val="Default"/>
        <w:rPr>
          <w:sz w:val="23"/>
          <w:szCs w:val="23"/>
        </w:rPr>
      </w:pPr>
    </w:p>
    <w:p w14:paraId="7D910894" w14:textId="77777777" w:rsidR="00AB4395" w:rsidRDefault="00AB4395" w:rsidP="00AB4395">
      <w:pPr>
        <w:pStyle w:val="Default"/>
        <w:rPr>
          <w:sz w:val="23"/>
          <w:szCs w:val="23"/>
        </w:rPr>
      </w:pPr>
    </w:p>
    <w:p w14:paraId="4ED69AA4" w14:textId="77777777" w:rsidR="00AB4395" w:rsidRDefault="00AB4395" w:rsidP="00AB4395">
      <w:pPr>
        <w:pStyle w:val="Default"/>
        <w:rPr>
          <w:sz w:val="23"/>
          <w:szCs w:val="23"/>
        </w:rPr>
      </w:pPr>
    </w:p>
    <w:p w14:paraId="40F20A9B" w14:textId="77777777" w:rsidR="00AB4395" w:rsidRDefault="00AB4395" w:rsidP="00AB4395">
      <w:pPr>
        <w:pStyle w:val="Default"/>
        <w:rPr>
          <w:sz w:val="23"/>
          <w:szCs w:val="23"/>
        </w:rPr>
      </w:pPr>
    </w:p>
    <w:p w14:paraId="76A30C35" w14:textId="77777777" w:rsidR="00AB4395" w:rsidRDefault="00AB4395" w:rsidP="00AB4395">
      <w:pPr>
        <w:pStyle w:val="Default"/>
        <w:rPr>
          <w:sz w:val="23"/>
          <w:szCs w:val="23"/>
        </w:rPr>
      </w:pPr>
    </w:p>
    <w:p w14:paraId="06D379AB" w14:textId="77777777" w:rsidR="00AB4395" w:rsidRDefault="00AB4395" w:rsidP="00AB4395">
      <w:pPr>
        <w:pStyle w:val="Default"/>
        <w:rPr>
          <w:sz w:val="23"/>
          <w:szCs w:val="23"/>
        </w:rPr>
      </w:pPr>
    </w:p>
    <w:p w14:paraId="698AA0BB" w14:textId="77777777" w:rsidR="00AB4395" w:rsidRDefault="00AB4395" w:rsidP="00AB4395">
      <w:pPr>
        <w:pStyle w:val="Default"/>
        <w:rPr>
          <w:sz w:val="23"/>
          <w:szCs w:val="23"/>
        </w:rPr>
      </w:pPr>
    </w:p>
    <w:p w14:paraId="20F55684" w14:textId="77777777" w:rsidR="00AB4395" w:rsidRDefault="00AB4395" w:rsidP="00AB4395">
      <w:pPr>
        <w:pStyle w:val="Default"/>
        <w:rPr>
          <w:sz w:val="23"/>
          <w:szCs w:val="23"/>
        </w:rPr>
      </w:pPr>
    </w:p>
    <w:p w14:paraId="7813D6DA" w14:textId="1C6A8BC1" w:rsidR="00AB4395" w:rsidRDefault="00AB4395" w:rsidP="00AB4395">
      <w:pPr>
        <w:pStyle w:val="Default"/>
        <w:jc w:val="center"/>
        <w:rPr>
          <w:sz w:val="23"/>
          <w:szCs w:val="23"/>
        </w:rPr>
      </w:pPr>
      <w:r>
        <w:rPr>
          <w:sz w:val="23"/>
          <w:szCs w:val="23"/>
        </w:rPr>
        <w:t>Dedicated to my mother, who encouraged me to pursue graduate school</w:t>
      </w:r>
      <w:r w:rsidR="00AA1842">
        <w:rPr>
          <w:sz w:val="23"/>
          <w:szCs w:val="23"/>
        </w:rPr>
        <w:t>.</w:t>
      </w:r>
    </w:p>
    <w:p w14:paraId="0945354E" w14:textId="052B45AC" w:rsidR="00AB4395" w:rsidRDefault="00AB4395">
      <w:pPr>
        <w:rPr>
          <w:rFonts w:cs="Times New Roman"/>
          <w:color w:val="000000"/>
          <w:sz w:val="23"/>
          <w:szCs w:val="23"/>
        </w:rPr>
      </w:pPr>
      <w:r>
        <w:rPr>
          <w:sz w:val="23"/>
          <w:szCs w:val="23"/>
        </w:rPr>
        <w:br w:type="page"/>
      </w:r>
    </w:p>
    <w:p w14:paraId="7DC53C0C" w14:textId="51E5C8C3" w:rsidR="002E18FF" w:rsidRPr="00B80630" w:rsidRDefault="00B80630" w:rsidP="00B80630">
      <w:pPr>
        <w:pStyle w:val="Heading1"/>
      </w:pPr>
      <w:bookmarkStart w:id="0" w:name="_Toc121265799"/>
      <w:r w:rsidRPr="00B80630">
        <w:lastRenderedPageBreak/>
        <w:t>ACKNOWLEDGEMENT</w:t>
      </w:r>
      <w:bookmarkEnd w:id="0"/>
    </w:p>
    <w:p w14:paraId="03372DCA" w14:textId="023080D2" w:rsidR="0069299F" w:rsidRDefault="002E18FF" w:rsidP="002E18FF">
      <w:pPr>
        <w:pStyle w:val="Default"/>
        <w:spacing w:line="480" w:lineRule="auto"/>
        <w:jc w:val="both"/>
      </w:pPr>
      <w:r w:rsidRPr="002E18FF">
        <w:t xml:space="preserve">I would like to thank my advisor, Dr. </w:t>
      </w:r>
      <w:r>
        <w:t>Rouzbeh Moghanloo, f</w:t>
      </w:r>
      <w:r w:rsidRPr="002E18FF">
        <w:t xml:space="preserve">or </w:t>
      </w:r>
      <w:r>
        <w:t xml:space="preserve">his constant support and tutelage. </w:t>
      </w:r>
      <w:r w:rsidRPr="002E18FF">
        <w:t xml:space="preserve">I am </w:t>
      </w:r>
      <w:r>
        <w:t xml:space="preserve">also grateful </w:t>
      </w:r>
      <w:r w:rsidR="514F7F77">
        <w:t>to</w:t>
      </w:r>
      <w:r>
        <w:t xml:space="preserve"> Dr </w:t>
      </w:r>
      <w:r w:rsidR="00C21BED" w:rsidRPr="00447392">
        <w:rPr>
          <w:sz w:val="23"/>
          <w:szCs w:val="23"/>
        </w:rPr>
        <w:t>Hamidreza</w:t>
      </w:r>
      <w:r w:rsidR="00C21BED">
        <w:rPr>
          <w:sz w:val="23"/>
          <w:szCs w:val="23"/>
        </w:rPr>
        <w:t xml:space="preserve"> Karami</w:t>
      </w:r>
      <w:r>
        <w:t xml:space="preserve"> and</w:t>
      </w:r>
      <w:r w:rsidR="0031585B">
        <w:t xml:space="preserve"> Dr.</w:t>
      </w:r>
      <w:r>
        <w:t xml:space="preserve"> </w:t>
      </w:r>
      <w:r w:rsidR="00C21BED">
        <w:rPr>
          <w:sz w:val="23"/>
          <w:szCs w:val="23"/>
        </w:rPr>
        <w:t>Jeffery Burghardt</w:t>
      </w:r>
      <w:r>
        <w:t>, for their time and support invested in m</w:t>
      </w:r>
      <w:r w:rsidR="00C21BED">
        <w:t>e</w:t>
      </w:r>
      <w:r>
        <w:t xml:space="preserve"> completing this thesis. </w:t>
      </w:r>
      <w:r w:rsidRPr="002E18FF">
        <w:t>I am</w:t>
      </w:r>
      <w:r>
        <w:t xml:space="preserve"> </w:t>
      </w:r>
      <w:r w:rsidR="0069299F">
        <w:t>also grateful</w:t>
      </w:r>
      <w:r>
        <w:t xml:space="preserve"> </w:t>
      </w:r>
      <w:r w:rsidR="00564161">
        <w:t>to</w:t>
      </w:r>
      <w:r>
        <w:t xml:space="preserve"> my team members on the Carbon </w:t>
      </w:r>
      <w:r w:rsidR="0069299F">
        <w:t>Utilization</w:t>
      </w:r>
      <w:r>
        <w:t xml:space="preserve"> an</w:t>
      </w:r>
      <w:r w:rsidR="0069299F">
        <w:t>d</w:t>
      </w:r>
      <w:r>
        <w:t xml:space="preserve"> Storage </w:t>
      </w:r>
      <w:r w:rsidR="3585A485">
        <w:t>Partnership</w:t>
      </w:r>
      <w:r>
        <w:t xml:space="preserve"> </w:t>
      </w:r>
      <w:r w:rsidR="686922D5">
        <w:t>(</w:t>
      </w:r>
      <w:bookmarkStart w:id="1" w:name="_Int_0uwTYVZZ"/>
      <w:r>
        <w:t>CUSP</w:t>
      </w:r>
      <w:r w:rsidR="534CCC60">
        <w:t>)</w:t>
      </w:r>
      <w:bookmarkEnd w:id="1"/>
      <w:r>
        <w:t>, working with them was very insightful and value adding</w:t>
      </w:r>
      <w:bookmarkStart w:id="2" w:name="_Int_6E10WPhJ"/>
      <w:r>
        <w:t xml:space="preserve">. </w:t>
      </w:r>
      <w:bookmarkEnd w:id="2"/>
    </w:p>
    <w:p w14:paraId="7A497F40" w14:textId="52D29621" w:rsidR="0069299F" w:rsidRPr="002E18FF" w:rsidRDefault="0069299F" w:rsidP="002E18FF">
      <w:pPr>
        <w:pStyle w:val="Default"/>
        <w:spacing w:line="480" w:lineRule="auto"/>
        <w:jc w:val="both"/>
      </w:pPr>
      <w:r>
        <w:t xml:space="preserve">I would also like to thank all the professors I assisted in teaching, Dr Chandra Rai, Dr </w:t>
      </w:r>
      <w:r w:rsidR="00564161">
        <w:t>Runar</w:t>
      </w:r>
      <w:r>
        <w:t xml:space="preserve"> </w:t>
      </w:r>
      <w:r w:rsidR="00564161">
        <w:t>Nygaard</w:t>
      </w:r>
      <w:r>
        <w:t xml:space="preserve"> and Dr Reza </w:t>
      </w:r>
      <w:r w:rsidRPr="0069299F">
        <w:t>Zulfiquar</w:t>
      </w:r>
      <w:r>
        <w:t xml:space="preserve">, I enjoyed working with you and you made my stay worthwhile. I am also grateful to the Mewbourne </w:t>
      </w:r>
      <w:r w:rsidR="009C0FCB">
        <w:t>Department of Petroleum Engineering, Francey Freeman, Sonya Grant</w:t>
      </w:r>
      <w:r w:rsidR="00C21BED">
        <w:t xml:space="preserve">, Katie Shapiro and </w:t>
      </w:r>
      <w:r w:rsidR="009C0FCB">
        <w:t>Dominique Pittenger for making my leadership roles stress-free. To all the student organizations I worked with, you made my graduate school journey fun, thank you.</w:t>
      </w:r>
    </w:p>
    <w:p w14:paraId="7116ACC0" w14:textId="5F283BA5" w:rsidR="00253BD1" w:rsidRDefault="002E18FF" w:rsidP="002E18FF">
      <w:pPr>
        <w:pStyle w:val="Default"/>
        <w:spacing w:line="480" w:lineRule="auto"/>
        <w:jc w:val="both"/>
      </w:pPr>
      <w:r w:rsidRPr="002E18FF">
        <w:t xml:space="preserve">Finally, I would like to </w:t>
      </w:r>
      <w:r w:rsidR="77A3A75D">
        <w:t>thank</w:t>
      </w:r>
      <w:r w:rsidRPr="002E18FF">
        <w:t xml:space="preserve"> my parents: </w:t>
      </w:r>
      <w:r>
        <w:t xml:space="preserve">Chief </w:t>
      </w:r>
      <w:r w:rsidRPr="002E18FF">
        <w:t xml:space="preserve">and </w:t>
      </w:r>
      <w:r w:rsidR="009C0FCB" w:rsidRPr="002E18FF">
        <w:t>Mrs.</w:t>
      </w:r>
      <w:r w:rsidRPr="002E18FF">
        <w:t xml:space="preserve"> </w:t>
      </w:r>
      <w:r>
        <w:t>Augustine Ochie</w:t>
      </w:r>
      <w:r w:rsidRPr="002E18FF">
        <w:t xml:space="preserve">, and </w:t>
      </w:r>
      <w:r>
        <w:t>my siblings</w:t>
      </w:r>
      <w:r w:rsidRPr="002E18FF">
        <w:t>:</w:t>
      </w:r>
      <w:r>
        <w:t xml:space="preserve"> Samuel, Marypeace and Miracle </w:t>
      </w:r>
      <w:r w:rsidRPr="002E18FF">
        <w:t>for their unconditional love</w:t>
      </w:r>
      <w:r>
        <w:t xml:space="preserve"> and care during my graduate school journey</w:t>
      </w:r>
      <w:r w:rsidRPr="002E18FF">
        <w:t xml:space="preserve">. </w:t>
      </w:r>
      <w:r w:rsidR="0069299F">
        <w:t xml:space="preserve">To my partner, Chinedu Nwosu, my friends, and </w:t>
      </w:r>
      <w:r w:rsidRPr="002E18FF">
        <w:t>members of the Nigerian OU community</w:t>
      </w:r>
      <w:r w:rsidR="0069299F">
        <w:t xml:space="preserve">, my journey would not have been complete without your contributions, I am indeed grateful. </w:t>
      </w:r>
    </w:p>
    <w:p w14:paraId="5B71F310" w14:textId="3D869124" w:rsidR="009C0FCB" w:rsidRDefault="009C0FCB" w:rsidP="002E18FF">
      <w:pPr>
        <w:pStyle w:val="Default"/>
        <w:spacing w:line="480" w:lineRule="auto"/>
        <w:jc w:val="both"/>
      </w:pPr>
    </w:p>
    <w:p w14:paraId="6E7AF43B" w14:textId="7DF879AF" w:rsidR="009C0FCB" w:rsidRDefault="009C0FCB">
      <w:pPr>
        <w:rPr>
          <w:rFonts w:cs="Times New Roman"/>
          <w:color w:val="000000"/>
          <w:szCs w:val="24"/>
        </w:rPr>
      </w:pPr>
      <w:r>
        <w:br w:type="page"/>
      </w:r>
    </w:p>
    <w:sdt>
      <w:sdtPr>
        <w:rPr>
          <w:rFonts w:eastAsiaTheme="minorHAnsi" w:cstheme="minorBidi"/>
          <w:b w:val="0"/>
          <w:color w:val="auto"/>
          <w:sz w:val="24"/>
          <w:szCs w:val="22"/>
        </w:rPr>
        <w:id w:val="-1178881277"/>
        <w:docPartObj>
          <w:docPartGallery w:val="Table of Contents"/>
          <w:docPartUnique/>
        </w:docPartObj>
      </w:sdtPr>
      <w:sdtEndPr>
        <w:rPr>
          <w:bCs/>
          <w:noProof/>
        </w:rPr>
      </w:sdtEndPr>
      <w:sdtContent>
        <w:p w14:paraId="71A66C4A" w14:textId="6FE26F8D" w:rsidR="00B93BAB" w:rsidRDefault="00B93BAB" w:rsidP="00A9020A">
          <w:pPr>
            <w:pStyle w:val="TOCHeading"/>
            <w:spacing w:line="360" w:lineRule="auto"/>
          </w:pPr>
          <w:r>
            <w:t>Table of Contents</w:t>
          </w:r>
        </w:p>
        <w:p w14:paraId="6AB1F7C8" w14:textId="3568724E" w:rsidR="00C84822" w:rsidRDefault="00B93BAB">
          <w:pPr>
            <w:pStyle w:val="TOC1"/>
            <w:rPr>
              <w:rFonts w:asciiTheme="minorHAnsi" w:eastAsiaTheme="minorEastAsia" w:hAnsiTheme="minorHAnsi"/>
              <w:noProof/>
              <w:sz w:val="22"/>
            </w:rPr>
          </w:pPr>
          <w:r>
            <w:fldChar w:fldCharType="begin"/>
          </w:r>
          <w:r>
            <w:instrText xml:space="preserve"> TOC \o "1-3" \h \z \u </w:instrText>
          </w:r>
          <w:r>
            <w:fldChar w:fldCharType="separate"/>
          </w:r>
          <w:hyperlink w:anchor="_Toc121265799" w:history="1">
            <w:r w:rsidR="00C84822" w:rsidRPr="003957E0">
              <w:rPr>
                <w:rStyle w:val="Hyperlink"/>
                <w:noProof/>
              </w:rPr>
              <w:t>ACKNOWLEDGEMENT</w:t>
            </w:r>
            <w:r w:rsidR="00C84822">
              <w:rPr>
                <w:noProof/>
                <w:webHidden/>
              </w:rPr>
              <w:tab/>
            </w:r>
            <w:r w:rsidR="00C84822">
              <w:rPr>
                <w:noProof/>
                <w:webHidden/>
              </w:rPr>
              <w:fldChar w:fldCharType="begin"/>
            </w:r>
            <w:r w:rsidR="00C84822">
              <w:rPr>
                <w:noProof/>
                <w:webHidden/>
              </w:rPr>
              <w:instrText xml:space="preserve"> PAGEREF _Toc121265799 \h </w:instrText>
            </w:r>
            <w:r w:rsidR="00C84822">
              <w:rPr>
                <w:noProof/>
                <w:webHidden/>
              </w:rPr>
            </w:r>
            <w:r w:rsidR="00C84822">
              <w:rPr>
                <w:noProof/>
                <w:webHidden/>
              </w:rPr>
              <w:fldChar w:fldCharType="separate"/>
            </w:r>
            <w:r w:rsidR="00955725">
              <w:rPr>
                <w:noProof/>
                <w:webHidden/>
              </w:rPr>
              <w:t>v</w:t>
            </w:r>
            <w:r w:rsidR="00C84822">
              <w:rPr>
                <w:noProof/>
                <w:webHidden/>
              </w:rPr>
              <w:fldChar w:fldCharType="end"/>
            </w:r>
          </w:hyperlink>
        </w:p>
        <w:p w14:paraId="487B979C" w14:textId="65CBBD7F" w:rsidR="00C84822" w:rsidRDefault="00000000">
          <w:pPr>
            <w:pStyle w:val="TOC1"/>
            <w:rPr>
              <w:rFonts w:asciiTheme="minorHAnsi" w:eastAsiaTheme="minorEastAsia" w:hAnsiTheme="minorHAnsi"/>
              <w:noProof/>
              <w:sz w:val="22"/>
            </w:rPr>
          </w:pPr>
          <w:hyperlink w:anchor="_Toc121265800" w:history="1">
            <w:r w:rsidR="00C84822" w:rsidRPr="003957E0">
              <w:rPr>
                <w:rStyle w:val="Hyperlink"/>
                <w:noProof/>
              </w:rPr>
              <w:t>LIST OF FIGURES</w:t>
            </w:r>
            <w:r w:rsidR="00C84822">
              <w:rPr>
                <w:noProof/>
                <w:webHidden/>
              </w:rPr>
              <w:tab/>
            </w:r>
            <w:r w:rsidR="00C84822">
              <w:rPr>
                <w:noProof/>
                <w:webHidden/>
              </w:rPr>
              <w:fldChar w:fldCharType="begin"/>
            </w:r>
            <w:r w:rsidR="00C84822">
              <w:rPr>
                <w:noProof/>
                <w:webHidden/>
              </w:rPr>
              <w:instrText xml:space="preserve"> PAGEREF _Toc121265800 \h </w:instrText>
            </w:r>
            <w:r w:rsidR="00C84822">
              <w:rPr>
                <w:noProof/>
                <w:webHidden/>
              </w:rPr>
            </w:r>
            <w:r w:rsidR="00C84822">
              <w:rPr>
                <w:noProof/>
                <w:webHidden/>
              </w:rPr>
              <w:fldChar w:fldCharType="separate"/>
            </w:r>
            <w:r w:rsidR="00955725">
              <w:rPr>
                <w:noProof/>
                <w:webHidden/>
              </w:rPr>
              <w:t>ix</w:t>
            </w:r>
            <w:r w:rsidR="00C84822">
              <w:rPr>
                <w:noProof/>
                <w:webHidden/>
              </w:rPr>
              <w:fldChar w:fldCharType="end"/>
            </w:r>
          </w:hyperlink>
        </w:p>
        <w:p w14:paraId="48742159" w14:textId="0FFD38D6" w:rsidR="00C84822" w:rsidRDefault="00000000">
          <w:pPr>
            <w:pStyle w:val="TOC1"/>
            <w:rPr>
              <w:rFonts w:asciiTheme="minorHAnsi" w:eastAsiaTheme="minorEastAsia" w:hAnsiTheme="minorHAnsi"/>
              <w:noProof/>
              <w:sz w:val="22"/>
            </w:rPr>
          </w:pPr>
          <w:hyperlink w:anchor="_Toc121265801" w:history="1">
            <w:r w:rsidR="00C84822" w:rsidRPr="003957E0">
              <w:rPr>
                <w:rStyle w:val="Hyperlink"/>
                <w:noProof/>
              </w:rPr>
              <w:t>LIST OF TABLES</w:t>
            </w:r>
            <w:r w:rsidR="00C84822">
              <w:rPr>
                <w:noProof/>
                <w:webHidden/>
              </w:rPr>
              <w:tab/>
            </w:r>
            <w:r w:rsidR="00C84822">
              <w:rPr>
                <w:noProof/>
                <w:webHidden/>
              </w:rPr>
              <w:fldChar w:fldCharType="begin"/>
            </w:r>
            <w:r w:rsidR="00C84822">
              <w:rPr>
                <w:noProof/>
                <w:webHidden/>
              </w:rPr>
              <w:instrText xml:space="preserve"> PAGEREF _Toc121265801 \h </w:instrText>
            </w:r>
            <w:r w:rsidR="00C84822">
              <w:rPr>
                <w:noProof/>
                <w:webHidden/>
              </w:rPr>
            </w:r>
            <w:r w:rsidR="00C84822">
              <w:rPr>
                <w:noProof/>
                <w:webHidden/>
              </w:rPr>
              <w:fldChar w:fldCharType="separate"/>
            </w:r>
            <w:r w:rsidR="00955725">
              <w:rPr>
                <w:noProof/>
                <w:webHidden/>
              </w:rPr>
              <w:t>xii</w:t>
            </w:r>
            <w:r w:rsidR="00C84822">
              <w:rPr>
                <w:noProof/>
                <w:webHidden/>
              </w:rPr>
              <w:fldChar w:fldCharType="end"/>
            </w:r>
          </w:hyperlink>
        </w:p>
        <w:p w14:paraId="2A303FD4" w14:textId="663E9058" w:rsidR="00C84822" w:rsidRDefault="00000000">
          <w:pPr>
            <w:pStyle w:val="TOC1"/>
            <w:rPr>
              <w:rFonts w:asciiTheme="minorHAnsi" w:eastAsiaTheme="minorEastAsia" w:hAnsiTheme="minorHAnsi"/>
              <w:noProof/>
              <w:sz w:val="22"/>
            </w:rPr>
          </w:pPr>
          <w:hyperlink w:anchor="_Toc121265802" w:history="1">
            <w:r w:rsidR="00C84822" w:rsidRPr="003957E0">
              <w:rPr>
                <w:rStyle w:val="Hyperlink"/>
                <w:noProof/>
              </w:rPr>
              <w:t>ABSTRACT</w:t>
            </w:r>
            <w:r w:rsidR="00C84822">
              <w:rPr>
                <w:noProof/>
                <w:webHidden/>
              </w:rPr>
              <w:tab/>
            </w:r>
            <w:r w:rsidR="00C84822">
              <w:rPr>
                <w:noProof/>
                <w:webHidden/>
              </w:rPr>
              <w:fldChar w:fldCharType="begin"/>
            </w:r>
            <w:r w:rsidR="00C84822">
              <w:rPr>
                <w:noProof/>
                <w:webHidden/>
              </w:rPr>
              <w:instrText xml:space="preserve"> PAGEREF _Toc121265802 \h </w:instrText>
            </w:r>
            <w:r w:rsidR="00C84822">
              <w:rPr>
                <w:noProof/>
                <w:webHidden/>
              </w:rPr>
            </w:r>
            <w:r w:rsidR="00C84822">
              <w:rPr>
                <w:noProof/>
                <w:webHidden/>
              </w:rPr>
              <w:fldChar w:fldCharType="separate"/>
            </w:r>
            <w:r w:rsidR="00955725">
              <w:rPr>
                <w:noProof/>
                <w:webHidden/>
              </w:rPr>
              <w:t>xiii</w:t>
            </w:r>
            <w:r w:rsidR="00C84822">
              <w:rPr>
                <w:noProof/>
                <w:webHidden/>
              </w:rPr>
              <w:fldChar w:fldCharType="end"/>
            </w:r>
          </w:hyperlink>
        </w:p>
        <w:p w14:paraId="180D8275" w14:textId="3A999DFD" w:rsidR="00C84822" w:rsidRDefault="00000000">
          <w:pPr>
            <w:pStyle w:val="TOC1"/>
            <w:rPr>
              <w:rFonts w:asciiTheme="minorHAnsi" w:eastAsiaTheme="minorEastAsia" w:hAnsiTheme="minorHAnsi"/>
              <w:noProof/>
              <w:sz w:val="22"/>
            </w:rPr>
          </w:pPr>
          <w:hyperlink w:anchor="_Toc121265803" w:history="1">
            <w:r w:rsidR="00C84822" w:rsidRPr="003957E0">
              <w:rPr>
                <w:rStyle w:val="Hyperlink"/>
                <w:noProof/>
              </w:rPr>
              <w:t>CHAPTER 1: Introduction</w:t>
            </w:r>
            <w:r w:rsidR="00C84822">
              <w:rPr>
                <w:noProof/>
                <w:webHidden/>
              </w:rPr>
              <w:tab/>
            </w:r>
            <w:r w:rsidR="00C84822">
              <w:rPr>
                <w:noProof/>
                <w:webHidden/>
              </w:rPr>
              <w:fldChar w:fldCharType="begin"/>
            </w:r>
            <w:r w:rsidR="00C84822">
              <w:rPr>
                <w:noProof/>
                <w:webHidden/>
              </w:rPr>
              <w:instrText xml:space="preserve"> PAGEREF _Toc121265803 \h </w:instrText>
            </w:r>
            <w:r w:rsidR="00C84822">
              <w:rPr>
                <w:noProof/>
                <w:webHidden/>
              </w:rPr>
            </w:r>
            <w:r w:rsidR="00C84822">
              <w:rPr>
                <w:noProof/>
                <w:webHidden/>
              </w:rPr>
              <w:fldChar w:fldCharType="separate"/>
            </w:r>
            <w:r w:rsidR="00955725">
              <w:rPr>
                <w:noProof/>
                <w:webHidden/>
              </w:rPr>
              <w:t>1</w:t>
            </w:r>
            <w:r w:rsidR="00C84822">
              <w:rPr>
                <w:noProof/>
                <w:webHidden/>
              </w:rPr>
              <w:fldChar w:fldCharType="end"/>
            </w:r>
          </w:hyperlink>
        </w:p>
        <w:p w14:paraId="59527F32" w14:textId="127C65A9" w:rsidR="00C84822" w:rsidRDefault="00000000">
          <w:pPr>
            <w:pStyle w:val="TOC2"/>
            <w:tabs>
              <w:tab w:val="right" w:leader="dot" w:pos="9350"/>
            </w:tabs>
            <w:rPr>
              <w:rFonts w:asciiTheme="minorHAnsi" w:eastAsiaTheme="minorEastAsia" w:hAnsiTheme="minorHAnsi"/>
              <w:noProof/>
              <w:sz w:val="22"/>
            </w:rPr>
          </w:pPr>
          <w:hyperlink w:anchor="_Toc121265804" w:history="1">
            <w:r w:rsidR="00C84822" w:rsidRPr="003957E0">
              <w:rPr>
                <w:rStyle w:val="Hyperlink"/>
                <w:noProof/>
              </w:rPr>
              <w:t>1.1 Problem Statement</w:t>
            </w:r>
            <w:r w:rsidR="00C84822">
              <w:rPr>
                <w:noProof/>
                <w:webHidden/>
              </w:rPr>
              <w:tab/>
            </w:r>
            <w:r w:rsidR="00C84822">
              <w:rPr>
                <w:noProof/>
                <w:webHidden/>
              </w:rPr>
              <w:fldChar w:fldCharType="begin"/>
            </w:r>
            <w:r w:rsidR="00C84822">
              <w:rPr>
                <w:noProof/>
                <w:webHidden/>
              </w:rPr>
              <w:instrText xml:space="preserve"> PAGEREF _Toc121265804 \h </w:instrText>
            </w:r>
            <w:r w:rsidR="00C84822">
              <w:rPr>
                <w:noProof/>
                <w:webHidden/>
              </w:rPr>
            </w:r>
            <w:r w:rsidR="00C84822">
              <w:rPr>
                <w:noProof/>
                <w:webHidden/>
              </w:rPr>
              <w:fldChar w:fldCharType="separate"/>
            </w:r>
            <w:r w:rsidR="00955725">
              <w:rPr>
                <w:noProof/>
                <w:webHidden/>
              </w:rPr>
              <w:t>1</w:t>
            </w:r>
            <w:r w:rsidR="00C84822">
              <w:rPr>
                <w:noProof/>
                <w:webHidden/>
              </w:rPr>
              <w:fldChar w:fldCharType="end"/>
            </w:r>
          </w:hyperlink>
        </w:p>
        <w:p w14:paraId="4CE67FF3" w14:textId="52E50EC2" w:rsidR="00C84822" w:rsidRDefault="00000000">
          <w:pPr>
            <w:pStyle w:val="TOC2"/>
            <w:tabs>
              <w:tab w:val="right" w:leader="dot" w:pos="9350"/>
            </w:tabs>
            <w:rPr>
              <w:rFonts w:asciiTheme="minorHAnsi" w:eastAsiaTheme="minorEastAsia" w:hAnsiTheme="minorHAnsi"/>
              <w:noProof/>
              <w:sz w:val="22"/>
            </w:rPr>
          </w:pPr>
          <w:hyperlink w:anchor="_Toc121265805" w:history="1">
            <w:r w:rsidR="00C84822" w:rsidRPr="003957E0">
              <w:rPr>
                <w:rStyle w:val="Hyperlink"/>
                <w:noProof/>
              </w:rPr>
              <w:t>1.2 Objectives</w:t>
            </w:r>
            <w:r w:rsidR="00C84822">
              <w:rPr>
                <w:noProof/>
                <w:webHidden/>
              </w:rPr>
              <w:tab/>
            </w:r>
            <w:r w:rsidR="00C84822">
              <w:rPr>
                <w:noProof/>
                <w:webHidden/>
              </w:rPr>
              <w:fldChar w:fldCharType="begin"/>
            </w:r>
            <w:r w:rsidR="00C84822">
              <w:rPr>
                <w:noProof/>
                <w:webHidden/>
              </w:rPr>
              <w:instrText xml:space="preserve"> PAGEREF _Toc121265805 \h </w:instrText>
            </w:r>
            <w:r w:rsidR="00C84822">
              <w:rPr>
                <w:noProof/>
                <w:webHidden/>
              </w:rPr>
            </w:r>
            <w:r w:rsidR="00C84822">
              <w:rPr>
                <w:noProof/>
                <w:webHidden/>
              </w:rPr>
              <w:fldChar w:fldCharType="separate"/>
            </w:r>
            <w:r w:rsidR="00955725">
              <w:rPr>
                <w:noProof/>
                <w:webHidden/>
              </w:rPr>
              <w:t>5</w:t>
            </w:r>
            <w:r w:rsidR="00C84822">
              <w:rPr>
                <w:noProof/>
                <w:webHidden/>
              </w:rPr>
              <w:fldChar w:fldCharType="end"/>
            </w:r>
          </w:hyperlink>
        </w:p>
        <w:p w14:paraId="41C75E80" w14:textId="58D9A8F2" w:rsidR="00C84822" w:rsidRDefault="00000000">
          <w:pPr>
            <w:pStyle w:val="TOC2"/>
            <w:tabs>
              <w:tab w:val="right" w:leader="dot" w:pos="9350"/>
            </w:tabs>
            <w:rPr>
              <w:rFonts w:asciiTheme="minorHAnsi" w:eastAsiaTheme="minorEastAsia" w:hAnsiTheme="minorHAnsi"/>
              <w:noProof/>
              <w:sz w:val="22"/>
            </w:rPr>
          </w:pPr>
          <w:hyperlink w:anchor="_Toc121265806" w:history="1">
            <w:r w:rsidR="00C84822" w:rsidRPr="003957E0">
              <w:rPr>
                <w:rStyle w:val="Hyperlink"/>
                <w:noProof/>
              </w:rPr>
              <w:t>1.3 Scope of the Thesis</w:t>
            </w:r>
            <w:r w:rsidR="00C84822">
              <w:rPr>
                <w:noProof/>
                <w:webHidden/>
              </w:rPr>
              <w:tab/>
            </w:r>
            <w:r w:rsidR="00C84822">
              <w:rPr>
                <w:noProof/>
                <w:webHidden/>
              </w:rPr>
              <w:fldChar w:fldCharType="begin"/>
            </w:r>
            <w:r w:rsidR="00C84822">
              <w:rPr>
                <w:noProof/>
                <w:webHidden/>
              </w:rPr>
              <w:instrText xml:space="preserve"> PAGEREF _Toc121265806 \h </w:instrText>
            </w:r>
            <w:r w:rsidR="00C84822">
              <w:rPr>
                <w:noProof/>
                <w:webHidden/>
              </w:rPr>
            </w:r>
            <w:r w:rsidR="00C84822">
              <w:rPr>
                <w:noProof/>
                <w:webHidden/>
              </w:rPr>
              <w:fldChar w:fldCharType="separate"/>
            </w:r>
            <w:r w:rsidR="00955725">
              <w:rPr>
                <w:noProof/>
                <w:webHidden/>
              </w:rPr>
              <w:t>6</w:t>
            </w:r>
            <w:r w:rsidR="00C84822">
              <w:rPr>
                <w:noProof/>
                <w:webHidden/>
              </w:rPr>
              <w:fldChar w:fldCharType="end"/>
            </w:r>
          </w:hyperlink>
        </w:p>
        <w:p w14:paraId="18812A72" w14:textId="13F3FB00" w:rsidR="00C84822" w:rsidRDefault="00000000">
          <w:pPr>
            <w:pStyle w:val="TOC2"/>
            <w:tabs>
              <w:tab w:val="right" w:leader="dot" w:pos="9350"/>
            </w:tabs>
            <w:rPr>
              <w:rFonts w:asciiTheme="minorHAnsi" w:eastAsiaTheme="minorEastAsia" w:hAnsiTheme="minorHAnsi"/>
              <w:noProof/>
              <w:sz w:val="22"/>
            </w:rPr>
          </w:pPr>
          <w:hyperlink w:anchor="_Toc121265807" w:history="1">
            <w:r w:rsidR="00C84822" w:rsidRPr="003957E0">
              <w:rPr>
                <w:rStyle w:val="Hyperlink"/>
                <w:noProof/>
              </w:rPr>
              <w:t>1.4 Working Hypothesis</w:t>
            </w:r>
            <w:r w:rsidR="00C84822">
              <w:rPr>
                <w:noProof/>
                <w:webHidden/>
              </w:rPr>
              <w:tab/>
            </w:r>
            <w:r w:rsidR="00C84822">
              <w:rPr>
                <w:noProof/>
                <w:webHidden/>
              </w:rPr>
              <w:fldChar w:fldCharType="begin"/>
            </w:r>
            <w:r w:rsidR="00C84822">
              <w:rPr>
                <w:noProof/>
                <w:webHidden/>
              </w:rPr>
              <w:instrText xml:space="preserve"> PAGEREF _Toc121265807 \h </w:instrText>
            </w:r>
            <w:r w:rsidR="00C84822">
              <w:rPr>
                <w:noProof/>
                <w:webHidden/>
              </w:rPr>
            </w:r>
            <w:r w:rsidR="00C84822">
              <w:rPr>
                <w:noProof/>
                <w:webHidden/>
              </w:rPr>
              <w:fldChar w:fldCharType="separate"/>
            </w:r>
            <w:r w:rsidR="00955725">
              <w:rPr>
                <w:noProof/>
                <w:webHidden/>
              </w:rPr>
              <w:t>6</w:t>
            </w:r>
            <w:r w:rsidR="00C84822">
              <w:rPr>
                <w:noProof/>
                <w:webHidden/>
              </w:rPr>
              <w:fldChar w:fldCharType="end"/>
            </w:r>
          </w:hyperlink>
        </w:p>
        <w:p w14:paraId="2E461801" w14:textId="645AAF64" w:rsidR="00C84822" w:rsidRDefault="00000000">
          <w:pPr>
            <w:pStyle w:val="TOC2"/>
            <w:tabs>
              <w:tab w:val="right" w:leader="dot" w:pos="9350"/>
            </w:tabs>
            <w:rPr>
              <w:rFonts w:asciiTheme="minorHAnsi" w:eastAsiaTheme="minorEastAsia" w:hAnsiTheme="minorHAnsi"/>
              <w:noProof/>
              <w:sz w:val="22"/>
            </w:rPr>
          </w:pPr>
          <w:hyperlink w:anchor="_Toc121265808" w:history="1">
            <w:r w:rsidR="00C84822" w:rsidRPr="003957E0">
              <w:rPr>
                <w:rStyle w:val="Hyperlink"/>
                <w:noProof/>
              </w:rPr>
              <w:t>1.5 Organization of the Thesis</w:t>
            </w:r>
            <w:r w:rsidR="00C84822">
              <w:rPr>
                <w:noProof/>
                <w:webHidden/>
              </w:rPr>
              <w:tab/>
            </w:r>
            <w:r w:rsidR="00C84822">
              <w:rPr>
                <w:noProof/>
                <w:webHidden/>
              </w:rPr>
              <w:fldChar w:fldCharType="begin"/>
            </w:r>
            <w:r w:rsidR="00C84822">
              <w:rPr>
                <w:noProof/>
                <w:webHidden/>
              </w:rPr>
              <w:instrText xml:space="preserve"> PAGEREF _Toc121265808 \h </w:instrText>
            </w:r>
            <w:r w:rsidR="00C84822">
              <w:rPr>
                <w:noProof/>
                <w:webHidden/>
              </w:rPr>
            </w:r>
            <w:r w:rsidR="00C84822">
              <w:rPr>
                <w:noProof/>
                <w:webHidden/>
              </w:rPr>
              <w:fldChar w:fldCharType="separate"/>
            </w:r>
            <w:r w:rsidR="00955725">
              <w:rPr>
                <w:noProof/>
                <w:webHidden/>
              </w:rPr>
              <w:t>6</w:t>
            </w:r>
            <w:r w:rsidR="00C84822">
              <w:rPr>
                <w:noProof/>
                <w:webHidden/>
              </w:rPr>
              <w:fldChar w:fldCharType="end"/>
            </w:r>
          </w:hyperlink>
        </w:p>
        <w:p w14:paraId="5213A7DE" w14:textId="68BBA15D" w:rsidR="00C84822" w:rsidRDefault="00000000">
          <w:pPr>
            <w:pStyle w:val="TOC1"/>
            <w:rPr>
              <w:rFonts w:asciiTheme="minorHAnsi" w:eastAsiaTheme="minorEastAsia" w:hAnsiTheme="minorHAnsi"/>
              <w:noProof/>
              <w:sz w:val="22"/>
            </w:rPr>
          </w:pPr>
          <w:hyperlink w:anchor="_Toc121265809" w:history="1">
            <w:r w:rsidR="00C84822" w:rsidRPr="003957E0">
              <w:rPr>
                <w:rStyle w:val="Hyperlink"/>
                <w:noProof/>
              </w:rPr>
              <w:t>CHAPTER 2: Literature Review</w:t>
            </w:r>
            <w:r w:rsidR="00C84822">
              <w:rPr>
                <w:noProof/>
                <w:webHidden/>
              </w:rPr>
              <w:tab/>
            </w:r>
            <w:r w:rsidR="00C84822">
              <w:rPr>
                <w:noProof/>
                <w:webHidden/>
              </w:rPr>
              <w:fldChar w:fldCharType="begin"/>
            </w:r>
            <w:r w:rsidR="00C84822">
              <w:rPr>
                <w:noProof/>
                <w:webHidden/>
              </w:rPr>
              <w:instrText xml:space="preserve"> PAGEREF _Toc121265809 \h </w:instrText>
            </w:r>
            <w:r w:rsidR="00C84822">
              <w:rPr>
                <w:noProof/>
                <w:webHidden/>
              </w:rPr>
            </w:r>
            <w:r w:rsidR="00C84822">
              <w:rPr>
                <w:noProof/>
                <w:webHidden/>
              </w:rPr>
              <w:fldChar w:fldCharType="separate"/>
            </w:r>
            <w:r w:rsidR="00955725">
              <w:rPr>
                <w:noProof/>
                <w:webHidden/>
              </w:rPr>
              <w:t>7</w:t>
            </w:r>
            <w:r w:rsidR="00C84822">
              <w:rPr>
                <w:noProof/>
                <w:webHidden/>
              </w:rPr>
              <w:fldChar w:fldCharType="end"/>
            </w:r>
          </w:hyperlink>
        </w:p>
        <w:p w14:paraId="571BD0C1" w14:textId="51A72E79" w:rsidR="00C84822" w:rsidRDefault="00000000">
          <w:pPr>
            <w:pStyle w:val="TOC2"/>
            <w:tabs>
              <w:tab w:val="right" w:leader="dot" w:pos="9350"/>
            </w:tabs>
            <w:rPr>
              <w:rFonts w:asciiTheme="minorHAnsi" w:eastAsiaTheme="minorEastAsia" w:hAnsiTheme="minorHAnsi"/>
              <w:noProof/>
              <w:sz w:val="22"/>
            </w:rPr>
          </w:pPr>
          <w:hyperlink w:anchor="_Toc121265810" w:history="1">
            <w:r w:rsidR="00C84822" w:rsidRPr="003957E0">
              <w:rPr>
                <w:rStyle w:val="Hyperlink"/>
                <w:noProof/>
              </w:rPr>
              <w:t>2.1 Geologic Carbon Sequestration</w:t>
            </w:r>
            <w:r w:rsidR="00C84822">
              <w:rPr>
                <w:noProof/>
                <w:webHidden/>
              </w:rPr>
              <w:tab/>
            </w:r>
            <w:r w:rsidR="00C84822">
              <w:rPr>
                <w:noProof/>
                <w:webHidden/>
              </w:rPr>
              <w:fldChar w:fldCharType="begin"/>
            </w:r>
            <w:r w:rsidR="00C84822">
              <w:rPr>
                <w:noProof/>
                <w:webHidden/>
              </w:rPr>
              <w:instrText xml:space="preserve"> PAGEREF _Toc121265810 \h </w:instrText>
            </w:r>
            <w:r w:rsidR="00C84822">
              <w:rPr>
                <w:noProof/>
                <w:webHidden/>
              </w:rPr>
            </w:r>
            <w:r w:rsidR="00C84822">
              <w:rPr>
                <w:noProof/>
                <w:webHidden/>
              </w:rPr>
              <w:fldChar w:fldCharType="separate"/>
            </w:r>
            <w:r w:rsidR="00955725">
              <w:rPr>
                <w:noProof/>
                <w:webHidden/>
              </w:rPr>
              <w:t>7</w:t>
            </w:r>
            <w:r w:rsidR="00C84822">
              <w:rPr>
                <w:noProof/>
                <w:webHidden/>
              </w:rPr>
              <w:fldChar w:fldCharType="end"/>
            </w:r>
          </w:hyperlink>
        </w:p>
        <w:p w14:paraId="61246589" w14:textId="69EA9C1D" w:rsidR="00C84822" w:rsidRDefault="00000000">
          <w:pPr>
            <w:pStyle w:val="TOC3"/>
            <w:tabs>
              <w:tab w:val="right" w:leader="dot" w:pos="9350"/>
            </w:tabs>
            <w:rPr>
              <w:rFonts w:asciiTheme="minorHAnsi" w:eastAsiaTheme="minorEastAsia" w:hAnsiTheme="minorHAnsi"/>
              <w:noProof/>
              <w:sz w:val="22"/>
            </w:rPr>
          </w:pPr>
          <w:hyperlink w:anchor="_Toc121265811" w:history="1">
            <w:r w:rsidR="00C84822" w:rsidRPr="003957E0">
              <w:rPr>
                <w:rStyle w:val="Hyperlink"/>
                <w:noProof/>
              </w:rPr>
              <w:t>2.1.1 Storage in Aquifers</w:t>
            </w:r>
            <w:r w:rsidR="00C84822">
              <w:rPr>
                <w:noProof/>
                <w:webHidden/>
              </w:rPr>
              <w:tab/>
            </w:r>
            <w:r w:rsidR="00C84822">
              <w:rPr>
                <w:noProof/>
                <w:webHidden/>
              </w:rPr>
              <w:fldChar w:fldCharType="begin"/>
            </w:r>
            <w:r w:rsidR="00C84822">
              <w:rPr>
                <w:noProof/>
                <w:webHidden/>
              </w:rPr>
              <w:instrText xml:space="preserve"> PAGEREF _Toc121265811 \h </w:instrText>
            </w:r>
            <w:r w:rsidR="00C84822">
              <w:rPr>
                <w:noProof/>
                <w:webHidden/>
              </w:rPr>
            </w:r>
            <w:r w:rsidR="00C84822">
              <w:rPr>
                <w:noProof/>
                <w:webHidden/>
              </w:rPr>
              <w:fldChar w:fldCharType="separate"/>
            </w:r>
            <w:r w:rsidR="00955725">
              <w:rPr>
                <w:noProof/>
                <w:webHidden/>
              </w:rPr>
              <w:t>8</w:t>
            </w:r>
            <w:r w:rsidR="00C84822">
              <w:rPr>
                <w:noProof/>
                <w:webHidden/>
              </w:rPr>
              <w:fldChar w:fldCharType="end"/>
            </w:r>
          </w:hyperlink>
        </w:p>
        <w:p w14:paraId="4C58286A" w14:textId="4403AE0F" w:rsidR="00C84822" w:rsidRDefault="00000000">
          <w:pPr>
            <w:pStyle w:val="TOC3"/>
            <w:tabs>
              <w:tab w:val="right" w:leader="dot" w:pos="9350"/>
            </w:tabs>
            <w:rPr>
              <w:rFonts w:asciiTheme="minorHAnsi" w:eastAsiaTheme="minorEastAsia" w:hAnsiTheme="minorHAnsi"/>
              <w:noProof/>
              <w:sz w:val="22"/>
            </w:rPr>
          </w:pPr>
          <w:hyperlink w:anchor="_Toc121265812" w:history="1">
            <w:r w:rsidR="00C84822" w:rsidRPr="003957E0">
              <w:rPr>
                <w:rStyle w:val="Hyperlink"/>
                <w:rFonts w:eastAsia="SimSun"/>
                <w:noProof/>
              </w:rPr>
              <w:t>2.1.2 Storage in Hydrocarbon Reservoirs</w:t>
            </w:r>
            <w:r w:rsidR="00C84822">
              <w:rPr>
                <w:noProof/>
                <w:webHidden/>
              </w:rPr>
              <w:tab/>
            </w:r>
            <w:r w:rsidR="00C84822">
              <w:rPr>
                <w:noProof/>
                <w:webHidden/>
              </w:rPr>
              <w:fldChar w:fldCharType="begin"/>
            </w:r>
            <w:r w:rsidR="00C84822">
              <w:rPr>
                <w:noProof/>
                <w:webHidden/>
              </w:rPr>
              <w:instrText xml:space="preserve"> PAGEREF _Toc121265812 \h </w:instrText>
            </w:r>
            <w:r w:rsidR="00C84822">
              <w:rPr>
                <w:noProof/>
                <w:webHidden/>
              </w:rPr>
            </w:r>
            <w:r w:rsidR="00C84822">
              <w:rPr>
                <w:noProof/>
                <w:webHidden/>
              </w:rPr>
              <w:fldChar w:fldCharType="separate"/>
            </w:r>
            <w:r w:rsidR="00955725">
              <w:rPr>
                <w:noProof/>
                <w:webHidden/>
              </w:rPr>
              <w:t>8</w:t>
            </w:r>
            <w:r w:rsidR="00C84822">
              <w:rPr>
                <w:noProof/>
                <w:webHidden/>
              </w:rPr>
              <w:fldChar w:fldCharType="end"/>
            </w:r>
          </w:hyperlink>
        </w:p>
        <w:p w14:paraId="6D1336B5" w14:textId="1DD7593B" w:rsidR="00C84822" w:rsidRDefault="00000000">
          <w:pPr>
            <w:pStyle w:val="TOC3"/>
            <w:tabs>
              <w:tab w:val="right" w:leader="dot" w:pos="9350"/>
            </w:tabs>
            <w:rPr>
              <w:rFonts w:asciiTheme="minorHAnsi" w:eastAsiaTheme="minorEastAsia" w:hAnsiTheme="minorHAnsi"/>
              <w:noProof/>
              <w:sz w:val="22"/>
            </w:rPr>
          </w:pPr>
          <w:hyperlink w:anchor="_Toc121265813" w:history="1">
            <w:r w:rsidR="00C84822" w:rsidRPr="003957E0">
              <w:rPr>
                <w:rStyle w:val="Hyperlink"/>
                <w:rFonts w:eastAsia="SimSun"/>
                <w:noProof/>
              </w:rPr>
              <w:t>2.1.3 Storage in Coal Bed</w:t>
            </w:r>
            <w:r w:rsidR="00C84822">
              <w:rPr>
                <w:noProof/>
                <w:webHidden/>
              </w:rPr>
              <w:tab/>
            </w:r>
            <w:r w:rsidR="00C84822">
              <w:rPr>
                <w:noProof/>
                <w:webHidden/>
              </w:rPr>
              <w:fldChar w:fldCharType="begin"/>
            </w:r>
            <w:r w:rsidR="00C84822">
              <w:rPr>
                <w:noProof/>
                <w:webHidden/>
              </w:rPr>
              <w:instrText xml:space="preserve"> PAGEREF _Toc121265813 \h </w:instrText>
            </w:r>
            <w:r w:rsidR="00C84822">
              <w:rPr>
                <w:noProof/>
                <w:webHidden/>
              </w:rPr>
            </w:r>
            <w:r w:rsidR="00C84822">
              <w:rPr>
                <w:noProof/>
                <w:webHidden/>
              </w:rPr>
              <w:fldChar w:fldCharType="separate"/>
            </w:r>
            <w:r w:rsidR="00955725">
              <w:rPr>
                <w:noProof/>
                <w:webHidden/>
              </w:rPr>
              <w:t>9</w:t>
            </w:r>
            <w:r w:rsidR="00C84822">
              <w:rPr>
                <w:noProof/>
                <w:webHidden/>
              </w:rPr>
              <w:fldChar w:fldCharType="end"/>
            </w:r>
          </w:hyperlink>
        </w:p>
        <w:p w14:paraId="1526B38B" w14:textId="76993BB1" w:rsidR="00C84822" w:rsidRDefault="00000000">
          <w:pPr>
            <w:pStyle w:val="TOC3"/>
            <w:tabs>
              <w:tab w:val="right" w:leader="dot" w:pos="9350"/>
            </w:tabs>
            <w:rPr>
              <w:rFonts w:asciiTheme="minorHAnsi" w:eastAsiaTheme="minorEastAsia" w:hAnsiTheme="minorHAnsi"/>
              <w:noProof/>
              <w:sz w:val="22"/>
            </w:rPr>
          </w:pPr>
          <w:hyperlink w:anchor="_Toc121265814" w:history="1">
            <w:r w:rsidR="00C84822" w:rsidRPr="003957E0">
              <w:rPr>
                <w:rStyle w:val="Hyperlink"/>
                <w:rFonts w:eastAsia="SimSun"/>
                <w:noProof/>
              </w:rPr>
              <w:t>2.1.4 Storage in Shales</w:t>
            </w:r>
            <w:r w:rsidR="00C84822">
              <w:rPr>
                <w:noProof/>
                <w:webHidden/>
              </w:rPr>
              <w:tab/>
            </w:r>
            <w:r w:rsidR="00C84822">
              <w:rPr>
                <w:noProof/>
                <w:webHidden/>
              </w:rPr>
              <w:fldChar w:fldCharType="begin"/>
            </w:r>
            <w:r w:rsidR="00C84822">
              <w:rPr>
                <w:noProof/>
                <w:webHidden/>
              </w:rPr>
              <w:instrText xml:space="preserve"> PAGEREF _Toc121265814 \h </w:instrText>
            </w:r>
            <w:r w:rsidR="00C84822">
              <w:rPr>
                <w:noProof/>
                <w:webHidden/>
              </w:rPr>
            </w:r>
            <w:r w:rsidR="00C84822">
              <w:rPr>
                <w:noProof/>
                <w:webHidden/>
              </w:rPr>
              <w:fldChar w:fldCharType="separate"/>
            </w:r>
            <w:r w:rsidR="00955725">
              <w:rPr>
                <w:noProof/>
                <w:webHidden/>
              </w:rPr>
              <w:t>9</w:t>
            </w:r>
            <w:r w:rsidR="00C84822">
              <w:rPr>
                <w:noProof/>
                <w:webHidden/>
              </w:rPr>
              <w:fldChar w:fldCharType="end"/>
            </w:r>
          </w:hyperlink>
        </w:p>
        <w:p w14:paraId="08C2A3A8" w14:textId="1A2168E8" w:rsidR="00C84822" w:rsidRDefault="00000000">
          <w:pPr>
            <w:pStyle w:val="TOC2"/>
            <w:tabs>
              <w:tab w:val="right" w:leader="dot" w:pos="9350"/>
            </w:tabs>
            <w:rPr>
              <w:rFonts w:asciiTheme="minorHAnsi" w:eastAsiaTheme="minorEastAsia" w:hAnsiTheme="minorHAnsi"/>
              <w:noProof/>
              <w:sz w:val="22"/>
            </w:rPr>
          </w:pPr>
          <w:hyperlink w:anchor="_Toc121265815" w:history="1">
            <w:r w:rsidR="00C84822" w:rsidRPr="003957E0">
              <w:rPr>
                <w:rStyle w:val="Hyperlink"/>
                <w:rFonts w:eastAsia="SimSun"/>
                <w:noProof/>
              </w:rPr>
              <w:t>2.2 Geomechanical Risk</w:t>
            </w:r>
            <w:r w:rsidR="00C84822">
              <w:rPr>
                <w:noProof/>
                <w:webHidden/>
              </w:rPr>
              <w:tab/>
            </w:r>
            <w:r w:rsidR="00C84822">
              <w:rPr>
                <w:noProof/>
                <w:webHidden/>
              </w:rPr>
              <w:fldChar w:fldCharType="begin"/>
            </w:r>
            <w:r w:rsidR="00C84822">
              <w:rPr>
                <w:noProof/>
                <w:webHidden/>
              </w:rPr>
              <w:instrText xml:space="preserve"> PAGEREF _Toc121265815 \h </w:instrText>
            </w:r>
            <w:r w:rsidR="00C84822">
              <w:rPr>
                <w:noProof/>
                <w:webHidden/>
              </w:rPr>
            </w:r>
            <w:r w:rsidR="00C84822">
              <w:rPr>
                <w:noProof/>
                <w:webHidden/>
              </w:rPr>
              <w:fldChar w:fldCharType="separate"/>
            </w:r>
            <w:r w:rsidR="00955725">
              <w:rPr>
                <w:noProof/>
                <w:webHidden/>
              </w:rPr>
              <w:t>10</w:t>
            </w:r>
            <w:r w:rsidR="00C84822">
              <w:rPr>
                <w:noProof/>
                <w:webHidden/>
              </w:rPr>
              <w:fldChar w:fldCharType="end"/>
            </w:r>
          </w:hyperlink>
        </w:p>
        <w:p w14:paraId="2E0D1470" w14:textId="4E7EF6DA" w:rsidR="00C84822" w:rsidRDefault="00000000">
          <w:pPr>
            <w:pStyle w:val="TOC2"/>
            <w:tabs>
              <w:tab w:val="right" w:leader="dot" w:pos="9350"/>
            </w:tabs>
            <w:rPr>
              <w:rFonts w:asciiTheme="minorHAnsi" w:eastAsiaTheme="minorEastAsia" w:hAnsiTheme="minorHAnsi"/>
              <w:noProof/>
              <w:sz w:val="22"/>
            </w:rPr>
          </w:pPr>
          <w:hyperlink w:anchor="_Toc121265816" w:history="1">
            <w:r w:rsidR="00C84822" w:rsidRPr="003957E0">
              <w:rPr>
                <w:rStyle w:val="Hyperlink"/>
                <w:rFonts w:eastAsia="SimSun"/>
                <w:noProof/>
              </w:rPr>
              <w:t>2.3 Methods for Determining Geomechanical Risk</w:t>
            </w:r>
            <w:r w:rsidR="00C84822">
              <w:rPr>
                <w:noProof/>
                <w:webHidden/>
              </w:rPr>
              <w:tab/>
            </w:r>
            <w:r w:rsidR="00C84822">
              <w:rPr>
                <w:noProof/>
                <w:webHidden/>
              </w:rPr>
              <w:fldChar w:fldCharType="begin"/>
            </w:r>
            <w:r w:rsidR="00C84822">
              <w:rPr>
                <w:noProof/>
                <w:webHidden/>
              </w:rPr>
              <w:instrText xml:space="preserve"> PAGEREF _Toc121265816 \h </w:instrText>
            </w:r>
            <w:r w:rsidR="00C84822">
              <w:rPr>
                <w:noProof/>
                <w:webHidden/>
              </w:rPr>
            </w:r>
            <w:r w:rsidR="00C84822">
              <w:rPr>
                <w:noProof/>
                <w:webHidden/>
              </w:rPr>
              <w:fldChar w:fldCharType="separate"/>
            </w:r>
            <w:r w:rsidR="00955725">
              <w:rPr>
                <w:noProof/>
                <w:webHidden/>
              </w:rPr>
              <w:t>12</w:t>
            </w:r>
            <w:r w:rsidR="00C84822">
              <w:rPr>
                <w:noProof/>
                <w:webHidden/>
              </w:rPr>
              <w:fldChar w:fldCharType="end"/>
            </w:r>
          </w:hyperlink>
        </w:p>
        <w:p w14:paraId="46D5CD33" w14:textId="263D83F1" w:rsidR="00C84822" w:rsidRDefault="00000000">
          <w:pPr>
            <w:pStyle w:val="TOC1"/>
            <w:rPr>
              <w:rFonts w:asciiTheme="minorHAnsi" w:eastAsiaTheme="minorEastAsia" w:hAnsiTheme="minorHAnsi"/>
              <w:noProof/>
              <w:sz w:val="22"/>
            </w:rPr>
          </w:pPr>
          <w:hyperlink w:anchor="_Toc121265817" w:history="1">
            <w:r w:rsidR="00C84822" w:rsidRPr="003957E0">
              <w:rPr>
                <w:rStyle w:val="Hyperlink"/>
                <w:noProof/>
              </w:rPr>
              <w:t>CHAPTER 3: Methodology</w:t>
            </w:r>
            <w:r w:rsidR="00C84822">
              <w:rPr>
                <w:noProof/>
                <w:webHidden/>
              </w:rPr>
              <w:tab/>
            </w:r>
            <w:r w:rsidR="00C84822">
              <w:rPr>
                <w:noProof/>
                <w:webHidden/>
              </w:rPr>
              <w:fldChar w:fldCharType="begin"/>
            </w:r>
            <w:r w:rsidR="00C84822">
              <w:rPr>
                <w:noProof/>
                <w:webHidden/>
              </w:rPr>
              <w:instrText xml:space="preserve"> PAGEREF _Toc121265817 \h </w:instrText>
            </w:r>
            <w:r w:rsidR="00C84822">
              <w:rPr>
                <w:noProof/>
                <w:webHidden/>
              </w:rPr>
            </w:r>
            <w:r w:rsidR="00C84822">
              <w:rPr>
                <w:noProof/>
                <w:webHidden/>
              </w:rPr>
              <w:fldChar w:fldCharType="separate"/>
            </w:r>
            <w:r w:rsidR="00955725">
              <w:rPr>
                <w:noProof/>
                <w:webHidden/>
              </w:rPr>
              <w:t>16</w:t>
            </w:r>
            <w:r w:rsidR="00C84822">
              <w:rPr>
                <w:noProof/>
                <w:webHidden/>
              </w:rPr>
              <w:fldChar w:fldCharType="end"/>
            </w:r>
          </w:hyperlink>
        </w:p>
        <w:p w14:paraId="132E066E" w14:textId="683A218F" w:rsidR="00C84822" w:rsidRDefault="00000000">
          <w:pPr>
            <w:pStyle w:val="TOC2"/>
            <w:tabs>
              <w:tab w:val="right" w:leader="dot" w:pos="9350"/>
            </w:tabs>
            <w:rPr>
              <w:rFonts w:asciiTheme="minorHAnsi" w:eastAsiaTheme="minorEastAsia" w:hAnsiTheme="minorHAnsi"/>
              <w:noProof/>
              <w:sz w:val="22"/>
            </w:rPr>
          </w:pPr>
          <w:hyperlink w:anchor="_Toc121265818" w:history="1">
            <w:r w:rsidR="00C84822" w:rsidRPr="003957E0">
              <w:rPr>
                <w:rStyle w:val="Hyperlink"/>
                <w:noProof/>
              </w:rPr>
              <w:t>3.1 State of Stress Analysis</w:t>
            </w:r>
            <w:r w:rsidR="00C84822">
              <w:rPr>
                <w:noProof/>
                <w:webHidden/>
              </w:rPr>
              <w:tab/>
            </w:r>
            <w:r w:rsidR="00C84822">
              <w:rPr>
                <w:noProof/>
                <w:webHidden/>
              </w:rPr>
              <w:fldChar w:fldCharType="begin"/>
            </w:r>
            <w:r w:rsidR="00C84822">
              <w:rPr>
                <w:noProof/>
                <w:webHidden/>
              </w:rPr>
              <w:instrText xml:space="preserve"> PAGEREF _Toc121265818 \h </w:instrText>
            </w:r>
            <w:r w:rsidR="00C84822">
              <w:rPr>
                <w:noProof/>
                <w:webHidden/>
              </w:rPr>
            </w:r>
            <w:r w:rsidR="00C84822">
              <w:rPr>
                <w:noProof/>
                <w:webHidden/>
              </w:rPr>
              <w:fldChar w:fldCharType="separate"/>
            </w:r>
            <w:r w:rsidR="00955725">
              <w:rPr>
                <w:noProof/>
                <w:webHidden/>
              </w:rPr>
              <w:t>16</w:t>
            </w:r>
            <w:r w:rsidR="00C84822">
              <w:rPr>
                <w:noProof/>
                <w:webHidden/>
              </w:rPr>
              <w:fldChar w:fldCharType="end"/>
            </w:r>
          </w:hyperlink>
        </w:p>
        <w:p w14:paraId="67B968D3" w14:textId="6CDC0309" w:rsidR="00C84822" w:rsidRDefault="00000000">
          <w:pPr>
            <w:pStyle w:val="TOC2"/>
            <w:tabs>
              <w:tab w:val="right" w:leader="dot" w:pos="9350"/>
            </w:tabs>
            <w:rPr>
              <w:rFonts w:asciiTheme="minorHAnsi" w:eastAsiaTheme="minorEastAsia" w:hAnsiTheme="minorHAnsi"/>
              <w:noProof/>
              <w:sz w:val="22"/>
            </w:rPr>
          </w:pPr>
          <w:hyperlink w:anchor="_Toc121265819" w:history="1">
            <w:r w:rsidR="00C84822" w:rsidRPr="003957E0">
              <w:rPr>
                <w:rStyle w:val="Hyperlink"/>
                <w:noProof/>
              </w:rPr>
              <w:t>3.2 Model Formulation</w:t>
            </w:r>
            <w:r w:rsidR="00C84822">
              <w:rPr>
                <w:noProof/>
                <w:webHidden/>
              </w:rPr>
              <w:tab/>
            </w:r>
            <w:r w:rsidR="00C84822">
              <w:rPr>
                <w:noProof/>
                <w:webHidden/>
              </w:rPr>
              <w:fldChar w:fldCharType="begin"/>
            </w:r>
            <w:r w:rsidR="00C84822">
              <w:rPr>
                <w:noProof/>
                <w:webHidden/>
              </w:rPr>
              <w:instrText xml:space="preserve"> PAGEREF _Toc121265819 \h </w:instrText>
            </w:r>
            <w:r w:rsidR="00C84822">
              <w:rPr>
                <w:noProof/>
                <w:webHidden/>
              </w:rPr>
            </w:r>
            <w:r w:rsidR="00C84822">
              <w:rPr>
                <w:noProof/>
                <w:webHidden/>
              </w:rPr>
              <w:fldChar w:fldCharType="separate"/>
            </w:r>
            <w:r w:rsidR="00955725">
              <w:rPr>
                <w:noProof/>
                <w:webHidden/>
              </w:rPr>
              <w:t>18</w:t>
            </w:r>
            <w:r w:rsidR="00C84822">
              <w:rPr>
                <w:noProof/>
                <w:webHidden/>
              </w:rPr>
              <w:fldChar w:fldCharType="end"/>
            </w:r>
          </w:hyperlink>
        </w:p>
        <w:p w14:paraId="4EF74FB4" w14:textId="30A3D031" w:rsidR="00C84822" w:rsidRDefault="00000000">
          <w:pPr>
            <w:pStyle w:val="TOC2"/>
            <w:tabs>
              <w:tab w:val="right" w:leader="dot" w:pos="9350"/>
            </w:tabs>
            <w:rPr>
              <w:rFonts w:asciiTheme="minorHAnsi" w:eastAsiaTheme="minorEastAsia" w:hAnsiTheme="minorHAnsi"/>
              <w:noProof/>
              <w:sz w:val="22"/>
            </w:rPr>
          </w:pPr>
          <w:hyperlink w:anchor="_Toc121265820" w:history="1">
            <w:r w:rsidR="00C84822" w:rsidRPr="003957E0">
              <w:rPr>
                <w:rStyle w:val="Hyperlink"/>
                <w:noProof/>
              </w:rPr>
              <w:t>3.3 Bayesian Model</w:t>
            </w:r>
            <w:r w:rsidR="00C84822">
              <w:rPr>
                <w:noProof/>
                <w:webHidden/>
              </w:rPr>
              <w:tab/>
            </w:r>
            <w:r w:rsidR="00C84822">
              <w:rPr>
                <w:noProof/>
                <w:webHidden/>
              </w:rPr>
              <w:fldChar w:fldCharType="begin"/>
            </w:r>
            <w:r w:rsidR="00C84822">
              <w:rPr>
                <w:noProof/>
                <w:webHidden/>
              </w:rPr>
              <w:instrText xml:space="preserve"> PAGEREF _Toc121265820 \h </w:instrText>
            </w:r>
            <w:r w:rsidR="00C84822">
              <w:rPr>
                <w:noProof/>
                <w:webHidden/>
              </w:rPr>
            </w:r>
            <w:r w:rsidR="00C84822">
              <w:rPr>
                <w:noProof/>
                <w:webHidden/>
              </w:rPr>
              <w:fldChar w:fldCharType="separate"/>
            </w:r>
            <w:r w:rsidR="00955725">
              <w:rPr>
                <w:noProof/>
                <w:webHidden/>
              </w:rPr>
              <w:t>22</w:t>
            </w:r>
            <w:r w:rsidR="00C84822">
              <w:rPr>
                <w:noProof/>
                <w:webHidden/>
              </w:rPr>
              <w:fldChar w:fldCharType="end"/>
            </w:r>
          </w:hyperlink>
        </w:p>
        <w:p w14:paraId="00B97932" w14:textId="42A49A1A" w:rsidR="00C84822" w:rsidRDefault="00000000">
          <w:pPr>
            <w:pStyle w:val="TOC3"/>
            <w:tabs>
              <w:tab w:val="right" w:leader="dot" w:pos="9350"/>
            </w:tabs>
            <w:rPr>
              <w:rFonts w:asciiTheme="minorHAnsi" w:eastAsiaTheme="minorEastAsia" w:hAnsiTheme="minorHAnsi"/>
              <w:noProof/>
              <w:sz w:val="22"/>
            </w:rPr>
          </w:pPr>
          <w:hyperlink w:anchor="_Toc121265821" w:history="1">
            <w:r w:rsidR="00C84822" w:rsidRPr="003957E0">
              <w:rPr>
                <w:rStyle w:val="Hyperlink"/>
                <w:noProof/>
              </w:rPr>
              <w:t>3.3.1 Applications of Bayesian Model</w:t>
            </w:r>
            <w:r w:rsidR="00C84822">
              <w:rPr>
                <w:noProof/>
                <w:webHidden/>
              </w:rPr>
              <w:tab/>
            </w:r>
            <w:r w:rsidR="00C84822">
              <w:rPr>
                <w:noProof/>
                <w:webHidden/>
              </w:rPr>
              <w:fldChar w:fldCharType="begin"/>
            </w:r>
            <w:r w:rsidR="00C84822">
              <w:rPr>
                <w:noProof/>
                <w:webHidden/>
              </w:rPr>
              <w:instrText xml:space="preserve"> PAGEREF _Toc121265821 \h </w:instrText>
            </w:r>
            <w:r w:rsidR="00C84822">
              <w:rPr>
                <w:noProof/>
                <w:webHidden/>
              </w:rPr>
            </w:r>
            <w:r w:rsidR="00C84822">
              <w:rPr>
                <w:noProof/>
                <w:webHidden/>
              </w:rPr>
              <w:fldChar w:fldCharType="separate"/>
            </w:r>
            <w:r w:rsidR="00955725">
              <w:rPr>
                <w:noProof/>
                <w:webHidden/>
              </w:rPr>
              <w:t>23</w:t>
            </w:r>
            <w:r w:rsidR="00C84822">
              <w:rPr>
                <w:noProof/>
                <w:webHidden/>
              </w:rPr>
              <w:fldChar w:fldCharType="end"/>
            </w:r>
          </w:hyperlink>
        </w:p>
        <w:p w14:paraId="666B2D9B" w14:textId="2CBAE094" w:rsidR="00C84822" w:rsidRDefault="00000000">
          <w:pPr>
            <w:pStyle w:val="TOC3"/>
            <w:tabs>
              <w:tab w:val="left" w:pos="1320"/>
              <w:tab w:val="right" w:leader="dot" w:pos="9350"/>
            </w:tabs>
            <w:rPr>
              <w:rFonts w:asciiTheme="minorHAnsi" w:eastAsiaTheme="minorEastAsia" w:hAnsiTheme="minorHAnsi"/>
              <w:noProof/>
              <w:sz w:val="22"/>
            </w:rPr>
          </w:pPr>
          <w:hyperlink w:anchor="_Toc121265822" w:history="1">
            <w:r w:rsidR="00C84822" w:rsidRPr="003957E0">
              <w:rPr>
                <w:rStyle w:val="Hyperlink"/>
                <w:noProof/>
              </w:rPr>
              <w:t>3.3.2</w:t>
            </w:r>
            <w:r w:rsidR="00C84822">
              <w:rPr>
                <w:rFonts w:asciiTheme="minorHAnsi" w:eastAsiaTheme="minorEastAsia" w:hAnsiTheme="minorHAnsi"/>
                <w:noProof/>
                <w:sz w:val="22"/>
              </w:rPr>
              <w:tab/>
            </w:r>
            <w:r w:rsidR="00C84822" w:rsidRPr="003957E0">
              <w:rPr>
                <w:rStyle w:val="Hyperlink"/>
                <w:noProof/>
              </w:rPr>
              <w:t>Bayesian Model in Stress Determination</w:t>
            </w:r>
            <w:r w:rsidR="00C84822">
              <w:rPr>
                <w:noProof/>
                <w:webHidden/>
              </w:rPr>
              <w:tab/>
            </w:r>
            <w:r w:rsidR="00C84822">
              <w:rPr>
                <w:noProof/>
                <w:webHidden/>
              </w:rPr>
              <w:fldChar w:fldCharType="begin"/>
            </w:r>
            <w:r w:rsidR="00C84822">
              <w:rPr>
                <w:noProof/>
                <w:webHidden/>
              </w:rPr>
              <w:instrText xml:space="preserve"> PAGEREF _Toc121265822 \h </w:instrText>
            </w:r>
            <w:r w:rsidR="00C84822">
              <w:rPr>
                <w:noProof/>
                <w:webHidden/>
              </w:rPr>
            </w:r>
            <w:r w:rsidR="00C84822">
              <w:rPr>
                <w:noProof/>
                <w:webHidden/>
              </w:rPr>
              <w:fldChar w:fldCharType="separate"/>
            </w:r>
            <w:r w:rsidR="00955725">
              <w:rPr>
                <w:noProof/>
                <w:webHidden/>
              </w:rPr>
              <w:t>24</w:t>
            </w:r>
            <w:r w:rsidR="00C84822">
              <w:rPr>
                <w:noProof/>
                <w:webHidden/>
              </w:rPr>
              <w:fldChar w:fldCharType="end"/>
            </w:r>
          </w:hyperlink>
        </w:p>
        <w:p w14:paraId="38C18739" w14:textId="5F2420F0" w:rsidR="00C84822" w:rsidRDefault="00000000">
          <w:pPr>
            <w:pStyle w:val="TOC2"/>
            <w:tabs>
              <w:tab w:val="right" w:leader="dot" w:pos="9350"/>
            </w:tabs>
            <w:rPr>
              <w:rFonts w:asciiTheme="minorHAnsi" w:eastAsiaTheme="minorEastAsia" w:hAnsiTheme="minorHAnsi"/>
              <w:noProof/>
              <w:sz w:val="22"/>
            </w:rPr>
          </w:pPr>
          <w:hyperlink w:anchor="_Toc121265823" w:history="1">
            <w:r w:rsidR="00C84822" w:rsidRPr="003957E0">
              <w:rPr>
                <w:rStyle w:val="Hyperlink"/>
                <w:noProof/>
              </w:rPr>
              <w:t>3.4 Data Requirements</w:t>
            </w:r>
            <w:r w:rsidR="00C84822">
              <w:rPr>
                <w:noProof/>
                <w:webHidden/>
              </w:rPr>
              <w:tab/>
            </w:r>
            <w:r w:rsidR="00C84822">
              <w:rPr>
                <w:noProof/>
                <w:webHidden/>
              </w:rPr>
              <w:fldChar w:fldCharType="begin"/>
            </w:r>
            <w:r w:rsidR="00C84822">
              <w:rPr>
                <w:noProof/>
                <w:webHidden/>
              </w:rPr>
              <w:instrText xml:space="preserve"> PAGEREF _Toc121265823 \h </w:instrText>
            </w:r>
            <w:r w:rsidR="00C84822">
              <w:rPr>
                <w:noProof/>
                <w:webHidden/>
              </w:rPr>
            </w:r>
            <w:r w:rsidR="00C84822">
              <w:rPr>
                <w:noProof/>
                <w:webHidden/>
              </w:rPr>
              <w:fldChar w:fldCharType="separate"/>
            </w:r>
            <w:r w:rsidR="00955725">
              <w:rPr>
                <w:noProof/>
                <w:webHidden/>
              </w:rPr>
              <w:t>26</w:t>
            </w:r>
            <w:r w:rsidR="00C84822">
              <w:rPr>
                <w:noProof/>
                <w:webHidden/>
              </w:rPr>
              <w:fldChar w:fldCharType="end"/>
            </w:r>
          </w:hyperlink>
        </w:p>
        <w:p w14:paraId="736D7AEF" w14:textId="7B4B3A03" w:rsidR="00C84822" w:rsidRDefault="00000000">
          <w:pPr>
            <w:pStyle w:val="TOC3"/>
            <w:tabs>
              <w:tab w:val="right" w:leader="dot" w:pos="9350"/>
            </w:tabs>
            <w:rPr>
              <w:rFonts w:asciiTheme="minorHAnsi" w:eastAsiaTheme="minorEastAsia" w:hAnsiTheme="minorHAnsi"/>
              <w:noProof/>
              <w:sz w:val="22"/>
            </w:rPr>
          </w:pPr>
          <w:hyperlink w:anchor="_Toc121265824" w:history="1">
            <w:r w:rsidR="00C84822" w:rsidRPr="003957E0">
              <w:rPr>
                <w:rStyle w:val="Hyperlink"/>
                <w:noProof/>
              </w:rPr>
              <w:t>3.4.1 Reservoir properties</w:t>
            </w:r>
            <w:r w:rsidR="00C84822">
              <w:rPr>
                <w:noProof/>
                <w:webHidden/>
              </w:rPr>
              <w:tab/>
            </w:r>
            <w:r w:rsidR="00C84822">
              <w:rPr>
                <w:noProof/>
                <w:webHidden/>
              </w:rPr>
              <w:fldChar w:fldCharType="begin"/>
            </w:r>
            <w:r w:rsidR="00C84822">
              <w:rPr>
                <w:noProof/>
                <w:webHidden/>
              </w:rPr>
              <w:instrText xml:space="preserve"> PAGEREF _Toc121265824 \h </w:instrText>
            </w:r>
            <w:r w:rsidR="00C84822">
              <w:rPr>
                <w:noProof/>
                <w:webHidden/>
              </w:rPr>
            </w:r>
            <w:r w:rsidR="00C84822">
              <w:rPr>
                <w:noProof/>
                <w:webHidden/>
              </w:rPr>
              <w:fldChar w:fldCharType="separate"/>
            </w:r>
            <w:r w:rsidR="00955725">
              <w:rPr>
                <w:noProof/>
                <w:webHidden/>
              </w:rPr>
              <w:t>26</w:t>
            </w:r>
            <w:r w:rsidR="00C84822">
              <w:rPr>
                <w:noProof/>
                <w:webHidden/>
              </w:rPr>
              <w:fldChar w:fldCharType="end"/>
            </w:r>
          </w:hyperlink>
        </w:p>
        <w:p w14:paraId="4A120BE0" w14:textId="0A3793DC" w:rsidR="00C84822" w:rsidRDefault="00000000">
          <w:pPr>
            <w:pStyle w:val="TOC3"/>
            <w:tabs>
              <w:tab w:val="right" w:leader="dot" w:pos="9350"/>
            </w:tabs>
            <w:rPr>
              <w:rFonts w:asciiTheme="minorHAnsi" w:eastAsiaTheme="minorEastAsia" w:hAnsiTheme="minorHAnsi"/>
              <w:noProof/>
              <w:sz w:val="22"/>
            </w:rPr>
          </w:pPr>
          <w:hyperlink w:anchor="_Toc121265825" w:history="1">
            <w:r w:rsidR="00C84822" w:rsidRPr="003957E0">
              <w:rPr>
                <w:rStyle w:val="Hyperlink"/>
                <w:noProof/>
              </w:rPr>
              <w:t>3.4.2 Regional Stress Info Parameters</w:t>
            </w:r>
            <w:r w:rsidR="00C84822">
              <w:rPr>
                <w:noProof/>
                <w:webHidden/>
              </w:rPr>
              <w:tab/>
            </w:r>
            <w:r w:rsidR="00C84822">
              <w:rPr>
                <w:noProof/>
                <w:webHidden/>
              </w:rPr>
              <w:fldChar w:fldCharType="begin"/>
            </w:r>
            <w:r w:rsidR="00C84822">
              <w:rPr>
                <w:noProof/>
                <w:webHidden/>
              </w:rPr>
              <w:instrText xml:space="preserve"> PAGEREF _Toc121265825 \h </w:instrText>
            </w:r>
            <w:r w:rsidR="00C84822">
              <w:rPr>
                <w:noProof/>
                <w:webHidden/>
              </w:rPr>
            </w:r>
            <w:r w:rsidR="00C84822">
              <w:rPr>
                <w:noProof/>
                <w:webHidden/>
              </w:rPr>
              <w:fldChar w:fldCharType="separate"/>
            </w:r>
            <w:r w:rsidR="00955725">
              <w:rPr>
                <w:noProof/>
                <w:webHidden/>
              </w:rPr>
              <w:t>27</w:t>
            </w:r>
            <w:r w:rsidR="00C84822">
              <w:rPr>
                <w:noProof/>
                <w:webHidden/>
              </w:rPr>
              <w:fldChar w:fldCharType="end"/>
            </w:r>
          </w:hyperlink>
        </w:p>
        <w:p w14:paraId="315E5D54" w14:textId="7B0552D2" w:rsidR="00C84822" w:rsidRDefault="00000000">
          <w:pPr>
            <w:pStyle w:val="TOC3"/>
            <w:tabs>
              <w:tab w:val="right" w:leader="dot" w:pos="9350"/>
            </w:tabs>
            <w:rPr>
              <w:rFonts w:asciiTheme="minorHAnsi" w:eastAsiaTheme="minorEastAsia" w:hAnsiTheme="minorHAnsi"/>
              <w:noProof/>
              <w:sz w:val="22"/>
            </w:rPr>
          </w:pPr>
          <w:hyperlink w:anchor="_Toc121265826" w:history="1">
            <w:r w:rsidR="00C84822" w:rsidRPr="003957E0">
              <w:rPr>
                <w:rStyle w:val="Hyperlink"/>
                <w:noProof/>
              </w:rPr>
              <w:t>3.4.3 Stress Measurement Parameters</w:t>
            </w:r>
            <w:r w:rsidR="00C84822">
              <w:rPr>
                <w:noProof/>
                <w:webHidden/>
              </w:rPr>
              <w:tab/>
            </w:r>
            <w:r w:rsidR="00C84822">
              <w:rPr>
                <w:noProof/>
                <w:webHidden/>
              </w:rPr>
              <w:fldChar w:fldCharType="begin"/>
            </w:r>
            <w:r w:rsidR="00C84822">
              <w:rPr>
                <w:noProof/>
                <w:webHidden/>
              </w:rPr>
              <w:instrText xml:space="preserve"> PAGEREF _Toc121265826 \h </w:instrText>
            </w:r>
            <w:r w:rsidR="00C84822">
              <w:rPr>
                <w:noProof/>
                <w:webHidden/>
              </w:rPr>
            </w:r>
            <w:r w:rsidR="00C84822">
              <w:rPr>
                <w:noProof/>
                <w:webHidden/>
              </w:rPr>
              <w:fldChar w:fldCharType="separate"/>
            </w:r>
            <w:r w:rsidR="00955725">
              <w:rPr>
                <w:noProof/>
                <w:webHidden/>
              </w:rPr>
              <w:t>28</w:t>
            </w:r>
            <w:r w:rsidR="00C84822">
              <w:rPr>
                <w:noProof/>
                <w:webHidden/>
              </w:rPr>
              <w:fldChar w:fldCharType="end"/>
            </w:r>
          </w:hyperlink>
        </w:p>
        <w:p w14:paraId="0C2F27E6" w14:textId="4511217E" w:rsidR="00C84822" w:rsidRDefault="00000000">
          <w:pPr>
            <w:pStyle w:val="TOC2"/>
            <w:tabs>
              <w:tab w:val="right" w:leader="dot" w:pos="9350"/>
            </w:tabs>
            <w:rPr>
              <w:rFonts w:asciiTheme="minorHAnsi" w:eastAsiaTheme="minorEastAsia" w:hAnsiTheme="minorHAnsi"/>
              <w:noProof/>
              <w:sz w:val="22"/>
            </w:rPr>
          </w:pPr>
          <w:hyperlink w:anchor="_Toc121265827" w:history="1">
            <w:r w:rsidR="00C84822" w:rsidRPr="003957E0">
              <w:rPr>
                <w:rStyle w:val="Hyperlink"/>
                <w:noProof/>
              </w:rPr>
              <w:t>3.5 Introduction to Area of Study</w:t>
            </w:r>
            <w:r w:rsidR="00C84822">
              <w:rPr>
                <w:noProof/>
                <w:webHidden/>
              </w:rPr>
              <w:tab/>
            </w:r>
            <w:r w:rsidR="00C84822">
              <w:rPr>
                <w:noProof/>
                <w:webHidden/>
              </w:rPr>
              <w:fldChar w:fldCharType="begin"/>
            </w:r>
            <w:r w:rsidR="00C84822">
              <w:rPr>
                <w:noProof/>
                <w:webHidden/>
              </w:rPr>
              <w:instrText xml:space="preserve"> PAGEREF _Toc121265827 \h </w:instrText>
            </w:r>
            <w:r w:rsidR="00C84822">
              <w:rPr>
                <w:noProof/>
                <w:webHidden/>
              </w:rPr>
            </w:r>
            <w:r w:rsidR="00C84822">
              <w:rPr>
                <w:noProof/>
                <w:webHidden/>
              </w:rPr>
              <w:fldChar w:fldCharType="separate"/>
            </w:r>
            <w:r w:rsidR="00955725">
              <w:rPr>
                <w:noProof/>
                <w:webHidden/>
              </w:rPr>
              <w:t>28</w:t>
            </w:r>
            <w:r w:rsidR="00C84822">
              <w:rPr>
                <w:noProof/>
                <w:webHidden/>
              </w:rPr>
              <w:fldChar w:fldCharType="end"/>
            </w:r>
          </w:hyperlink>
        </w:p>
        <w:p w14:paraId="081A67DE" w14:textId="282968A2" w:rsidR="00C84822" w:rsidRDefault="00000000">
          <w:pPr>
            <w:pStyle w:val="TOC2"/>
            <w:tabs>
              <w:tab w:val="right" w:leader="dot" w:pos="9350"/>
            </w:tabs>
            <w:rPr>
              <w:rFonts w:asciiTheme="minorHAnsi" w:eastAsiaTheme="minorEastAsia" w:hAnsiTheme="minorHAnsi"/>
              <w:noProof/>
              <w:sz w:val="22"/>
            </w:rPr>
          </w:pPr>
          <w:hyperlink w:anchor="_Toc121265828" w:history="1">
            <w:r w:rsidR="00C84822" w:rsidRPr="003957E0">
              <w:rPr>
                <w:rStyle w:val="Hyperlink"/>
                <w:noProof/>
              </w:rPr>
              <w:t>3.6 Seismicity in Area of Study</w:t>
            </w:r>
            <w:r w:rsidR="00C84822">
              <w:rPr>
                <w:noProof/>
                <w:webHidden/>
              </w:rPr>
              <w:tab/>
            </w:r>
            <w:r w:rsidR="00C84822">
              <w:rPr>
                <w:noProof/>
                <w:webHidden/>
              </w:rPr>
              <w:fldChar w:fldCharType="begin"/>
            </w:r>
            <w:r w:rsidR="00C84822">
              <w:rPr>
                <w:noProof/>
                <w:webHidden/>
              </w:rPr>
              <w:instrText xml:space="preserve"> PAGEREF _Toc121265828 \h </w:instrText>
            </w:r>
            <w:r w:rsidR="00C84822">
              <w:rPr>
                <w:noProof/>
                <w:webHidden/>
              </w:rPr>
            </w:r>
            <w:r w:rsidR="00C84822">
              <w:rPr>
                <w:noProof/>
                <w:webHidden/>
              </w:rPr>
              <w:fldChar w:fldCharType="separate"/>
            </w:r>
            <w:r w:rsidR="00955725">
              <w:rPr>
                <w:noProof/>
                <w:webHidden/>
              </w:rPr>
              <w:t>34</w:t>
            </w:r>
            <w:r w:rsidR="00C84822">
              <w:rPr>
                <w:noProof/>
                <w:webHidden/>
              </w:rPr>
              <w:fldChar w:fldCharType="end"/>
            </w:r>
          </w:hyperlink>
        </w:p>
        <w:p w14:paraId="780F63CC" w14:textId="2BE28928" w:rsidR="00C84822" w:rsidRDefault="00000000">
          <w:pPr>
            <w:pStyle w:val="TOC3"/>
            <w:tabs>
              <w:tab w:val="right" w:leader="dot" w:pos="9350"/>
            </w:tabs>
            <w:rPr>
              <w:rFonts w:asciiTheme="minorHAnsi" w:eastAsiaTheme="minorEastAsia" w:hAnsiTheme="minorHAnsi"/>
              <w:noProof/>
              <w:sz w:val="22"/>
            </w:rPr>
          </w:pPr>
          <w:hyperlink w:anchor="_Toc121265829" w:history="1">
            <w:r w:rsidR="00C84822" w:rsidRPr="003957E0">
              <w:rPr>
                <w:rStyle w:val="Hyperlink"/>
                <w:noProof/>
              </w:rPr>
              <w:t>3.6.1 Wastewater Disposal</w:t>
            </w:r>
            <w:r w:rsidR="00C84822">
              <w:rPr>
                <w:noProof/>
                <w:webHidden/>
              </w:rPr>
              <w:tab/>
            </w:r>
            <w:r w:rsidR="00C84822">
              <w:rPr>
                <w:noProof/>
                <w:webHidden/>
              </w:rPr>
              <w:fldChar w:fldCharType="begin"/>
            </w:r>
            <w:r w:rsidR="00C84822">
              <w:rPr>
                <w:noProof/>
                <w:webHidden/>
              </w:rPr>
              <w:instrText xml:space="preserve"> PAGEREF _Toc121265829 \h </w:instrText>
            </w:r>
            <w:r w:rsidR="00C84822">
              <w:rPr>
                <w:noProof/>
                <w:webHidden/>
              </w:rPr>
            </w:r>
            <w:r w:rsidR="00C84822">
              <w:rPr>
                <w:noProof/>
                <w:webHidden/>
              </w:rPr>
              <w:fldChar w:fldCharType="separate"/>
            </w:r>
            <w:r w:rsidR="00955725">
              <w:rPr>
                <w:noProof/>
                <w:webHidden/>
              </w:rPr>
              <w:t>34</w:t>
            </w:r>
            <w:r w:rsidR="00C84822">
              <w:rPr>
                <w:noProof/>
                <w:webHidden/>
              </w:rPr>
              <w:fldChar w:fldCharType="end"/>
            </w:r>
          </w:hyperlink>
        </w:p>
        <w:p w14:paraId="01747323" w14:textId="25CFD0AA" w:rsidR="00C84822" w:rsidRDefault="00000000">
          <w:pPr>
            <w:pStyle w:val="TOC3"/>
            <w:tabs>
              <w:tab w:val="right" w:leader="dot" w:pos="9350"/>
            </w:tabs>
            <w:rPr>
              <w:rFonts w:asciiTheme="minorHAnsi" w:eastAsiaTheme="minorEastAsia" w:hAnsiTheme="minorHAnsi"/>
              <w:noProof/>
              <w:sz w:val="22"/>
            </w:rPr>
          </w:pPr>
          <w:hyperlink w:anchor="_Toc121265830" w:history="1">
            <w:r w:rsidR="00C84822" w:rsidRPr="003957E0">
              <w:rPr>
                <w:rStyle w:val="Hyperlink"/>
                <w:noProof/>
              </w:rPr>
              <w:t>3.6.2 Hydraulic Fracturing</w:t>
            </w:r>
            <w:r w:rsidR="00C84822">
              <w:rPr>
                <w:noProof/>
                <w:webHidden/>
              </w:rPr>
              <w:tab/>
            </w:r>
            <w:r w:rsidR="00C84822">
              <w:rPr>
                <w:noProof/>
                <w:webHidden/>
              </w:rPr>
              <w:fldChar w:fldCharType="begin"/>
            </w:r>
            <w:r w:rsidR="00C84822">
              <w:rPr>
                <w:noProof/>
                <w:webHidden/>
              </w:rPr>
              <w:instrText xml:space="preserve"> PAGEREF _Toc121265830 \h </w:instrText>
            </w:r>
            <w:r w:rsidR="00C84822">
              <w:rPr>
                <w:noProof/>
                <w:webHidden/>
              </w:rPr>
            </w:r>
            <w:r w:rsidR="00C84822">
              <w:rPr>
                <w:noProof/>
                <w:webHidden/>
              </w:rPr>
              <w:fldChar w:fldCharType="separate"/>
            </w:r>
            <w:r w:rsidR="00955725">
              <w:rPr>
                <w:noProof/>
                <w:webHidden/>
              </w:rPr>
              <w:t>35</w:t>
            </w:r>
            <w:r w:rsidR="00C84822">
              <w:rPr>
                <w:noProof/>
                <w:webHidden/>
              </w:rPr>
              <w:fldChar w:fldCharType="end"/>
            </w:r>
          </w:hyperlink>
        </w:p>
        <w:p w14:paraId="6B71BA16" w14:textId="7039CE82" w:rsidR="00C84822" w:rsidRDefault="00000000">
          <w:pPr>
            <w:pStyle w:val="TOC3"/>
            <w:tabs>
              <w:tab w:val="right" w:leader="dot" w:pos="9350"/>
            </w:tabs>
            <w:rPr>
              <w:rFonts w:asciiTheme="minorHAnsi" w:eastAsiaTheme="minorEastAsia" w:hAnsiTheme="minorHAnsi"/>
              <w:noProof/>
              <w:sz w:val="22"/>
            </w:rPr>
          </w:pPr>
          <w:hyperlink w:anchor="_Toc121265831" w:history="1">
            <w:r w:rsidR="00C84822" w:rsidRPr="003957E0">
              <w:rPr>
                <w:rStyle w:val="Hyperlink"/>
                <w:noProof/>
              </w:rPr>
              <w:t>3.6.3 Data</w:t>
            </w:r>
            <w:r w:rsidR="00C84822">
              <w:rPr>
                <w:noProof/>
                <w:webHidden/>
              </w:rPr>
              <w:tab/>
            </w:r>
            <w:r w:rsidR="00C84822">
              <w:rPr>
                <w:noProof/>
                <w:webHidden/>
              </w:rPr>
              <w:fldChar w:fldCharType="begin"/>
            </w:r>
            <w:r w:rsidR="00C84822">
              <w:rPr>
                <w:noProof/>
                <w:webHidden/>
              </w:rPr>
              <w:instrText xml:space="preserve"> PAGEREF _Toc121265831 \h </w:instrText>
            </w:r>
            <w:r w:rsidR="00C84822">
              <w:rPr>
                <w:noProof/>
                <w:webHidden/>
              </w:rPr>
            </w:r>
            <w:r w:rsidR="00C84822">
              <w:rPr>
                <w:noProof/>
                <w:webHidden/>
              </w:rPr>
              <w:fldChar w:fldCharType="separate"/>
            </w:r>
            <w:r w:rsidR="00955725">
              <w:rPr>
                <w:noProof/>
                <w:webHidden/>
              </w:rPr>
              <w:t>36</w:t>
            </w:r>
            <w:r w:rsidR="00C84822">
              <w:rPr>
                <w:noProof/>
                <w:webHidden/>
              </w:rPr>
              <w:fldChar w:fldCharType="end"/>
            </w:r>
          </w:hyperlink>
        </w:p>
        <w:p w14:paraId="04FCDCED" w14:textId="4303ED89" w:rsidR="00C84822" w:rsidRDefault="00000000">
          <w:pPr>
            <w:pStyle w:val="TOC3"/>
            <w:tabs>
              <w:tab w:val="right" w:leader="dot" w:pos="9350"/>
            </w:tabs>
            <w:rPr>
              <w:rFonts w:asciiTheme="minorHAnsi" w:eastAsiaTheme="minorEastAsia" w:hAnsiTheme="minorHAnsi"/>
              <w:noProof/>
              <w:sz w:val="22"/>
            </w:rPr>
          </w:pPr>
          <w:hyperlink w:anchor="_Toc121265832" w:history="1">
            <w:r w:rsidR="00C84822" w:rsidRPr="003957E0">
              <w:rPr>
                <w:rStyle w:val="Hyperlink"/>
                <w:noProof/>
              </w:rPr>
              <w:t>3.6.4 Cluster Analysis</w:t>
            </w:r>
            <w:r w:rsidR="00C84822">
              <w:rPr>
                <w:noProof/>
                <w:webHidden/>
              </w:rPr>
              <w:tab/>
            </w:r>
            <w:r w:rsidR="00C84822">
              <w:rPr>
                <w:noProof/>
                <w:webHidden/>
              </w:rPr>
              <w:fldChar w:fldCharType="begin"/>
            </w:r>
            <w:r w:rsidR="00C84822">
              <w:rPr>
                <w:noProof/>
                <w:webHidden/>
              </w:rPr>
              <w:instrText xml:space="preserve"> PAGEREF _Toc121265832 \h </w:instrText>
            </w:r>
            <w:r w:rsidR="00C84822">
              <w:rPr>
                <w:noProof/>
                <w:webHidden/>
              </w:rPr>
            </w:r>
            <w:r w:rsidR="00C84822">
              <w:rPr>
                <w:noProof/>
                <w:webHidden/>
              </w:rPr>
              <w:fldChar w:fldCharType="separate"/>
            </w:r>
            <w:r w:rsidR="00955725">
              <w:rPr>
                <w:noProof/>
                <w:webHidden/>
              </w:rPr>
              <w:t>36</w:t>
            </w:r>
            <w:r w:rsidR="00C84822">
              <w:rPr>
                <w:noProof/>
                <w:webHidden/>
              </w:rPr>
              <w:fldChar w:fldCharType="end"/>
            </w:r>
          </w:hyperlink>
        </w:p>
        <w:p w14:paraId="73B42392" w14:textId="41510900" w:rsidR="00C84822" w:rsidRDefault="00000000">
          <w:pPr>
            <w:pStyle w:val="TOC1"/>
            <w:rPr>
              <w:rFonts w:asciiTheme="minorHAnsi" w:eastAsiaTheme="minorEastAsia" w:hAnsiTheme="minorHAnsi"/>
              <w:noProof/>
              <w:sz w:val="22"/>
            </w:rPr>
          </w:pPr>
          <w:hyperlink w:anchor="_Toc121265833" w:history="1">
            <w:r w:rsidR="00C84822" w:rsidRPr="003957E0">
              <w:rPr>
                <w:rStyle w:val="Hyperlink"/>
                <w:noProof/>
              </w:rPr>
              <w:t>CHAPTER 4: Results and Discussion</w:t>
            </w:r>
            <w:r w:rsidR="00C84822">
              <w:rPr>
                <w:noProof/>
                <w:webHidden/>
              </w:rPr>
              <w:tab/>
            </w:r>
            <w:r w:rsidR="00C84822">
              <w:rPr>
                <w:noProof/>
                <w:webHidden/>
              </w:rPr>
              <w:fldChar w:fldCharType="begin"/>
            </w:r>
            <w:r w:rsidR="00C84822">
              <w:rPr>
                <w:noProof/>
                <w:webHidden/>
              </w:rPr>
              <w:instrText xml:space="preserve"> PAGEREF _Toc121265833 \h </w:instrText>
            </w:r>
            <w:r w:rsidR="00C84822">
              <w:rPr>
                <w:noProof/>
                <w:webHidden/>
              </w:rPr>
            </w:r>
            <w:r w:rsidR="00C84822">
              <w:rPr>
                <w:noProof/>
                <w:webHidden/>
              </w:rPr>
              <w:fldChar w:fldCharType="separate"/>
            </w:r>
            <w:r w:rsidR="00955725">
              <w:rPr>
                <w:noProof/>
                <w:webHidden/>
              </w:rPr>
              <w:t>39</w:t>
            </w:r>
            <w:r w:rsidR="00C84822">
              <w:rPr>
                <w:noProof/>
                <w:webHidden/>
              </w:rPr>
              <w:fldChar w:fldCharType="end"/>
            </w:r>
          </w:hyperlink>
        </w:p>
        <w:p w14:paraId="60C59013" w14:textId="297E3959" w:rsidR="00C84822" w:rsidRDefault="00000000">
          <w:pPr>
            <w:pStyle w:val="TOC2"/>
            <w:tabs>
              <w:tab w:val="right" w:leader="dot" w:pos="9350"/>
            </w:tabs>
            <w:rPr>
              <w:rFonts w:asciiTheme="minorHAnsi" w:eastAsiaTheme="minorEastAsia" w:hAnsiTheme="minorHAnsi"/>
              <w:noProof/>
              <w:sz w:val="22"/>
            </w:rPr>
          </w:pPr>
          <w:hyperlink w:anchor="_Toc121265834" w:history="1">
            <w:r w:rsidR="00C84822" w:rsidRPr="003957E0">
              <w:rPr>
                <w:rStyle w:val="Hyperlink"/>
                <w:noProof/>
              </w:rPr>
              <w:t>4.1 Introduction</w:t>
            </w:r>
            <w:r w:rsidR="00C84822">
              <w:rPr>
                <w:noProof/>
                <w:webHidden/>
              </w:rPr>
              <w:tab/>
            </w:r>
            <w:r w:rsidR="00C84822">
              <w:rPr>
                <w:noProof/>
                <w:webHidden/>
              </w:rPr>
              <w:fldChar w:fldCharType="begin"/>
            </w:r>
            <w:r w:rsidR="00C84822">
              <w:rPr>
                <w:noProof/>
                <w:webHidden/>
              </w:rPr>
              <w:instrText xml:space="preserve"> PAGEREF _Toc121265834 \h </w:instrText>
            </w:r>
            <w:r w:rsidR="00C84822">
              <w:rPr>
                <w:noProof/>
                <w:webHidden/>
              </w:rPr>
            </w:r>
            <w:r w:rsidR="00C84822">
              <w:rPr>
                <w:noProof/>
                <w:webHidden/>
              </w:rPr>
              <w:fldChar w:fldCharType="separate"/>
            </w:r>
            <w:r w:rsidR="00955725">
              <w:rPr>
                <w:noProof/>
                <w:webHidden/>
              </w:rPr>
              <w:t>39</w:t>
            </w:r>
            <w:r w:rsidR="00C84822">
              <w:rPr>
                <w:noProof/>
                <w:webHidden/>
              </w:rPr>
              <w:fldChar w:fldCharType="end"/>
            </w:r>
          </w:hyperlink>
        </w:p>
        <w:p w14:paraId="16350272" w14:textId="218A9ECC" w:rsidR="00C84822" w:rsidRDefault="00000000">
          <w:pPr>
            <w:pStyle w:val="TOC2"/>
            <w:tabs>
              <w:tab w:val="right" w:leader="dot" w:pos="9350"/>
            </w:tabs>
            <w:rPr>
              <w:rFonts w:asciiTheme="minorHAnsi" w:eastAsiaTheme="minorEastAsia" w:hAnsiTheme="minorHAnsi"/>
              <w:noProof/>
              <w:sz w:val="22"/>
            </w:rPr>
          </w:pPr>
          <w:hyperlink w:anchor="_Toc121265835" w:history="1">
            <w:r w:rsidR="00C84822" w:rsidRPr="003957E0">
              <w:rPr>
                <w:rStyle w:val="Hyperlink"/>
                <w:noProof/>
              </w:rPr>
              <w:t>4.2 Seismicity in Area</w:t>
            </w:r>
            <w:r w:rsidR="00C84822">
              <w:rPr>
                <w:noProof/>
                <w:webHidden/>
              </w:rPr>
              <w:tab/>
            </w:r>
            <w:r w:rsidR="00C84822">
              <w:rPr>
                <w:noProof/>
                <w:webHidden/>
              </w:rPr>
              <w:fldChar w:fldCharType="begin"/>
            </w:r>
            <w:r w:rsidR="00C84822">
              <w:rPr>
                <w:noProof/>
                <w:webHidden/>
              </w:rPr>
              <w:instrText xml:space="preserve"> PAGEREF _Toc121265835 \h </w:instrText>
            </w:r>
            <w:r w:rsidR="00C84822">
              <w:rPr>
                <w:noProof/>
                <w:webHidden/>
              </w:rPr>
            </w:r>
            <w:r w:rsidR="00C84822">
              <w:rPr>
                <w:noProof/>
                <w:webHidden/>
              </w:rPr>
              <w:fldChar w:fldCharType="separate"/>
            </w:r>
            <w:r w:rsidR="00955725">
              <w:rPr>
                <w:noProof/>
                <w:webHidden/>
              </w:rPr>
              <w:t>39</w:t>
            </w:r>
            <w:r w:rsidR="00C84822">
              <w:rPr>
                <w:noProof/>
                <w:webHidden/>
              </w:rPr>
              <w:fldChar w:fldCharType="end"/>
            </w:r>
          </w:hyperlink>
        </w:p>
        <w:p w14:paraId="0AAB8537" w14:textId="77080EF8" w:rsidR="00C84822" w:rsidRDefault="00000000">
          <w:pPr>
            <w:pStyle w:val="TOC2"/>
            <w:tabs>
              <w:tab w:val="right" w:leader="dot" w:pos="9350"/>
            </w:tabs>
            <w:rPr>
              <w:rFonts w:asciiTheme="minorHAnsi" w:eastAsiaTheme="minorEastAsia" w:hAnsiTheme="minorHAnsi"/>
              <w:noProof/>
              <w:sz w:val="22"/>
            </w:rPr>
          </w:pPr>
          <w:hyperlink w:anchor="_Toc121265836" w:history="1">
            <w:r w:rsidR="00C84822" w:rsidRPr="003957E0">
              <w:rPr>
                <w:rStyle w:val="Hyperlink"/>
                <w:noProof/>
              </w:rPr>
              <w:t>4.3 Probability Model</w:t>
            </w:r>
            <w:r w:rsidR="00C84822">
              <w:rPr>
                <w:noProof/>
                <w:webHidden/>
              </w:rPr>
              <w:tab/>
            </w:r>
            <w:r w:rsidR="00C84822">
              <w:rPr>
                <w:noProof/>
                <w:webHidden/>
              </w:rPr>
              <w:fldChar w:fldCharType="begin"/>
            </w:r>
            <w:r w:rsidR="00C84822">
              <w:rPr>
                <w:noProof/>
                <w:webHidden/>
              </w:rPr>
              <w:instrText xml:space="preserve"> PAGEREF _Toc121265836 \h </w:instrText>
            </w:r>
            <w:r w:rsidR="00C84822">
              <w:rPr>
                <w:noProof/>
                <w:webHidden/>
              </w:rPr>
            </w:r>
            <w:r w:rsidR="00C84822">
              <w:rPr>
                <w:noProof/>
                <w:webHidden/>
              </w:rPr>
              <w:fldChar w:fldCharType="separate"/>
            </w:r>
            <w:r w:rsidR="00955725">
              <w:rPr>
                <w:noProof/>
                <w:webHidden/>
              </w:rPr>
              <w:t>47</w:t>
            </w:r>
            <w:r w:rsidR="00C84822">
              <w:rPr>
                <w:noProof/>
                <w:webHidden/>
              </w:rPr>
              <w:fldChar w:fldCharType="end"/>
            </w:r>
          </w:hyperlink>
        </w:p>
        <w:p w14:paraId="7122527D" w14:textId="45BE11CF" w:rsidR="00C84822" w:rsidRDefault="00000000">
          <w:pPr>
            <w:pStyle w:val="TOC2"/>
            <w:tabs>
              <w:tab w:val="right" w:leader="dot" w:pos="9350"/>
            </w:tabs>
            <w:rPr>
              <w:rFonts w:asciiTheme="minorHAnsi" w:eastAsiaTheme="minorEastAsia" w:hAnsiTheme="minorHAnsi"/>
              <w:noProof/>
              <w:sz w:val="22"/>
            </w:rPr>
          </w:pPr>
          <w:hyperlink w:anchor="_Toc121265837" w:history="1">
            <w:r w:rsidR="00C84822" w:rsidRPr="003957E0">
              <w:rPr>
                <w:rStyle w:val="Hyperlink"/>
                <w:noProof/>
              </w:rPr>
              <w:t>4.4 Sensitivity Analysis</w:t>
            </w:r>
            <w:r w:rsidR="00C84822">
              <w:rPr>
                <w:noProof/>
                <w:webHidden/>
              </w:rPr>
              <w:tab/>
            </w:r>
            <w:r w:rsidR="00C84822">
              <w:rPr>
                <w:noProof/>
                <w:webHidden/>
              </w:rPr>
              <w:fldChar w:fldCharType="begin"/>
            </w:r>
            <w:r w:rsidR="00C84822">
              <w:rPr>
                <w:noProof/>
                <w:webHidden/>
              </w:rPr>
              <w:instrText xml:space="preserve"> PAGEREF _Toc121265837 \h </w:instrText>
            </w:r>
            <w:r w:rsidR="00C84822">
              <w:rPr>
                <w:noProof/>
                <w:webHidden/>
              </w:rPr>
            </w:r>
            <w:r w:rsidR="00C84822">
              <w:rPr>
                <w:noProof/>
                <w:webHidden/>
              </w:rPr>
              <w:fldChar w:fldCharType="separate"/>
            </w:r>
            <w:r w:rsidR="00955725">
              <w:rPr>
                <w:noProof/>
                <w:webHidden/>
              </w:rPr>
              <w:t>50</w:t>
            </w:r>
            <w:r w:rsidR="00C84822">
              <w:rPr>
                <w:noProof/>
                <w:webHidden/>
              </w:rPr>
              <w:fldChar w:fldCharType="end"/>
            </w:r>
          </w:hyperlink>
        </w:p>
        <w:p w14:paraId="4CC37880" w14:textId="3FBE5A5E" w:rsidR="00C84822" w:rsidRDefault="00000000">
          <w:pPr>
            <w:pStyle w:val="TOC2"/>
            <w:tabs>
              <w:tab w:val="right" w:leader="dot" w:pos="9350"/>
            </w:tabs>
            <w:rPr>
              <w:rFonts w:asciiTheme="minorHAnsi" w:eastAsiaTheme="minorEastAsia" w:hAnsiTheme="minorHAnsi"/>
              <w:noProof/>
              <w:sz w:val="22"/>
            </w:rPr>
          </w:pPr>
          <w:hyperlink w:anchor="_Toc121265838" w:history="1">
            <w:r w:rsidR="00C84822" w:rsidRPr="003957E0">
              <w:rPr>
                <w:rStyle w:val="Hyperlink"/>
                <w:noProof/>
              </w:rPr>
              <w:t>4.5 Site Specific Stress Data</w:t>
            </w:r>
            <w:r w:rsidR="00C84822">
              <w:rPr>
                <w:noProof/>
                <w:webHidden/>
              </w:rPr>
              <w:tab/>
            </w:r>
            <w:r w:rsidR="00C84822">
              <w:rPr>
                <w:noProof/>
                <w:webHidden/>
              </w:rPr>
              <w:fldChar w:fldCharType="begin"/>
            </w:r>
            <w:r w:rsidR="00C84822">
              <w:rPr>
                <w:noProof/>
                <w:webHidden/>
              </w:rPr>
              <w:instrText xml:space="preserve"> PAGEREF _Toc121265838 \h </w:instrText>
            </w:r>
            <w:r w:rsidR="00C84822">
              <w:rPr>
                <w:noProof/>
                <w:webHidden/>
              </w:rPr>
            </w:r>
            <w:r w:rsidR="00C84822">
              <w:rPr>
                <w:noProof/>
                <w:webHidden/>
              </w:rPr>
              <w:fldChar w:fldCharType="separate"/>
            </w:r>
            <w:r w:rsidR="00955725">
              <w:rPr>
                <w:noProof/>
                <w:webHidden/>
              </w:rPr>
              <w:t>59</w:t>
            </w:r>
            <w:r w:rsidR="00C84822">
              <w:rPr>
                <w:noProof/>
                <w:webHidden/>
              </w:rPr>
              <w:fldChar w:fldCharType="end"/>
            </w:r>
          </w:hyperlink>
        </w:p>
        <w:p w14:paraId="01F2A058" w14:textId="2D6DA351" w:rsidR="00C84822" w:rsidRDefault="00000000">
          <w:pPr>
            <w:pStyle w:val="TOC1"/>
            <w:rPr>
              <w:rFonts w:asciiTheme="minorHAnsi" w:eastAsiaTheme="minorEastAsia" w:hAnsiTheme="minorHAnsi"/>
              <w:noProof/>
              <w:sz w:val="22"/>
            </w:rPr>
          </w:pPr>
          <w:hyperlink w:anchor="_Toc121265839" w:history="1">
            <w:r w:rsidR="00C84822" w:rsidRPr="003957E0">
              <w:rPr>
                <w:rStyle w:val="Hyperlink"/>
                <w:noProof/>
              </w:rPr>
              <w:t>CHAPTER 5: Conclusion</w:t>
            </w:r>
            <w:r w:rsidR="00C84822">
              <w:rPr>
                <w:noProof/>
                <w:webHidden/>
              </w:rPr>
              <w:tab/>
            </w:r>
            <w:r w:rsidR="00C84822">
              <w:rPr>
                <w:noProof/>
                <w:webHidden/>
              </w:rPr>
              <w:fldChar w:fldCharType="begin"/>
            </w:r>
            <w:r w:rsidR="00C84822">
              <w:rPr>
                <w:noProof/>
                <w:webHidden/>
              </w:rPr>
              <w:instrText xml:space="preserve"> PAGEREF _Toc121265839 \h </w:instrText>
            </w:r>
            <w:r w:rsidR="00C84822">
              <w:rPr>
                <w:noProof/>
                <w:webHidden/>
              </w:rPr>
            </w:r>
            <w:r w:rsidR="00C84822">
              <w:rPr>
                <w:noProof/>
                <w:webHidden/>
              </w:rPr>
              <w:fldChar w:fldCharType="separate"/>
            </w:r>
            <w:r w:rsidR="00955725">
              <w:rPr>
                <w:noProof/>
                <w:webHidden/>
              </w:rPr>
              <w:t>65</w:t>
            </w:r>
            <w:r w:rsidR="00C84822">
              <w:rPr>
                <w:noProof/>
                <w:webHidden/>
              </w:rPr>
              <w:fldChar w:fldCharType="end"/>
            </w:r>
          </w:hyperlink>
        </w:p>
        <w:p w14:paraId="53FDFB47" w14:textId="61980CB6" w:rsidR="00C84822" w:rsidRDefault="00000000">
          <w:pPr>
            <w:pStyle w:val="TOC1"/>
            <w:rPr>
              <w:rFonts w:asciiTheme="minorHAnsi" w:eastAsiaTheme="minorEastAsia" w:hAnsiTheme="minorHAnsi"/>
              <w:noProof/>
              <w:sz w:val="22"/>
            </w:rPr>
          </w:pPr>
          <w:hyperlink w:anchor="_Toc121265840" w:history="1">
            <w:r w:rsidR="00C84822" w:rsidRPr="003957E0">
              <w:rPr>
                <w:rStyle w:val="Hyperlink"/>
                <w:noProof/>
              </w:rPr>
              <w:t>References</w:t>
            </w:r>
            <w:r w:rsidR="00C84822">
              <w:rPr>
                <w:noProof/>
                <w:webHidden/>
              </w:rPr>
              <w:tab/>
            </w:r>
            <w:r w:rsidR="00C84822">
              <w:rPr>
                <w:noProof/>
                <w:webHidden/>
              </w:rPr>
              <w:fldChar w:fldCharType="begin"/>
            </w:r>
            <w:r w:rsidR="00C84822">
              <w:rPr>
                <w:noProof/>
                <w:webHidden/>
              </w:rPr>
              <w:instrText xml:space="preserve"> PAGEREF _Toc121265840 \h </w:instrText>
            </w:r>
            <w:r w:rsidR="00C84822">
              <w:rPr>
                <w:noProof/>
                <w:webHidden/>
              </w:rPr>
            </w:r>
            <w:r w:rsidR="00C84822">
              <w:rPr>
                <w:noProof/>
                <w:webHidden/>
              </w:rPr>
              <w:fldChar w:fldCharType="separate"/>
            </w:r>
            <w:r w:rsidR="00955725">
              <w:rPr>
                <w:noProof/>
                <w:webHidden/>
              </w:rPr>
              <w:t>66</w:t>
            </w:r>
            <w:r w:rsidR="00C84822">
              <w:rPr>
                <w:noProof/>
                <w:webHidden/>
              </w:rPr>
              <w:fldChar w:fldCharType="end"/>
            </w:r>
          </w:hyperlink>
        </w:p>
        <w:p w14:paraId="519DAC2F" w14:textId="440F06FE" w:rsidR="00C84822" w:rsidRDefault="00000000">
          <w:pPr>
            <w:pStyle w:val="TOC1"/>
            <w:rPr>
              <w:rFonts w:asciiTheme="minorHAnsi" w:eastAsiaTheme="minorEastAsia" w:hAnsiTheme="minorHAnsi"/>
              <w:noProof/>
              <w:sz w:val="22"/>
            </w:rPr>
          </w:pPr>
          <w:hyperlink w:anchor="_Toc121265841" w:history="1">
            <w:r w:rsidR="00C84822" w:rsidRPr="003957E0">
              <w:rPr>
                <w:rStyle w:val="Hyperlink"/>
                <w:noProof/>
              </w:rPr>
              <w:t>NOMENCLEATURE</w:t>
            </w:r>
            <w:r w:rsidR="00C84822">
              <w:rPr>
                <w:noProof/>
                <w:webHidden/>
              </w:rPr>
              <w:tab/>
            </w:r>
            <w:r w:rsidR="00C84822">
              <w:rPr>
                <w:noProof/>
                <w:webHidden/>
              </w:rPr>
              <w:fldChar w:fldCharType="begin"/>
            </w:r>
            <w:r w:rsidR="00C84822">
              <w:rPr>
                <w:noProof/>
                <w:webHidden/>
              </w:rPr>
              <w:instrText xml:space="preserve"> PAGEREF _Toc121265841 \h </w:instrText>
            </w:r>
            <w:r w:rsidR="00C84822">
              <w:rPr>
                <w:noProof/>
                <w:webHidden/>
              </w:rPr>
            </w:r>
            <w:r w:rsidR="00C84822">
              <w:rPr>
                <w:noProof/>
                <w:webHidden/>
              </w:rPr>
              <w:fldChar w:fldCharType="separate"/>
            </w:r>
            <w:r w:rsidR="00955725">
              <w:rPr>
                <w:noProof/>
                <w:webHidden/>
              </w:rPr>
              <w:t>76</w:t>
            </w:r>
            <w:r w:rsidR="00C84822">
              <w:rPr>
                <w:noProof/>
                <w:webHidden/>
              </w:rPr>
              <w:fldChar w:fldCharType="end"/>
            </w:r>
          </w:hyperlink>
        </w:p>
        <w:p w14:paraId="28E36C4E" w14:textId="0D46798C" w:rsidR="00C84822" w:rsidRDefault="00000000">
          <w:pPr>
            <w:pStyle w:val="TOC1"/>
            <w:rPr>
              <w:rFonts w:asciiTheme="minorHAnsi" w:eastAsiaTheme="minorEastAsia" w:hAnsiTheme="minorHAnsi"/>
              <w:noProof/>
              <w:sz w:val="22"/>
            </w:rPr>
          </w:pPr>
          <w:hyperlink w:anchor="_Toc121265842" w:history="1">
            <w:r w:rsidR="00C84822" w:rsidRPr="003957E0">
              <w:rPr>
                <w:rStyle w:val="Hyperlink"/>
                <w:noProof/>
              </w:rPr>
              <w:t>APPENDIX</w:t>
            </w:r>
            <w:r w:rsidR="00C84822">
              <w:rPr>
                <w:noProof/>
                <w:webHidden/>
              </w:rPr>
              <w:tab/>
            </w:r>
            <w:r w:rsidR="00C84822">
              <w:rPr>
                <w:noProof/>
                <w:webHidden/>
              </w:rPr>
              <w:fldChar w:fldCharType="begin"/>
            </w:r>
            <w:r w:rsidR="00C84822">
              <w:rPr>
                <w:noProof/>
                <w:webHidden/>
              </w:rPr>
              <w:instrText xml:space="preserve"> PAGEREF _Toc121265842 \h </w:instrText>
            </w:r>
            <w:r w:rsidR="00C84822">
              <w:rPr>
                <w:noProof/>
                <w:webHidden/>
              </w:rPr>
            </w:r>
            <w:r w:rsidR="00C84822">
              <w:rPr>
                <w:noProof/>
                <w:webHidden/>
              </w:rPr>
              <w:fldChar w:fldCharType="separate"/>
            </w:r>
            <w:r w:rsidR="00955725">
              <w:rPr>
                <w:noProof/>
                <w:webHidden/>
              </w:rPr>
              <w:t>77</w:t>
            </w:r>
            <w:r w:rsidR="00C84822">
              <w:rPr>
                <w:noProof/>
                <w:webHidden/>
              </w:rPr>
              <w:fldChar w:fldCharType="end"/>
            </w:r>
          </w:hyperlink>
        </w:p>
        <w:p w14:paraId="37BEAF06" w14:textId="2FA059C1" w:rsidR="00C84822" w:rsidRDefault="00000000">
          <w:pPr>
            <w:pStyle w:val="TOC2"/>
            <w:tabs>
              <w:tab w:val="right" w:leader="dot" w:pos="9350"/>
            </w:tabs>
            <w:rPr>
              <w:rFonts w:asciiTheme="minorHAnsi" w:eastAsiaTheme="minorEastAsia" w:hAnsiTheme="minorHAnsi"/>
              <w:noProof/>
              <w:sz w:val="22"/>
            </w:rPr>
          </w:pPr>
          <w:hyperlink w:anchor="_Toc121265843" w:history="1">
            <w:r w:rsidR="00C84822" w:rsidRPr="003957E0">
              <w:rPr>
                <w:rStyle w:val="Hyperlink"/>
                <w:noProof/>
              </w:rPr>
              <w:t>SOSAT</w:t>
            </w:r>
            <w:r w:rsidR="00C84822">
              <w:rPr>
                <w:noProof/>
                <w:webHidden/>
              </w:rPr>
              <w:tab/>
            </w:r>
            <w:r w:rsidR="00C84822">
              <w:rPr>
                <w:noProof/>
                <w:webHidden/>
              </w:rPr>
              <w:fldChar w:fldCharType="begin"/>
            </w:r>
            <w:r w:rsidR="00C84822">
              <w:rPr>
                <w:noProof/>
                <w:webHidden/>
              </w:rPr>
              <w:instrText xml:space="preserve"> PAGEREF _Toc121265843 \h </w:instrText>
            </w:r>
            <w:r w:rsidR="00C84822">
              <w:rPr>
                <w:noProof/>
                <w:webHidden/>
              </w:rPr>
            </w:r>
            <w:r w:rsidR="00C84822">
              <w:rPr>
                <w:noProof/>
                <w:webHidden/>
              </w:rPr>
              <w:fldChar w:fldCharType="separate"/>
            </w:r>
            <w:r w:rsidR="00955725">
              <w:rPr>
                <w:noProof/>
                <w:webHidden/>
              </w:rPr>
              <w:t>77</w:t>
            </w:r>
            <w:r w:rsidR="00C84822">
              <w:rPr>
                <w:noProof/>
                <w:webHidden/>
              </w:rPr>
              <w:fldChar w:fldCharType="end"/>
            </w:r>
          </w:hyperlink>
        </w:p>
        <w:p w14:paraId="3D7BBC70" w14:textId="294D45FC" w:rsidR="00912AEA" w:rsidRPr="00B509DA" w:rsidRDefault="00B93BAB" w:rsidP="00A9020A">
          <w:pPr>
            <w:spacing w:line="360" w:lineRule="auto"/>
          </w:pPr>
          <w:r>
            <w:rPr>
              <w:b/>
              <w:bCs/>
              <w:noProof/>
            </w:rPr>
            <w:fldChar w:fldCharType="end"/>
          </w:r>
        </w:p>
      </w:sdtContent>
    </w:sdt>
    <w:p w14:paraId="2AD4EDC3" w14:textId="77777777" w:rsidR="00B509DA" w:rsidRDefault="00B509DA">
      <w:pPr>
        <w:spacing w:before="0" w:after="160" w:line="259" w:lineRule="auto"/>
        <w:jc w:val="left"/>
        <w:rPr>
          <w:rFonts w:eastAsiaTheme="majorEastAsia" w:cstheme="majorBidi"/>
          <w:b/>
          <w:sz w:val="26"/>
          <w:szCs w:val="32"/>
        </w:rPr>
      </w:pPr>
      <w:r>
        <w:br w:type="page"/>
      </w:r>
    </w:p>
    <w:p w14:paraId="34886C3D" w14:textId="32DEDD1A" w:rsidR="00FA7034" w:rsidRDefault="00D63E90" w:rsidP="00066DA9">
      <w:pPr>
        <w:pStyle w:val="Heading1"/>
      </w:pPr>
      <w:bookmarkStart w:id="3" w:name="_Toc121265800"/>
      <w:r w:rsidRPr="00D63E90">
        <w:lastRenderedPageBreak/>
        <w:t>LIST OF FIGURES</w:t>
      </w:r>
      <w:bookmarkEnd w:id="3"/>
    </w:p>
    <w:p w14:paraId="71BB3E16" w14:textId="6A5CD6B0" w:rsidR="00C84822" w:rsidRDefault="00C84822">
      <w:pPr>
        <w:pStyle w:val="TableofFigures"/>
        <w:tabs>
          <w:tab w:val="right" w:leader="dot" w:pos="9350"/>
        </w:tabs>
        <w:rPr>
          <w:rFonts w:asciiTheme="minorHAnsi" w:eastAsiaTheme="minorEastAsia" w:hAnsiTheme="minorHAnsi"/>
          <w:noProof/>
          <w:sz w:val="22"/>
        </w:rPr>
      </w:pPr>
      <w:r>
        <w:fldChar w:fldCharType="begin"/>
      </w:r>
      <w:r>
        <w:instrText xml:space="preserve"> TOC \h \z \c "Figure" </w:instrText>
      </w:r>
      <w:r>
        <w:fldChar w:fldCharType="separate"/>
      </w:r>
      <w:hyperlink w:anchor="_Toc121265844" w:history="1">
        <w:r w:rsidRPr="00221DFF">
          <w:rPr>
            <w:rStyle w:val="Hyperlink"/>
            <w:noProof/>
          </w:rPr>
          <w:t>Figure 1: Energy Consumption in the World. Data source: (BP Statistical Review of World Energy , 2021)</w:t>
        </w:r>
        <w:r>
          <w:rPr>
            <w:noProof/>
            <w:webHidden/>
          </w:rPr>
          <w:tab/>
        </w:r>
        <w:r>
          <w:rPr>
            <w:noProof/>
            <w:webHidden/>
          </w:rPr>
          <w:fldChar w:fldCharType="begin"/>
        </w:r>
        <w:r>
          <w:rPr>
            <w:noProof/>
            <w:webHidden/>
          </w:rPr>
          <w:instrText xml:space="preserve"> PAGEREF _Toc121265844 \h </w:instrText>
        </w:r>
        <w:r>
          <w:rPr>
            <w:noProof/>
            <w:webHidden/>
          </w:rPr>
        </w:r>
        <w:r>
          <w:rPr>
            <w:noProof/>
            <w:webHidden/>
          </w:rPr>
          <w:fldChar w:fldCharType="separate"/>
        </w:r>
        <w:r w:rsidR="00955725">
          <w:rPr>
            <w:noProof/>
            <w:webHidden/>
          </w:rPr>
          <w:t>1</w:t>
        </w:r>
        <w:r>
          <w:rPr>
            <w:noProof/>
            <w:webHidden/>
          </w:rPr>
          <w:fldChar w:fldCharType="end"/>
        </w:r>
      </w:hyperlink>
    </w:p>
    <w:p w14:paraId="3749B725" w14:textId="0329AECE" w:rsidR="00C84822" w:rsidRDefault="00000000">
      <w:pPr>
        <w:pStyle w:val="TableofFigures"/>
        <w:tabs>
          <w:tab w:val="right" w:leader="dot" w:pos="9350"/>
        </w:tabs>
        <w:rPr>
          <w:rFonts w:asciiTheme="minorHAnsi" w:eastAsiaTheme="minorEastAsia" w:hAnsiTheme="minorHAnsi"/>
          <w:noProof/>
          <w:sz w:val="22"/>
        </w:rPr>
      </w:pPr>
      <w:hyperlink w:anchor="_Toc121265845" w:history="1">
        <w:r w:rsidR="00C84822" w:rsidRPr="00221DFF">
          <w:rPr>
            <w:rStyle w:val="Hyperlink"/>
            <w:noProof/>
          </w:rPr>
          <w:t xml:space="preserve">Figure 2: Annual Emissions of </w:t>
        </w:r>
        <w:r w:rsidR="00C84822" w:rsidRPr="00221DFF">
          <w:rPr>
            <w:rStyle w:val="Hyperlink"/>
            <w:rFonts w:eastAsia="SimSun" w:cs="Times New Roman"/>
            <w:noProof/>
          </w:rPr>
          <w:t>CO</w:t>
        </w:r>
        <w:r w:rsidR="00C84822" w:rsidRPr="00221DFF">
          <w:rPr>
            <w:rStyle w:val="Hyperlink"/>
            <w:rFonts w:eastAsia="SimSun" w:cs="Times New Roman"/>
            <w:noProof/>
            <w:vertAlign w:val="subscript"/>
          </w:rPr>
          <w:t xml:space="preserve">2 </w:t>
        </w:r>
        <w:r w:rsidR="00C84822" w:rsidRPr="00221DFF">
          <w:rPr>
            <w:rStyle w:val="Hyperlink"/>
            <w:noProof/>
          </w:rPr>
          <w:t>from Fossil Fuels. Data source (Global Change Data Lab, 2022)</w:t>
        </w:r>
        <w:r w:rsidR="00C84822">
          <w:rPr>
            <w:noProof/>
            <w:webHidden/>
          </w:rPr>
          <w:tab/>
        </w:r>
        <w:r w:rsidR="00C84822">
          <w:rPr>
            <w:noProof/>
            <w:webHidden/>
          </w:rPr>
          <w:fldChar w:fldCharType="begin"/>
        </w:r>
        <w:r w:rsidR="00C84822">
          <w:rPr>
            <w:noProof/>
            <w:webHidden/>
          </w:rPr>
          <w:instrText xml:space="preserve"> PAGEREF _Toc121265845 \h </w:instrText>
        </w:r>
        <w:r w:rsidR="00C84822">
          <w:rPr>
            <w:noProof/>
            <w:webHidden/>
          </w:rPr>
        </w:r>
        <w:r w:rsidR="00C84822">
          <w:rPr>
            <w:noProof/>
            <w:webHidden/>
          </w:rPr>
          <w:fldChar w:fldCharType="separate"/>
        </w:r>
        <w:r w:rsidR="00955725">
          <w:rPr>
            <w:noProof/>
            <w:webHidden/>
          </w:rPr>
          <w:t>2</w:t>
        </w:r>
        <w:r w:rsidR="00C84822">
          <w:rPr>
            <w:noProof/>
            <w:webHidden/>
          </w:rPr>
          <w:fldChar w:fldCharType="end"/>
        </w:r>
      </w:hyperlink>
    </w:p>
    <w:p w14:paraId="2203E8AD" w14:textId="0241B3D7" w:rsidR="00C84822" w:rsidRDefault="00000000">
      <w:pPr>
        <w:pStyle w:val="TableofFigures"/>
        <w:tabs>
          <w:tab w:val="right" w:leader="dot" w:pos="9350"/>
        </w:tabs>
        <w:rPr>
          <w:rFonts w:asciiTheme="minorHAnsi" w:eastAsiaTheme="minorEastAsia" w:hAnsiTheme="minorHAnsi"/>
          <w:noProof/>
          <w:sz w:val="22"/>
        </w:rPr>
      </w:pPr>
      <w:hyperlink w:anchor="_Toc121265846" w:history="1">
        <w:r w:rsidR="00C84822" w:rsidRPr="00221DFF">
          <w:rPr>
            <w:rStyle w:val="Hyperlink"/>
            <w:noProof/>
          </w:rPr>
          <w:t>Figure 3: Bayesian Approach in Essence. Adapted from (Nelidov, 2021)</w:t>
        </w:r>
        <w:r w:rsidR="00C84822">
          <w:rPr>
            <w:noProof/>
            <w:webHidden/>
          </w:rPr>
          <w:tab/>
        </w:r>
        <w:r w:rsidR="00C84822">
          <w:rPr>
            <w:noProof/>
            <w:webHidden/>
          </w:rPr>
          <w:fldChar w:fldCharType="begin"/>
        </w:r>
        <w:r w:rsidR="00C84822">
          <w:rPr>
            <w:noProof/>
            <w:webHidden/>
          </w:rPr>
          <w:instrText xml:space="preserve"> PAGEREF _Toc121265846 \h </w:instrText>
        </w:r>
        <w:r w:rsidR="00C84822">
          <w:rPr>
            <w:noProof/>
            <w:webHidden/>
          </w:rPr>
        </w:r>
        <w:r w:rsidR="00C84822">
          <w:rPr>
            <w:noProof/>
            <w:webHidden/>
          </w:rPr>
          <w:fldChar w:fldCharType="separate"/>
        </w:r>
        <w:r w:rsidR="00955725">
          <w:rPr>
            <w:noProof/>
            <w:webHidden/>
          </w:rPr>
          <w:t>5</w:t>
        </w:r>
        <w:r w:rsidR="00C84822">
          <w:rPr>
            <w:noProof/>
            <w:webHidden/>
          </w:rPr>
          <w:fldChar w:fldCharType="end"/>
        </w:r>
      </w:hyperlink>
    </w:p>
    <w:p w14:paraId="0B01ED59" w14:textId="77AE9FD6" w:rsidR="00C84822" w:rsidRDefault="00000000">
      <w:pPr>
        <w:pStyle w:val="TableofFigures"/>
        <w:tabs>
          <w:tab w:val="right" w:leader="dot" w:pos="9350"/>
        </w:tabs>
        <w:rPr>
          <w:rFonts w:asciiTheme="minorHAnsi" w:eastAsiaTheme="minorEastAsia" w:hAnsiTheme="minorHAnsi"/>
          <w:noProof/>
          <w:sz w:val="22"/>
        </w:rPr>
      </w:pPr>
      <w:hyperlink w:anchor="_Toc121265847" w:history="1">
        <w:r w:rsidR="00C84822" w:rsidRPr="00221DFF">
          <w:rPr>
            <w:rStyle w:val="Hyperlink"/>
            <w:noProof/>
          </w:rPr>
          <w:t>Figure 4: Overview of Geologic Carbon Sequestration. Modified from (Intergovernmental Panel on Climate Change, 2005)</w:t>
        </w:r>
        <w:r w:rsidR="00C84822">
          <w:rPr>
            <w:noProof/>
            <w:webHidden/>
          </w:rPr>
          <w:tab/>
        </w:r>
        <w:r w:rsidR="00C84822">
          <w:rPr>
            <w:noProof/>
            <w:webHidden/>
          </w:rPr>
          <w:fldChar w:fldCharType="begin"/>
        </w:r>
        <w:r w:rsidR="00C84822">
          <w:rPr>
            <w:noProof/>
            <w:webHidden/>
          </w:rPr>
          <w:instrText xml:space="preserve"> PAGEREF _Toc121265847 \h </w:instrText>
        </w:r>
        <w:r w:rsidR="00C84822">
          <w:rPr>
            <w:noProof/>
            <w:webHidden/>
          </w:rPr>
        </w:r>
        <w:r w:rsidR="00C84822">
          <w:rPr>
            <w:noProof/>
            <w:webHidden/>
          </w:rPr>
          <w:fldChar w:fldCharType="separate"/>
        </w:r>
        <w:r w:rsidR="00955725">
          <w:rPr>
            <w:noProof/>
            <w:webHidden/>
          </w:rPr>
          <w:t>7</w:t>
        </w:r>
        <w:r w:rsidR="00C84822">
          <w:rPr>
            <w:noProof/>
            <w:webHidden/>
          </w:rPr>
          <w:fldChar w:fldCharType="end"/>
        </w:r>
      </w:hyperlink>
    </w:p>
    <w:p w14:paraId="63FB2128" w14:textId="2F0CFFAA" w:rsidR="00C84822" w:rsidRDefault="00000000">
      <w:pPr>
        <w:pStyle w:val="TableofFigures"/>
        <w:tabs>
          <w:tab w:val="right" w:leader="dot" w:pos="9350"/>
        </w:tabs>
        <w:rPr>
          <w:rFonts w:asciiTheme="minorHAnsi" w:eastAsiaTheme="minorEastAsia" w:hAnsiTheme="minorHAnsi"/>
          <w:noProof/>
          <w:sz w:val="22"/>
        </w:rPr>
      </w:pPr>
      <w:hyperlink w:anchor="_Toc121265848" w:history="1">
        <w:r w:rsidR="00C84822" w:rsidRPr="00221DFF">
          <w:rPr>
            <w:rStyle w:val="Hyperlink"/>
            <w:noProof/>
          </w:rPr>
          <w:t>Figure 5: Different CO2 trapping mechanisms in geological storage sites</w:t>
        </w:r>
        <w:r w:rsidR="00C84822">
          <w:rPr>
            <w:noProof/>
            <w:webHidden/>
          </w:rPr>
          <w:tab/>
        </w:r>
        <w:r w:rsidR="00C84822">
          <w:rPr>
            <w:noProof/>
            <w:webHidden/>
          </w:rPr>
          <w:fldChar w:fldCharType="begin"/>
        </w:r>
        <w:r w:rsidR="00C84822">
          <w:rPr>
            <w:noProof/>
            <w:webHidden/>
          </w:rPr>
          <w:instrText xml:space="preserve"> PAGEREF _Toc121265848 \h </w:instrText>
        </w:r>
        <w:r w:rsidR="00C84822">
          <w:rPr>
            <w:noProof/>
            <w:webHidden/>
          </w:rPr>
        </w:r>
        <w:r w:rsidR="00C84822">
          <w:rPr>
            <w:noProof/>
            <w:webHidden/>
          </w:rPr>
          <w:fldChar w:fldCharType="separate"/>
        </w:r>
        <w:r w:rsidR="00955725">
          <w:rPr>
            <w:noProof/>
            <w:webHidden/>
          </w:rPr>
          <w:t>10</w:t>
        </w:r>
        <w:r w:rsidR="00C84822">
          <w:rPr>
            <w:noProof/>
            <w:webHidden/>
          </w:rPr>
          <w:fldChar w:fldCharType="end"/>
        </w:r>
      </w:hyperlink>
    </w:p>
    <w:p w14:paraId="3433F3B8" w14:textId="730FC64C" w:rsidR="00C84822" w:rsidRDefault="00000000">
      <w:pPr>
        <w:pStyle w:val="TableofFigures"/>
        <w:tabs>
          <w:tab w:val="right" w:leader="dot" w:pos="9350"/>
        </w:tabs>
        <w:rPr>
          <w:rFonts w:asciiTheme="minorHAnsi" w:eastAsiaTheme="minorEastAsia" w:hAnsiTheme="minorHAnsi"/>
          <w:noProof/>
          <w:sz w:val="22"/>
        </w:rPr>
      </w:pPr>
      <w:hyperlink w:anchor="_Toc121265849" w:history="1">
        <w:r w:rsidR="00C84822" w:rsidRPr="00221DFF">
          <w:rPr>
            <w:rStyle w:val="Hyperlink"/>
            <w:noProof/>
          </w:rPr>
          <w:t>Figure 6: Geomechanical risks associated with GCS in deep sedimentary rock rocks. Modified from (Ringrose, et al., 2013)</w:t>
        </w:r>
        <w:r w:rsidR="00C84822">
          <w:rPr>
            <w:noProof/>
            <w:webHidden/>
          </w:rPr>
          <w:tab/>
        </w:r>
        <w:r w:rsidR="00C84822">
          <w:rPr>
            <w:noProof/>
            <w:webHidden/>
          </w:rPr>
          <w:fldChar w:fldCharType="begin"/>
        </w:r>
        <w:r w:rsidR="00C84822">
          <w:rPr>
            <w:noProof/>
            <w:webHidden/>
          </w:rPr>
          <w:instrText xml:space="preserve"> PAGEREF _Toc121265849 \h </w:instrText>
        </w:r>
        <w:r w:rsidR="00C84822">
          <w:rPr>
            <w:noProof/>
            <w:webHidden/>
          </w:rPr>
        </w:r>
        <w:r w:rsidR="00C84822">
          <w:rPr>
            <w:noProof/>
            <w:webHidden/>
          </w:rPr>
          <w:fldChar w:fldCharType="separate"/>
        </w:r>
        <w:r w:rsidR="00955725">
          <w:rPr>
            <w:noProof/>
            <w:webHidden/>
          </w:rPr>
          <w:t>12</w:t>
        </w:r>
        <w:r w:rsidR="00C84822">
          <w:rPr>
            <w:noProof/>
            <w:webHidden/>
          </w:rPr>
          <w:fldChar w:fldCharType="end"/>
        </w:r>
      </w:hyperlink>
    </w:p>
    <w:p w14:paraId="48199ACE" w14:textId="446F06B2" w:rsidR="00C84822" w:rsidRDefault="00000000">
      <w:pPr>
        <w:pStyle w:val="TableofFigures"/>
        <w:tabs>
          <w:tab w:val="right" w:leader="dot" w:pos="9350"/>
        </w:tabs>
        <w:rPr>
          <w:rFonts w:asciiTheme="minorHAnsi" w:eastAsiaTheme="minorEastAsia" w:hAnsiTheme="minorHAnsi"/>
          <w:noProof/>
          <w:sz w:val="22"/>
        </w:rPr>
      </w:pPr>
      <w:hyperlink w:anchor="_Toc121265850" w:history="1">
        <w:r w:rsidR="00C84822" w:rsidRPr="00221DFF">
          <w:rPr>
            <w:rStyle w:val="Hyperlink"/>
            <w:noProof/>
          </w:rPr>
          <w:t>Figure 7: Principal Stresses. Modified from (Espinoza, 2020)</w:t>
        </w:r>
        <w:r w:rsidR="00C84822">
          <w:rPr>
            <w:noProof/>
            <w:webHidden/>
          </w:rPr>
          <w:tab/>
        </w:r>
        <w:r w:rsidR="00C84822">
          <w:rPr>
            <w:noProof/>
            <w:webHidden/>
          </w:rPr>
          <w:fldChar w:fldCharType="begin"/>
        </w:r>
        <w:r w:rsidR="00C84822">
          <w:rPr>
            <w:noProof/>
            <w:webHidden/>
          </w:rPr>
          <w:instrText xml:space="preserve"> PAGEREF _Toc121265850 \h </w:instrText>
        </w:r>
        <w:r w:rsidR="00C84822">
          <w:rPr>
            <w:noProof/>
            <w:webHidden/>
          </w:rPr>
        </w:r>
        <w:r w:rsidR="00C84822">
          <w:rPr>
            <w:noProof/>
            <w:webHidden/>
          </w:rPr>
          <w:fldChar w:fldCharType="separate"/>
        </w:r>
        <w:r w:rsidR="00955725">
          <w:rPr>
            <w:noProof/>
            <w:webHidden/>
          </w:rPr>
          <w:t>16</w:t>
        </w:r>
        <w:r w:rsidR="00C84822">
          <w:rPr>
            <w:noProof/>
            <w:webHidden/>
          </w:rPr>
          <w:fldChar w:fldCharType="end"/>
        </w:r>
      </w:hyperlink>
    </w:p>
    <w:p w14:paraId="1954BD2F" w14:textId="02D9EBF6" w:rsidR="00C84822" w:rsidRDefault="00000000">
      <w:pPr>
        <w:pStyle w:val="TableofFigures"/>
        <w:tabs>
          <w:tab w:val="right" w:leader="dot" w:pos="9350"/>
        </w:tabs>
        <w:rPr>
          <w:rFonts w:asciiTheme="minorHAnsi" w:eastAsiaTheme="minorEastAsia" w:hAnsiTheme="minorHAnsi"/>
          <w:noProof/>
          <w:sz w:val="22"/>
        </w:rPr>
      </w:pPr>
      <w:hyperlink w:anchor="_Toc121265851" w:history="1">
        <w:r w:rsidR="00C84822" w:rsidRPr="00221DFF">
          <w:rPr>
            <w:rStyle w:val="Hyperlink"/>
            <w:noProof/>
          </w:rPr>
          <w:t>Figure 8: Different Stress Regimes. Modified from  (Jaffar &amp; Abdulnaby, 2018)</w:t>
        </w:r>
        <w:r w:rsidR="00C84822">
          <w:rPr>
            <w:noProof/>
            <w:webHidden/>
          </w:rPr>
          <w:tab/>
        </w:r>
        <w:r w:rsidR="00C84822">
          <w:rPr>
            <w:noProof/>
            <w:webHidden/>
          </w:rPr>
          <w:fldChar w:fldCharType="begin"/>
        </w:r>
        <w:r w:rsidR="00C84822">
          <w:rPr>
            <w:noProof/>
            <w:webHidden/>
          </w:rPr>
          <w:instrText xml:space="preserve"> PAGEREF _Toc121265851 \h </w:instrText>
        </w:r>
        <w:r w:rsidR="00C84822">
          <w:rPr>
            <w:noProof/>
            <w:webHidden/>
          </w:rPr>
        </w:r>
        <w:r w:rsidR="00C84822">
          <w:rPr>
            <w:noProof/>
            <w:webHidden/>
          </w:rPr>
          <w:fldChar w:fldCharType="separate"/>
        </w:r>
        <w:r w:rsidR="00955725">
          <w:rPr>
            <w:noProof/>
            <w:webHidden/>
          </w:rPr>
          <w:t>17</w:t>
        </w:r>
        <w:r w:rsidR="00C84822">
          <w:rPr>
            <w:noProof/>
            <w:webHidden/>
          </w:rPr>
          <w:fldChar w:fldCharType="end"/>
        </w:r>
      </w:hyperlink>
    </w:p>
    <w:p w14:paraId="62EA8093" w14:textId="4D23F7C3" w:rsidR="00C84822" w:rsidRDefault="00000000">
      <w:pPr>
        <w:pStyle w:val="TableofFigures"/>
        <w:tabs>
          <w:tab w:val="right" w:leader="dot" w:pos="9350"/>
        </w:tabs>
        <w:rPr>
          <w:rFonts w:asciiTheme="minorHAnsi" w:eastAsiaTheme="minorEastAsia" w:hAnsiTheme="minorHAnsi"/>
          <w:noProof/>
          <w:sz w:val="22"/>
        </w:rPr>
      </w:pPr>
      <w:hyperlink w:anchor="_Toc121265852" w:history="1">
        <w:r w:rsidR="00C84822" w:rsidRPr="00221DFF">
          <w:rPr>
            <w:rStyle w:val="Hyperlink"/>
            <w:noProof/>
          </w:rPr>
          <w:t>Figure 9: Stress polygon approach for in situ stress determination in SOSAT. Modified from (Appriou, 2019)</w:t>
        </w:r>
        <w:r w:rsidR="00C84822">
          <w:rPr>
            <w:noProof/>
            <w:webHidden/>
          </w:rPr>
          <w:tab/>
        </w:r>
        <w:r w:rsidR="00C84822">
          <w:rPr>
            <w:noProof/>
            <w:webHidden/>
          </w:rPr>
          <w:fldChar w:fldCharType="begin"/>
        </w:r>
        <w:r w:rsidR="00C84822">
          <w:rPr>
            <w:noProof/>
            <w:webHidden/>
          </w:rPr>
          <w:instrText xml:space="preserve"> PAGEREF _Toc121265852 \h </w:instrText>
        </w:r>
        <w:r w:rsidR="00C84822">
          <w:rPr>
            <w:noProof/>
            <w:webHidden/>
          </w:rPr>
        </w:r>
        <w:r w:rsidR="00C84822">
          <w:rPr>
            <w:noProof/>
            <w:webHidden/>
          </w:rPr>
          <w:fldChar w:fldCharType="separate"/>
        </w:r>
        <w:r w:rsidR="00955725">
          <w:rPr>
            <w:noProof/>
            <w:webHidden/>
          </w:rPr>
          <w:t>19</w:t>
        </w:r>
        <w:r w:rsidR="00C84822">
          <w:rPr>
            <w:noProof/>
            <w:webHidden/>
          </w:rPr>
          <w:fldChar w:fldCharType="end"/>
        </w:r>
      </w:hyperlink>
    </w:p>
    <w:p w14:paraId="595372B3" w14:textId="207C94D5" w:rsidR="00C84822" w:rsidRDefault="00000000">
      <w:pPr>
        <w:pStyle w:val="TableofFigures"/>
        <w:tabs>
          <w:tab w:val="right" w:leader="dot" w:pos="9350"/>
        </w:tabs>
        <w:rPr>
          <w:rFonts w:asciiTheme="minorHAnsi" w:eastAsiaTheme="minorEastAsia" w:hAnsiTheme="minorHAnsi"/>
          <w:noProof/>
          <w:sz w:val="22"/>
        </w:rPr>
      </w:pPr>
      <w:hyperlink w:anchor="_Toc121265853" w:history="1">
        <w:r w:rsidR="00C84822" w:rsidRPr="00221DFF">
          <w:rPr>
            <w:rStyle w:val="Hyperlink"/>
            <w:noProof/>
          </w:rPr>
          <w:t>Figure 10:An example of inputs and outputs of a Bayesian network (Wikipedia, 2022)</w:t>
        </w:r>
        <w:r w:rsidR="00C84822">
          <w:rPr>
            <w:noProof/>
            <w:webHidden/>
          </w:rPr>
          <w:tab/>
        </w:r>
        <w:r w:rsidR="00C84822">
          <w:rPr>
            <w:noProof/>
            <w:webHidden/>
          </w:rPr>
          <w:fldChar w:fldCharType="begin"/>
        </w:r>
        <w:r w:rsidR="00C84822">
          <w:rPr>
            <w:noProof/>
            <w:webHidden/>
          </w:rPr>
          <w:instrText xml:space="preserve"> PAGEREF _Toc121265853 \h </w:instrText>
        </w:r>
        <w:r w:rsidR="00C84822">
          <w:rPr>
            <w:noProof/>
            <w:webHidden/>
          </w:rPr>
        </w:r>
        <w:r w:rsidR="00C84822">
          <w:rPr>
            <w:noProof/>
            <w:webHidden/>
          </w:rPr>
          <w:fldChar w:fldCharType="separate"/>
        </w:r>
        <w:r w:rsidR="00955725">
          <w:rPr>
            <w:noProof/>
            <w:webHidden/>
          </w:rPr>
          <w:t>23</w:t>
        </w:r>
        <w:r w:rsidR="00C84822">
          <w:rPr>
            <w:noProof/>
            <w:webHidden/>
          </w:rPr>
          <w:fldChar w:fldCharType="end"/>
        </w:r>
      </w:hyperlink>
    </w:p>
    <w:p w14:paraId="71641B0F" w14:textId="039D1E32" w:rsidR="00C84822" w:rsidRDefault="00000000">
      <w:pPr>
        <w:pStyle w:val="TableofFigures"/>
        <w:tabs>
          <w:tab w:val="right" w:leader="dot" w:pos="9350"/>
        </w:tabs>
        <w:rPr>
          <w:rFonts w:asciiTheme="minorHAnsi" w:eastAsiaTheme="minorEastAsia" w:hAnsiTheme="minorHAnsi"/>
          <w:noProof/>
          <w:sz w:val="22"/>
        </w:rPr>
      </w:pPr>
      <w:hyperlink w:anchor="_Toc121265854" w:history="1">
        <w:r w:rsidR="00C84822" w:rsidRPr="00221DFF">
          <w:rPr>
            <w:rStyle w:val="Hyperlink"/>
            <w:noProof/>
          </w:rPr>
          <w:t>Figure 11: Stress as Joint Probabilities. Modified from (Burghardt, SOSAT, 2021)</w:t>
        </w:r>
        <w:r w:rsidR="00C84822">
          <w:rPr>
            <w:noProof/>
            <w:webHidden/>
          </w:rPr>
          <w:tab/>
        </w:r>
        <w:r w:rsidR="00C84822">
          <w:rPr>
            <w:noProof/>
            <w:webHidden/>
          </w:rPr>
          <w:fldChar w:fldCharType="begin"/>
        </w:r>
        <w:r w:rsidR="00C84822">
          <w:rPr>
            <w:noProof/>
            <w:webHidden/>
          </w:rPr>
          <w:instrText xml:space="preserve"> PAGEREF _Toc121265854 \h </w:instrText>
        </w:r>
        <w:r w:rsidR="00C84822">
          <w:rPr>
            <w:noProof/>
            <w:webHidden/>
          </w:rPr>
        </w:r>
        <w:r w:rsidR="00C84822">
          <w:rPr>
            <w:noProof/>
            <w:webHidden/>
          </w:rPr>
          <w:fldChar w:fldCharType="separate"/>
        </w:r>
        <w:r w:rsidR="00955725">
          <w:rPr>
            <w:noProof/>
            <w:webHidden/>
          </w:rPr>
          <w:t>26</w:t>
        </w:r>
        <w:r w:rsidR="00C84822">
          <w:rPr>
            <w:noProof/>
            <w:webHidden/>
          </w:rPr>
          <w:fldChar w:fldCharType="end"/>
        </w:r>
      </w:hyperlink>
    </w:p>
    <w:p w14:paraId="286F0D14" w14:textId="2974728B" w:rsidR="00C84822" w:rsidRDefault="00000000">
      <w:pPr>
        <w:pStyle w:val="TableofFigures"/>
        <w:tabs>
          <w:tab w:val="right" w:leader="dot" w:pos="9350"/>
        </w:tabs>
        <w:rPr>
          <w:rFonts w:asciiTheme="minorHAnsi" w:eastAsiaTheme="minorEastAsia" w:hAnsiTheme="minorHAnsi"/>
          <w:noProof/>
          <w:sz w:val="22"/>
        </w:rPr>
      </w:pPr>
      <w:hyperlink w:anchor="_Toc121265855" w:history="1">
        <w:r w:rsidR="00C84822" w:rsidRPr="00221DFF">
          <w:rPr>
            <w:rStyle w:val="Hyperlink"/>
            <w:noProof/>
          </w:rPr>
          <w:t>Figure 12: Map of Arbuckle Group. Modified from (Birdie, et al., Assessing Induced Seismicity Risk at the Wellington Geologic Sequestration Site, 2022)</w:t>
        </w:r>
        <w:r w:rsidR="00C84822">
          <w:rPr>
            <w:noProof/>
            <w:webHidden/>
          </w:rPr>
          <w:tab/>
        </w:r>
        <w:r w:rsidR="00C84822">
          <w:rPr>
            <w:noProof/>
            <w:webHidden/>
          </w:rPr>
          <w:fldChar w:fldCharType="begin"/>
        </w:r>
        <w:r w:rsidR="00C84822">
          <w:rPr>
            <w:noProof/>
            <w:webHidden/>
          </w:rPr>
          <w:instrText xml:space="preserve"> PAGEREF _Toc121265855 \h </w:instrText>
        </w:r>
        <w:r w:rsidR="00C84822">
          <w:rPr>
            <w:noProof/>
            <w:webHidden/>
          </w:rPr>
        </w:r>
        <w:r w:rsidR="00C84822">
          <w:rPr>
            <w:noProof/>
            <w:webHidden/>
          </w:rPr>
          <w:fldChar w:fldCharType="separate"/>
        </w:r>
        <w:r w:rsidR="00955725">
          <w:rPr>
            <w:noProof/>
            <w:webHidden/>
          </w:rPr>
          <w:t>29</w:t>
        </w:r>
        <w:r w:rsidR="00C84822">
          <w:rPr>
            <w:noProof/>
            <w:webHidden/>
          </w:rPr>
          <w:fldChar w:fldCharType="end"/>
        </w:r>
      </w:hyperlink>
    </w:p>
    <w:p w14:paraId="47559135" w14:textId="0677074D" w:rsidR="00C84822" w:rsidRDefault="00000000">
      <w:pPr>
        <w:pStyle w:val="TableofFigures"/>
        <w:tabs>
          <w:tab w:val="right" w:leader="dot" w:pos="9350"/>
        </w:tabs>
        <w:rPr>
          <w:rFonts w:asciiTheme="minorHAnsi" w:eastAsiaTheme="minorEastAsia" w:hAnsiTheme="minorHAnsi"/>
          <w:noProof/>
          <w:sz w:val="22"/>
        </w:rPr>
      </w:pPr>
      <w:hyperlink w:anchor="_Toc121265856" w:history="1">
        <w:r w:rsidR="00C84822" w:rsidRPr="00221DFF">
          <w:rPr>
            <w:rStyle w:val="Hyperlink"/>
            <w:noProof/>
          </w:rPr>
          <w:t>Figure 13: Location of Disposal Wells</w:t>
        </w:r>
        <w:r w:rsidR="00C84822">
          <w:rPr>
            <w:noProof/>
            <w:webHidden/>
          </w:rPr>
          <w:tab/>
        </w:r>
        <w:r w:rsidR="00C84822">
          <w:rPr>
            <w:noProof/>
            <w:webHidden/>
          </w:rPr>
          <w:fldChar w:fldCharType="begin"/>
        </w:r>
        <w:r w:rsidR="00C84822">
          <w:rPr>
            <w:noProof/>
            <w:webHidden/>
          </w:rPr>
          <w:instrText xml:space="preserve"> PAGEREF _Toc121265856 \h </w:instrText>
        </w:r>
        <w:r w:rsidR="00C84822">
          <w:rPr>
            <w:noProof/>
            <w:webHidden/>
          </w:rPr>
        </w:r>
        <w:r w:rsidR="00C84822">
          <w:rPr>
            <w:noProof/>
            <w:webHidden/>
          </w:rPr>
          <w:fldChar w:fldCharType="separate"/>
        </w:r>
        <w:r w:rsidR="00955725">
          <w:rPr>
            <w:noProof/>
            <w:webHidden/>
          </w:rPr>
          <w:t>30</w:t>
        </w:r>
        <w:r w:rsidR="00C84822">
          <w:rPr>
            <w:noProof/>
            <w:webHidden/>
          </w:rPr>
          <w:fldChar w:fldCharType="end"/>
        </w:r>
      </w:hyperlink>
    </w:p>
    <w:p w14:paraId="38B06908" w14:textId="380FBBA8" w:rsidR="00C84822" w:rsidRDefault="00000000">
      <w:pPr>
        <w:pStyle w:val="TableofFigures"/>
        <w:tabs>
          <w:tab w:val="right" w:leader="dot" w:pos="9350"/>
        </w:tabs>
        <w:rPr>
          <w:rFonts w:asciiTheme="minorHAnsi" w:eastAsiaTheme="minorEastAsia" w:hAnsiTheme="minorHAnsi"/>
          <w:noProof/>
          <w:sz w:val="22"/>
        </w:rPr>
      </w:pPr>
      <w:hyperlink w:anchor="_Toc121265857" w:history="1">
        <w:r w:rsidR="00C84822" w:rsidRPr="00221DFF">
          <w:rPr>
            <w:rStyle w:val="Hyperlink"/>
            <w:noProof/>
          </w:rPr>
          <w:t>Figure 14: Clustering algorithms. Modified from (Wikipedia, Cluster analysis, 2022)</w:t>
        </w:r>
        <w:r w:rsidR="00C84822">
          <w:rPr>
            <w:noProof/>
            <w:webHidden/>
          </w:rPr>
          <w:tab/>
        </w:r>
        <w:r w:rsidR="00C84822">
          <w:rPr>
            <w:noProof/>
            <w:webHidden/>
          </w:rPr>
          <w:fldChar w:fldCharType="begin"/>
        </w:r>
        <w:r w:rsidR="00C84822">
          <w:rPr>
            <w:noProof/>
            <w:webHidden/>
          </w:rPr>
          <w:instrText xml:space="preserve"> PAGEREF _Toc121265857 \h </w:instrText>
        </w:r>
        <w:r w:rsidR="00C84822">
          <w:rPr>
            <w:noProof/>
            <w:webHidden/>
          </w:rPr>
        </w:r>
        <w:r w:rsidR="00C84822">
          <w:rPr>
            <w:noProof/>
            <w:webHidden/>
          </w:rPr>
          <w:fldChar w:fldCharType="separate"/>
        </w:r>
        <w:r w:rsidR="00955725">
          <w:rPr>
            <w:noProof/>
            <w:webHidden/>
          </w:rPr>
          <w:t>37</w:t>
        </w:r>
        <w:r w:rsidR="00C84822">
          <w:rPr>
            <w:noProof/>
            <w:webHidden/>
          </w:rPr>
          <w:fldChar w:fldCharType="end"/>
        </w:r>
      </w:hyperlink>
    </w:p>
    <w:p w14:paraId="62BA3C62" w14:textId="441FF41D" w:rsidR="00C84822" w:rsidRDefault="00000000">
      <w:pPr>
        <w:pStyle w:val="TableofFigures"/>
        <w:tabs>
          <w:tab w:val="right" w:leader="dot" w:pos="9350"/>
        </w:tabs>
        <w:rPr>
          <w:rFonts w:asciiTheme="minorHAnsi" w:eastAsiaTheme="minorEastAsia" w:hAnsiTheme="minorHAnsi"/>
          <w:noProof/>
          <w:sz w:val="22"/>
        </w:rPr>
      </w:pPr>
      <w:hyperlink w:anchor="_Toc121265858" w:history="1">
        <w:r w:rsidR="00C84822" w:rsidRPr="00221DFF">
          <w:rPr>
            <w:rStyle w:val="Hyperlink"/>
            <w:noProof/>
          </w:rPr>
          <w:t>Figure 15: Seismic Events in Catalogue</w:t>
        </w:r>
        <w:r w:rsidR="00C84822">
          <w:rPr>
            <w:noProof/>
            <w:webHidden/>
          </w:rPr>
          <w:tab/>
        </w:r>
        <w:r w:rsidR="00C84822">
          <w:rPr>
            <w:noProof/>
            <w:webHidden/>
          </w:rPr>
          <w:fldChar w:fldCharType="begin"/>
        </w:r>
        <w:r w:rsidR="00C84822">
          <w:rPr>
            <w:noProof/>
            <w:webHidden/>
          </w:rPr>
          <w:instrText xml:space="preserve"> PAGEREF _Toc121265858 \h </w:instrText>
        </w:r>
        <w:r w:rsidR="00C84822">
          <w:rPr>
            <w:noProof/>
            <w:webHidden/>
          </w:rPr>
        </w:r>
        <w:r w:rsidR="00C84822">
          <w:rPr>
            <w:noProof/>
            <w:webHidden/>
          </w:rPr>
          <w:fldChar w:fldCharType="separate"/>
        </w:r>
        <w:r w:rsidR="00955725">
          <w:rPr>
            <w:noProof/>
            <w:webHidden/>
          </w:rPr>
          <w:t>40</w:t>
        </w:r>
        <w:r w:rsidR="00C84822">
          <w:rPr>
            <w:noProof/>
            <w:webHidden/>
          </w:rPr>
          <w:fldChar w:fldCharType="end"/>
        </w:r>
      </w:hyperlink>
    </w:p>
    <w:p w14:paraId="1DAB6BB2" w14:textId="1E3A6FF6" w:rsidR="00C84822" w:rsidRDefault="00000000">
      <w:pPr>
        <w:pStyle w:val="TableofFigures"/>
        <w:tabs>
          <w:tab w:val="right" w:leader="dot" w:pos="9350"/>
        </w:tabs>
        <w:rPr>
          <w:rFonts w:asciiTheme="minorHAnsi" w:eastAsiaTheme="minorEastAsia" w:hAnsiTheme="minorHAnsi"/>
          <w:noProof/>
          <w:sz w:val="22"/>
        </w:rPr>
      </w:pPr>
      <w:hyperlink w:anchor="_Toc121265859" w:history="1">
        <w:r w:rsidR="00C84822" w:rsidRPr="00221DFF">
          <w:rPr>
            <w:rStyle w:val="Hyperlink"/>
            <w:noProof/>
          </w:rPr>
          <w:t>Figure 16: Missingness map for seismic data showing attributes with more than 20% missing value</w:t>
        </w:r>
        <w:r w:rsidR="00C84822">
          <w:rPr>
            <w:noProof/>
            <w:webHidden/>
          </w:rPr>
          <w:tab/>
        </w:r>
        <w:r w:rsidR="00C84822">
          <w:rPr>
            <w:noProof/>
            <w:webHidden/>
          </w:rPr>
          <w:fldChar w:fldCharType="begin"/>
        </w:r>
        <w:r w:rsidR="00C84822">
          <w:rPr>
            <w:noProof/>
            <w:webHidden/>
          </w:rPr>
          <w:instrText xml:space="preserve"> PAGEREF _Toc121265859 \h </w:instrText>
        </w:r>
        <w:r w:rsidR="00C84822">
          <w:rPr>
            <w:noProof/>
            <w:webHidden/>
          </w:rPr>
        </w:r>
        <w:r w:rsidR="00C84822">
          <w:rPr>
            <w:noProof/>
            <w:webHidden/>
          </w:rPr>
          <w:fldChar w:fldCharType="separate"/>
        </w:r>
        <w:r w:rsidR="00955725">
          <w:rPr>
            <w:noProof/>
            <w:webHidden/>
          </w:rPr>
          <w:t>40</w:t>
        </w:r>
        <w:r w:rsidR="00C84822">
          <w:rPr>
            <w:noProof/>
            <w:webHidden/>
          </w:rPr>
          <w:fldChar w:fldCharType="end"/>
        </w:r>
      </w:hyperlink>
    </w:p>
    <w:p w14:paraId="544F5B50" w14:textId="0D36AF89" w:rsidR="00C84822" w:rsidRDefault="00000000">
      <w:pPr>
        <w:pStyle w:val="TableofFigures"/>
        <w:tabs>
          <w:tab w:val="right" w:leader="dot" w:pos="9350"/>
        </w:tabs>
        <w:rPr>
          <w:rFonts w:asciiTheme="minorHAnsi" w:eastAsiaTheme="minorEastAsia" w:hAnsiTheme="minorHAnsi"/>
          <w:noProof/>
          <w:sz w:val="22"/>
        </w:rPr>
      </w:pPr>
      <w:hyperlink w:anchor="_Toc121265860" w:history="1">
        <w:r w:rsidR="00C84822" w:rsidRPr="00221DFF">
          <w:rPr>
            <w:rStyle w:val="Hyperlink"/>
            <w:noProof/>
          </w:rPr>
          <w:t>Figure 17: Number of seismic events from 1975 to 2018</w:t>
        </w:r>
        <w:r w:rsidR="00C84822">
          <w:rPr>
            <w:noProof/>
            <w:webHidden/>
          </w:rPr>
          <w:tab/>
        </w:r>
        <w:r w:rsidR="00C84822">
          <w:rPr>
            <w:noProof/>
            <w:webHidden/>
          </w:rPr>
          <w:fldChar w:fldCharType="begin"/>
        </w:r>
        <w:r w:rsidR="00C84822">
          <w:rPr>
            <w:noProof/>
            <w:webHidden/>
          </w:rPr>
          <w:instrText xml:space="preserve"> PAGEREF _Toc121265860 \h </w:instrText>
        </w:r>
        <w:r w:rsidR="00C84822">
          <w:rPr>
            <w:noProof/>
            <w:webHidden/>
          </w:rPr>
        </w:r>
        <w:r w:rsidR="00C84822">
          <w:rPr>
            <w:noProof/>
            <w:webHidden/>
          </w:rPr>
          <w:fldChar w:fldCharType="separate"/>
        </w:r>
        <w:r w:rsidR="00955725">
          <w:rPr>
            <w:noProof/>
            <w:webHidden/>
          </w:rPr>
          <w:t>41</w:t>
        </w:r>
        <w:r w:rsidR="00C84822">
          <w:rPr>
            <w:noProof/>
            <w:webHidden/>
          </w:rPr>
          <w:fldChar w:fldCharType="end"/>
        </w:r>
      </w:hyperlink>
    </w:p>
    <w:p w14:paraId="036EE921" w14:textId="33E22602" w:rsidR="00C84822" w:rsidRDefault="00000000">
      <w:pPr>
        <w:pStyle w:val="TableofFigures"/>
        <w:tabs>
          <w:tab w:val="right" w:leader="dot" w:pos="9350"/>
        </w:tabs>
        <w:rPr>
          <w:rFonts w:asciiTheme="minorHAnsi" w:eastAsiaTheme="minorEastAsia" w:hAnsiTheme="minorHAnsi"/>
          <w:noProof/>
          <w:sz w:val="22"/>
        </w:rPr>
      </w:pPr>
      <w:hyperlink w:anchor="_Toc121265861" w:history="1">
        <w:r w:rsidR="00C84822" w:rsidRPr="00221DFF">
          <w:rPr>
            <w:rStyle w:val="Hyperlink"/>
            <w:noProof/>
          </w:rPr>
          <w:t>Figure 18: K for Clustering Earthquakes</w:t>
        </w:r>
        <w:r w:rsidR="00C84822">
          <w:rPr>
            <w:noProof/>
            <w:webHidden/>
          </w:rPr>
          <w:tab/>
        </w:r>
        <w:r w:rsidR="00C84822">
          <w:rPr>
            <w:noProof/>
            <w:webHidden/>
          </w:rPr>
          <w:fldChar w:fldCharType="begin"/>
        </w:r>
        <w:r w:rsidR="00C84822">
          <w:rPr>
            <w:noProof/>
            <w:webHidden/>
          </w:rPr>
          <w:instrText xml:space="preserve"> PAGEREF _Toc121265861 \h </w:instrText>
        </w:r>
        <w:r w:rsidR="00C84822">
          <w:rPr>
            <w:noProof/>
            <w:webHidden/>
          </w:rPr>
        </w:r>
        <w:r w:rsidR="00C84822">
          <w:rPr>
            <w:noProof/>
            <w:webHidden/>
          </w:rPr>
          <w:fldChar w:fldCharType="separate"/>
        </w:r>
        <w:r w:rsidR="00955725">
          <w:rPr>
            <w:noProof/>
            <w:webHidden/>
          </w:rPr>
          <w:t>42</w:t>
        </w:r>
        <w:r w:rsidR="00C84822">
          <w:rPr>
            <w:noProof/>
            <w:webHidden/>
          </w:rPr>
          <w:fldChar w:fldCharType="end"/>
        </w:r>
      </w:hyperlink>
    </w:p>
    <w:p w14:paraId="50F23B07" w14:textId="7016E5BE" w:rsidR="00C84822" w:rsidRDefault="00000000">
      <w:pPr>
        <w:pStyle w:val="TableofFigures"/>
        <w:tabs>
          <w:tab w:val="right" w:leader="dot" w:pos="9350"/>
        </w:tabs>
        <w:rPr>
          <w:rFonts w:asciiTheme="minorHAnsi" w:eastAsiaTheme="minorEastAsia" w:hAnsiTheme="minorHAnsi"/>
          <w:noProof/>
          <w:sz w:val="22"/>
        </w:rPr>
      </w:pPr>
      <w:hyperlink w:anchor="_Toc121265862" w:history="1">
        <w:r w:rsidR="00C84822" w:rsidRPr="00221DFF">
          <w:rPr>
            <w:rStyle w:val="Hyperlink"/>
            <w:noProof/>
          </w:rPr>
          <w:t>Figure 19: Cluster analysis of seismic events</w:t>
        </w:r>
        <w:r w:rsidR="00C84822">
          <w:rPr>
            <w:noProof/>
            <w:webHidden/>
          </w:rPr>
          <w:tab/>
        </w:r>
        <w:r w:rsidR="00C84822">
          <w:rPr>
            <w:noProof/>
            <w:webHidden/>
          </w:rPr>
          <w:fldChar w:fldCharType="begin"/>
        </w:r>
        <w:r w:rsidR="00C84822">
          <w:rPr>
            <w:noProof/>
            <w:webHidden/>
          </w:rPr>
          <w:instrText xml:space="preserve"> PAGEREF _Toc121265862 \h </w:instrText>
        </w:r>
        <w:r w:rsidR="00C84822">
          <w:rPr>
            <w:noProof/>
            <w:webHidden/>
          </w:rPr>
        </w:r>
        <w:r w:rsidR="00C84822">
          <w:rPr>
            <w:noProof/>
            <w:webHidden/>
          </w:rPr>
          <w:fldChar w:fldCharType="separate"/>
        </w:r>
        <w:r w:rsidR="00955725">
          <w:rPr>
            <w:noProof/>
            <w:webHidden/>
          </w:rPr>
          <w:t>43</w:t>
        </w:r>
        <w:r w:rsidR="00C84822">
          <w:rPr>
            <w:noProof/>
            <w:webHidden/>
          </w:rPr>
          <w:fldChar w:fldCharType="end"/>
        </w:r>
      </w:hyperlink>
    </w:p>
    <w:p w14:paraId="77CF638A" w14:textId="606FFB22" w:rsidR="00C84822" w:rsidRDefault="00000000">
      <w:pPr>
        <w:pStyle w:val="TableofFigures"/>
        <w:tabs>
          <w:tab w:val="right" w:leader="dot" w:pos="9350"/>
        </w:tabs>
        <w:rPr>
          <w:rFonts w:asciiTheme="minorHAnsi" w:eastAsiaTheme="minorEastAsia" w:hAnsiTheme="minorHAnsi"/>
          <w:noProof/>
          <w:sz w:val="22"/>
        </w:rPr>
      </w:pPr>
      <w:hyperlink w:anchor="_Toc121265863" w:history="1">
        <w:r w:rsidR="00C84822" w:rsidRPr="00221DFF">
          <w:rPr>
            <w:rStyle w:val="Hyperlink"/>
            <w:noProof/>
          </w:rPr>
          <w:t>Figure 20: Injection wells in catalogue</w:t>
        </w:r>
        <w:r w:rsidR="00C84822">
          <w:rPr>
            <w:noProof/>
            <w:webHidden/>
          </w:rPr>
          <w:tab/>
        </w:r>
        <w:r w:rsidR="00C84822">
          <w:rPr>
            <w:noProof/>
            <w:webHidden/>
          </w:rPr>
          <w:fldChar w:fldCharType="begin"/>
        </w:r>
        <w:r w:rsidR="00C84822">
          <w:rPr>
            <w:noProof/>
            <w:webHidden/>
          </w:rPr>
          <w:instrText xml:space="preserve"> PAGEREF _Toc121265863 \h </w:instrText>
        </w:r>
        <w:r w:rsidR="00C84822">
          <w:rPr>
            <w:noProof/>
            <w:webHidden/>
          </w:rPr>
        </w:r>
        <w:r w:rsidR="00C84822">
          <w:rPr>
            <w:noProof/>
            <w:webHidden/>
          </w:rPr>
          <w:fldChar w:fldCharType="separate"/>
        </w:r>
        <w:r w:rsidR="00955725">
          <w:rPr>
            <w:noProof/>
            <w:webHidden/>
          </w:rPr>
          <w:t>44</w:t>
        </w:r>
        <w:r w:rsidR="00C84822">
          <w:rPr>
            <w:noProof/>
            <w:webHidden/>
          </w:rPr>
          <w:fldChar w:fldCharType="end"/>
        </w:r>
      </w:hyperlink>
    </w:p>
    <w:p w14:paraId="6A2AA9D4" w14:textId="4566B376" w:rsidR="00C84822" w:rsidRDefault="00000000">
      <w:pPr>
        <w:pStyle w:val="TableofFigures"/>
        <w:tabs>
          <w:tab w:val="right" w:leader="dot" w:pos="9350"/>
        </w:tabs>
        <w:rPr>
          <w:rFonts w:asciiTheme="minorHAnsi" w:eastAsiaTheme="minorEastAsia" w:hAnsiTheme="minorHAnsi"/>
          <w:noProof/>
          <w:sz w:val="22"/>
        </w:rPr>
      </w:pPr>
      <w:hyperlink w:anchor="_Toc121265864" w:history="1">
        <w:r w:rsidR="00C84822" w:rsidRPr="00221DFF">
          <w:rPr>
            <w:rStyle w:val="Hyperlink"/>
            <w:noProof/>
          </w:rPr>
          <w:t>Figure 21: Missingness map for seismic data showing attributes with more than 20% missing value</w:t>
        </w:r>
        <w:r w:rsidR="00C84822">
          <w:rPr>
            <w:noProof/>
            <w:webHidden/>
          </w:rPr>
          <w:tab/>
        </w:r>
        <w:r w:rsidR="00C84822">
          <w:rPr>
            <w:noProof/>
            <w:webHidden/>
          </w:rPr>
          <w:fldChar w:fldCharType="begin"/>
        </w:r>
        <w:r w:rsidR="00C84822">
          <w:rPr>
            <w:noProof/>
            <w:webHidden/>
          </w:rPr>
          <w:instrText xml:space="preserve"> PAGEREF _Toc121265864 \h </w:instrText>
        </w:r>
        <w:r w:rsidR="00C84822">
          <w:rPr>
            <w:noProof/>
            <w:webHidden/>
          </w:rPr>
        </w:r>
        <w:r w:rsidR="00C84822">
          <w:rPr>
            <w:noProof/>
            <w:webHidden/>
          </w:rPr>
          <w:fldChar w:fldCharType="separate"/>
        </w:r>
        <w:r w:rsidR="00955725">
          <w:rPr>
            <w:noProof/>
            <w:webHidden/>
          </w:rPr>
          <w:t>45</w:t>
        </w:r>
        <w:r w:rsidR="00C84822">
          <w:rPr>
            <w:noProof/>
            <w:webHidden/>
          </w:rPr>
          <w:fldChar w:fldCharType="end"/>
        </w:r>
      </w:hyperlink>
    </w:p>
    <w:p w14:paraId="01C21E3C" w14:textId="5B5B375D" w:rsidR="00C84822" w:rsidRDefault="00000000">
      <w:pPr>
        <w:pStyle w:val="TableofFigures"/>
        <w:tabs>
          <w:tab w:val="right" w:leader="dot" w:pos="9350"/>
        </w:tabs>
        <w:rPr>
          <w:rFonts w:asciiTheme="minorHAnsi" w:eastAsiaTheme="minorEastAsia" w:hAnsiTheme="minorHAnsi"/>
          <w:noProof/>
          <w:sz w:val="22"/>
        </w:rPr>
      </w:pPr>
      <w:hyperlink w:anchor="_Toc121265865" w:history="1">
        <w:r w:rsidR="00C84822" w:rsidRPr="00221DFF">
          <w:rPr>
            <w:rStyle w:val="Hyperlink"/>
            <w:noProof/>
          </w:rPr>
          <w:t>Figure 22: K for Clustering Wells</w:t>
        </w:r>
        <w:r w:rsidR="00C84822">
          <w:rPr>
            <w:noProof/>
            <w:webHidden/>
          </w:rPr>
          <w:tab/>
        </w:r>
        <w:r w:rsidR="00C84822">
          <w:rPr>
            <w:noProof/>
            <w:webHidden/>
          </w:rPr>
          <w:fldChar w:fldCharType="begin"/>
        </w:r>
        <w:r w:rsidR="00C84822">
          <w:rPr>
            <w:noProof/>
            <w:webHidden/>
          </w:rPr>
          <w:instrText xml:space="preserve"> PAGEREF _Toc121265865 \h </w:instrText>
        </w:r>
        <w:r w:rsidR="00C84822">
          <w:rPr>
            <w:noProof/>
            <w:webHidden/>
          </w:rPr>
        </w:r>
        <w:r w:rsidR="00C84822">
          <w:rPr>
            <w:noProof/>
            <w:webHidden/>
          </w:rPr>
          <w:fldChar w:fldCharType="separate"/>
        </w:r>
        <w:r w:rsidR="00955725">
          <w:rPr>
            <w:noProof/>
            <w:webHidden/>
          </w:rPr>
          <w:t>45</w:t>
        </w:r>
        <w:r w:rsidR="00C84822">
          <w:rPr>
            <w:noProof/>
            <w:webHidden/>
          </w:rPr>
          <w:fldChar w:fldCharType="end"/>
        </w:r>
      </w:hyperlink>
    </w:p>
    <w:p w14:paraId="0F0E8CB6" w14:textId="09BB169E" w:rsidR="00C84822" w:rsidRDefault="00000000">
      <w:pPr>
        <w:pStyle w:val="TableofFigures"/>
        <w:tabs>
          <w:tab w:val="right" w:leader="dot" w:pos="9350"/>
        </w:tabs>
        <w:rPr>
          <w:rFonts w:asciiTheme="minorHAnsi" w:eastAsiaTheme="minorEastAsia" w:hAnsiTheme="minorHAnsi"/>
          <w:noProof/>
          <w:sz w:val="22"/>
        </w:rPr>
      </w:pPr>
      <w:hyperlink w:anchor="_Toc121265866" w:history="1">
        <w:r w:rsidR="00C84822" w:rsidRPr="00221DFF">
          <w:rPr>
            <w:rStyle w:val="Hyperlink"/>
            <w:noProof/>
          </w:rPr>
          <w:t>Figure 23: Cluster analysis of seismic events vs injection wells</w:t>
        </w:r>
        <w:r w:rsidR="00C84822">
          <w:rPr>
            <w:noProof/>
            <w:webHidden/>
          </w:rPr>
          <w:tab/>
        </w:r>
        <w:r w:rsidR="00C84822">
          <w:rPr>
            <w:noProof/>
            <w:webHidden/>
          </w:rPr>
          <w:fldChar w:fldCharType="begin"/>
        </w:r>
        <w:r w:rsidR="00C84822">
          <w:rPr>
            <w:noProof/>
            <w:webHidden/>
          </w:rPr>
          <w:instrText xml:space="preserve"> PAGEREF _Toc121265866 \h </w:instrText>
        </w:r>
        <w:r w:rsidR="00C84822">
          <w:rPr>
            <w:noProof/>
            <w:webHidden/>
          </w:rPr>
        </w:r>
        <w:r w:rsidR="00C84822">
          <w:rPr>
            <w:noProof/>
            <w:webHidden/>
          </w:rPr>
          <w:fldChar w:fldCharType="separate"/>
        </w:r>
        <w:r w:rsidR="00955725">
          <w:rPr>
            <w:noProof/>
            <w:webHidden/>
          </w:rPr>
          <w:t>46</w:t>
        </w:r>
        <w:r w:rsidR="00C84822">
          <w:rPr>
            <w:noProof/>
            <w:webHidden/>
          </w:rPr>
          <w:fldChar w:fldCharType="end"/>
        </w:r>
      </w:hyperlink>
    </w:p>
    <w:p w14:paraId="3C38DC57" w14:textId="0CDB5120" w:rsidR="00C84822" w:rsidRDefault="00000000">
      <w:pPr>
        <w:pStyle w:val="TableofFigures"/>
        <w:tabs>
          <w:tab w:val="right" w:leader="dot" w:pos="9350"/>
        </w:tabs>
        <w:rPr>
          <w:rFonts w:asciiTheme="minorHAnsi" w:eastAsiaTheme="minorEastAsia" w:hAnsiTheme="minorHAnsi"/>
          <w:noProof/>
          <w:sz w:val="22"/>
        </w:rPr>
      </w:pPr>
      <w:hyperlink w:anchor="_Toc121265867" w:history="1">
        <w:r w:rsidR="00C84822" w:rsidRPr="00221DFF">
          <w:rPr>
            <w:rStyle w:val="Hyperlink"/>
            <w:noProof/>
          </w:rPr>
          <w:t>Figure 24: Probability plot of the friction coefficient</w:t>
        </w:r>
        <w:r w:rsidR="00C84822">
          <w:rPr>
            <w:noProof/>
            <w:webHidden/>
          </w:rPr>
          <w:tab/>
        </w:r>
        <w:r w:rsidR="00C84822">
          <w:rPr>
            <w:noProof/>
            <w:webHidden/>
          </w:rPr>
          <w:fldChar w:fldCharType="begin"/>
        </w:r>
        <w:r w:rsidR="00C84822">
          <w:rPr>
            <w:noProof/>
            <w:webHidden/>
          </w:rPr>
          <w:instrText xml:space="preserve"> PAGEREF _Toc121265867 \h </w:instrText>
        </w:r>
        <w:r w:rsidR="00C84822">
          <w:rPr>
            <w:noProof/>
            <w:webHidden/>
          </w:rPr>
        </w:r>
        <w:r w:rsidR="00C84822">
          <w:rPr>
            <w:noProof/>
            <w:webHidden/>
          </w:rPr>
          <w:fldChar w:fldCharType="separate"/>
        </w:r>
        <w:r w:rsidR="00955725">
          <w:rPr>
            <w:noProof/>
            <w:webHidden/>
          </w:rPr>
          <w:t>47</w:t>
        </w:r>
        <w:r w:rsidR="00C84822">
          <w:rPr>
            <w:noProof/>
            <w:webHidden/>
          </w:rPr>
          <w:fldChar w:fldCharType="end"/>
        </w:r>
      </w:hyperlink>
    </w:p>
    <w:p w14:paraId="6C69C540" w14:textId="7BEF0B7C" w:rsidR="00C84822" w:rsidRDefault="00000000">
      <w:pPr>
        <w:pStyle w:val="TableofFigures"/>
        <w:tabs>
          <w:tab w:val="right" w:leader="dot" w:pos="9350"/>
        </w:tabs>
        <w:rPr>
          <w:rFonts w:asciiTheme="minorHAnsi" w:eastAsiaTheme="minorEastAsia" w:hAnsiTheme="minorHAnsi"/>
          <w:noProof/>
          <w:sz w:val="22"/>
        </w:rPr>
      </w:pPr>
      <w:hyperlink w:anchor="_Toc121265868" w:history="1">
        <w:r w:rsidR="00C84822" w:rsidRPr="00221DFF">
          <w:rPr>
            <w:rStyle w:val="Hyperlink"/>
            <w:noProof/>
          </w:rPr>
          <w:t>Figure 25: Assumption that all stresses are normal and have equal probabilities</w:t>
        </w:r>
        <w:r w:rsidR="00C84822">
          <w:rPr>
            <w:noProof/>
            <w:webHidden/>
          </w:rPr>
          <w:tab/>
        </w:r>
        <w:r w:rsidR="00C84822">
          <w:rPr>
            <w:noProof/>
            <w:webHidden/>
          </w:rPr>
          <w:fldChar w:fldCharType="begin"/>
        </w:r>
        <w:r w:rsidR="00C84822">
          <w:rPr>
            <w:noProof/>
            <w:webHidden/>
          </w:rPr>
          <w:instrText xml:space="preserve"> PAGEREF _Toc121265868 \h </w:instrText>
        </w:r>
        <w:r w:rsidR="00C84822">
          <w:rPr>
            <w:noProof/>
            <w:webHidden/>
          </w:rPr>
        </w:r>
        <w:r w:rsidR="00C84822">
          <w:rPr>
            <w:noProof/>
            <w:webHidden/>
          </w:rPr>
          <w:fldChar w:fldCharType="separate"/>
        </w:r>
        <w:r w:rsidR="00955725">
          <w:rPr>
            <w:noProof/>
            <w:webHidden/>
          </w:rPr>
          <w:t>48</w:t>
        </w:r>
        <w:r w:rsidR="00C84822">
          <w:rPr>
            <w:noProof/>
            <w:webHidden/>
          </w:rPr>
          <w:fldChar w:fldCharType="end"/>
        </w:r>
      </w:hyperlink>
    </w:p>
    <w:p w14:paraId="30C12BAD" w14:textId="2279A413" w:rsidR="00C84822" w:rsidRDefault="00000000">
      <w:pPr>
        <w:pStyle w:val="TableofFigures"/>
        <w:tabs>
          <w:tab w:val="right" w:leader="dot" w:pos="9350"/>
        </w:tabs>
        <w:rPr>
          <w:rFonts w:asciiTheme="minorHAnsi" w:eastAsiaTheme="minorEastAsia" w:hAnsiTheme="minorHAnsi"/>
          <w:noProof/>
          <w:sz w:val="22"/>
        </w:rPr>
      </w:pPr>
      <w:hyperlink w:anchor="_Toc121265869" w:history="1">
        <w:r w:rsidR="00C84822" w:rsidRPr="00221DFF">
          <w:rPr>
            <w:rStyle w:val="Hyperlink"/>
            <w:noProof/>
          </w:rPr>
          <w:t>Figure 26: Probability distribution of regional stress state information</w:t>
        </w:r>
        <w:r w:rsidR="00C84822">
          <w:rPr>
            <w:noProof/>
            <w:webHidden/>
          </w:rPr>
          <w:tab/>
        </w:r>
        <w:r w:rsidR="00C84822">
          <w:rPr>
            <w:noProof/>
            <w:webHidden/>
          </w:rPr>
          <w:fldChar w:fldCharType="begin"/>
        </w:r>
        <w:r w:rsidR="00C84822">
          <w:rPr>
            <w:noProof/>
            <w:webHidden/>
          </w:rPr>
          <w:instrText xml:space="preserve"> PAGEREF _Toc121265869 \h </w:instrText>
        </w:r>
        <w:r w:rsidR="00C84822">
          <w:rPr>
            <w:noProof/>
            <w:webHidden/>
          </w:rPr>
        </w:r>
        <w:r w:rsidR="00C84822">
          <w:rPr>
            <w:noProof/>
            <w:webHidden/>
          </w:rPr>
          <w:fldChar w:fldCharType="separate"/>
        </w:r>
        <w:r w:rsidR="00955725">
          <w:rPr>
            <w:noProof/>
            <w:webHidden/>
          </w:rPr>
          <w:t>48</w:t>
        </w:r>
        <w:r w:rsidR="00C84822">
          <w:rPr>
            <w:noProof/>
            <w:webHidden/>
          </w:rPr>
          <w:fldChar w:fldCharType="end"/>
        </w:r>
      </w:hyperlink>
    </w:p>
    <w:p w14:paraId="7DB55666" w14:textId="7B5E0C8D" w:rsidR="00C84822" w:rsidRDefault="00000000">
      <w:pPr>
        <w:pStyle w:val="TableofFigures"/>
        <w:tabs>
          <w:tab w:val="right" w:leader="dot" w:pos="9350"/>
        </w:tabs>
        <w:rPr>
          <w:rFonts w:asciiTheme="minorHAnsi" w:eastAsiaTheme="minorEastAsia" w:hAnsiTheme="minorHAnsi"/>
          <w:noProof/>
          <w:sz w:val="22"/>
        </w:rPr>
      </w:pPr>
      <w:hyperlink w:anchor="_Toc121265870" w:history="1">
        <w:r w:rsidR="00C84822" w:rsidRPr="00221DFF">
          <w:rPr>
            <w:rStyle w:val="Hyperlink"/>
            <w:noProof/>
          </w:rPr>
          <w:t>Figure 27: Posterior stress distribution plot</w:t>
        </w:r>
        <w:r w:rsidR="00C84822">
          <w:rPr>
            <w:noProof/>
            <w:webHidden/>
          </w:rPr>
          <w:tab/>
        </w:r>
        <w:r w:rsidR="00C84822">
          <w:rPr>
            <w:noProof/>
            <w:webHidden/>
          </w:rPr>
          <w:fldChar w:fldCharType="begin"/>
        </w:r>
        <w:r w:rsidR="00C84822">
          <w:rPr>
            <w:noProof/>
            <w:webHidden/>
          </w:rPr>
          <w:instrText xml:space="preserve"> PAGEREF _Toc121265870 \h </w:instrText>
        </w:r>
        <w:r w:rsidR="00C84822">
          <w:rPr>
            <w:noProof/>
            <w:webHidden/>
          </w:rPr>
        </w:r>
        <w:r w:rsidR="00C84822">
          <w:rPr>
            <w:noProof/>
            <w:webHidden/>
          </w:rPr>
          <w:fldChar w:fldCharType="separate"/>
        </w:r>
        <w:r w:rsidR="00955725">
          <w:rPr>
            <w:noProof/>
            <w:webHidden/>
          </w:rPr>
          <w:t>49</w:t>
        </w:r>
        <w:r w:rsidR="00C84822">
          <w:rPr>
            <w:noProof/>
            <w:webHidden/>
          </w:rPr>
          <w:fldChar w:fldCharType="end"/>
        </w:r>
      </w:hyperlink>
    </w:p>
    <w:p w14:paraId="30C07CFE" w14:textId="477B6C00" w:rsidR="00C84822" w:rsidRDefault="00000000">
      <w:pPr>
        <w:pStyle w:val="TableofFigures"/>
        <w:tabs>
          <w:tab w:val="right" w:leader="dot" w:pos="9350"/>
        </w:tabs>
        <w:rPr>
          <w:rFonts w:asciiTheme="minorHAnsi" w:eastAsiaTheme="minorEastAsia" w:hAnsiTheme="minorHAnsi"/>
          <w:noProof/>
          <w:sz w:val="22"/>
        </w:rPr>
      </w:pPr>
      <w:hyperlink w:anchor="_Toc121265871" w:history="1">
        <w:r w:rsidR="00C84822" w:rsidRPr="00221DFF">
          <w:rPr>
            <w:rStyle w:val="Hyperlink"/>
            <w:noProof/>
          </w:rPr>
          <w:t>Figure 28: Probability of inducing seismicity on a critically oriented fault</w:t>
        </w:r>
        <w:r w:rsidR="00C84822">
          <w:rPr>
            <w:noProof/>
            <w:webHidden/>
          </w:rPr>
          <w:tab/>
        </w:r>
        <w:r w:rsidR="00C84822">
          <w:rPr>
            <w:noProof/>
            <w:webHidden/>
          </w:rPr>
          <w:fldChar w:fldCharType="begin"/>
        </w:r>
        <w:r w:rsidR="00C84822">
          <w:rPr>
            <w:noProof/>
            <w:webHidden/>
          </w:rPr>
          <w:instrText xml:space="preserve"> PAGEREF _Toc121265871 \h </w:instrText>
        </w:r>
        <w:r w:rsidR="00C84822">
          <w:rPr>
            <w:noProof/>
            <w:webHidden/>
          </w:rPr>
        </w:r>
        <w:r w:rsidR="00C84822">
          <w:rPr>
            <w:noProof/>
            <w:webHidden/>
          </w:rPr>
          <w:fldChar w:fldCharType="separate"/>
        </w:r>
        <w:r w:rsidR="00955725">
          <w:rPr>
            <w:noProof/>
            <w:webHidden/>
          </w:rPr>
          <w:t>50</w:t>
        </w:r>
        <w:r w:rsidR="00C84822">
          <w:rPr>
            <w:noProof/>
            <w:webHidden/>
          </w:rPr>
          <w:fldChar w:fldCharType="end"/>
        </w:r>
      </w:hyperlink>
    </w:p>
    <w:p w14:paraId="6387F284" w14:textId="2C3E2D6C" w:rsidR="00C84822" w:rsidRDefault="00000000">
      <w:pPr>
        <w:pStyle w:val="TableofFigures"/>
        <w:tabs>
          <w:tab w:val="right" w:leader="dot" w:pos="9350"/>
        </w:tabs>
        <w:rPr>
          <w:rFonts w:asciiTheme="minorHAnsi" w:eastAsiaTheme="minorEastAsia" w:hAnsiTheme="minorHAnsi"/>
          <w:noProof/>
          <w:sz w:val="22"/>
        </w:rPr>
      </w:pPr>
      <w:hyperlink w:anchor="_Toc121265872" w:history="1">
        <w:r w:rsidR="00C84822" w:rsidRPr="00221DFF">
          <w:rPr>
            <w:rStyle w:val="Hyperlink"/>
            <w:noProof/>
          </w:rPr>
          <w:t>Figure 29: μ = 0.6, max Γh = 0.7</w:t>
        </w:r>
        <w:r w:rsidR="00C84822">
          <w:rPr>
            <w:noProof/>
            <w:webHidden/>
          </w:rPr>
          <w:tab/>
        </w:r>
        <w:r w:rsidR="00C84822">
          <w:rPr>
            <w:noProof/>
            <w:webHidden/>
          </w:rPr>
          <w:fldChar w:fldCharType="begin"/>
        </w:r>
        <w:r w:rsidR="00C84822">
          <w:rPr>
            <w:noProof/>
            <w:webHidden/>
          </w:rPr>
          <w:instrText xml:space="preserve"> PAGEREF _Toc121265872 \h </w:instrText>
        </w:r>
        <w:r w:rsidR="00C84822">
          <w:rPr>
            <w:noProof/>
            <w:webHidden/>
          </w:rPr>
        </w:r>
        <w:r w:rsidR="00C84822">
          <w:rPr>
            <w:noProof/>
            <w:webHidden/>
          </w:rPr>
          <w:fldChar w:fldCharType="separate"/>
        </w:r>
        <w:r w:rsidR="00955725">
          <w:rPr>
            <w:noProof/>
            <w:webHidden/>
          </w:rPr>
          <w:t>51</w:t>
        </w:r>
        <w:r w:rsidR="00C84822">
          <w:rPr>
            <w:noProof/>
            <w:webHidden/>
          </w:rPr>
          <w:fldChar w:fldCharType="end"/>
        </w:r>
      </w:hyperlink>
    </w:p>
    <w:p w14:paraId="716F8E69" w14:textId="78B4BED3" w:rsidR="00C84822" w:rsidRDefault="00000000">
      <w:pPr>
        <w:pStyle w:val="TableofFigures"/>
        <w:tabs>
          <w:tab w:val="right" w:leader="dot" w:pos="9350"/>
        </w:tabs>
        <w:rPr>
          <w:rFonts w:asciiTheme="minorHAnsi" w:eastAsiaTheme="minorEastAsia" w:hAnsiTheme="minorHAnsi"/>
          <w:noProof/>
          <w:sz w:val="22"/>
        </w:rPr>
      </w:pPr>
      <w:hyperlink w:anchor="_Toc121265873" w:history="1">
        <w:r w:rsidR="00C84822" w:rsidRPr="00221DFF">
          <w:rPr>
            <w:rStyle w:val="Hyperlink"/>
            <w:noProof/>
          </w:rPr>
          <w:t>Figure 30: μ = 0.7, max Γh = 0.7</w:t>
        </w:r>
        <w:r w:rsidR="00C84822">
          <w:rPr>
            <w:noProof/>
            <w:webHidden/>
          </w:rPr>
          <w:tab/>
        </w:r>
        <w:r w:rsidR="00C84822">
          <w:rPr>
            <w:noProof/>
            <w:webHidden/>
          </w:rPr>
          <w:fldChar w:fldCharType="begin"/>
        </w:r>
        <w:r w:rsidR="00C84822">
          <w:rPr>
            <w:noProof/>
            <w:webHidden/>
          </w:rPr>
          <w:instrText xml:space="preserve"> PAGEREF _Toc121265873 \h </w:instrText>
        </w:r>
        <w:r w:rsidR="00C84822">
          <w:rPr>
            <w:noProof/>
            <w:webHidden/>
          </w:rPr>
        </w:r>
        <w:r w:rsidR="00C84822">
          <w:rPr>
            <w:noProof/>
            <w:webHidden/>
          </w:rPr>
          <w:fldChar w:fldCharType="separate"/>
        </w:r>
        <w:r w:rsidR="00955725">
          <w:rPr>
            <w:noProof/>
            <w:webHidden/>
          </w:rPr>
          <w:t>51</w:t>
        </w:r>
        <w:r w:rsidR="00C84822">
          <w:rPr>
            <w:noProof/>
            <w:webHidden/>
          </w:rPr>
          <w:fldChar w:fldCharType="end"/>
        </w:r>
      </w:hyperlink>
    </w:p>
    <w:p w14:paraId="5FB757E4" w14:textId="10D864F6" w:rsidR="00C84822" w:rsidRDefault="00000000">
      <w:pPr>
        <w:pStyle w:val="TableofFigures"/>
        <w:tabs>
          <w:tab w:val="right" w:leader="dot" w:pos="9350"/>
        </w:tabs>
        <w:rPr>
          <w:rFonts w:asciiTheme="minorHAnsi" w:eastAsiaTheme="minorEastAsia" w:hAnsiTheme="minorHAnsi"/>
          <w:noProof/>
          <w:sz w:val="22"/>
        </w:rPr>
      </w:pPr>
      <w:hyperlink w:anchor="_Toc121265874" w:history="1">
        <w:r w:rsidR="00C84822" w:rsidRPr="00221DFF">
          <w:rPr>
            <w:rStyle w:val="Hyperlink"/>
            <w:noProof/>
          </w:rPr>
          <w:t>Figure 31: μ = 0.8, max Γh = 0.7</w:t>
        </w:r>
        <w:r w:rsidR="00C84822">
          <w:rPr>
            <w:noProof/>
            <w:webHidden/>
          </w:rPr>
          <w:tab/>
        </w:r>
        <w:r w:rsidR="00C84822">
          <w:rPr>
            <w:noProof/>
            <w:webHidden/>
          </w:rPr>
          <w:fldChar w:fldCharType="begin"/>
        </w:r>
        <w:r w:rsidR="00C84822">
          <w:rPr>
            <w:noProof/>
            <w:webHidden/>
          </w:rPr>
          <w:instrText xml:space="preserve"> PAGEREF _Toc121265874 \h </w:instrText>
        </w:r>
        <w:r w:rsidR="00C84822">
          <w:rPr>
            <w:noProof/>
            <w:webHidden/>
          </w:rPr>
        </w:r>
        <w:r w:rsidR="00C84822">
          <w:rPr>
            <w:noProof/>
            <w:webHidden/>
          </w:rPr>
          <w:fldChar w:fldCharType="separate"/>
        </w:r>
        <w:r w:rsidR="00955725">
          <w:rPr>
            <w:noProof/>
            <w:webHidden/>
          </w:rPr>
          <w:t>51</w:t>
        </w:r>
        <w:r w:rsidR="00C84822">
          <w:rPr>
            <w:noProof/>
            <w:webHidden/>
          </w:rPr>
          <w:fldChar w:fldCharType="end"/>
        </w:r>
      </w:hyperlink>
    </w:p>
    <w:p w14:paraId="17B3A883" w14:textId="72E97A5E" w:rsidR="00C84822" w:rsidRDefault="00000000">
      <w:pPr>
        <w:pStyle w:val="TableofFigures"/>
        <w:tabs>
          <w:tab w:val="right" w:leader="dot" w:pos="9350"/>
        </w:tabs>
        <w:rPr>
          <w:rFonts w:asciiTheme="minorHAnsi" w:eastAsiaTheme="minorEastAsia" w:hAnsiTheme="minorHAnsi"/>
          <w:noProof/>
          <w:sz w:val="22"/>
        </w:rPr>
      </w:pPr>
      <w:hyperlink w:anchor="_Toc121265875" w:history="1">
        <w:r w:rsidR="00C84822" w:rsidRPr="00221DFF">
          <w:rPr>
            <w:rStyle w:val="Hyperlink"/>
            <w:noProof/>
          </w:rPr>
          <w:t>Figure 32: μ = 0.6, max Γh = 0.8</w:t>
        </w:r>
        <w:r w:rsidR="00C84822">
          <w:rPr>
            <w:noProof/>
            <w:webHidden/>
          </w:rPr>
          <w:tab/>
        </w:r>
        <w:r w:rsidR="00C84822">
          <w:rPr>
            <w:noProof/>
            <w:webHidden/>
          </w:rPr>
          <w:fldChar w:fldCharType="begin"/>
        </w:r>
        <w:r w:rsidR="00C84822">
          <w:rPr>
            <w:noProof/>
            <w:webHidden/>
          </w:rPr>
          <w:instrText xml:space="preserve"> PAGEREF _Toc121265875 \h </w:instrText>
        </w:r>
        <w:r w:rsidR="00C84822">
          <w:rPr>
            <w:noProof/>
            <w:webHidden/>
          </w:rPr>
        </w:r>
        <w:r w:rsidR="00C84822">
          <w:rPr>
            <w:noProof/>
            <w:webHidden/>
          </w:rPr>
          <w:fldChar w:fldCharType="separate"/>
        </w:r>
        <w:r w:rsidR="00955725">
          <w:rPr>
            <w:noProof/>
            <w:webHidden/>
          </w:rPr>
          <w:t>52</w:t>
        </w:r>
        <w:r w:rsidR="00C84822">
          <w:rPr>
            <w:noProof/>
            <w:webHidden/>
          </w:rPr>
          <w:fldChar w:fldCharType="end"/>
        </w:r>
      </w:hyperlink>
    </w:p>
    <w:p w14:paraId="62546588" w14:textId="1384A551" w:rsidR="00C84822" w:rsidRDefault="00000000">
      <w:pPr>
        <w:pStyle w:val="TableofFigures"/>
        <w:tabs>
          <w:tab w:val="right" w:leader="dot" w:pos="9350"/>
        </w:tabs>
        <w:rPr>
          <w:rFonts w:asciiTheme="minorHAnsi" w:eastAsiaTheme="minorEastAsia" w:hAnsiTheme="minorHAnsi"/>
          <w:noProof/>
          <w:sz w:val="22"/>
        </w:rPr>
      </w:pPr>
      <w:hyperlink w:anchor="_Toc121265876" w:history="1">
        <w:r w:rsidR="00C84822" w:rsidRPr="00221DFF">
          <w:rPr>
            <w:rStyle w:val="Hyperlink"/>
            <w:noProof/>
          </w:rPr>
          <w:t>Figure 33: μ = 0.7, max Γh = 0.8</w:t>
        </w:r>
        <w:r w:rsidR="00C84822">
          <w:rPr>
            <w:noProof/>
            <w:webHidden/>
          </w:rPr>
          <w:tab/>
        </w:r>
        <w:r w:rsidR="00C84822">
          <w:rPr>
            <w:noProof/>
            <w:webHidden/>
          </w:rPr>
          <w:fldChar w:fldCharType="begin"/>
        </w:r>
        <w:r w:rsidR="00C84822">
          <w:rPr>
            <w:noProof/>
            <w:webHidden/>
          </w:rPr>
          <w:instrText xml:space="preserve"> PAGEREF _Toc121265876 \h </w:instrText>
        </w:r>
        <w:r w:rsidR="00C84822">
          <w:rPr>
            <w:noProof/>
            <w:webHidden/>
          </w:rPr>
        </w:r>
        <w:r w:rsidR="00C84822">
          <w:rPr>
            <w:noProof/>
            <w:webHidden/>
          </w:rPr>
          <w:fldChar w:fldCharType="separate"/>
        </w:r>
        <w:r w:rsidR="00955725">
          <w:rPr>
            <w:noProof/>
            <w:webHidden/>
          </w:rPr>
          <w:t>52</w:t>
        </w:r>
        <w:r w:rsidR="00C84822">
          <w:rPr>
            <w:noProof/>
            <w:webHidden/>
          </w:rPr>
          <w:fldChar w:fldCharType="end"/>
        </w:r>
      </w:hyperlink>
    </w:p>
    <w:p w14:paraId="5AC7F83C" w14:textId="7ED5F2C1" w:rsidR="00C84822" w:rsidRDefault="00000000">
      <w:pPr>
        <w:pStyle w:val="TableofFigures"/>
        <w:tabs>
          <w:tab w:val="right" w:leader="dot" w:pos="9350"/>
        </w:tabs>
        <w:rPr>
          <w:rFonts w:asciiTheme="minorHAnsi" w:eastAsiaTheme="minorEastAsia" w:hAnsiTheme="minorHAnsi"/>
          <w:noProof/>
          <w:sz w:val="22"/>
        </w:rPr>
      </w:pPr>
      <w:hyperlink w:anchor="_Toc121265877" w:history="1">
        <w:r w:rsidR="00C84822" w:rsidRPr="00221DFF">
          <w:rPr>
            <w:rStyle w:val="Hyperlink"/>
            <w:noProof/>
          </w:rPr>
          <w:t>Figure 34: μ = 0.8, max Γh = 0.8</w:t>
        </w:r>
        <w:r w:rsidR="00C84822">
          <w:rPr>
            <w:noProof/>
            <w:webHidden/>
          </w:rPr>
          <w:tab/>
        </w:r>
        <w:r w:rsidR="00C84822">
          <w:rPr>
            <w:noProof/>
            <w:webHidden/>
          </w:rPr>
          <w:fldChar w:fldCharType="begin"/>
        </w:r>
        <w:r w:rsidR="00C84822">
          <w:rPr>
            <w:noProof/>
            <w:webHidden/>
          </w:rPr>
          <w:instrText xml:space="preserve"> PAGEREF _Toc121265877 \h </w:instrText>
        </w:r>
        <w:r w:rsidR="00C84822">
          <w:rPr>
            <w:noProof/>
            <w:webHidden/>
          </w:rPr>
        </w:r>
        <w:r w:rsidR="00C84822">
          <w:rPr>
            <w:noProof/>
            <w:webHidden/>
          </w:rPr>
          <w:fldChar w:fldCharType="separate"/>
        </w:r>
        <w:r w:rsidR="00955725">
          <w:rPr>
            <w:noProof/>
            <w:webHidden/>
          </w:rPr>
          <w:t>53</w:t>
        </w:r>
        <w:r w:rsidR="00C84822">
          <w:rPr>
            <w:noProof/>
            <w:webHidden/>
          </w:rPr>
          <w:fldChar w:fldCharType="end"/>
        </w:r>
      </w:hyperlink>
    </w:p>
    <w:p w14:paraId="448AE9DE" w14:textId="4862C5CC" w:rsidR="00C84822" w:rsidRDefault="00000000">
      <w:pPr>
        <w:pStyle w:val="TableofFigures"/>
        <w:tabs>
          <w:tab w:val="right" w:leader="dot" w:pos="9350"/>
        </w:tabs>
        <w:rPr>
          <w:rFonts w:asciiTheme="minorHAnsi" w:eastAsiaTheme="minorEastAsia" w:hAnsiTheme="minorHAnsi"/>
          <w:noProof/>
          <w:sz w:val="22"/>
        </w:rPr>
      </w:pPr>
      <w:hyperlink w:anchor="_Toc121265878" w:history="1">
        <w:r w:rsidR="00C84822" w:rsidRPr="00221DFF">
          <w:rPr>
            <w:rStyle w:val="Hyperlink"/>
            <w:noProof/>
          </w:rPr>
          <w:t>Figure 35: μ = 0.7, max Γh = 0.8, NF = 5</w:t>
        </w:r>
        <w:r w:rsidR="00C84822">
          <w:rPr>
            <w:noProof/>
            <w:webHidden/>
          </w:rPr>
          <w:tab/>
        </w:r>
        <w:r w:rsidR="00C84822">
          <w:rPr>
            <w:noProof/>
            <w:webHidden/>
          </w:rPr>
          <w:fldChar w:fldCharType="begin"/>
        </w:r>
        <w:r w:rsidR="00C84822">
          <w:rPr>
            <w:noProof/>
            <w:webHidden/>
          </w:rPr>
          <w:instrText xml:space="preserve"> PAGEREF _Toc121265878 \h </w:instrText>
        </w:r>
        <w:r w:rsidR="00C84822">
          <w:rPr>
            <w:noProof/>
            <w:webHidden/>
          </w:rPr>
        </w:r>
        <w:r w:rsidR="00C84822">
          <w:rPr>
            <w:noProof/>
            <w:webHidden/>
          </w:rPr>
          <w:fldChar w:fldCharType="separate"/>
        </w:r>
        <w:r w:rsidR="00955725">
          <w:rPr>
            <w:noProof/>
            <w:webHidden/>
          </w:rPr>
          <w:t>53</w:t>
        </w:r>
        <w:r w:rsidR="00C84822">
          <w:rPr>
            <w:noProof/>
            <w:webHidden/>
          </w:rPr>
          <w:fldChar w:fldCharType="end"/>
        </w:r>
      </w:hyperlink>
    </w:p>
    <w:p w14:paraId="203ABBD9" w14:textId="25C5DFBF" w:rsidR="00C84822" w:rsidRDefault="00000000">
      <w:pPr>
        <w:pStyle w:val="TableofFigures"/>
        <w:tabs>
          <w:tab w:val="right" w:leader="dot" w:pos="9350"/>
        </w:tabs>
        <w:rPr>
          <w:rFonts w:asciiTheme="minorHAnsi" w:eastAsiaTheme="minorEastAsia" w:hAnsiTheme="minorHAnsi"/>
          <w:noProof/>
          <w:sz w:val="22"/>
        </w:rPr>
      </w:pPr>
      <w:hyperlink w:anchor="_Toc121265879" w:history="1">
        <w:r w:rsidR="00C84822" w:rsidRPr="00221DFF">
          <w:rPr>
            <w:rStyle w:val="Hyperlink"/>
            <w:noProof/>
          </w:rPr>
          <w:t>Figure 36: μ = 0.6, max Γh = 0.7</w:t>
        </w:r>
        <w:r w:rsidR="00C84822">
          <w:rPr>
            <w:noProof/>
            <w:webHidden/>
          </w:rPr>
          <w:tab/>
        </w:r>
        <w:r w:rsidR="00C84822">
          <w:rPr>
            <w:noProof/>
            <w:webHidden/>
          </w:rPr>
          <w:fldChar w:fldCharType="begin"/>
        </w:r>
        <w:r w:rsidR="00C84822">
          <w:rPr>
            <w:noProof/>
            <w:webHidden/>
          </w:rPr>
          <w:instrText xml:space="preserve"> PAGEREF _Toc121265879 \h </w:instrText>
        </w:r>
        <w:r w:rsidR="00C84822">
          <w:rPr>
            <w:noProof/>
            <w:webHidden/>
          </w:rPr>
        </w:r>
        <w:r w:rsidR="00C84822">
          <w:rPr>
            <w:noProof/>
            <w:webHidden/>
          </w:rPr>
          <w:fldChar w:fldCharType="separate"/>
        </w:r>
        <w:r w:rsidR="00955725">
          <w:rPr>
            <w:noProof/>
            <w:webHidden/>
          </w:rPr>
          <w:t>54</w:t>
        </w:r>
        <w:r w:rsidR="00C84822">
          <w:rPr>
            <w:noProof/>
            <w:webHidden/>
          </w:rPr>
          <w:fldChar w:fldCharType="end"/>
        </w:r>
      </w:hyperlink>
    </w:p>
    <w:p w14:paraId="08453147" w14:textId="3EB15F0A" w:rsidR="00C84822" w:rsidRDefault="00000000">
      <w:pPr>
        <w:pStyle w:val="TableofFigures"/>
        <w:tabs>
          <w:tab w:val="right" w:leader="dot" w:pos="9350"/>
        </w:tabs>
        <w:rPr>
          <w:rFonts w:asciiTheme="minorHAnsi" w:eastAsiaTheme="minorEastAsia" w:hAnsiTheme="minorHAnsi"/>
          <w:noProof/>
          <w:sz w:val="22"/>
        </w:rPr>
      </w:pPr>
      <w:hyperlink w:anchor="_Toc121265880" w:history="1">
        <w:r w:rsidR="00C84822" w:rsidRPr="00221DFF">
          <w:rPr>
            <w:rStyle w:val="Hyperlink"/>
            <w:noProof/>
          </w:rPr>
          <w:t>Figure 37: μ = 0.7, max Γh = 0.7</w:t>
        </w:r>
        <w:r w:rsidR="00C84822">
          <w:rPr>
            <w:noProof/>
            <w:webHidden/>
          </w:rPr>
          <w:tab/>
        </w:r>
        <w:r w:rsidR="00C84822">
          <w:rPr>
            <w:noProof/>
            <w:webHidden/>
          </w:rPr>
          <w:fldChar w:fldCharType="begin"/>
        </w:r>
        <w:r w:rsidR="00C84822">
          <w:rPr>
            <w:noProof/>
            <w:webHidden/>
          </w:rPr>
          <w:instrText xml:space="preserve"> PAGEREF _Toc121265880 \h </w:instrText>
        </w:r>
        <w:r w:rsidR="00C84822">
          <w:rPr>
            <w:noProof/>
            <w:webHidden/>
          </w:rPr>
        </w:r>
        <w:r w:rsidR="00C84822">
          <w:rPr>
            <w:noProof/>
            <w:webHidden/>
          </w:rPr>
          <w:fldChar w:fldCharType="separate"/>
        </w:r>
        <w:r w:rsidR="00955725">
          <w:rPr>
            <w:noProof/>
            <w:webHidden/>
          </w:rPr>
          <w:t>54</w:t>
        </w:r>
        <w:r w:rsidR="00C84822">
          <w:rPr>
            <w:noProof/>
            <w:webHidden/>
          </w:rPr>
          <w:fldChar w:fldCharType="end"/>
        </w:r>
      </w:hyperlink>
    </w:p>
    <w:p w14:paraId="6180222B" w14:textId="1B347F30" w:rsidR="00C84822" w:rsidRDefault="00000000">
      <w:pPr>
        <w:pStyle w:val="TableofFigures"/>
        <w:tabs>
          <w:tab w:val="right" w:leader="dot" w:pos="9350"/>
        </w:tabs>
        <w:rPr>
          <w:rFonts w:asciiTheme="minorHAnsi" w:eastAsiaTheme="minorEastAsia" w:hAnsiTheme="minorHAnsi"/>
          <w:noProof/>
          <w:sz w:val="22"/>
        </w:rPr>
      </w:pPr>
      <w:hyperlink w:anchor="_Toc121265881" w:history="1">
        <w:r w:rsidR="00C84822" w:rsidRPr="00221DFF">
          <w:rPr>
            <w:rStyle w:val="Hyperlink"/>
            <w:noProof/>
          </w:rPr>
          <w:t>Figure 38: μ = 0.8, max Γh = 0.7</w:t>
        </w:r>
        <w:r w:rsidR="00C84822">
          <w:rPr>
            <w:noProof/>
            <w:webHidden/>
          </w:rPr>
          <w:tab/>
        </w:r>
        <w:r w:rsidR="00C84822">
          <w:rPr>
            <w:noProof/>
            <w:webHidden/>
          </w:rPr>
          <w:fldChar w:fldCharType="begin"/>
        </w:r>
        <w:r w:rsidR="00C84822">
          <w:rPr>
            <w:noProof/>
            <w:webHidden/>
          </w:rPr>
          <w:instrText xml:space="preserve"> PAGEREF _Toc121265881 \h </w:instrText>
        </w:r>
        <w:r w:rsidR="00C84822">
          <w:rPr>
            <w:noProof/>
            <w:webHidden/>
          </w:rPr>
        </w:r>
        <w:r w:rsidR="00C84822">
          <w:rPr>
            <w:noProof/>
            <w:webHidden/>
          </w:rPr>
          <w:fldChar w:fldCharType="separate"/>
        </w:r>
        <w:r w:rsidR="00955725">
          <w:rPr>
            <w:noProof/>
            <w:webHidden/>
          </w:rPr>
          <w:t>54</w:t>
        </w:r>
        <w:r w:rsidR="00C84822">
          <w:rPr>
            <w:noProof/>
            <w:webHidden/>
          </w:rPr>
          <w:fldChar w:fldCharType="end"/>
        </w:r>
      </w:hyperlink>
    </w:p>
    <w:p w14:paraId="0BABC05D" w14:textId="4561A07D" w:rsidR="00C84822" w:rsidRDefault="00000000">
      <w:pPr>
        <w:pStyle w:val="TableofFigures"/>
        <w:tabs>
          <w:tab w:val="right" w:leader="dot" w:pos="9350"/>
        </w:tabs>
        <w:rPr>
          <w:rFonts w:asciiTheme="minorHAnsi" w:eastAsiaTheme="minorEastAsia" w:hAnsiTheme="minorHAnsi"/>
          <w:noProof/>
          <w:sz w:val="22"/>
        </w:rPr>
      </w:pPr>
      <w:hyperlink w:anchor="_Toc121265882" w:history="1">
        <w:r w:rsidR="00C84822" w:rsidRPr="00221DFF">
          <w:rPr>
            <w:rStyle w:val="Hyperlink"/>
            <w:noProof/>
          </w:rPr>
          <w:t>Figure 39: Depth of 1335 ft</w:t>
        </w:r>
        <w:r w:rsidR="00C84822">
          <w:rPr>
            <w:noProof/>
            <w:webHidden/>
          </w:rPr>
          <w:tab/>
        </w:r>
        <w:r w:rsidR="00C84822">
          <w:rPr>
            <w:noProof/>
            <w:webHidden/>
          </w:rPr>
          <w:fldChar w:fldCharType="begin"/>
        </w:r>
        <w:r w:rsidR="00C84822">
          <w:rPr>
            <w:noProof/>
            <w:webHidden/>
          </w:rPr>
          <w:instrText xml:space="preserve"> PAGEREF _Toc121265882 \h </w:instrText>
        </w:r>
        <w:r w:rsidR="00C84822">
          <w:rPr>
            <w:noProof/>
            <w:webHidden/>
          </w:rPr>
        </w:r>
        <w:r w:rsidR="00C84822">
          <w:rPr>
            <w:noProof/>
            <w:webHidden/>
          </w:rPr>
          <w:fldChar w:fldCharType="separate"/>
        </w:r>
        <w:r w:rsidR="00955725">
          <w:rPr>
            <w:noProof/>
            <w:webHidden/>
          </w:rPr>
          <w:t>57</w:t>
        </w:r>
        <w:r w:rsidR="00C84822">
          <w:rPr>
            <w:noProof/>
            <w:webHidden/>
          </w:rPr>
          <w:fldChar w:fldCharType="end"/>
        </w:r>
      </w:hyperlink>
    </w:p>
    <w:p w14:paraId="56FF631C" w14:textId="12A227DB" w:rsidR="00C84822" w:rsidRDefault="00000000">
      <w:pPr>
        <w:pStyle w:val="TableofFigures"/>
        <w:tabs>
          <w:tab w:val="right" w:leader="dot" w:pos="9350"/>
        </w:tabs>
        <w:rPr>
          <w:rFonts w:asciiTheme="minorHAnsi" w:eastAsiaTheme="minorEastAsia" w:hAnsiTheme="minorHAnsi"/>
          <w:noProof/>
          <w:sz w:val="22"/>
        </w:rPr>
      </w:pPr>
      <w:hyperlink w:anchor="_Toc121265883" w:history="1">
        <w:r w:rsidR="00C84822" w:rsidRPr="00221DFF">
          <w:rPr>
            <w:rStyle w:val="Hyperlink"/>
            <w:noProof/>
          </w:rPr>
          <w:t>Figure 40: Depth of 7570 ft</w:t>
        </w:r>
        <w:r w:rsidR="00C84822">
          <w:rPr>
            <w:noProof/>
            <w:webHidden/>
          </w:rPr>
          <w:tab/>
        </w:r>
        <w:r w:rsidR="00C84822">
          <w:rPr>
            <w:noProof/>
            <w:webHidden/>
          </w:rPr>
          <w:fldChar w:fldCharType="begin"/>
        </w:r>
        <w:r w:rsidR="00C84822">
          <w:rPr>
            <w:noProof/>
            <w:webHidden/>
          </w:rPr>
          <w:instrText xml:space="preserve"> PAGEREF _Toc121265883 \h </w:instrText>
        </w:r>
        <w:r w:rsidR="00C84822">
          <w:rPr>
            <w:noProof/>
            <w:webHidden/>
          </w:rPr>
        </w:r>
        <w:r w:rsidR="00C84822">
          <w:rPr>
            <w:noProof/>
            <w:webHidden/>
          </w:rPr>
          <w:fldChar w:fldCharType="separate"/>
        </w:r>
        <w:r w:rsidR="00955725">
          <w:rPr>
            <w:noProof/>
            <w:webHidden/>
          </w:rPr>
          <w:t>57</w:t>
        </w:r>
        <w:r w:rsidR="00C84822">
          <w:rPr>
            <w:noProof/>
            <w:webHidden/>
          </w:rPr>
          <w:fldChar w:fldCharType="end"/>
        </w:r>
      </w:hyperlink>
    </w:p>
    <w:p w14:paraId="1E8A1346" w14:textId="2EFDC919" w:rsidR="00C84822" w:rsidRDefault="00000000">
      <w:pPr>
        <w:pStyle w:val="TableofFigures"/>
        <w:tabs>
          <w:tab w:val="right" w:leader="dot" w:pos="9350"/>
        </w:tabs>
        <w:rPr>
          <w:rFonts w:asciiTheme="minorHAnsi" w:eastAsiaTheme="minorEastAsia" w:hAnsiTheme="minorHAnsi"/>
          <w:noProof/>
          <w:sz w:val="22"/>
        </w:rPr>
      </w:pPr>
      <w:hyperlink w:anchor="_Toc121265884" w:history="1">
        <w:r w:rsidR="00C84822" w:rsidRPr="00221DFF">
          <w:rPr>
            <w:rStyle w:val="Hyperlink"/>
            <w:noProof/>
          </w:rPr>
          <w:t>Figure 41: Overburden gradient of 1.02psi/ft</w:t>
        </w:r>
        <w:r w:rsidR="00C84822">
          <w:rPr>
            <w:noProof/>
            <w:webHidden/>
          </w:rPr>
          <w:tab/>
        </w:r>
        <w:r w:rsidR="00C84822">
          <w:rPr>
            <w:noProof/>
            <w:webHidden/>
          </w:rPr>
          <w:fldChar w:fldCharType="begin"/>
        </w:r>
        <w:r w:rsidR="00C84822">
          <w:rPr>
            <w:noProof/>
            <w:webHidden/>
          </w:rPr>
          <w:instrText xml:space="preserve"> PAGEREF _Toc121265884 \h </w:instrText>
        </w:r>
        <w:r w:rsidR="00C84822">
          <w:rPr>
            <w:noProof/>
            <w:webHidden/>
          </w:rPr>
        </w:r>
        <w:r w:rsidR="00C84822">
          <w:rPr>
            <w:noProof/>
            <w:webHidden/>
          </w:rPr>
          <w:fldChar w:fldCharType="separate"/>
        </w:r>
        <w:r w:rsidR="00955725">
          <w:rPr>
            <w:noProof/>
            <w:webHidden/>
          </w:rPr>
          <w:t>58</w:t>
        </w:r>
        <w:r w:rsidR="00C84822">
          <w:rPr>
            <w:noProof/>
            <w:webHidden/>
          </w:rPr>
          <w:fldChar w:fldCharType="end"/>
        </w:r>
      </w:hyperlink>
    </w:p>
    <w:p w14:paraId="32121FB3" w14:textId="1BA0EFC3" w:rsidR="00C84822" w:rsidRDefault="00000000">
      <w:pPr>
        <w:pStyle w:val="TableofFigures"/>
        <w:tabs>
          <w:tab w:val="right" w:leader="dot" w:pos="9350"/>
        </w:tabs>
        <w:rPr>
          <w:rFonts w:asciiTheme="minorHAnsi" w:eastAsiaTheme="minorEastAsia" w:hAnsiTheme="minorHAnsi"/>
          <w:noProof/>
          <w:sz w:val="22"/>
        </w:rPr>
      </w:pPr>
      <w:hyperlink w:anchor="_Toc121265885" w:history="1">
        <w:r w:rsidR="00C84822" w:rsidRPr="00221DFF">
          <w:rPr>
            <w:rStyle w:val="Hyperlink"/>
            <w:noProof/>
          </w:rPr>
          <w:t>Figure 42: Overburden gradient of 1.24psi/ft</w:t>
        </w:r>
        <w:r w:rsidR="00C84822">
          <w:rPr>
            <w:noProof/>
            <w:webHidden/>
          </w:rPr>
          <w:tab/>
        </w:r>
        <w:r w:rsidR="00C84822">
          <w:rPr>
            <w:noProof/>
            <w:webHidden/>
          </w:rPr>
          <w:fldChar w:fldCharType="begin"/>
        </w:r>
        <w:r w:rsidR="00C84822">
          <w:rPr>
            <w:noProof/>
            <w:webHidden/>
          </w:rPr>
          <w:instrText xml:space="preserve"> PAGEREF _Toc121265885 \h </w:instrText>
        </w:r>
        <w:r w:rsidR="00C84822">
          <w:rPr>
            <w:noProof/>
            <w:webHidden/>
          </w:rPr>
        </w:r>
        <w:r w:rsidR="00C84822">
          <w:rPr>
            <w:noProof/>
            <w:webHidden/>
          </w:rPr>
          <w:fldChar w:fldCharType="separate"/>
        </w:r>
        <w:r w:rsidR="00955725">
          <w:rPr>
            <w:noProof/>
            <w:webHidden/>
          </w:rPr>
          <w:t>58</w:t>
        </w:r>
        <w:r w:rsidR="00C84822">
          <w:rPr>
            <w:noProof/>
            <w:webHidden/>
          </w:rPr>
          <w:fldChar w:fldCharType="end"/>
        </w:r>
      </w:hyperlink>
    </w:p>
    <w:p w14:paraId="7C56E380" w14:textId="04F69A6E" w:rsidR="00C84822" w:rsidRDefault="00000000">
      <w:pPr>
        <w:pStyle w:val="TableofFigures"/>
        <w:tabs>
          <w:tab w:val="right" w:leader="dot" w:pos="9350"/>
        </w:tabs>
        <w:rPr>
          <w:rFonts w:asciiTheme="minorHAnsi" w:eastAsiaTheme="minorEastAsia" w:hAnsiTheme="minorHAnsi"/>
          <w:noProof/>
          <w:sz w:val="22"/>
        </w:rPr>
      </w:pPr>
      <w:hyperlink w:anchor="_Toc121265886" w:history="1">
        <w:r w:rsidR="00C84822" w:rsidRPr="00221DFF">
          <w:rPr>
            <w:rStyle w:val="Hyperlink"/>
            <w:noProof/>
          </w:rPr>
          <w:t>Figure 43: Comparison of overburden gradient</w:t>
        </w:r>
        <w:r w:rsidR="00C84822">
          <w:rPr>
            <w:noProof/>
            <w:webHidden/>
          </w:rPr>
          <w:tab/>
        </w:r>
        <w:r w:rsidR="00C84822">
          <w:rPr>
            <w:noProof/>
            <w:webHidden/>
          </w:rPr>
          <w:fldChar w:fldCharType="begin"/>
        </w:r>
        <w:r w:rsidR="00C84822">
          <w:rPr>
            <w:noProof/>
            <w:webHidden/>
          </w:rPr>
          <w:instrText xml:space="preserve"> PAGEREF _Toc121265886 \h </w:instrText>
        </w:r>
        <w:r w:rsidR="00C84822">
          <w:rPr>
            <w:noProof/>
            <w:webHidden/>
          </w:rPr>
        </w:r>
        <w:r w:rsidR="00C84822">
          <w:rPr>
            <w:noProof/>
            <w:webHidden/>
          </w:rPr>
          <w:fldChar w:fldCharType="separate"/>
        </w:r>
        <w:r w:rsidR="00955725">
          <w:rPr>
            <w:noProof/>
            <w:webHidden/>
          </w:rPr>
          <w:t>58</w:t>
        </w:r>
        <w:r w:rsidR="00C84822">
          <w:rPr>
            <w:noProof/>
            <w:webHidden/>
          </w:rPr>
          <w:fldChar w:fldCharType="end"/>
        </w:r>
      </w:hyperlink>
    </w:p>
    <w:p w14:paraId="2C629EA9" w14:textId="248F9C89" w:rsidR="00C84822" w:rsidRDefault="00000000">
      <w:pPr>
        <w:pStyle w:val="TableofFigures"/>
        <w:tabs>
          <w:tab w:val="right" w:leader="dot" w:pos="9350"/>
        </w:tabs>
        <w:rPr>
          <w:rFonts w:asciiTheme="minorHAnsi" w:eastAsiaTheme="minorEastAsia" w:hAnsiTheme="minorHAnsi"/>
          <w:noProof/>
          <w:sz w:val="22"/>
        </w:rPr>
      </w:pPr>
      <w:hyperlink w:anchor="_Toc121265887" w:history="1">
        <w:r w:rsidR="00C84822" w:rsidRPr="00221DFF">
          <w:rPr>
            <w:rStyle w:val="Hyperlink"/>
            <w:noProof/>
          </w:rPr>
          <w:t>Figure 44: Map of Wellington Site in Arbuckle formation. Modified from (Birdie, et al., Assessing Induced Seismicity Risk at the Wellington Geologic Sequestration Site, 2022)</w:t>
        </w:r>
        <w:r w:rsidR="00C84822">
          <w:rPr>
            <w:noProof/>
            <w:webHidden/>
          </w:rPr>
          <w:tab/>
        </w:r>
        <w:r w:rsidR="00C84822">
          <w:rPr>
            <w:noProof/>
            <w:webHidden/>
          </w:rPr>
          <w:fldChar w:fldCharType="begin"/>
        </w:r>
        <w:r w:rsidR="00C84822">
          <w:rPr>
            <w:noProof/>
            <w:webHidden/>
          </w:rPr>
          <w:instrText xml:space="preserve"> PAGEREF _Toc121265887 \h </w:instrText>
        </w:r>
        <w:r w:rsidR="00C84822">
          <w:rPr>
            <w:noProof/>
            <w:webHidden/>
          </w:rPr>
        </w:r>
        <w:r w:rsidR="00C84822">
          <w:rPr>
            <w:noProof/>
            <w:webHidden/>
          </w:rPr>
          <w:fldChar w:fldCharType="separate"/>
        </w:r>
        <w:r w:rsidR="00955725">
          <w:rPr>
            <w:noProof/>
            <w:webHidden/>
          </w:rPr>
          <w:t>59</w:t>
        </w:r>
        <w:r w:rsidR="00C84822">
          <w:rPr>
            <w:noProof/>
            <w:webHidden/>
          </w:rPr>
          <w:fldChar w:fldCharType="end"/>
        </w:r>
      </w:hyperlink>
    </w:p>
    <w:p w14:paraId="5E6D884B" w14:textId="057BDAAE" w:rsidR="00C84822" w:rsidRDefault="00000000">
      <w:pPr>
        <w:pStyle w:val="TableofFigures"/>
        <w:tabs>
          <w:tab w:val="right" w:leader="dot" w:pos="9350"/>
        </w:tabs>
        <w:rPr>
          <w:rFonts w:asciiTheme="minorHAnsi" w:eastAsiaTheme="minorEastAsia" w:hAnsiTheme="minorHAnsi"/>
          <w:noProof/>
          <w:sz w:val="22"/>
        </w:rPr>
      </w:pPr>
      <w:hyperlink w:anchor="_Toc121265888" w:history="1">
        <w:r w:rsidR="00C84822" w:rsidRPr="00221DFF">
          <w:rPr>
            <w:rStyle w:val="Hyperlink"/>
            <w:noProof/>
          </w:rPr>
          <w:t>Figure 45: 8000ft Long Fault in Wellington Site. Modified from (Birdie, et al., Assessing Induced Seismicity Risk at the Wellington Geologic Sequestration Site, 2022)</w:t>
        </w:r>
        <w:r w:rsidR="00C84822">
          <w:rPr>
            <w:noProof/>
            <w:webHidden/>
          </w:rPr>
          <w:tab/>
        </w:r>
        <w:r w:rsidR="00C84822">
          <w:rPr>
            <w:noProof/>
            <w:webHidden/>
          </w:rPr>
          <w:fldChar w:fldCharType="begin"/>
        </w:r>
        <w:r w:rsidR="00C84822">
          <w:rPr>
            <w:noProof/>
            <w:webHidden/>
          </w:rPr>
          <w:instrText xml:space="preserve"> PAGEREF _Toc121265888 \h </w:instrText>
        </w:r>
        <w:r w:rsidR="00C84822">
          <w:rPr>
            <w:noProof/>
            <w:webHidden/>
          </w:rPr>
        </w:r>
        <w:r w:rsidR="00C84822">
          <w:rPr>
            <w:noProof/>
            <w:webHidden/>
          </w:rPr>
          <w:fldChar w:fldCharType="separate"/>
        </w:r>
        <w:r w:rsidR="00955725">
          <w:rPr>
            <w:noProof/>
            <w:webHidden/>
          </w:rPr>
          <w:t>60</w:t>
        </w:r>
        <w:r w:rsidR="00C84822">
          <w:rPr>
            <w:noProof/>
            <w:webHidden/>
          </w:rPr>
          <w:fldChar w:fldCharType="end"/>
        </w:r>
      </w:hyperlink>
    </w:p>
    <w:p w14:paraId="2B12895A" w14:textId="1F91B570" w:rsidR="00C84822" w:rsidRDefault="00000000">
      <w:pPr>
        <w:pStyle w:val="TableofFigures"/>
        <w:tabs>
          <w:tab w:val="right" w:leader="dot" w:pos="9350"/>
        </w:tabs>
        <w:rPr>
          <w:rFonts w:asciiTheme="minorHAnsi" w:eastAsiaTheme="minorEastAsia" w:hAnsiTheme="minorHAnsi"/>
          <w:noProof/>
          <w:sz w:val="22"/>
        </w:rPr>
      </w:pPr>
      <w:hyperlink w:anchor="_Toc121265889" w:history="1">
        <w:r w:rsidR="00C84822" w:rsidRPr="00221DFF">
          <w:rPr>
            <w:rStyle w:val="Hyperlink"/>
            <w:noProof/>
          </w:rPr>
          <w:t>Figure 46:Posterior stress distribution plot</w:t>
        </w:r>
        <w:r w:rsidR="00C84822">
          <w:rPr>
            <w:noProof/>
            <w:webHidden/>
          </w:rPr>
          <w:tab/>
        </w:r>
        <w:r w:rsidR="00C84822">
          <w:rPr>
            <w:noProof/>
            <w:webHidden/>
          </w:rPr>
          <w:fldChar w:fldCharType="begin"/>
        </w:r>
        <w:r w:rsidR="00C84822">
          <w:rPr>
            <w:noProof/>
            <w:webHidden/>
          </w:rPr>
          <w:instrText xml:space="preserve"> PAGEREF _Toc121265889 \h </w:instrText>
        </w:r>
        <w:r w:rsidR="00C84822">
          <w:rPr>
            <w:noProof/>
            <w:webHidden/>
          </w:rPr>
        </w:r>
        <w:r w:rsidR="00C84822">
          <w:rPr>
            <w:noProof/>
            <w:webHidden/>
          </w:rPr>
          <w:fldChar w:fldCharType="separate"/>
        </w:r>
        <w:r w:rsidR="00955725">
          <w:rPr>
            <w:noProof/>
            <w:webHidden/>
          </w:rPr>
          <w:t>63</w:t>
        </w:r>
        <w:r w:rsidR="00C84822">
          <w:rPr>
            <w:noProof/>
            <w:webHidden/>
          </w:rPr>
          <w:fldChar w:fldCharType="end"/>
        </w:r>
      </w:hyperlink>
    </w:p>
    <w:p w14:paraId="012C0EF3" w14:textId="3D923669" w:rsidR="00C84822" w:rsidRDefault="00000000">
      <w:pPr>
        <w:pStyle w:val="TableofFigures"/>
        <w:tabs>
          <w:tab w:val="right" w:leader="dot" w:pos="9350"/>
        </w:tabs>
        <w:rPr>
          <w:rFonts w:asciiTheme="minorHAnsi" w:eastAsiaTheme="minorEastAsia" w:hAnsiTheme="minorHAnsi"/>
          <w:noProof/>
          <w:sz w:val="22"/>
        </w:rPr>
      </w:pPr>
      <w:hyperlink w:anchor="_Toc121265890" w:history="1">
        <w:r w:rsidR="00C84822" w:rsidRPr="00221DFF">
          <w:rPr>
            <w:rStyle w:val="Hyperlink"/>
            <w:noProof/>
          </w:rPr>
          <w:t>Figure 47: Probability of Fault Activation with Site Specific Stress Data</w:t>
        </w:r>
        <w:r w:rsidR="00C84822">
          <w:rPr>
            <w:noProof/>
            <w:webHidden/>
          </w:rPr>
          <w:tab/>
        </w:r>
        <w:r w:rsidR="00C84822">
          <w:rPr>
            <w:noProof/>
            <w:webHidden/>
          </w:rPr>
          <w:fldChar w:fldCharType="begin"/>
        </w:r>
        <w:r w:rsidR="00C84822">
          <w:rPr>
            <w:noProof/>
            <w:webHidden/>
          </w:rPr>
          <w:instrText xml:space="preserve"> PAGEREF _Toc121265890 \h </w:instrText>
        </w:r>
        <w:r w:rsidR="00C84822">
          <w:rPr>
            <w:noProof/>
            <w:webHidden/>
          </w:rPr>
        </w:r>
        <w:r w:rsidR="00C84822">
          <w:rPr>
            <w:noProof/>
            <w:webHidden/>
          </w:rPr>
          <w:fldChar w:fldCharType="separate"/>
        </w:r>
        <w:r w:rsidR="00955725">
          <w:rPr>
            <w:noProof/>
            <w:webHidden/>
          </w:rPr>
          <w:t>63</w:t>
        </w:r>
        <w:r w:rsidR="00C84822">
          <w:rPr>
            <w:noProof/>
            <w:webHidden/>
          </w:rPr>
          <w:fldChar w:fldCharType="end"/>
        </w:r>
      </w:hyperlink>
    </w:p>
    <w:p w14:paraId="12463E2C" w14:textId="46ECD5C1" w:rsidR="00C84822" w:rsidRDefault="00000000">
      <w:pPr>
        <w:pStyle w:val="TableofFigures"/>
        <w:tabs>
          <w:tab w:val="right" w:leader="dot" w:pos="9350"/>
        </w:tabs>
        <w:rPr>
          <w:rFonts w:asciiTheme="minorHAnsi" w:eastAsiaTheme="minorEastAsia" w:hAnsiTheme="minorHAnsi"/>
          <w:noProof/>
          <w:sz w:val="22"/>
        </w:rPr>
      </w:pPr>
      <w:hyperlink w:anchor="_Toc121265891" w:history="1">
        <w:r w:rsidR="00C84822" w:rsidRPr="00221DFF">
          <w:rPr>
            <w:rStyle w:val="Hyperlink"/>
            <w:noProof/>
          </w:rPr>
          <w:t>Figure 48: Environment Variables</w:t>
        </w:r>
        <w:r w:rsidR="00C84822">
          <w:rPr>
            <w:noProof/>
            <w:webHidden/>
          </w:rPr>
          <w:tab/>
        </w:r>
        <w:r w:rsidR="00C84822">
          <w:rPr>
            <w:noProof/>
            <w:webHidden/>
          </w:rPr>
          <w:fldChar w:fldCharType="begin"/>
        </w:r>
        <w:r w:rsidR="00C84822">
          <w:rPr>
            <w:noProof/>
            <w:webHidden/>
          </w:rPr>
          <w:instrText xml:space="preserve"> PAGEREF _Toc121265891 \h </w:instrText>
        </w:r>
        <w:r w:rsidR="00C84822">
          <w:rPr>
            <w:noProof/>
            <w:webHidden/>
          </w:rPr>
        </w:r>
        <w:r w:rsidR="00C84822">
          <w:rPr>
            <w:noProof/>
            <w:webHidden/>
          </w:rPr>
          <w:fldChar w:fldCharType="separate"/>
        </w:r>
        <w:r w:rsidR="00955725">
          <w:rPr>
            <w:noProof/>
            <w:webHidden/>
          </w:rPr>
          <w:t>78</w:t>
        </w:r>
        <w:r w:rsidR="00C84822">
          <w:rPr>
            <w:noProof/>
            <w:webHidden/>
          </w:rPr>
          <w:fldChar w:fldCharType="end"/>
        </w:r>
      </w:hyperlink>
    </w:p>
    <w:p w14:paraId="2BCBD2D0" w14:textId="1E9CC9AA" w:rsidR="00C84822" w:rsidRDefault="00000000">
      <w:pPr>
        <w:pStyle w:val="TableofFigures"/>
        <w:tabs>
          <w:tab w:val="right" w:leader="dot" w:pos="9350"/>
        </w:tabs>
        <w:rPr>
          <w:rFonts w:asciiTheme="minorHAnsi" w:eastAsiaTheme="minorEastAsia" w:hAnsiTheme="minorHAnsi"/>
          <w:noProof/>
          <w:sz w:val="22"/>
        </w:rPr>
      </w:pPr>
      <w:hyperlink w:anchor="_Toc121265892" w:history="1">
        <w:r w:rsidR="00C84822" w:rsidRPr="00221DFF">
          <w:rPr>
            <w:rStyle w:val="Hyperlink"/>
            <w:noProof/>
          </w:rPr>
          <w:t>Figure 49: Updating JAVA_HOME and JRE_HOME</w:t>
        </w:r>
        <w:r w:rsidR="00C84822">
          <w:rPr>
            <w:noProof/>
            <w:webHidden/>
          </w:rPr>
          <w:tab/>
        </w:r>
        <w:r w:rsidR="00C84822">
          <w:rPr>
            <w:noProof/>
            <w:webHidden/>
          </w:rPr>
          <w:fldChar w:fldCharType="begin"/>
        </w:r>
        <w:r w:rsidR="00C84822">
          <w:rPr>
            <w:noProof/>
            <w:webHidden/>
          </w:rPr>
          <w:instrText xml:space="preserve"> PAGEREF _Toc121265892 \h </w:instrText>
        </w:r>
        <w:r w:rsidR="00C84822">
          <w:rPr>
            <w:noProof/>
            <w:webHidden/>
          </w:rPr>
        </w:r>
        <w:r w:rsidR="00C84822">
          <w:rPr>
            <w:noProof/>
            <w:webHidden/>
          </w:rPr>
          <w:fldChar w:fldCharType="separate"/>
        </w:r>
        <w:r w:rsidR="00955725">
          <w:rPr>
            <w:noProof/>
            <w:webHidden/>
          </w:rPr>
          <w:t>79</w:t>
        </w:r>
        <w:r w:rsidR="00C84822">
          <w:rPr>
            <w:noProof/>
            <w:webHidden/>
          </w:rPr>
          <w:fldChar w:fldCharType="end"/>
        </w:r>
      </w:hyperlink>
    </w:p>
    <w:p w14:paraId="456336B6" w14:textId="6360369F" w:rsidR="00C84822" w:rsidRDefault="00000000">
      <w:pPr>
        <w:pStyle w:val="TableofFigures"/>
        <w:tabs>
          <w:tab w:val="right" w:leader="dot" w:pos="9350"/>
        </w:tabs>
        <w:rPr>
          <w:rFonts w:asciiTheme="minorHAnsi" w:eastAsiaTheme="minorEastAsia" w:hAnsiTheme="minorHAnsi"/>
          <w:noProof/>
          <w:sz w:val="22"/>
        </w:rPr>
      </w:pPr>
      <w:hyperlink w:anchor="_Toc121265893" w:history="1">
        <w:r w:rsidR="00C84822" w:rsidRPr="00221DFF">
          <w:rPr>
            <w:rStyle w:val="Hyperlink"/>
            <w:noProof/>
          </w:rPr>
          <w:t>Figure 50: Notice to Users</w:t>
        </w:r>
        <w:r w:rsidR="00C84822">
          <w:rPr>
            <w:noProof/>
            <w:webHidden/>
          </w:rPr>
          <w:tab/>
        </w:r>
        <w:r w:rsidR="00C84822">
          <w:rPr>
            <w:noProof/>
            <w:webHidden/>
          </w:rPr>
          <w:fldChar w:fldCharType="begin"/>
        </w:r>
        <w:r w:rsidR="00C84822">
          <w:rPr>
            <w:noProof/>
            <w:webHidden/>
          </w:rPr>
          <w:instrText xml:space="preserve"> PAGEREF _Toc121265893 \h </w:instrText>
        </w:r>
        <w:r w:rsidR="00C84822">
          <w:rPr>
            <w:noProof/>
            <w:webHidden/>
          </w:rPr>
        </w:r>
        <w:r w:rsidR="00C84822">
          <w:rPr>
            <w:noProof/>
            <w:webHidden/>
          </w:rPr>
          <w:fldChar w:fldCharType="separate"/>
        </w:r>
        <w:r w:rsidR="00955725">
          <w:rPr>
            <w:noProof/>
            <w:webHidden/>
          </w:rPr>
          <w:t>80</w:t>
        </w:r>
        <w:r w:rsidR="00C84822">
          <w:rPr>
            <w:noProof/>
            <w:webHidden/>
          </w:rPr>
          <w:fldChar w:fldCharType="end"/>
        </w:r>
      </w:hyperlink>
    </w:p>
    <w:p w14:paraId="0A36CEB5" w14:textId="4524FB3C" w:rsidR="00C84822" w:rsidRDefault="00000000">
      <w:pPr>
        <w:pStyle w:val="TableofFigures"/>
        <w:tabs>
          <w:tab w:val="right" w:leader="dot" w:pos="9350"/>
        </w:tabs>
        <w:rPr>
          <w:rFonts w:asciiTheme="minorHAnsi" w:eastAsiaTheme="minorEastAsia" w:hAnsiTheme="minorHAnsi"/>
          <w:noProof/>
          <w:sz w:val="22"/>
        </w:rPr>
      </w:pPr>
      <w:hyperlink w:anchor="_Toc121265894" w:history="1">
        <w:r w:rsidR="00C84822" w:rsidRPr="00221DFF">
          <w:rPr>
            <w:rStyle w:val="Hyperlink"/>
            <w:noProof/>
          </w:rPr>
          <w:t>Figure 51: SOSAT Main Page</w:t>
        </w:r>
        <w:r w:rsidR="00C84822">
          <w:rPr>
            <w:noProof/>
            <w:webHidden/>
          </w:rPr>
          <w:tab/>
        </w:r>
        <w:r w:rsidR="00C84822">
          <w:rPr>
            <w:noProof/>
            <w:webHidden/>
          </w:rPr>
          <w:fldChar w:fldCharType="begin"/>
        </w:r>
        <w:r w:rsidR="00C84822">
          <w:rPr>
            <w:noProof/>
            <w:webHidden/>
          </w:rPr>
          <w:instrText xml:space="preserve"> PAGEREF _Toc121265894 \h </w:instrText>
        </w:r>
        <w:r w:rsidR="00C84822">
          <w:rPr>
            <w:noProof/>
            <w:webHidden/>
          </w:rPr>
        </w:r>
        <w:r w:rsidR="00C84822">
          <w:rPr>
            <w:noProof/>
            <w:webHidden/>
          </w:rPr>
          <w:fldChar w:fldCharType="separate"/>
        </w:r>
        <w:r w:rsidR="00955725">
          <w:rPr>
            <w:noProof/>
            <w:webHidden/>
          </w:rPr>
          <w:t>81</w:t>
        </w:r>
        <w:r w:rsidR="00C84822">
          <w:rPr>
            <w:noProof/>
            <w:webHidden/>
          </w:rPr>
          <w:fldChar w:fldCharType="end"/>
        </w:r>
      </w:hyperlink>
    </w:p>
    <w:p w14:paraId="73A4A4CE" w14:textId="0A23063D" w:rsidR="00C84822" w:rsidRDefault="00000000">
      <w:pPr>
        <w:pStyle w:val="TableofFigures"/>
        <w:tabs>
          <w:tab w:val="right" w:leader="dot" w:pos="9350"/>
        </w:tabs>
        <w:rPr>
          <w:rFonts w:asciiTheme="minorHAnsi" w:eastAsiaTheme="minorEastAsia" w:hAnsiTheme="minorHAnsi"/>
          <w:noProof/>
          <w:sz w:val="22"/>
        </w:rPr>
      </w:pPr>
      <w:hyperlink w:anchor="_Toc121265895" w:history="1">
        <w:r w:rsidR="00C84822" w:rsidRPr="00221DFF">
          <w:rPr>
            <w:rStyle w:val="Hyperlink"/>
            <w:noProof/>
          </w:rPr>
          <w:t>Figure 52: Enter Parameters in SOSAT</w:t>
        </w:r>
        <w:r w:rsidR="00C84822">
          <w:rPr>
            <w:noProof/>
            <w:webHidden/>
          </w:rPr>
          <w:tab/>
        </w:r>
        <w:r w:rsidR="00C84822">
          <w:rPr>
            <w:noProof/>
            <w:webHidden/>
          </w:rPr>
          <w:fldChar w:fldCharType="begin"/>
        </w:r>
        <w:r w:rsidR="00C84822">
          <w:rPr>
            <w:noProof/>
            <w:webHidden/>
          </w:rPr>
          <w:instrText xml:space="preserve"> PAGEREF _Toc121265895 \h </w:instrText>
        </w:r>
        <w:r w:rsidR="00C84822">
          <w:rPr>
            <w:noProof/>
            <w:webHidden/>
          </w:rPr>
        </w:r>
        <w:r w:rsidR="00C84822">
          <w:rPr>
            <w:noProof/>
            <w:webHidden/>
          </w:rPr>
          <w:fldChar w:fldCharType="separate"/>
        </w:r>
        <w:r w:rsidR="00955725">
          <w:rPr>
            <w:noProof/>
            <w:webHidden/>
          </w:rPr>
          <w:t>82</w:t>
        </w:r>
        <w:r w:rsidR="00C84822">
          <w:rPr>
            <w:noProof/>
            <w:webHidden/>
          </w:rPr>
          <w:fldChar w:fldCharType="end"/>
        </w:r>
      </w:hyperlink>
    </w:p>
    <w:p w14:paraId="0E5375BD" w14:textId="7B2B4D0A" w:rsidR="00C84822" w:rsidRDefault="00000000">
      <w:pPr>
        <w:pStyle w:val="TableofFigures"/>
        <w:tabs>
          <w:tab w:val="right" w:leader="dot" w:pos="9350"/>
        </w:tabs>
        <w:rPr>
          <w:rFonts w:asciiTheme="minorHAnsi" w:eastAsiaTheme="minorEastAsia" w:hAnsiTheme="minorHAnsi"/>
          <w:noProof/>
          <w:sz w:val="22"/>
        </w:rPr>
      </w:pPr>
      <w:hyperlink w:anchor="_Toc121265896" w:history="1">
        <w:r w:rsidR="00C84822" w:rsidRPr="00221DFF">
          <w:rPr>
            <w:rStyle w:val="Hyperlink"/>
            <w:noProof/>
          </w:rPr>
          <w:t>Figure 53: Including file directory</w:t>
        </w:r>
        <w:r w:rsidR="00C84822">
          <w:rPr>
            <w:noProof/>
            <w:webHidden/>
          </w:rPr>
          <w:tab/>
        </w:r>
        <w:r w:rsidR="00C84822">
          <w:rPr>
            <w:noProof/>
            <w:webHidden/>
          </w:rPr>
          <w:fldChar w:fldCharType="begin"/>
        </w:r>
        <w:r w:rsidR="00C84822">
          <w:rPr>
            <w:noProof/>
            <w:webHidden/>
          </w:rPr>
          <w:instrText xml:space="preserve"> PAGEREF _Toc121265896 \h </w:instrText>
        </w:r>
        <w:r w:rsidR="00C84822">
          <w:rPr>
            <w:noProof/>
            <w:webHidden/>
          </w:rPr>
        </w:r>
        <w:r w:rsidR="00C84822">
          <w:rPr>
            <w:noProof/>
            <w:webHidden/>
          </w:rPr>
          <w:fldChar w:fldCharType="separate"/>
        </w:r>
        <w:r w:rsidR="00955725">
          <w:rPr>
            <w:noProof/>
            <w:webHidden/>
          </w:rPr>
          <w:t>83</w:t>
        </w:r>
        <w:r w:rsidR="00C84822">
          <w:rPr>
            <w:noProof/>
            <w:webHidden/>
          </w:rPr>
          <w:fldChar w:fldCharType="end"/>
        </w:r>
      </w:hyperlink>
    </w:p>
    <w:p w14:paraId="32D893BA" w14:textId="33FB9452" w:rsidR="00C84822" w:rsidRDefault="00000000">
      <w:pPr>
        <w:pStyle w:val="TableofFigures"/>
        <w:tabs>
          <w:tab w:val="right" w:leader="dot" w:pos="9350"/>
        </w:tabs>
        <w:rPr>
          <w:rFonts w:asciiTheme="minorHAnsi" w:eastAsiaTheme="minorEastAsia" w:hAnsiTheme="minorHAnsi"/>
          <w:noProof/>
          <w:sz w:val="22"/>
        </w:rPr>
      </w:pPr>
      <w:hyperlink w:anchor="_Toc121265897" w:history="1">
        <w:r w:rsidR="00C84822" w:rsidRPr="00221DFF">
          <w:rPr>
            <w:rStyle w:val="Hyperlink"/>
            <w:noProof/>
          </w:rPr>
          <w:t>Figure 54: Running analysis</w:t>
        </w:r>
        <w:r w:rsidR="00C84822">
          <w:rPr>
            <w:noProof/>
            <w:webHidden/>
          </w:rPr>
          <w:tab/>
        </w:r>
        <w:r w:rsidR="00C84822">
          <w:rPr>
            <w:noProof/>
            <w:webHidden/>
          </w:rPr>
          <w:fldChar w:fldCharType="begin"/>
        </w:r>
        <w:r w:rsidR="00C84822">
          <w:rPr>
            <w:noProof/>
            <w:webHidden/>
          </w:rPr>
          <w:instrText xml:space="preserve"> PAGEREF _Toc121265897 \h </w:instrText>
        </w:r>
        <w:r w:rsidR="00C84822">
          <w:rPr>
            <w:noProof/>
            <w:webHidden/>
          </w:rPr>
        </w:r>
        <w:r w:rsidR="00C84822">
          <w:rPr>
            <w:noProof/>
            <w:webHidden/>
          </w:rPr>
          <w:fldChar w:fldCharType="separate"/>
        </w:r>
        <w:r w:rsidR="00955725">
          <w:rPr>
            <w:noProof/>
            <w:webHidden/>
          </w:rPr>
          <w:t>84</w:t>
        </w:r>
        <w:r w:rsidR="00C84822">
          <w:rPr>
            <w:noProof/>
            <w:webHidden/>
          </w:rPr>
          <w:fldChar w:fldCharType="end"/>
        </w:r>
      </w:hyperlink>
    </w:p>
    <w:p w14:paraId="55022445" w14:textId="39A805A9" w:rsidR="009C0FCB" w:rsidRDefault="00C84822" w:rsidP="00066DA9">
      <w:pPr>
        <w:pStyle w:val="Heading1"/>
      </w:pPr>
      <w:r>
        <w:rPr>
          <w:rFonts w:eastAsiaTheme="minorHAnsi" w:cstheme="minorBidi"/>
          <w:sz w:val="24"/>
          <w:szCs w:val="22"/>
        </w:rPr>
        <w:fldChar w:fldCharType="end"/>
      </w:r>
    </w:p>
    <w:p w14:paraId="58D44CC9" w14:textId="0776AC8F" w:rsidR="00B80630" w:rsidRDefault="00B80630">
      <w:pPr>
        <w:rPr>
          <w:rFonts w:cs="Times New Roman"/>
          <w:color w:val="000000"/>
          <w:szCs w:val="24"/>
        </w:rPr>
      </w:pPr>
      <w:r>
        <w:br w:type="page"/>
      </w:r>
    </w:p>
    <w:p w14:paraId="1395C0D5" w14:textId="6EB3F906" w:rsidR="00D63E90" w:rsidRPr="00D63E90" w:rsidRDefault="00D63E90" w:rsidP="00D63E90">
      <w:pPr>
        <w:pStyle w:val="Heading1"/>
      </w:pPr>
      <w:bookmarkStart w:id="4" w:name="_Toc121265801"/>
      <w:r w:rsidRPr="00D63E90">
        <w:lastRenderedPageBreak/>
        <w:t>LIST OF TABLES</w:t>
      </w:r>
      <w:bookmarkEnd w:id="4"/>
    </w:p>
    <w:p w14:paraId="46C4A659" w14:textId="26160ABE" w:rsidR="00A9020A" w:rsidRDefault="00A9020A">
      <w:pPr>
        <w:pStyle w:val="TableofFigures"/>
        <w:tabs>
          <w:tab w:val="right" w:leader="dot" w:pos="9350"/>
        </w:tabs>
        <w:rPr>
          <w:rFonts w:asciiTheme="minorHAnsi" w:eastAsiaTheme="minorEastAsia" w:hAnsiTheme="minorHAnsi"/>
          <w:noProof/>
          <w:sz w:val="22"/>
        </w:rPr>
      </w:pPr>
      <w:r>
        <w:rPr>
          <w:rFonts w:cs="Times New Roman"/>
          <w:color w:val="000000"/>
          <w:szCs w:val="24"/>
        </w:rPr>
        <w:fldChar w:fldCharType="begin"/>
      </w:r>
      <w:r>
        <w:rPr>
          <w:rFonts w:cs="Times New Roman"/>
          <w:color w:val="000000"/>
          <w:szCs w:val="24"/>
        </w:rPr>
        <w:instrText xml:space="preserve"> TOC \h \z \c "Table" </w:instrText>
      </w:r>
      <w:r>
        <w:rPr>
          <w:rFonts w:cs="Times New Roman"/>
          <w:color w:val="000000"/>
          <w:szCs w:val="24"/>
        </w:rPr>
        <w:fldChar w:fldCharType="separate"/>
      </w:r>
      <w:hyperlink w:anchor="_Toc120839859" w:history="1">
        <w:r w:rsidRPr="0016527E">
          <w:rPr>
            <w:rStyle w:val="Hyperlink"/>
            <w:noProof/>
          </w:rPr>
          <w:t>Table 1: Estimation of Seismicity Risks</w:t>
        </w:r>
        <w:r>
          <w:rPr>
            <w:noProof/>
            <w:webHidden/>
          </w:rPr>
          <w:tab/>
        </w:r>
        <w:r>
          <w:rPr>
            <w:noProof/>
            <w:webHidden/>
          </w:rPr>
          <w:fldChar w:fldCharType="begin"/>
        </w:r>
        <w:r>
          <w:rPr>
            <w:noProof/>
            <w:webHidden/>
          </w:rPr>
          <w:instrText xml:space="preserve"> PAGEREF _Toc120839859 \h </w:instrText>
        </w:r>
        <w:r>
          <w:rPr>
            <w:noProof/>
            <w:webHidden/>
          </w:rPr>
        </w:r>
        <w:r>
          <w:rPr>
            <w:noProof/>
            <w:webHidden/>
          </w:rPr>
          <w:fldChar w:fldCharType="separate"/>
        </w:r>
        <w:r w:rsidR="00955725">
          <w:rPr>
            <w:noProof/>
            <w:webHidden/>
          </w:rPr>
          <w:t>14</w:t>
        </w:r>
        <w:r>
          <w:rPr>
            <w:noProof/>
            <w:webHidden/>
          </w:rPr>
          <w:fldChar w:fldCharType="end"/>
        </w:r>
      </w:hyperlink>
    </w:p>
    <w:p w14:paraId="012E8046" w14:textId="39D6A474" w:rsidR="00A9020A" w:rsidRDefault="00000000">
      <w:pPr>
        <w:pStyle w:val="TableofFigures"/>
        <w:tabs>
          <w:tab w:val="right" w:leader="dot" w:pos="9350"/>
        </w:tabs>
        <w:rPr>
          <w:rFonts w:asciiTheme="minorHAnsi" w:eastAsiaTheme="minorEastAsia" w:hAnsiTheme="minorHAnsi"/>
          <w:noProof/>
          <w:sz w:val="22"/>
        </w:rPr>
      </w:pPr>
      <w:hyperlink w:anchor="_Toc120839860" w:history="1">
        <w:r w:rsidR="00A9020A" w:rsidRPr="0016527E">
          <w:rPr>
            <w:rStyle w:val="Hyperlink"/>
            <w:noProof/>
          </w:rPr>
          <w:t>Table 2: Arbuckle core results (Daneshfar, Hughes, &amp; Civan, 2009)</w:t>
        </w:r>
        <w:r w:rsidR="00A9020A">
          <w:rPr>
            <w:noProof/>
            <w:webHidden/>
          </w:rPr>
          <w:tab/>
        </w:r>
        <w:r w:rsidR="00A9020A">
          <w:rPr>
            <w:noProof/>
            <w:webHidden/>
          </w:rPr>
          <w:fldChar w:fldCharType="begin"/>
        </w:r>
        <w:r w:rsidR="00A9020A">
          <w:rPr>
            <w:noProof/>
            <w:webHidden/>
          </w:rPr>
          <w:instrText xml:space="preserve"> PAGEREF _Toc120839860 \h </w:instrText>
        </w:r>
        <w:r w:rsidR="00A9020A">
          <w:rPr>
            <w:noProof/>
            <w:webHidden/>
          </w:rPr>
        </w:r>
        <w:r w:rsidR="00A9020A">
          <w:rPr>
            <w:noProof/>
            <w:webHidden/>
          </w:rPr>
          <w:fldChar w:fldCharType="separate"/>
        </w:r>
        <w:r w:rsidR="00955725">
          <w:rPr>
            <w:noProof/>
            <w:webHidden/>
          </w:rPr>
          <w:t>29</w:t>
        </w:r>
        <w:r w:rsidR="00A9020A">
          <w:rPr>
            <w:noProof/>
            <w:webHidden/>
          </w:rPr>
          <w:fldChar w:fldCharType="end"/>
        </w:r>
      </w:hyperlink>
    </w:p>
    <w:p w14:paraId="6FFBAC08" w14:textId="301A2FE1" w:rsidR="00A9020A" w:rsidRDefault="00000000">
      <w:pPr>
        <w:pStyle w:val="TableofFigures"/>
        <w:tabs>
          <w:tab w:val="right" w:leader="dot" w:pos="9350"/>
        </w:tabs>
        <w:rPr>
          <w:rFonts w:asciiTheme="minorHAnsi" w:eastAsiaTheme="minorEastAsia" w:hAnsiTheme="minorHAnsi"/>
          <w:noProof/>
          <w:sz w:val="22"/>
        </w:rPr>
      </w:pPr>
      <w:hyperlink w:anchor="_Toc120839861" w:history="1">
        <w:r w:rsidR="00A9020A" w:rsidRPr="0016527E">
          <w:rPr>
            <w:rStyle w:val="Hyperlink"/>
            <w:noProof/>
          </w:rPr>
          <w:t>Table 3: Disposal Wells Completion Data (Daneshfar, Hughes, &amp; Civan, 2009)</w:t>
        </w:r>
        <w:r w:rsidR="00A9020A">
          <w:rPr>
            <w:noProof/>
            <w:webHidden/>
          </w:rPr>
          <w:tab/>
        </w:r>
        <w:r w:rsidR="00A9020A">
          <w:rPr>
            <w:noProof/>
            <w:webHidden/>
          </w:rPr>
          <w:fldChar w:fldCharType="begin"/>
        </w:r>
        <w:r w:rsidR="00A9020A">
          <w:rPr>
            <w:noProof/>
            <w:webHidden/>
          </w:rPr>
          <w:instrText xml:space="preserve"> PAGEREF _Toc120839861 \h </w:instrText>
        </w:r>
        <w:r w:rsidR="00A9020A">
          <w:rPr>
            <w:noProof/>
            <w:webHidden/>
          </w:rPr>
        </w:r>
        <w:r w:rsidR="00A9020A">
          <w:rPr>
            <w:noProof/>
            <w:webHidden/>
          </w:rPr>
          <w:fldChar w:fldCharType="separate"/>
        </w:r>
        <w:r w:rsidR="00955725">
          <w:rPr>
            <w:noProof/>
            <w:webHidden/>
          </w:rPr>
          <w:t>31</w:t>
        </w:r>
        <w:r w:rsidR="00A9020A">
          <w:rPr>
            <w:noProof/>
            <w:webHidden/>
          </w:rPr>
          <w:fldChar w:fldCharType="end"/>
        </w:r>
      </w:hyperlink>
    </w:p>
    <w:p w14:paraId="2503AE5D" w14:textId="0F2BCF90" w:rsidR="00A9020A" w:rsidRDefault="00000000">
      <w:pPr>
        <w:pStyle w:val="TableofFigures"/>
        <w:tabs>
          <w:tab w:val="right" w:leader="dot" w:pos="9350"/>
        </w:tabs>
        <w:rPr>
          <w:rFonts w:asciiTheme="minorHAnsi" w:eastAsiaTheme="minorEastAsia" w:hAnsiTheme="minorHAnsi"/>
          <w:noProof/>
          <w:sz w:val="22"/>
        </w:rPr>
      </w:pPr>
      <w:hyperlink w:anchor="_Toc120839862" w:history="1">
        <w:r w:rsidR="00A9020A" w:rsidRPr="0016527E">
          <w:rPr>
            <w:rStyle w:val="Hyperlink"/>
            <w:noProof/>
          </w:rPr>
          <w:t>Table 4: Reservoir Properties</w:t>
        </w:r>
        <w:r w:rsidR="00A9020A">
          <w:rPr>
            <w:noProof/>
            <w:webHidden/>
          </w:rPr>
          <w:tab/>
        </w:r>
        <w:r w:rsidR="00A9020A">
          <w:rPr>
            <w:noProof/>
            <w:webHidden/>
          </w:rPr>
          <w:fldChar w:fldCharType="begin"/>
        </w:r>
        <w:r w:rsidR="00A9020A">
          <w:rPr>
            <w:noProof/>
            <w:webHidden/>
          </w:rPr>
          <w:instrText xml:space="preserve"> PAGEREF _Toc120839862 \h </w:instrText>
        </w:r>
        <w:r w:rsidR="00A9020A">
          <w:rPr>
            <w:noProof/>
            <w:webHidden/>
          </w:rPr>
        </w:r>
        <w:r w:rsidR="00A9020A">
          <w:rPr>
            <w:noProof/>
            <w:webHidden/>
          </w:rPr>
          <w:fldChar w:fldCharType="separate"/>
        </w:r>
        <w:r w:rsidR="00955725">
          <w:rPr>
            <w:noProof/>
            <w:webHidden/>
          </w:rPr>
          <w:t>32</w:t>
        </w:r>
        <w:r w:rsidR="00A9020A">
          <w:rPr>
            <w:noProof/>
            <w:webHidden/>
          </w:rPr>
          <w:fldChar w:fldCharType="end"/>
        </w:r>
      </w:hyperlink>
    </w:p>
    <w:p w14:paraId="1944E3C1" w14:textId="3E087893" w:rsidR="00A9020A" w:rsidRDefault="00000000">
      <w:pPr>
        <w:pStyle w:val="TableofFigures"/>
        <w:tabs>
          <w:tab w:val="right" w:leader="dot" w:pos="9350"/>
        </w:tabs>
        <w:rPr>
          <w:rFonts w:asciiTheme="minorHAnsi" w:eastAsiaTheme="minorEastAsia" w:hAnsiTheme="minorHAnsi"/>
          <w:noProof/>
          <w:sz w:val="22"/>
        </w:rPr>
      </w:pPr>
      <w:hyperlink w:anchor="_Toc120839863" w:history="1">
        <w:r w:rsidR="00A9020A" w:rsidRPr="0016527E">
          <w:rPr>
            <w:rStyle w:val="Hyperlink"/>
            <w:noProof/>
          </w:rPr>
          <w:t>Table 5: Regional Stress Info Parameters</w:t>
        </w:r>
        <w:r w:rsidR="00A9020A">
          <w:rPr>
            <w:noProof/>
            <w:webHidden/>
          </w:rPr>
          <w:tab/>
        </w:r>
        <w:r w:rsidR="00A9020A">
          <w:rPr>
            <w:noProof/>
            <w:webHidden/>
          </w:rPr>
          <w:fldChar w:fldCharType="begin"/>
        </w:r>
        <w:r w:rsidR="00A9020A">
          <w:rPr>
            <w:noProof/>
            <w:webHidden/>
          </w:rPr>
          <w:instrText xml:space="preserve"> PAGEREF _Toc120839863 \h </w:instrText>
        </w:r>
        <w:r w:rsidR="00A9020A">
          <w:rPr>
            <w:noProof/>
            <w:webHidden/>
          </w:rPr>
        </w:r>
        <w:r w:rsidR="00A9020A">
          <w:rPr>
            <w:noProof/>
            <w:webHidden/>
          </w:rPr>
          <w:fldChar w:fldCharType="separate"/>
        </w:r>
        <w:r w:rsidR="00955725">
          <w:rPr>
            <w:noProof/>
            <w:webHidden/>
          </w:rPr>
          <w:t>32</w:t>
        </w:r>
        <w:r w:rsidR="00A9020A">
          <w:rPr>
            <w:noProof/>
            <w:webHidden/>
          </w:rPr>
          <w:fldChar w:fldCharType="end"/>
        </w:r>
      </w:hyperlink>
    </w:p>
    <w:p w14:paraId="02E21EE9" w14:textId="20B3D937" w:rsidR="00A9020A" w:rsidRDefault="00000000">
      <w:pPr>
        <w:pStyle w:val="TableofFigures"/>
        <w:tabs>
          <w:tab w:val="right" w:leader="dot" w:pos="9350"/>
        </w:tabs>
        <w:rPr>
          <w:rFonts w:asciiTheme="minorHAnsi" w:eastAsiaTheme="minorEastAsia" w:hAnsiTheme="minorHAnsi"/>
          <w:noProof/>
          <w:sz w:val="22"/>
        </w:rPr>
      </w:pPr>
      <w:hyperlink w:anchor="_Toc120839864" w:history="1">
        <w:r w:rsidR="00A9020A" w:rsidRPr="0016527E">
          <w:rPr>
            <w:rStyle w:val="Hyperlink"/>
            <w:noProof/>
          </w:rPr>
          <w:t>Table 6: Stress Measurement Parameters</w:t>
        </w:r>
        <w:r w:rsidR="00A9020A">
          <w:rPr>
            <w:noProof/>
            <w:webHidden/>
          </w:rPr>
          <w:tab/>
        </w:r>
        <w:r w:rsidR="00A9020A">
          <w:rPr>
            <w:noProof/>
            <w:webHidden/>
          </w:rPr>
          <w:fldChar w:fldCharType="begin"/>
        </w:r>
        <w:r w:rsidR="00A9020A">
          <w:rPr>
            <w:noProof/>
            <w:webHidden/>
          </w:rPr>
          <w:instrText xml:space="preserve"> PAGEREF _Toc120839864 \h </w:instrText>
        </w:r>
        <w:r w:rsidR="00A9020A">
          <w:rPr>
            <w:noProof/>
            <w:webHidden/>
          </w:rPr>
        </w:r>
        <w:r w:rsidR="00A9020A">
          <w:rPr>
            <w:noProof/>
            <w:webHidden/>
          </w:rPr>
          <w:fldChar w:fldCharType="separate"/>
        </w:r>
        <w:r w:rsidR="00955725">
          <w:rPr>
            <w:noProof/>
            <w:webHidden/>
          </w:rPr>
          <w:t>33</w:t>
        </w:r>
        <w:r w:rsidR="00A9020A">
          <w:rPr>
            <w:noProof/>
            <w:webHidden/>
          </w:rPr>
          <w:fldChar w:fldCharType="end"/>
        </w:r>
      </w:hyperlink>
    </w:p>
    <w:p w14:paraId="37C8822C" w14:textId="6CA49D3D" w:rsidR="00A9020A" w:rsidRDefault="00000000">
      <w:pPr>
        <w:pStyle w:val="TableofFigures"/>
        <w:tabs>
          <w:tab w:val="right" w:leader="dot" w:pos="9350"/>
        </w:tabs>
        <w:rPr>
          <w:rFonts w:asciiTheme="minorHAnsi" w:eastAsiaTheme="minorEastAsia" w:hAnsiTheme="minorHAnsi"/>
          <w:noProof/>
          <w:sz w:val="22"/>
        </w:rPr>
      </w:pPr>
      <w:hyperlink w:anchor="_Toc120839865" w:history="1">
        <w:r w:rsidR="00A9020A" w:rsidRPr="0016527E">
          <w:rPr>
            <w:rStyle w:val="Hyperlink"/>
            <w:noProof/>
          </w:rPr>
          <w:t>Table 7: Sensitivity Analysis Summary</w:t>
        </w:r>
        <w:r w:rsidR="00A9020A">
          <w:rPr>
            <w:noProof/>
            <w:webHidden/>
          </w:rPr>
          <w:tab/>
        </w:r>
        <w:r w:rsidR="00A9020A">
          <w:rPr>
            <w:noProof/>
            <w:webHidden/>
          </w:rPr>
          <w:fldChar w:fldCharType="begin"/>
        </w:r>
        <w:r w:rsidR="00A9020A">
          <w:rPr>
            <w:noProof/>
            <w:webHidden/>
          </w:rPr>
          <w:instrText xml:space="preserve"> PAGEREF _Toc120839865 \h </w:instrText>
        </w:r>
        <w:r w:rsidR="00A9020A">
          <w:rPr>
            <w:noProof/>
            <w:webHidden/>
          </w:rPr>
        </w:r>
        <w:r w:rsidR="00A9020A">
          <w:rPr>
            <w:noProof/>
            <w:webHidden/>
          </w:rPr>
          <w:fldChar w:fldCharType="separate"/>
        </w:r>
        <w:r w:rsidR="00955725">
          <w:rPr>
            <w:noProof/>
            <w:webHidden/>
          </w:rPr>
          <w:t>55</w:t>
        </w:r>
        <w:r w:rsidR="00A9020A">
          <w:rPr>
            <w:noProof/>
            <w:webHidden/>
          </w:rPr>
          <w:fldChar w:fldCharType="end"/>
        </w:r>
      </w:hyperlink>
    </w:p>
    <w:p w14:paraId="2236AE4D" w14:textId="2FC38748" w:rsidR="00A9020A" w:rsidRDefault="00000000">
      <w:pPr>
        <w:pStyle w:val="TableofFigures"/>
        <w:tabs>
          <w:tab w:val="right" w:leader="dot" w:pos="9350"/>
        </w:tabs>
        <w:rPr>
          <w:rFonts w:asciiTheme="minorHAnsi" w:eastAsiaTheme="minorEastAsia" w:hAnsiTheme="minorHAnsi"/>
          <w:noProof/>
          <w:sz w:val="22"/>
        </w:rPr>
      </w:pPr>
      <w:hyperlink w:anchor="_Toc120839866" w:history="1">
        <w:r w:rsidR="00A9020A" w:rsidRPr="0016527E">
          <w:rPr>
            <w:rStyle w:val="Hyperlink"/>
            <w:noProof/>
          </w:rPr>
          <w:t>Table 8: Reservoir Parameters Sensitivity Summary</w:t>
        </w:r>
        <w:r w:rsidR="00A9020A">
          <w:rPr>
            <w:noProof/>
            <w:webHidden/>
          </w:rPr>
          <w:tab/>
        </w:r>
        <w:r w:rsidR="00A9020A">
          <w:rPr>
            <w:noProof/>
            <w:webHidden/>
          </w:rPr>
          <w:fldChar w:fldCharType="begin"/>
        </w:r>
        <w:r w:rsidR="00A9020A">
          <w:rPr>
            <w:noProof/>
            <w:webHidden/>
          </w:rPr>
          <w:instrText xml:space="preserve"> PAGEREF _Toc120839866 \h </w:instrText>
        </w:r>
        <w:r w:rsidR="00A9020A">
          <w:rPr>
            <w:noProof/>
            <w:webHidden/>
          </w:rPr>
        </w:r>
        <w:r w:rsidR="00A9020A">
          <w:rPr>
            <w:noProof/>
            <w:webHidden/>
          </w:rPr>
          <w:fldChar w:fldCharType="separate"/>
        </w:r>
        <w:r w:rsidR="00955725">
          <w:rPr>
            <w:noProof/>
            <w:webHidden/>
          </w:rPr>
          <w:t>56</w:t>
        </w:r>
        <w:r w:rsidR="00A9020A">
          <w:rPr>
            <w:noProof/>
            <w:webHidden/>
          </w:rPr>
          <w:fldChar w:fldCharType="end"/>
        </w:r>
      </w:hyperlink>
    </w:p>
    <w:p w14:paraId="26C98210" w14:textId="055CE128" w:rsidR="00A9020A" w:rsidRDefault="00000000">
      <w:pPr>
        <w:pStyle w:val="TableofFigures"/>
        <w:tabs>
          <w:tab w:val="right" w:leader="dot" w:pos="9350"/>
        </w:tabs>
        <w:rPr>
          <w:rFonts w:asciiTheme="minorHAnsi" w:eastAsiaTheme="minorEastAsia" w:hAnsiTheme="minorHAnsi"/>
          <w:noProof/>
          <w:sz w:val="22"/>
        </w:rPr>
      </w:pPr>
      <w:hyperlink w:anchor="_Toc120839867" w:history="1">
        <w:r w:rsidR="00A9020A" w:rsidRPr="0016527E">
          <w:rPr>
            <w:rStyle w:val="Hyperlink"/>
            <w:noProof/>
          </w:rPr>
          <w:t>Table 9: Site Reservoir properties</w:t>
        </w:r>
        <w:r w:rsidR="00A9020A">
          <w:rPr>
            <w:noProof/>
            <w:webHidden/>
          </w:rPr>
          <w:tab/>
        </w:r>
        <w:r w:rsidR="00A9020A">
          <w:rPr>
            <w:noProof/>
            <w:webHidden/>
          </w:rPr>
          <w:fldChar w:fldCharType="begin"/>
        </w:r>
        <w:r w:rsidR="00A9020A">
          <w:rPr>
            <w:noProof/>
            <w:webHidden/>
          </w:rPr>
          <w:instrText xml:space="preserve"> PAGEREF _Toc120839867 \h </w:instrText>
        </w:r>
        <w:r w:rsidR="00A9020A">
          <w:rPr>
            <w:noProof/>
            <w:webHidden/>
          </w:rPr>
        </w:r>
        <w:r w:rsidR="00A9020A">
          <w:rPr>
            <w:noProof/>
            <w:webHidden/>
          </w:rPr>
          <w:fldChar w:fldCharType="separate"/>
        </w:r>
        <w:r w:rsidR="00955725">
          <w:rPr>
            <w:noProof/>
            <w:webHidden/>
          </w:rPr>
          <w:t>60</w:t>
        </w:r>
        <w:r w:rsidR="00A9020A">
          <w:rPr>
            <w:noProof/>
            <w:webHidden/>
          </w:rPr>
          <w:fldChar w:fldCharType="end"/>
        </w:r>
      </w:hyperlink>
    </w:p>
    <w:p w14:paraId="1B8F5B3C" w14:textId="5F4A6604" w:rsidR="00A9020A" w:rsidRDefault="00000000">
      <w:pPr>
        <w:pStyle w:val="TableofFigures"/>
        <w:tabs>
          <w:tab w:val="right" w:leader="dot" w:pos="9350"/>
        </w:tabs>
        <w:rPr>
          <w:rFonts w:asciiTheme="minorHAnsi" w:eastAsiaTheme="minorEastAsia" w:hAnsiTheme="minorHAnsi"/>
          <w:noProof/>
          <w:sz w:val="22"/>
        </w:rPr>
      </w:pPr>
      <w:hyperlink w:anchor="_Toc120839868" w:history="1">
        <w:r w:rsidR="00A9020A" w:rsidRPr="0016527E">
          <w:rPr>
            <w:rStyle w:val="Hyperlink"/>
            <w:noProof/>
          </w:rPr>
          <w:t>Table 10: Site Regional Stress Info Parameters</w:t>
        </w:r>
        <w:r w:rsidR="00A9020A">
          <w:rPr>
            <w:noProof/>
            <w:webHidden/>
          </w:rPr>
          <w:tab/>
        </w:r>
        <w:r w:rsidR="00A9020A">
          <w:rPr>
            <w:noProof/>
            <w:webHidden/>
          </w:rPr>
          <w:fldChar w:fldCharType="begin"/>
        </w:r>
        <w:r w:rsidR="00A9020A">
          <w:rPr>
            <w:noProof/>
            <w:webHidden/>
          </w:rPr>
          <w:instrText xml:space="preserve"> PAGEREF _Toc120839868 \h </w:instrText>
        </w:r>
        <w:r w:rsidR="00A9020A">
          <w:rPr>
            <w:noProof/>
            <w:webHidden/>
          </w:rPr>
        </w:r>
        <w:r w:rsidR="00A9020A">
          <w:rPr>
            <w:noProof/>
            <w:webHidden/>
          </w:rPr>
          <w:fldChar w:fldCharType="separate"/>
        </w:r>
        <w:r w:rsidR="00955725">
          <w:rPr>
            <w:noProof/>
            <w:webHidden/>
          </w:rPr>
          <w:t>61</w:t>
        </w:r>
        <w:r w:rsidR="00A9020A">
          <w:rPr>
            <w:noProof/>
            <w:webHidden/>
          </w:rPr>
          <w:fldChar w:fldCharType="end"/>
        </w:r>
      </w:hyperlink>
    </w:p>
    <w:p w14:paraId="65ABC1D8" w14:textId="49D8887B" w:rsidR="00A9020A" w:rsidRDefault="00000000">
      <w:pPr>
        <w:pStyle w:val="TableofFigures"/>
        <w:tabs>
          <w:tab w:val="right" w:leader="dot" w:pos="9350"/>
        </w:tabs>
        <w:rPr>
          <w:rFonts w:asciiTheme="minorHAnsi" w:eastAsiaTheme="minorEastAsia" w:hAnsiTheme="minorHAnsi"/>
          <w:noProof/>
          <w:sz w:val="22"/>
        </w:rPr>
      </w:pPr>
      <w:hyperlink w:anchor="_Toc120839869" w:history="1">
        <w:r w:rsidR="00A9020A" w:rsidRPr="0016527E">
          <w:rPr>
            <w:rStyle w:val="Hyperlink"/>
            <w:noProof/>
          </w:rPr>
          <w:t>Table 11: Site  Stress Measurement Parameters</w:t>
        </w:r>
        <w:r w:rsidR="00A9020A">
          <w:rPr>
            <w:noProof/>
            <w:webHidden/>
          </w:rPr>
          <w:tab/>
        </w:r>
        <w:r w:rsidR="00A9020A">
          <w:rPr>
            <w:noProof/>
            <w:webHidden/>
          </w:rPr>
          <w:fldChar w:fldCharType="begin"/>
        </w:r>
        <w:r w:rsidR="00A9020A">
          <w:rPr>
            <w:noProof/>
            <w:webHidden/>
          </w:rPr>
          <w:instrText xml:space="preserve"> PAGEREF _Toc120839869 \h </w:instrText>
        </w:r>
        <w:r w:rsidR="00A9020A">
          <w:rPr>
            <w:noProof/>
            <w:webHidden/>
          </w:rPr>
        </w:r>
        <w:r w:rsidR="00A9020A">
          <w:rPr>
            <w:noProof/>
            <w:webHidden/>
          </w:rPr>
          <w:fldChar w:fldCharType="separate"/>
        </w:r>
        <w:r w:rsidR="00955725">
          <w:rPr>
            <w:noProof/>
            <w:webHidden/>
          </w:rPr>
          <w:t>62</w:t>
        </w:r>
        <w:r w:rsidR="00A9020A">
          <w:rPr>
            <w:noProof/>
            <w:webHidden/>
          </w:rPr>
          <w:fldChar w:fldCharType="end"/>
        </w:r>
      </w:hyperlink>
    </w:p>
    <w:p w14:paraId="492068CF" w14:textId="09386C64" w:rsidR="00B80630" w:rsidRDefault="00A9020A">
      <w:pPr>
        <w:rPr>
          <w:rFonts w:cs="Times New Roman"/>
          <w:color w:val="000000"/>
          <w:szCs w:val="24"/>
        </w:rPr>
      </w:pPr>
      <w:r>
        <w:rPr>
          <w:rFonts w:cs="Times New Roman"/>
          <w:color w:val="000000"/>
          <w:szCs w:val="24"/>
        </w:rPr>
        <w:fldChar w:fldCharType="end"/>
      </w:r>
      <w:r w:rsidR="00B80630">
        <w:br w:type="page"/>
      </w:r>
    </w:p>
    <w:p w14:paraId="6D09F406" w14:textId="6504F132" w:rsidR="00B80630" w:rsidRDefault="00B80630" w:rsidP="00B80630">
      <w:pPr>
        <w:pStyle w:val="Heading1"/>
      </w:pPr>
      <w:bookmarkStart w:id="5" w:name="_Toc121265802"/>
      <w:r>
        <w:lastRenderedPageBreak/>
        <w:t>ABSTRACT</w:t>
      </w:r>
      <w:bookmarkEnd w:id="5"/>
      <w:r>
        <w:t xml:space="preserve"> </w:t>
      </w:r>
    </w:p>
    <w:p w14:paraId="5DC525DC" w14:textId="03D45E75" w:rsidR="00DE7C5B" w:rsidRPr="00DE7C5B" w:rsidRDefault="009E45B6" w:rsidP="00DE7C5B">
      <w:pPr>
        <w:rPr>
          <w:rFonts w:cs="Times New Roman"/>
        </w:rPr>
      </w:pPr>
      <w:r w:rsidRPr="37DBAC1B">
        <w:rPr>
          <w:rFonts w:cs="Times New Roman"/>
        </w:rPr>
        <w:t xml:space="preserve">This </w:t>
      </w:r>
      <w:r w:rsidR="00E15529" w:rsidRPr="37DBAC1B">
        <w:rPr>
          <w:rFonts w:cs="Times New Roman"/>
        </w:rPr>
        <w:t>work</w:t>
      </w:r>
      <w:r w:rsidRPr="37DBAC1B">
        <w:rPr>
          <w:rFonts w:cs="Times New Roman"/>
        </w:rPr>
        <w:t xml:space="preserve"> examine</w:t>
      </w:r>
      <w:r w:rsidR="007557F9">
        <w:rPr>
          <w:rFonts w:cs="Times New Roman"/>
        </w:rPr>
        <w:t>d</w:t>
      </w:r>
      <w:r w:rsidRPr="37DBAC1B">
        <w:rPr>
          <w:rFonts w:cs="Times New Roman"/>
        </w:rPr>
        <w:t xml:space="preserve"> the application of Bayes’ theorem </w:t>
      </w:r>
      <w:r w:rsidR="0031585B">
        <w:rPr>
          <w:rFonts w:cs="Times New Roman"/>
        </w:rPr>
        <w:t>in</w:t>
      </w:r>
      <w:r w:rsidRPr="37DBAC1B">
        <w:rPr>
          <w:rFonts w:cs="Times New Roman"/>
        </w:rPr>
        <w:t xml:space="preserve"> evaluat</w:t>
      </w:r>
      <w:r w:rsidR="0031585B">
        <w:rPr>
          <w:rFonts w:cs="Times New Roman"/>
        </w:rPr>
        <w:t>ing</w:t>
      </w:r>
      <w:r w:rsidRPr="37DBAC1B">
        <w:rPr>
          <w:rFonts w:cs="Times New Roman"/>
        </w:rPr>
        <w:t xml:space="preserve"> </w:t>
      </w:r>
      <w:r w:rsidR="4BED663B" w:rsidRPr="37DBAC1B">
        <w:rPr>
          <w:rFonts w:cs="Times New Roman"/>
        </w:rPr>
        <w:t xml:space="preserve">the </w:t>
      </w:r>
      <w:r w:rsidRPr="37DBAC1B">
        <w:rPr>
          <w:rFonts w:cs="Times New Roman"/>
        </w:rPr>
        <w:t xml:space="preserve">risk of induced seismicity associated with </w:t>
      </w:r>
      <w:r w:rsidR="001F6A73" w:rsidRPr="007362A1">
        <w:t>CO</w:t>
      </w:r>
      <w:r w:rsidR="001F6A73" w:rsidRPr="004C2A0D">
        <w:rPr>
          <w:vertAlign w:val="subscript"/>
        </w:rPr>
        <w:t>2</w:t>
      </w:r>
      <w:r w:rsidRPr="37DBAC1B">
        <w:rPr>
          <w:rFonts w:cs="Times New Roman"/>
        </w:rPr>
        <w:t xml:space="preserve"> sequestration in the Arbuckle </w:t>
      </w:r>
      <w:r w:rsidR="00DE7C5B" w:rsidRPr="00DE7C5B">
        <w:rPr>
          <w:rFonts w:cs="Times New Roman"/>
        </w:rPr>
        <w:t xml:space="preserve">Group, which extends across the southern Mid-Continent of the US. Geological storage can effectively contribute to reducing emission of </w:t>
      </w:r>
      <w:r w:rsidR="001F6A73" w:rsidRPr="007362A1">
        <w:t>CO</w:t>
      </w:r>
      <w:r w:rsidR="001F6A73" w:rsidRPr="004C2A0D">
        <w:rPr>
          <w:vertAlign w:val="subscript"/>
        </w:rPr>
        <w:t>2</w:t>
      </w:r>
      <w:r w:rsidR="00DE7C5B" w:rsidRPr="00DE7C5B">
        <w:rPr>
          <w:rFonts w:cs="Times New Roman"/>
        </w:rPr>
        <w:t>, otherwise released into the atmosphere, achieving the climate goals committed in the 2021 United Nations Climate Change Conference (COP26)</w:t>
      </w:r>
      <w:r w:rsidR="00B61678">
        <w:rPr>
          <w:rFonts w:cs="Times New Roman"/>
        </w:rPr>
        <w:t>. H</w:t>
      </w:r>
      <w:r w:rsidR="00DE7C5B" w:rsidRPr="00DE7C5B">
        <w:rPr>
          <w:rFonts w:cs="Times New Roman"/>
        </w:rPr>
        <w:t xml:space="preserve">owever, concerns about risks associated with </w:t>
      </w:r>
      <w:r w:rsidR="007C26E8" w:rsidRPr="007362A1">
        <w:t>CO</w:t>
      </w:r>
      <w:r w:rsidR="007C26E8" w:rsidRPr="004C2A0D">
        <w:rPr>
          <w:vertAlign w:val="subscript"/>
        </w:rPr>
        <w:t>2</w:t>
      </w:r>
      <w:r w:rsidR="00DE7C5B" w:rsidRPr="00DE7C5B">
        <w:rPr>
          <w:rFonts w:cs="Times New Roman"/>
        </w:rPr>
        <w:t xml:space="preserve"> injection along with economic challenges of infrastructure required to execute the Carbon Capture Utilization and Storage projects stand against full realization of remarkable potentials. The main goal is usually for </w:t>
      </w:r>
      <w:r w:rsidR="007C26E8" w:rsidRPr="007362A1">
        <w:t>CO</w:t>
      </w:r>
      <w:r w:rsidR="007C26E8" w:rsidRPr="004C2A0D">
        <w:rPr>
          <w:vertAlign w:val="subscript"/>
        </w:rPr>
        <w:t>2</w:t>
      </w:r>
      <w:r w:rsidR="00DE7C5B" w:rsidRPr="00DE7C5B">
        <w:rPr>
          <w:rFonts w:cs="Times New Roman"/>
        </w:rPr>
        <w:t xml:space="preserve"> to be stored over geologic time; hence, geomechanical risks such as the seismicity in the field or potential </w:t>
      </w:r>
      <w:r w:rsidR="007C26E8" w:rsidRPr="007362A1">
        <w:t>CO</w:t>
      </w:r>
      <w:r w:rsidR="007C26E8" w:rsidRPr="004C2A0D">
        <w:rPr>
          <w:vertAlign w:val="subscript"/>
        </w:rPr>
        <w:t>2</w:t>
      </w:r>
      <w:r w:rsidR="00DE7C5B" w:rsidRPr="00DE7C5B">
        <w:rPr>
          <w:rFonts w:cs="Times New Roman"/>
        </w:rPr>
        <w:t xml:space="preserve"> leakage through seals cannot be ignored and is considered as one of the requirements to determine success of the project.  </w:t>
      </w:r>
    </w:p>
    <w:p w14:paraId="6F4A58B6" w14:textId="2B4D3119" w:rsidR="00DE7C5B" w:rsidRPr="00DE7C5B" w:rsidRDefault="00DE7C5B" w:rsidP="00DE7C5B">
      <w:pPr>
        <w:rPr>
          <w:rFonts w:cs="Times New Roman"/>
        </w:rPr>
      </w:pPr>
      <w:r w:rsidRPr="00DE7C5B">
        <w:rPr>
          <w:rFonts w:cs="Times New Roman"/>
        </w:rPr>
        <w:t xml:space="preserve">This </w:t>
      </w:r>
      <w:r w:rsidR="0031585B">
        <w:rPr>
          <w:rFonts w:cs="Times New Roman"/>
        </w:rPr>
        <w:t>work</w:t>
      </w:r>
      <w:r w:rsidRPr="00DE7C5B">
        <w:rPr>
          <w:rFonts w:cs="Times New Roman"/>
        </w:rPr>
        <w:t xml:space="preserve"> </w:t>
      </w:r>
      <w:r w:rsidR="007557F9" w:rsidRPr="00DE7C5B">
        <w:rPr>
          <w:rFonts w:cs="Times New Roman"/>
        </w:rPr>
        <w:t>elaborate</w:t>
      </w:r>
      <w:r w:rsidR="007557F9">
        <w:rPr>
          <w:rFonts w:cs="Times New Roman"/>
        </w:rPr>
        <w:t>d on</w:t>
      </w:r>
      <w:r w:rsidRPr="00DE7C5B">
        <w:rPr>
          <w:rFonts w:cs="Times New Roman"/>
        </w:rPr>
        <w:t xml:space="preserve"> the risk of potential seismic events that can impact the longevity and success of projects. Accurate risk estimation is key for environmental, economic, and safety concerns and is also one of the requirements to get class VI permits from the US Environmental Protection Agency. </w:t>
      </w:r>
      <w:r w:rsidR="0031585B">
        <w:rPr>
          <w:rFonts w:cs="Times New Roman"/>
        </w:rPr>
        <w:t xml:space="preserve">The increase of fluid injection in the Arbuckle Group and how it has </w:t>
      </w:r>
      <w:r w:rsidR="008C5F2A">
        <w:t xml:space="preserve">increased seismicity risks </w:t>
      </w:r>
      <w:r w:rsidR="0031585B">
        <w:t>was first demonstrated</w:t>
      </w:r>
      <w:r w:rsidR="008C5F2A">
        <w:t xml:space="preserve">, and then </w:t>
      </w:r>
      <w:r w:rsidRPr="00DE7C5B">
        <w:rPr>
          <w:rFonts w:cs="Times New Roman"/>
        </w:rPr>
        <w:t>utiliz</w:t>
      </w:r>
      <w:r w:rsidR="007557F9">
        <w:rPr>
          <w:rFonts w:cs="Times New Roman"/>
        </w:rPr>
        <w:t>ing</w:t>
      </w:r>
      <w:r w:rsidRPr="00DE7C5B">
        <w:rPr>
          <w:rFonts w:cs="Times New Roman"/>
        </w:rPr>
        <w:t xml:space="preserve"> the Bayesian approach, a statistical model where a random probability distribution is used to represent uncertainties within the model, including both input/output parameters</w:t>
      </w:r>
      <w:r w:rsidR="008C5F2A">
        <w:rPr>
          <w:rFonts w:cs="Times New Roman"/>
        </w:rPr>
        <w:t xml:space="preserve"> to evaluate the seismicity risks</w:t>
      </w:r>
      <w:r w:rsidR="0031585B">
        <w:rPr>
          <w:rFonts w:cs="Times New Roman"/>
        </w:rPr>
        <w:t xml:space="preserve"> was used to estimate these risks</w:t>
      </w:r>
      <w:r w:rsidRPr="00DE7C5B">
        <w:rPr>
          <w:rFonts w:cs="Times New Roman"/>
        </w:rPr>
        <w:t>. Using the Arbuckle Group as a case study</w:t>
      </w:r>
      <w:r w:rsidR="0031585B">
        <w:rPr>
          <w:rFonts w:cs="Times New Roman"/>
        </w:rPr>
        <w:t>,</w:t>
      </w:r>
      <w:r w:rsidRPr="00DE7C5B">
        <w:rPr>
          <w:rFonts w:cs="Times New Roman"/>
        </w:rPr>
        <w:t xml:space="preserve"> established physics-based models of the system and the details from past observed/monitored failures </w:t>
      </w:r>
      <w:r w:rsidR="0031585B">
        <w:rPr>
          <w:rFonts w:cs="Times New Roman"/>
        </w:rPr>
        <w:t xml:space="preserve">was utilized </w:t>
      </w:r>
      <w:r w:rsidRPr="00DE7C5B">
        <w:rPr>
          <w:rFonts w:cs="Times New Roman"/>
        </w:rPr>
        <w:t xml:space="preserve">to evaluate future risk potential for the area.  In </w:t>
      </w:r>
      <w:r w:rsidR="0031585B">
        <w:rPr>
          <w:rFonts w:cs="Times New Roman"/>
        </w:rPr>
        <w:t xml:space="preserve">this </w:t>
      </w:r>
      <w:r w:rsidRPr="00DE7C5B">
        <w:rPr>
          <w:rFonts w:cs="Times New Roman"/>
        </w:rPr>
        <w:t xml:space="preserve">approach, the current probability for the state of </w:t>
      </w:r>
      <w:r w:rsidRPr="00DE7C5B">
        <w:rPr>
          <w:rFonts w:cs="Times New Roman"/>
        </w:rPr>
        <w:lastRenderedPageBreak/>
        <w:t>stress for the area under investigation</w:t>
      </w:r>
      <w:r w:rsidR="0031585B">
        <w:rPr>
          <w:rFonts w:cs="Times New Roman"/>
        </w:rPr>
        <w:t xml:space="preserve"> was established</w:t>
      </w:r>
      <w:r w:rsidRPr="00DE7C5B">
        <w:rPr>
          <w:rFonts w:cs="Times New Roman"/>
        </w:rPr>
        <w:t xml:space="preserve">, then the </w:t>
      </w:r>
      <w:r w:rsidR="0031585B">
        <w:rPr>
          <w:rFonts w:cs="Times New Roman"/>
        </w:rPr>
        <w:t xml:space="preserve">evolution in the </w:t>
      </w:r>
      <w:r w:rsidRPr="00DE7C5B">
        <w:rPr>
          <w:rFonts w:cs="Times New Roman"/>
        </w:rPr>
        <w:t xml:space="preserve">state of stress </w:t>
      </w:r>
      <w:r w:rsidR="0031585B">
        <w:rPr>
          <w:rFonts w:cs="Times New Roman"/>
        </w:rPr>
        <w:t>was monitored</w:t>
      </w:r>
      <w:r w:rsidRPr="00DE7C5B">
        <w:rPr>
          <w:rFonts w:cs="Times New Roman"/>
        </w:rPr>
        <w:t xml:space="preserve">. The stress state probability distribution </w:t>
      </w:r>
      <w:r w:rsidR="00514171">
        <w:rPr>
          <w:rFonts w:cs="Times New Roman"/>
        </w:rPr>
        <w:t>was</w:t>
      </w:r>
      <w:r w:rsidRPr="00DE7C5B">
        <w:rPr>
          <w:rFonts w:cs="Times New Roman"/>
        </w:rPr>
        <w:t xml:space="preserve"> calculated to evaluate the probability of activating a critically oriented fault over a range of specified pore pressures. </w:t>
      </w:r>
    </w:p>
    <w:p w14:paraId="4990528C" w14:textId="370C4B8B" w:rsidR="00036A8E" w:rsidRDefault="00DE7C5B" w:rsidP="00DE7C5B">
      <w:pPr>
        <w:rPr>
          <w:rFonts w:cs="Times New Roman"/>
        </w:rPr>
      </w:pPr>
      <w:r w:rsidRPr="00DE7C5B">
        <w:rPr>
          <w:rFonts w:cs="Times New Roman"/>
        </w:rPr>
        <w:t>The results suggest</w:t>
      </w:r>
      <w:r w:rsidR="008C5F2A">
        <w:rPr>
          <w:rFonts w:cs="Times New Roman"/>
        </w:rPr>
        <w:t xml:space="preserve"> seismicity risk is directly a function of</w:t>
      </w:r>
      <w:r w:rsidRPr="00DE7C5B">
        <w:rPr>
          <w:rFonts w:cs="Times New Roman"/>
        </w:rPr>
        <w:t xml:space="preserve"> </w:t>
      </w:r>
      <w:r w:rsidR="008C5F2A">
        <w:rPr>
          <w:rFonts w:cs="Times New Roman"/>
        </w:rPr>
        <w:t xml:space="preserve">fluid injection and </w:t>
      </w:r>
      <w:r w:rsidRPr="00DE7C5B">
        <w:rPr>
          <w:rFonts w:cs="Times New Roman"/>
        </w:rPr>
        <w:t>that the probability of inducing seismicity in the formation</w:t>
      </w:r>
      <w:r w:rsidR="0031585B">
        <w:rPr>
          <w:rFonts w:cs="Times New Roman"/>
        </w:rPr>
        <w:t xml:space="preserve"> can be estimated</w:t>
      </w:r>
      <w:r w:rsidRPr="00DE7C5B">
        <w:rPr>
          <w:rFonts w:cs="Times New Roman"/>
        </w:rPr>
        <w:t xml:space="preserve">. Based on </w:t>
      </w:r>
      <w:r w:rsidR="0031585B">
        <w:rPr>
          <w:rFonts w:cs="Times New Roman"/>
        </w:rPr>
        <w:t>the</w:t>
      </w:r>
      <w:r w:rsidRPr="00DE7C5B">
        <w:rPr>
          <w:rFonts w:cs="Times New Roman"/>
        </w:rPr>
        <w:t xml:space="preserve"> modelling results, at initial injection pressures there is a </w:t>
      </w:r>
      <w:r w:rsidR="0031585B">
        <w:rPr>
          <w:rFonts w:cs="Times New Roman"/>
        </w:rPr>
        <w:t>24</w:t>
      </w:r>
      <w:r w:rsidRPr="00DE7C5B">
        <w:rPr>
          <w:rFonts w:cs="Times New Roman"/>
        </w:rPr>
        <w:t xml:space="preserve">% risk of introducing seismicity in the Arbuckle Group when a critically oriented fault exists. Based on these results, sensitivity analysis </w:t>
      </w:r>
      <w:r w:rsidR="0031585B">
        <w:rPr>
          <w:rFonts w:cs="Times New Roman"/>
        </w:rPr>
        <w:t xml:space="preserve">was conducted </w:t>
      </w:r>
      <w:r w:rsidRPr="00DE7C5B">
        <w:rPr>
          <w:rFonts w:cs="Times New Roman"/>
        </w:rPr>
        <w:t xml:space="preserve">to determine the features </w:t>
      </w:r>
      <w:r w:rsidR="00BB3204">
        <w:rPr>
          <w:rFonts w:cs="Times New Roman"/>
        </w:rPr>
        <w:t xml:space="preserve">that can impact </w:t>
      </w:r>
      <w:r w:rsidRPr="00DE7C5B">
        <w:rPr>
          <w:rFonts w:cs="Times New Roman"/>
        </w:rPr>
        <w:t>the risk level. Introducing the stress state constraints from the Arbuckle Group in Kansas State, the risk of seismicity reduced to 1</w:t>
      </w:r>
      <w:r w:rsidR="0031585B">
        <w:rPr>
          <w:rFonts w:cs="Times New Roman"/>
        </w:rPr>
        <w:t>2</w:t>
      </w:r>
      <w:r w:rsidRPr="00DE7C5B">
        <w:rPr>
          <w:rFonts w:cs="Times New Roman"/>
        </w:rPr>
        <w:t>%.</w:t>
      </w:r>
    </w:p>
    <w:p w14:paraId="2F0EFC6F" w14:textId="42284818" w:rsidR="009E45B6" w:rsidRDefault="009E45B6" w:rsidP="009E45B6">
      <w:pPr>
        <w:rPr>
          <w:rFonts w:cs="Times New Roman"/>
          <w:szCs w:val="24"/>
        </w:rPr>
      </w:pPr>
      <w:r w:rsidRPr="00B80630">
        <w:rPr>
          <w:rFonts w:cs="Times New Roman"/>
          <w:szCs w:val="24"/>
        </w:rPr>
        <w:t xml:space="preserve">Considering the results from </w:t>
      </w:r>
      <w:r w:rsidR="0031585B">
        <w:rPr>
          <w:rFonts w:cs="Times New Roman"/>
          <w:szCs w:val="24"/>
        </w:rPr>
        <w:t>this</w:t>
      </w:r>
      <w:r w:rsidRPr="00B80630">
        <w:rPr>
          <w:rFonts w:cs="Times New Roman"/>
          <w:szCs w:val="24"/>
        </w:rPr>
        <w:t xml:space="preserve"> work, operators can optimize the site screening and collect additional data to constrain inherent uncertainties in geomechanical risk evaluation and make informed decisions during operations. The result from this work </w:t>
      </w:r>
      <w:r w:rsidR="00514171" w:rsidRPr="00B80630">
        <w:rPr>
          <w:rFonts w:cs="Times New Roman"/>
          <w:szCs w:val="24"/>
        </w:rPr>
        <w:t>shows</w:t>
      </w:r>
      <w:r w:rsidRPr="00B80630">
        <w:rPr>
          <w:rFonts w:cs="Times New Roman"/>
          <w:szCs w:val="24"/>
        </w:rPr>
        <w:t xml:space="preserve"> that geological storage of </w:t>
      </w:r>
      <w:r w:rsidR="00C21C6B" w:rsidRPr="007362A1">
        <w:t>CO</w:t>
      </w:r>
      <w:r w:rsidR="00C21C6B" w:rsidRPr="004C2A0D">
        <w:rPr>
          <w:vertAlign w:val="subscript"/>
        </w:rPr>
        <w:t>2</w:t>
      </w:r>
      <w:r w:rsidRPr="00B80630">
        <w:rPr>
          <w:rFonts w:cs="Times New Roman"/>
          <w:szCs w:val="24"/>
        </w:rPr>
        <w:t xml:space="preserve"> </w:t>
      </w:r>
      <w:r w:rsidR="00514171">
        <w:rPr>
          <w:rFonts w:cs="Times New Roman"/>
          <w:szCs w:val="24"/>
        </w:rPr>
        <w:t xml:space="preserve">with attention to seismicity risks </w:t>
      </w:r>
      <w:r w:rsidRPr="00B80630">
        <w:rPr>
          <w:rFonts w:cs="Times New Roman"/>
          <w:szCs w:val="24"/>
        </w:rPr>
        <w:t>in the Arbuckle formation can be a feasible safe strategy towards achieving climate goals in selected areas and there is value of information in obtaining stress data in these areas.</w:t>
      </w:r>
    </w:p>
    <w:p w14:paraId="10A9497B" w14:textId="77777777" w:rsidR="003B3F35" w:rsidRPr="00B80630" w:rsidRDefault="003B3F35" w:rsidP="009E45B6">
      <w:pPr>
        <w:rPr>
          <w:rFonts w:cs="Times New Roman"/>
          <w:szCs w:val="24"/>
        </w:rPr>
      </w:pPr>
    </w:p>
    <w:p w14:paraId="09A5F87D" w14:textId="46A7F157" w:rsidR="00B80630" w:rsidRDefault="00B80630" w:rsidP="00B80630"/>
    <w:p w14:paraId="7D3FF796" w14:textId="77777777" w:rsidR="00E56ED6" w:rsidRDefault="00B80630">
      <w:pPr>
        <w:sectPr w:rsidR="00E56ED6" w:rsidSect="00790CA9">
          <w:footerReference w:type="default" r:id="rId13"/>
          <w:footerReference w:type="first" r:id="rId14"/>
          <w:pgSz w:w="12240" w:h="15840"/>
          <w:pgMar w:top="1440" w:right="1440" w:bottom="1440" w:left="1440" w:header="720" w:footer="720" w:gutter="0"/>
          <w:pgNumType w:fmt="lowerRoman" w:start="4"/>
          <w:cols w:space="720"/>
          <w:docGrid w:linePitch="360"/>
        </w:sectPr>
      </w:pPr>
      <w:r>
        <w:br w:type="page"/>
      </w:r>
    </w:p>
    <w:p w14:paraId="4369A33B" w14:textId="4ED183F7" w:rsidR="00B80630" w:rsidRDefault="00B80630" w:rsidP="004B4996">
      <w:pPr>
        <w:pStyle w:val="Heading1"/>
      </w:pPr>
      <w:bookmarkStart w:id="6" w:name="_Toc121265803"/>
      <w:bookmarkStart w:id="7" w:name="_Hlk119925117"/>
      <w:r>
        <w:lastRenderedPageBreak/>
        <w:t>CHAPTER 1: Introduction</w:t>
      </w:r>
      <w:bookmarkEnd w:id="6"/>
    </w:p>
    <w:p w14:paraId="56C07DDC" w14:textId="711A73D0" w:rsidR="00C14728" w:rsidRPr="00C14728" w:rsidRDefault="00C14728" w:rsidP="00C14728">
      <w:pPr>
        <w:pStyle w:val="Heading2"/>
      </w:pPr>
      <w:bookmarkStart w:id="8" w:name="_Toc121265804"/>
      <w:r>
        <w:t>1.1 Problem Statement</w:t>
      </w:r>
      <w:bookmarkEnd w:id="8"/>
    </w:p>
    <w:p w14:paraId="00ED5DDC" w14:textId="601E5DC7" w:rsidR="0072688C" w:rsidRDefault="009E45B6" w:rsidP="002E2F3A">
      <w:pPr>
        <w:suppressAutoHyphens/>
        <w:overflowPunct w:val="0"/>
        <w:autoSpaceDE w:val="0"/>
        <w:autoSpaceDN w:val="0"/>
        <w:adjustRightInd w:val="0"/>
        <w:spacing w:after="0"/>
        <w:textAlignment w:val="baseline"/>
        <w:rPr>
          <w:noProof/>
        </w:rPr>
      </w:pPr>
      <w:r w:rsidRPr="37DBAC1B">
        <w:rPr>
          <w:rFonts w:eastAsia="SimSun" w:cs="Times New Roman"/>
        </w:rPr>
        <w:t xml:space="preserve">There are many ways to ensure the world’s energy needs are met while </w:t>
      </w:r>
      <w:r w:rsidR="00664BD6">
        <w:rPr>
          <w:rFonts w:eastAsia="SimSun" w:cs="Times New Roman"/>
        </w:rPr>
        <w:t>attempting to attain</w:t>
      </w:r>
      <w:r w:rsidRPr="37DBAC1B">
        <w:rPr>
          <w:rFonts w:eastAsia="SimSun" w:cs="Times New Roman"/>
        </w:rPr>
        <w:t xml:space="preserve"> the world’s </w:t>
      </w:r>
      <w:r w:rsidR="00664BD6">
        <w:rPr>
          <w:rFonts w:eastAsia="SimSun" w:cs="Times New Roman"/>
        </w:rPr>
        <w:t xml:space="preserve">energy </w:t>
      </w:r>
      <w:r w:rsidRPr="37DBAC1B">
        <w:rPr>
          <w:rFonts w:eastAsia="SimSun" w:cs="Times New Roman"/>
        </w:rPr>
        <w:t>sustainability</w:t>
      </w:r>
      <w:r w:rsidR="00664BD6">
        <w:rPr>
          <w:rFonts w:eastAsia="SimSun" w:cs="Times New Roman"/>
        </w:rPr>
        <w:t xml:space="preserve"> goals</w:t>
      </w:r>
      <w:r w:rsidRPr="37DBAC1B">
        <w:rPr>
          <w:rFonts w:eastAsia="SimSun" w:cs="Times New Roman"/>
        </w:rPr>
        <w:t xml:space="preserve">, such as </w:t>
      </w:r>
      <w:r w:rsidR="0067770F" w:rsidRPr="37DBAC1B">
        <w:rPr>
          <w:rFonts w:eastAsia="SimSun" w:cs="Times New Roman"/>
        </w:rPr>
        <w:t>geothermal energy</w:t>
      </w:r>
      <w:r w:rsidRPr="37DBAC1B">
        <w:rPr>
          <w:rFonts w:eastAsia="SimSun" w:cs="Times New Roman"/>
        </w:rPr>
        <w:t xml:space="preserve">, </w:t>
      </w:r>
      <w:r w:rsidR="00790CA9">
        <w:rPr>
          <w:rFonts w:eastAsia="SimSun" w:cs="Times New Roman"/>
        </w:rPr>
        <w:t xml:space="preserve">hydropower, </w:t>
      </w:r>
      <w:r w:rsidRPr="37DBAC1B">
        <w:rPr>
          <w:rFonts w:eastAsia="SimSun" w:cs="Times New Roman"/>
        </w:rPr>
        <w:t>wind energy, solar energy</w:t>
      </w:r>
      <w:r w:rsidR="00C54B0A">
        <w:rPr>
          <w:rFonts w:eastAsia="SimSun" w:cs="Times New Roman"/>
        </w:rPr>
        <w:t>,</w:t>
      </w:r>
      <w:r w:rsidRPr="37DBAC1B">
        <w:rPr>
          <w:rFonts w:eastAsia="SimSun" w:cs="Times New Roman"/>
        </w:rPr>
        <w:t xml:space="preserve"> and so on</w:t>
      </w:r>
      <w:r w:rsidR="00C54B0A">
        <w:rPr>
          <w:rFonts w:eastAsia="SimSun" w:cs="Times New Roman"/>
        </w:rPr>
        <w:t xml:space="preserve">. </w:t>
      </w:r>
      <w:r w:rsidR="00EC4D54">
        <w:rPr>
          <w:rFonts w:eastAsia="SimSun" w:cs="Times New Roman"/>
        </w:rPr>
        <w:t>As shown in the figure below, there has generally been an increasing trend in the world</w:t>
      </w:r>
      <w:r w:rsidR="00C54B0A">
        <w:rPr>
          <w:rFonts w:eastAsia="SimSun" w:cs="Times New Roman"/>
        </w:rPr>
        <w:t>’s</w:t>
      </w:r>
      <w:r w:rsidR="00EC4D54">
        <w:rPr>
          <w:rFonts w:eastAsia="SimSun" w:cs="Times New Roman"/>
        </w:rPr>
        <w:t xml:space="preserve"> energy demand and consumption.</w:t>
      </w:r>
      <w:r w:rsidR="00C54B0A">
        <w:rPr>
          <w:rFonts w:eastAsia="SimSun" w:cs="Times New Roman"/>
        </w:rPr>
        <w:t xml:space="preserve"> </w:t>
      </w:r>
      <w:r w:rsidR="00EC4D54">
        <w:rPr>
          <w:rFonts w:eastAsia="SimSun" w:cs="Times New Roman"/>
        </w:rPr>
        <w:t>This increase has also translated to an increase in sustainable energ</w:t>
      </w:r>
      <w:r w:rsidR="00C54B0A">
        <w:rPr>
          <w:rFonts w:eastAsia="SimSun" w:cs="Times New Roman"/>
        </w:rPr>
        <w:t>y</w:t>
      </w:r>
      <w:r w:rsidR="00EC4D54">
        <w:rPr>
          <w:rFonts w:eastAsia="SimSun" w:cs="Times New Roman"/>
        </w:rPr>
        <w:t xml:space="preserve">. </w:t>
      </w:r>
      <w:r w:rsidR="006551B7" w:rsidRPr="37DBAC1B">
        <w:rPr>
          <w:rFonts w:eastAsia="SimSun" w:cs="Times New Roman"/>
        </w:rPr>
        <w:t>Despite th</w:t>
      </w:r>
      <w:r w:rsidR="006551B7">
        <w:rPr>
          <w:rFonts w:eastAsia="SimSun" w:cs="Times New Roman"/>
        </w:rPr>
        <w:t>is</w:t>
      </w:r>
      <w:r w:rsidR="006551B7" w:rsidRPr="37DBAC1B">
        <w:rPr>
          <w:rFonts w:eastAsia="SimSun" w:cs="Times New Roman"/>
        </w:rPr>
        <w:t xml:space="preserve"> drive to move from</w:t>
      </w:r>
      <w:r w:rsidR="005E6FC5">
        <w:rPr>
          <w:rFonts w:eastAsia="SimSun" w:cs="Times New Roman"/>
        </w:rPr>
        <w:t xml:space="preserve"> an energy mix predominantly dominated by</w:t>
      </w:r>
      <w:r w:rsidR="006551B7" w:rsidRPr="37DBAC1B">
        <w:rPr>
          <w:rFonts w:eastAsia="SimSun" w:cs="Times New Roman"/>
        </w:rPr>
        <w:t xml:space="preserve"> fossil fuels to these </w:t>
      </w:r>
      <w:r w:rsidR="005E6FC5">
        <w:rPr>
          <w:rFonts w:eastAsia="SimSun" w:cs="Times New Roman"/>
        </w:rPr>
        <w:t xml:space="preserve">sustainable </w:t>
      </w:r>
      <w:r w:rsidR="006551B7" w:rsidRPr="37DBAC1B">
        <w:rPr>
          <w:rFonts w:eastAsia="SimSun" w:cs="Times New Roman"/>
        </w:rPr>
        <w:t>alternatives, fossil fuels still account for the bulk of the energy mix</w:t>
      </w:r>
      <w:r w:rsidR="006551B7">
        <w:rPr>
          <w:rFonts w:eastAsia="SimSun" w:cs="Times New Roman"/>
        </w:rPr>
        <w:t>.</w:t>
      </w:r>
    </w:p>
    <w:p w14:paraId="6ECB254E" w14:textId="6A9680AE" w:rsidR="002E2F3A" w:rsidRDefault="002E2F3A" w:rsidP="002E2F3A">
      <w:pPr>
        <w:suppressAutoHyphens/>
        <w:overflowPunct w:val="0"/>
        <w:autoSpaceDE w:val="0"/>
        <w:autoSpaceDN w:val="0"/>
        <w:adjustRightInd w:val="0"/>
        <w:spacing w:after="0"/>
        <w:textAlignment w:val="baseline"/>
      </w:pPr>
      <w:r>
        <w:rPr>
          <w:noProof/>
        </w:rPr>
        <w:drawing>
          <wp:inline distT="0" distB="0" distL="0" distR="0" wp14:anchorId="2AD39284" wp14:editId="0591846E">
            <wp:extent cx="5943600" cy="3551555"/>
            <wp:effectExtent l="0" t="0" r="0" b="0"/>
            <wp:docPr id="18" name="Chart 18">
              <a:extLst xmlns:a="http://schemas.openxmlformats.org/drawingml/2006/main">
                <a:ext uri="{FF2B5EF4-FFF2-40B4-BE49-F238E27FC236}">
                  <a16:creationId xmlns:a16="http://schemas.microsoft.com/office/drawing/2014/main" id="{ADFD57AA-71F1-87D6-B14F-BC9CF13786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B466554" w14:textId="50094C53" w:rsidR="00FA7034" w:rsidRDefault="0072688C" w:rsidP="0072688C">
      <w:pPr>
        <w:pStyle w:val="Caption"/>
        <w:rPr>
          <w:rFonts w:eastAsia="SimSun" w:cs="Times New Roman"/>
        </w:rPr>
      </w:pPr>
      <w:bookmarkStart w:id="9" w:name="_Toc121265844"/>
      <w:r>
        <w:t xml:space="preserve">Figure </w:t>
      </w:r>
      <w:fldSimple w:instr=" SEQ Figure \* ARABIC ">
        <w:r w:rsidR="00955725">
          <w:rPr>
            <w:noProof/>
          </w:rPr>
          <w:t>1</w:t>
        </w:r>
      </w:fldSimple>
      <w:r>
        <w:t xml:space="preserve">: </w:t>
      </w:r>
      <w:r w:rsidRPr="008A3B7C">
        <w:t>Energy Consumption in the World</w:t>
      </w:r>
      <w:r w:rsidR="0067770F">
        <w:t xml:space="preserve">. </w:t>
      </w:r>
      <w:r>
        <w:t>Data s</w:t>
      </w:r>
      <w:r w:rsidR="00FA7034">
        <w:t>ource:</w:t>
      </w:r>
      <w:sdt>
        <w:sdtPr>
          <w:id w:val="640392710"/>
          <w:citation/>
        </w:sdtPr>
        <w:sdtContent>
          <w:r w:rsidR="00FA7034">
            <w:fldChar w:fldCharType="begin"/>
          </w:r>
          <w:r w:rsidR="00FA7034">
            <w:instrText xml:space="preserve"> CITATION BPS21 \l 1033 </w:instrText>
          </w:r>
          <w:r w:rsidR="00FA7034">
            <w:fldChar w:fldCharType="separate"/>
          </w:r>
          <w:r w:rsidR="00C84822">
            <w:rPr>
              <w:noProof/>
            </w:rPr>
            <w:t xml:space="preserve"> (BP Statistical Review of World Energy , 2021)</w:t>
          </w:r>
          <w:r w:rsidR="00FA7034">
            <w:fldChar w:fldCharType="end"/>
          </w:r>
        </w:sdtContent>
      </w:sdt>
      <w:bookmarkEnd w:id="9"/>
      <w:r w:rsidR="00EC4D54" w:rsidRPr="00EA07D0">
        <w:t xml:space="preserve"> </w:t>
      </w:r>
    </w:p>
    <w:p w14:paraId="0F939A4C" w14:textId="0159475B" w:rsidR="00B00362" w:rsidRDefault="006551B7" w:rsidP="00D91902">
      <w:pPr>
        <w:suppressAutoHyphens/>
        <w:overflowPunct w:val="0"/>
        <w:autoSpaceDE w:val="0"/>
        <w:autoSpaceDN w:val="0"/>
        <w:adjustRightInd w:val="0"/>
        <w:spacing w:after="0"/>
        <w:textAlignment w:val="baseline"/>
        <w:rPr>
          <w:rFonts w:eastAsia="SimSun" w:cs="Times New Roman"/>
          <w:noProof/>
        </w:rPr>
      </w:pPr>
      <w:r>
        <w:rPr>
          <w:rFonts w:eastAsia="SimSun" w:cs="Times New Roman"/>
        </w:rPr>
        <w:lastRenderedPageBreak/>
        <w:t>Producing energy from fossil fuels is accompanied by carbon emissions into the atmosphere. Carbon emissions have been on a rapid increase in the past de</w:t>
      </w:r>
      <w:r w:rsidR="00D91902">
        <w:rPr>
          <w:rFonts w:eastAsia="SimSun" w:cs="Times New Roman"/>
        </w:rPr>
        <w:t>cade</w:t>
      </w:r>
      <w:r w:rsidR="00C54B0A">
        <w:rPr>
          <w:rFonts w:eastAsia="SimSun" w:cs="Times New Roman"/>
        </w:rPr>
        <w:t>,</w:t>
      </w:r>
      <w:r w:rsidR="00D91902">
        <w:rPr>
          <w:rFonts w:eastAsia="SimSun" w:cs="Times New Roman"/>
        </w:rPr>
        <w:t xml:space="preserve"> as shown in the figure below</w:t>
      </w:r>
      <w:r w:rsidR="005E6FC5">
        <w:rPr>
          <w:rFonts w:eastAsia="SimSun" w:cs="Times New Roman"/>
        </w:rPr>
        <w:t>, h</w:t>
      </w:r>
      <w:r w:rsidRPr="37DBAC1B">
        <w:rPr>
          <w:rFonts w:eastAsia="SimSun" w:cs="Times New Roman"/>
        </w:rPr>
        <w:t>ence</w:t>
      </w:r>
      <w:r w:rsidR="005E6FC5">
        <w:rPr>
          <w:rFonts w:eastAsia="SimSun" w:cs="Times New Roman"/>
        </w:rPr>
        <w:t>,</w:t>
      </w:r>
      <w:r w:rsidRPr="37DBAC1B">
        <w:rPr>
          <w:rFonts w:eastAsia="SimSun" w:cs="Times New Roman"/>
        </w:rPr>
        <w:t xml:space="preserve"> there </w:t>
      </w:r>
      <w:r w:rsidR="00D91902">
        <w:rPr>
          <w:rFonts w:eastAsia="SimSun" w:cs="Times New Roman"/>
        </w:rPr>
        <w:t>has been</w:t>
      </w:r>
      <w:r w:rsidRPr="37DBAC1B">
        <w:rPr>
          <w:rFonts w:eastAsia="SimSun" w:cs="Times New Roman"/>
        </w:rPr>
        <w:t xml:space="preserve"> an interest in carbon sequestration</w:t>
      </w:r>
      <w:r w:rsidR="00C54B0A">
        <w:rPr>
          <w:rFonts w:eastAsia="SimSun" w:cs="Times New Roman"/>
        </w:rPr>
        <w:t>,</w:t>
      </w:r>
      <w:r w:rsidRPr="37DBAC1B">
        <w:rPr>
          <w:rFonts w:eastAsia="SimSun" w:cs="Times New Roman"/>
        </w:rPr>
        <w:t xml:space="preserve"> where the carbon released from fossil fuels is injected into the ground for storage over geologic time. </w:t>
      </w:r>
    </w:p>
    <w:p w14:paraId="45CC04DD" w14:textId="77777777" w:rsidR="003A7CA4" w:rsidRDefault="003A7CA4" w:rsidP="003A7CA4">
      <w:pPr>
        <w:keepNext/>
        <w:suppressAutoHyphens/>
        <w:overflowPunct w:val="0"/>
        <w:autoSpaceDE w:val="0"/>
        <w:autoSpaceDN w:val="0"/>
        <w:adjustRightInd w:val="0"/>
        <w:spacing w:after="0"/>
        <w:textAlignment w:val="baseline"/>
      </w:pPr>
      <w:r>
        <w:rPr>
          <w:noProof/>
        </w:rPr>
        <w:drawing>
          <wp:inline distT="0" distB="0" distL="0" distR="0" wp14:anchorId="56E6676C" wp14:editId="47795DC4">
            <wp:extent cx="5943600" cy="3829616"/>
            <wp:effectExtent l="0" t="0" r="0" b="0"/>
            <wp:docPr id="16" name="Chart 16">
              <a:extLst xmlns:a="http://schemas.openxmlformats.org/drawingml/2006/main">
                <a:ext uri="{FF2B5EF4-FFF2-40B4-BE49-F238E27FC236}">
                  <a16:creationId xmlns:a16="http://schemas.microsoft.com/office/drawing/2014/main" id="{35C7A9A3-15E4-4E9F-A7C6-C7776A0830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7A904CB" w14:textId="7C90C78C" w:rsidR="006551B7" w:rsidRPr="00C14728" w:rsidRDefault="003A7CA4" w:rsidP="003A7CA4">
      <w:pPr>
        <w:pStyle w:val="Caption"/>
        <w:jc w:val="both"/>
      </w:pPr>
      <w:bookmarkStart w:id="10" w:name="_Toc121265845"/>
      <w:r>
        <w:t xml:space="preserve">Figure </w:t>
      </w:r>
      <w:fldSimple w:instr=" SEQ Figure \* ARABIC ">
        <w:r w:rsidR="00955725">
          <w:rPr>
            <w:noProof/>
          </w:rPr>
          <w:t>2</w:t>
        </w:r>
      </w:fldSimple>
      <w:r>
        <w:t xml:space="preserve">: </w:t>
      </w:r>
      <w:r w:rsidR="006551B7">
        <w:t>Annual Emissions</w:t>
      </w:r>
      <w:r w:rsidR="0067770F">
        <w:t xml:space="preserve"> of </w:t>
      </w:r>
      <w:r w:rsidR="0067770F" w:rsidRPr="37DBAC1B">
        <w:rPr>
          <w:rFonts w:eastAsia="SimSun" w:cs="Times New Roman"/>
        </w:rPr>
        <w:t>CO</w:t>
      </w:r>
      <w:r w:rsidR="0067770F" w:rsidRPr="37DBAC1B">
        <w:rPr>
          <w:rFonts w:eastAsia="SimSun" w:cs="Times New Roman"/>
          <w:vertAlign w:val="subscript"/>
        </w:rPr>
        <w:t>2</w:t>
      </w:r>
      <w:r w:rsidR="0067770F">
        <w:rPr>
          <w:rFonts w:eastAsia="SimSun" w:cs="Times New Roman"/>
          <w:vertAlign w:val="subscript"/>
        </w:rPr>
        <w:t xml:space="preserve"> </w:t>
      </w:r>
      <w:r w:rsidR="00D91902">
        <w:t>from Fossil Fuels</w:t>
      </w:r>
      <w:r w:rsidR="006551B7">
        <w:t xml:space="preserve">. </w:t>
      </w:r>
      <w:r>
        <w:t>Data s</w:t>
      </w:r>
      <w:r w:rsidR="006551B7">
        <w:t>ource</w:t>
      </w:r>
      <w:sdt>
        <w:sdtPr>
          <w:id w:val="-773390293"/>
          <w:citation/>
        </w:sdtPr>
        <w:sdtContent>
          <w:r w:rsidR="00FA7034">
            <w:fldChar w:fldCharType="begin"/>
          </w:r>
          <w:r w:rsidR="00FA7034">
            <w:instrText xml:space="preserve"> CITATION Glo22 \l 1033 </w:instrText>
          </w:r>
          <w:r w:rsidR="00FA7034">
            <w:fldChar w:fldCharType="separate"/>
          </w:r>
          <w:r w:rsidR="00C84822">
            <w:rPr>
              <w:noProof/>
            </w:rPr>
            <w:t xml:space="preserve"> (Global Change Data Lab, 2022)</w:t>
          </w:r>
          <w:r w:rsidR="00FA7034">
            <w:fldChar w:fldCharType="end"/>
          </w:r>
        </w:sdtContent>
      </w:sdt>
      <w:bookmarkEnd w:id="10"/>
      <w:r w:rsidR="006551B7">
        <w:t xml:space="preserve"> </w:t>
      </w:r>
    </w:p>
    <w:p w14:paraId="231F8AEE" w14:textId="4E924CDA" w:rsidR="00B36477" w:rsidRDefault="00E245D3" w:rsidP="00EC4D54">
      <w:pPr>
        <w:suppressAutoHyphens/>
        <w:overflowPunct w:val="0"/>
        <w:autoSpaceDE w:val="0"/>
        <w:autoSpaceDN w:val="0"/>
        <w:adjustRightInd w:val="0"/>
        <w:spacing w:after="0"/>
        <w:textAlignment w:val="baseline"/>
        <w:rPr>
          <w:rFonts w:eastAsia="SimSun" w:cs="Times New Roman"/>
        </w:rPr>
      </w:pPr>
      <w:r>
        <w:rPr>
          <w:rFonts w:eastAsia="SimSun" w:cs="Times New Roman"/>
        </w:rPr>
        <w:t xml:space="preserve">Geologic </w:t>
      </w:r>
      <w:r w:rsidR="00B61678">
        <w:rPr>
          <w:rFonts w:eastAsia="SimSun" w:cs="Times New Roman"/>
        </w:rPr>
        <w:t>c</w:t>
      </w:r>
      <w:r w:rsidR="000327D4">
        <w:rPr>
          <w:rFonts w:eastAsia="SimSun" w:cs="Times New Roman"/>
        </w:rPr>
        <w:t xml:space="preserve">arbon sequestration works on the principle of capturing </w:t>
      </w:r>
      <w:r w:rsidR="000327D4" w:rsidRPr="37DBAC1B">
        <w:rPr>
          <w:rFonts w:eastAsia="SimSun" w:cs="Times New Roman"/>
        </w:rPr>
        <w:t>CO</w:t>
      </w:r>
      <w:r w:rsidR="000327D4" w:rsidRPr="37DBAC1B">
        <w:rPr>
          <w:rFonts w:eastAsia="SimSun" w:cs="Times New Roman"/>
          <w:vertAlign w:val="subscript"/>
        </w:rPr>
        <w:t>2</w:t>
      </w:r>
      <w:r w:rsidR="000327D4">
        <w:rPr>
          <w:rFonts w:eastAsia="SimSun" w:cs="Times New Roman"/>
          <w:vertAlign w:val="subscript"/>
        </w:rPr>
        <w:t xml:space="preserve"> </w:t>
      </w:r>
      <w:r w:rsidR="000327D4">
        <w:rPr>
          <w:rFonts w:eastAsia="SimSun" w:cs="Times New Roman"/>
        </w:rPr>
        <w:t xml:space="preserve">from the atmosphere and storing </w:t>
      </w:r>
      <w:r w:rsidR="00912AEA">
        <w:rPr>
          <w:rFonts w:eastAsia="SimSun" w:cs="Times New Roman"/>
        </w:rPr>
        <w:t>it,</w:t>
      </w:r>
      <w:r w:rsidR="000327D4">
        <w:rPr>
          <w:rFonts w:eastAsia="SimSun" w:cs="Times New Roman"/>
        </w:rPr>
        <w:t xml:space="preserve"> so it is being prevented from </w:t>
      </w:r>
      <w:r w:rsidR="005E6FC5">
        <w:rPr>
          <w:rFonts w:eastAsia="SimSun" w:cs="Times New Roman"/>
        </w:rPr>
        <w:t xml:space="preserve">being </w:t>
      </w:r>
      <w:r w:rsidR="000327D4">
        <w:rPr>
          <w:rFonts w:eastAsia="SimSun" w:cs="Times New Roman"/>
        </w:rPr>
        <w:t xml:space="preserve">emitted back into the atmosphere. </w:t>
      </w:r>
      <w:r w:rsidR="00B61678">
        <w:rPr>
          <w:rFonts w:eastAsia="SimSun" w:cs="Times New Roman"/>
        </w:rPr>
        <w:t>I</w:t>
      </w:r>
      <w:r w:rsidR="00B61678" w:rsidRPr="37DBAC1B">
        <w:rPr>
          <w:rFonts w:eastAsia="SimSun" w:cs="Times New Roman"/>
        </w:rPr>
        <w:t>n the conventional oil and gas industry</w:t>
      </w:r>
      <w:r w:rsidR="00B61678">
        <w:rPr>
          <w:rFonts w:eastAsia="SimSun" w:cs="Times New Roman"/>
        </w:rPr>
        <w:t>, this</w:t>
      </w:r>
      <w:r w:rsidR="000327D4">
        <w:rPr>
          <w:rFonts w:eastAsia="SimSun" w:cs="Times New Roman"/>
        </w:rPr>
        <w:t xml:space="preserve"> technology </w:t>
      </w:r>
      <w:r w:rsidR="00B61678">
        <w:rPr>
          <w:rFonts w:eastAsia="SimSun" w:cs="Times New Roman"/>
        </w:rPr>
        <w:t xml:space="preserve">has been used to improve productivity, known as </w:t>
      </w:r>
      <w:r w:rsidR="009E45B6" w:rsidRPr="37DBAC1B">
        <w:rPr>
          <w:rFonts w:eastAsia="SimSun" w:cs="Times New Roman"/>
        </w:rPr>
        <w:t xml:space="preserve">enhanced oil recovery (EOR) </w:t>
      </w:r>
      <w:sdt>
        <w:sdtPr>
          <w:rPr>
            <w:rFonts w:eastAsia="SimSun" w:cs="Times New Roman"/>
          </w:rPr>
          <w:id w:val="814140131"/>
          <w:lock w:val="contentLocked"/>
          <w:placeholder>
            <w:docPart w:val="79E789B27C2E4306AB9ADD6F950171DB"/>
          </w:placeholder>
          <w:citation/>
        </w:sdtPr>
        <w:sdtContent>
          <w:r w:rsidR="009E45B6" w:rsidRPr="37DBAC1B">
            <w:rPr>
              <w:rFonts w:eastAsia="SimSun" w:cs="Times New Roman"/>
            </w:rPr>
            <w:fldChar w:fldCharType="begin"/>
          </w:r>
          <w:r w:rsidR="009E45B6" w:rsidRPr="37DBAC1B">
            <w:rPr>
              <w:rFonts w:eastAsia="SimSun" w:cs="Times New Roman"/>
            </w:rPr>
            <w:instrText xml:space="preserve">CITATION Bat18 \l 1033 </w:instrText>
          </w:r>
          <w:r w:rsidR="009E45B6" w:rsidRPr="37DBAC1B">
            <w:rPr>
              <w:rFonts w:eastAsia="SimSun" w:cs="Times New Roman"/>
            </w:rPr>
            <w:fldChar w:fldCharType="separate"/>
          </w:r>
          <w:r w:rsidR="00C84822" w:rsidRPr="00C84822">
            <w:rPr>
              <w:rFonts w:eastAsia="SimSun" w:cs="Times New Roman"/>
              <w:noProof/>
            </w:rPr>
            <w:t>(Battelle, 2018)</w:t>
          </w:r>
          <w:r w:rsidR="009E45B6" w:rsidRPr="37DBAC1B">
            <w:rPr>
              <w:rFonts w:eastAsia="SimSun" w:cs="Times New Roman"/>
            </w:rPr>
            <w:fldChar w:fldCharType="end"/>
          </w:r>
        </w:sdtContent>
      </w:sdt>
      <w:r w:rsidR="00B61678">
        <w:rPr>
          <w:rFonts w:eastAsia="SimSun" w:cs="Times New Roman"/>
        </w:rPr>
        <w:t xml:space="preserve">. It </w:t>
      </w:r>
      <w:r w:rsidR="009E45B6" w:rsidRPr="37DBAC1B">
        <w:rPr>
          <w:rFonts w:eastAsia="SimSun" w:cs="Times New Roman"/>
        </w:rPr>
        <w:t>has</w:t>
      </w:r>
      <w:r w:rsidR="00B61678">
        <w:rPr>
          <w:rFonts w:eastAsia="SimSun" w:cs="Times New Roman"/>
        </w:rPr>
        <w:t xml:space="preserve"> however</w:t>
      </w:r>
      <w:r w:rsidR="009E45B6" w:rsidRPr="37DBAC1B">
        <w:rPr>
          <w:rFonts w:eastAsia="SimSun" w:cs="Times New Roman"/>
        </w:rPr>
        <w:t xml:space="preserve"> currently gained more popularity as the captur</w:t>
      </w:r>
      <w:r w:rsidR="0067770F">
        <w:rPr>
          <w:rFonts w:eastAsia="SimSun" w:cs="Times New Roman"/>
        </w:rPr>
        <w:t>ing</w:t>
      </w:r>
      <w:r w:rsidR="009E45B6" w:rsidRPr="37DBAC1B">
        <w:rPr>
          <w:rFonts w:eastAsia="SimSun" w:cs="Times New Roman"/>
        </w:rPr>
        <w:t xml:space="preserve"> and stor</w:t>
      </w:r>
      <w:r w:rsidR="0067770F">
        <w:rPr>
          <w:rFonts w:eastAsia="SimSun" w:cs="Times New Roman"/>
        </w:rPr>
        <w:t>ing</w:t>
      </w:r>
      <w:r w:rsidR="009E45B6" w:rsidRPr="37DBAC1B">
        <w:rPr>
          <w:rFonts w:eastAsia="SimSun" w:cs="Times New Roman"/>
        </w:rPr>
        <w:t xml:space="preserve"> of carbon dioxide (CO</w:t>
      </w:r>
      <w:r w:rsidR="009E45B6" w:rsidRPr="37DBAC1B">
        <w:rPr>
          <w:rFonts w:eastAsia="SimSun" w:cs="Times New Roman"/>
          <w:vertAlign w:val="subscript"/>
        </w:rPr>
        <w:t>2</w:t>
      </w:r>
      <w:r w:rsidR="009E45B6" w:rsidRPr="37DBAC1B">
        <w:rPr>
          <w:rFonts w:eastAsia="SimSun" w:cs="Times New Roman"/>
        </w:rPr>
        <w:t xml:space="preserve">) can effectively decrease </w:t>
      </w:r>
      <w:r w:rsidR="00125F2D" w:rsidRPr="37DBAC1B">
        <w:rPr>
          <w:rFonts w:eastAsia="SimSun" w:cs="Times New Roman"/>
        </w:rPr>
        <w:t>gree</w:t>
      </w:r>
      <w:r w:rsidR="00125F2D">
        <w:rPr>
          <w:rFonts w:eastAsia="SimSun" w:cs="Times New Roman"/>
        </w:rPr>
        <w:t>n</w:t>
      </w:r>
      <w:r w:rsidR="00125F2D" w:rsidRPr="37DBAC1B">
        <w:rPr>
          <w:rFonts w:eastAsia="SimSun" w:cs="Times New Roman"/>
        </w:rPr>
        <w:t>house</w:t>
      </w:r>
      <w:r w:rsidR="009E45B6" w:rsidRPr="37DBAC1B">
        <w:rPr>
          <w:rFonts w:eastAsia="SimSun" w:cs="Times New Roman"/>
        </w:rPr>
        <w:t xml:space="preserve"> gases emissions into the atmosphere</w:t>
      </w:r>
      <w:r w:rsidR="00E93003">
        <w:rPr>
          <w:rFonts w:eastAsia="SimSun" w:cs="Times New Roman"/>
        </w:rPr>
        <w:t xml:space="preserve"> – as </w:t>
      </w:r>
      <w:r w:rsidR="00E93003" w:rsidRPr="37DBAC1B">
        <w:rPr>
          <w:rFonts w:eastAsia="SimSun" w:cs="Times New Roman"/>
        </w:rPr>
        <w:t>CO</w:t>
      </w:r>
      <w:r w:rsidR="00E93003" w:rsidRPr="37DBAC1B">
        <w:rPr>
          <w:rFonts w:eastAsia="SimSun" w:cs="Times New Roman"/>
          <w:vertAlign w:val="subscript"/>
        </w:rPr>
        <w:t>2</w:t>
      </w:r>
      <w:r w:rsidR="00E93003">
        <w:rPr>
          <w:rFonts w:eastAsia="SimSun" w:cs="Times New Roman"/>
          <w:vertAlign w:val="subscript"/>
        </w:rPr>
        <w:t xml:space="preserve"> </w:t>
      </w:r>
      <w:r w:rsidR="00E93003">
        <w:rPr>
          <w:rFonts w:eastAsia="SimSun" w:cs="Times New Roman"/>
        </w:rPr>
        <w:t xml:space="preserve">is one of the most common greenhouse </w:t>
      </w:r>
      <w:r w:rsidR="008B03EF">
        <w:rPr>
          <w:rFonts w:eastAsia="SimSun" w:cs="Times New Roman"/>
        </w:rPr>
        <w:lastRenderedPageBreak/>
        <w:t>gases</w:t>
      </w:r>
      <w:r w:rsidR="00E93003">
        <w:rPr>
          <w:rFonts w:eastAsia="SimSun" w:cs="Times New Roman"/>
        </w:rPr>
        <w:t xml:space="preserve"> –</w:t>
      </w:r>
      <w:r w:rsidR="009E45B6" w:rsidRPr="37DBAC1B">
        <w:rPr>
          <w:rFonts w:eastAsia="SimSun" w:cs="Times New Roman"/>
        </w:rPr>
        <w:t xml:space="preserve"> while achieving the</w:t>
      </w:r>
      <w:r w:rsidR="00BE0907">
        <w:rPr>
          <w:rFonts w:eastAsia="SimSun" w:cs="Times New Roman"/>
        </w:rPr>
        <w:t xml:space="preserve"> energy and</w:t>
      </w:r>
      <w:r w:rsidR="009E45B6" w:rsidRPr="37DBAC1B">
        <w:rPr>
          <w:rFonts w:eastAsia="SimSun" w:cs="Times New Roman"/>
        </w:rPr>
        <w:t xml:space="preserve"> climate goals committed </w:t>
      </w:r>
      <w:r w:rsidR="00BE0907">
        <w:rPr>
          <w:rFonts w:eastAsia="SimSun" w:cs="Times New Roman"/>
        </w:rPr>
        <w:t>at</w:t>
      </w:r>
      <w:r w:rsidR="009E45B6" w:rsidRPr="37DBAC1B">
        <w:rPr>
          <w:rFonts w:eastAsia="SimSun" w:cs="Times New Roman"/>
        </w:rPr>
        <w:t xml:space="preserve"> the </w:t>
      </w:r>
      <w:r w:rsidR="00916321" w:rsidRPr="37DBAC1B">
        <w:rPr>
          <w:rFonts w:cs="Times New Roman"/>
        </w:rPr>
        <w:t>2021 United Nations Climate Change Conference (</w:t>
      </w:r>
      <w:r w:rsidR="009E45B6" w:rsidRPr="37DBAC1B">
        <w:rPr>
          <w:rFonts w:eastAsia="SimSun" w:cs="Times New Roman"/>
        </w:rPr>
        <w:t>COP26</w:t>
      </w:r>
      <w:r w:rsidR="00916321" w:rsidRPr="37DBAC1B">
        <w:rPr>
          <w:rFonts w:eastAsia="SimSun" w:cs="Times New Roman"/>
        </w:rPr>
        <w:t>)</w:t>
      </w:r>
      <w:r w:rsidR="009E45B6" w:rsidRPr="37DBAC1B">
        <w:rPr>
          <w:rFonts w:eastAsia="SimSun" w:cs="Times New Roman"/>
        </w:rPr>
        <w:t xml:space="preserve">. </w:t>
      </w:r>
      <w:r w:rsidR="00E4063E">
        <w:rPr>
          <w:rFonts w:eastAsia="SimSun" w:cs="Times New Roman"/>
        </w:rPr>
        <w:t>Asides from EOR, captured CO</w:t>
      </w:r>
      <w:r w:rsidR="00E4063E">
        <w:rPr>
          <w:rFonts w:eastAsia="SimSun" w:cs="Times New Roman"/>
          <w:vertAlign w:val="subscript"/>
        </w:rPr>
        <w:t>2</w:t>
      </w:r>
      <w:r w:rsidR="00E4063E">
        <w:rPr>
          <w:rFonts w:eastAsia="SimSun" w:cs="Times New Roman"/>
        </w:rPr>
        <w:t xml:space="preserve"> can also be used in gas processing to clean natural gas and power plants also CO</w:t>
      </w:r>
      <w:r w:rsidR="00E4063E">
        <w:rPr>
          <w:rFonts w:eastAsia="SimSun" w:cs="Times New Roman"/>
          <w:vertAlign w:val="subscript"/>
        </w:rPr>
        <w:t xml:space="preserve">2 </w:t>
      </w:r>
      <w:r w:rsidR="00E4063E">
        <w:rPr>
          <w:rFonts w:eastAsia="SimSun" w:cs="Times New Roman"/>
        </w:rPr>
        <w:t>capture to reduce carbon emissions.</w:t>
      </w:r>
    </w:p>
    <w:p w14:paraId="64DBF9DE" w14:textId="1D8AB506" w:rsidR="00B36477" w:rsidRDefault="00B36477" w:rsidP="00D4675B">
      <w:pPr>
        <w:suppressAutoHyphens/>
        <w:overflowPunct w:val="0"/>
        <w:autoSpaceDE w:val="0"/>
        <w:autoSpaceDN w:val="0"/>
        <w:adjustRightInd w:val="0"/>
        <w:spacing w:after="0"/>
        <w:textAlignment w:val="baseline"/>
        <w:rPr>
          <w:rFonts w:eastAsia="SimSun" w:cs="Times New Roman"/>
          <w:szCs w:val="24"/>
        </w:rPr>
      </w:pPr>
      <w:r>
        <w:rPr>
          <w:rFonts w:eastAsia="SimSun" w:cs="Times New Roman"/>
        </w:rPr>
        <w:t>Injection into the formation has been shown to cause induced seismicity risks in the formation</w:t>
      </w:r>
      <w:r w:rsidR="00B61678">
        <w:rPr>
          <w:rFonts w:eastAsia="SimSun" w:cs="Times New Roman"/>
        </w:rPr>
        <w:t xml:space="preserve"> for storage and surrounding formations</w:t>
      </w:r>
      <w:r>
        <w:rPr>
          <w:rFonts w:eastAsia="SimSun" w:cs="Times New Roman"/>
        </w:rPr>
        <w:t xml:space="preserve">. </w:t>
      </w:r>
      <w:r w:rsidR="00D4675B" w:rsidRPr="009E45B6">
        <w:rPr>
          <w:rFonts w:eastAsia="SimSun" w:cs="Times New Roman"/>
          <w:szCs w:val="20"/>
        </w:rPr>
        <w:t xml:space="preserve">Different applications in the traditional hydrocarbon industry have historically been interested in determining the extent of seismicity risks in geologic formations particularly as hydrocarbon investigation ventured into deeper terrains with more challenges </w:t>
      </w:r>
      <w:sdt>
        <w:sdtPr>
          <w:rPr>
            <w:rFonts w:eastAsia="SimSun" w:cs="Times New Roman"/>
            <w:szCs w:val="24"/>
          </w:rPr>
          <w:id w:val="1612788137"/>
          <w:citation/>
        </w:sdtPr>
        <w:sdtContent>
          <w:r w:rsidR="00D4675B" w:rsidRPr="009E45B6">
            <w:rPr>
              <w:rFonts w:eastAsia="SimSun" w:cs="Times New Roman"/>
              <w:szCs w:val="24"/>
            </w:rPr>
            <w:fldChar w:fldCharType="begin"/>
          </w:r>
          <w:r w:rsidR="00D4675B" w:rsidRPr="009E45B6">
            <w:rPr>
              <w:rFonts w:eastAsia="SimSun" w:cs="Times New Roman"/>
              <w:szCs w:val="24"/>
            </w:rPr>
            <w:instrText xml:space="preserve"> CITATION Bur18 \l 1033 </w:instrText>
          </w:r>
          <w:r w:rsidR="00D4675B" w:rsidRPr="009E45B6">
            <w:rPr>
              <w:rFonts w:eastAsia="SimSun" w:cs="Times New Roman"/>
              <w:szCs w:val="24"/>
            </w:rPr>
            <w:fldChar w:fldCharType="separate"/>
          </w:r>
          <w:r w:rsidR="00C84822" w:rsidRPr="00C84822">
            <w:rPr>
              <w:rFonts w:eastAsia="SimSun" w:cs="Times New Roman"/>
              <w:noProof/>
              <w:szCs w:val="24"/>
            </w:rPr>
            <w:t>(Burghardt, Geomechanical Risk Assessment for, 2018)</w:t>
          </w:r>
          <w:r w:rsidR="00D4675B" w:rsidRPr="009E45B6">
            <w:rPr>
              <w:rFonts w:eastAsia="SimSun" w:cs="Times New Roman"/>
              <w:szCs w:val="24"/>
            </w:rPr>
            <w:fldChar w:fldCharType="end"/>
          </w:r>
        </w:sdtContent>
      </w:sdt>
      <w:r w:rsidR="00D4675B" w:rsidRPr="009E45B6">
        <w:rPr>
          <w:rFonts w:eastAsia="SimSun" w:cs="Times New Roman"/>
          <w:szCs w:val="24"/>
        </w:rPr>
        <w:t>.</w:t>
      </w:r>
      <w:r w:rsidR="00D4675B" w:rsidRPr="009E45B6">
        <w:rPr>
          <w:rFonts w:eastAsia="SimSun" w:cs="Times New Roman"/>
          <w:szCs w:val="20"/>
        </w:rPr>
        <w:t xml:space="preserve"> Since the 1990s when geomechanical risks in geologic carbon storage (GCS) picked </w:t>
      </w:r>
      <w:r w:rsidR="00B61678">
        <w:rPr>
          <w:rFonts w:eastAsia="SimSun" w:cs="Times New Roman"/>
          <w:szCs w:val="20"/>
        </w:rPr>
        <w:t xml:space="preserve">up </w:t>
      </w:r>
      <w:r w:rsidR="00D4675B" w:rsidRPr="009E45B6">
        <w:rPr>
          <w:rFonts w:eastAsia="SimSun" w:cs="Times New Roman"/>
          <w:szCs w:val="20"/>
        </w:rPr>
        <w:t xml:space="preserve">interest, </w:t>
      </w:r>
      <w:r w:rsidR="00BE0907">
        <w:rPr>
          <w:rFonts w:eastAsia="SimSun" w:cs="Times New Roman"/>
          <w:szCs w:val="20"/>
        </w:rPr>
        <w:t xml:space="preserve">research showed that there is substantial </w:t>
      </w:r>
      <w:r w:rsidR="00D4675B" w:rsidRPr="009E45B6">
        <w:rPr>
          <w:rFonts w:eastAsia="SimSun" w:cs="Times New Roman"/>
          <w:szCs w:val="20"/>
        </w:rPr>
        <w:t xml:space="preserve">geomechanical changes </w:t>
      </w:r>
      <w:r w:rsidR="00BE0907">
        <w:rPr>
          <w:rFonts w:eastAsia="SimSun" w:cs="Times New Roman"/>
          <w:szCs w:val="20"/>
        </w:rPr>
        <w:t>with change in</w:t>
      </w:r>
      <w:r w:rsidR="00D4675B" w:rsidRPr="009E45B6">
        <w:rPr>
          <w:rFonts w:eastAsia="SimSun" w:cs="Times New Roman"/>
          <w:szCs w:val="20"/>
        </w:rPr>
        <w:t xml:space="preserve"> injection pressure</w:t>
      </w:r>
      <w:r w:rsidR="00BE0907">
        <w:rPr>
          <w:rFonts w:eastAsia="SimSun" w:cs="Times New Roman"/>
          <w:szCs w:val="20"/>
        </w:rPr>
        <w:t xml:space="preserve">s </w:t>
      </w:r>
      <w:sdt>
        <w:sdtPr>
          <w:rPr>
            <w:rFonts w:eastAsia="SimSun" w:cs="Times New Roman"/>
            <w:szCs w:val="24"/>
          </w:rPr>
          <w:id w:val="-386574282"/>
          <w:citation/>
        </w:sdtPr>
        <w:sdtContent>
          <w:r w:rsidR="00D4675B" w:rsidRPr="009E45B6">
            <w:rPr>
              <w:rFonts w:eastAsia="SimSun" w:cs="Times New Roman"/>
              <w:szCs w:val="24"/>
            </w:rPr>
            <w:fldChar w:fldCharType="begin"/>
          </w:r>
          <w:r w:rsidR="00D4675B" w:rsidRPr="009E45B6">
            <w:rPr>
              <w:rFonts w:eastAsia="SimSun" w:cs="Times New Roman"/>
              <w:szCs w:val="24"/>
            </w:rPr>
            <w:instrText xml:space="preserve"> CITATION Rut12 \l 1033 </w:instrText>
          </w:r>
          <w:r w:rsidR="00D4675B" w:rsidRPr="009E45B6">
            <w:rPr>
              <w:rFonts w:eastAsia="SimSun" w:cs="Times New Roman"/>
              <w:szCs w:val="24"/>
            </w:rPr>
            <w:fldChar w:fldCharType="separate"/>
          </w:r>
          <w:r w:rsidR="00C84822" w:rsidRPr="00C84822">
            <w:rPr>
              <w:rFonts w:eastAsia="SimSun" w:cs="Times New Roman"/>
              <w:noProof/>
              <w:szCs w:val="24"/>
            </w:rPr>
            <w:t>(Rutqvist, 2012)</w:t>
          </w:r>
          <w:r w:rsidR="00D4675B" w:rsidRPr="009E45B6">
            <w:rPr>
              <w:rFonts w:eastAsia="SimSun" w:cs="Times New Roman"/>
              <w:szCs w:val="24"/>
            </w:rPr>
            <w:fldChar w:fldCharType="end"/>
          </w:r>
        </w:sdtContent>
      </w:sdt>
      <w:r w:rsidR="00D4675B" w:rsidRPr="009E45B6">
        <w:rPr>
          <w:rFonts w:eastAsia="SimSun" w:cs="Times New Roman"/>
          <w:szCs w:val="24"/>
        </w:rPr>
        <w:t xml:space="preserve">, </w:t>
      </w:r>
      <w:sdt>
        <w:sdtPr>
          <w:rPr>
            <w:rFonts w:eastAsia="SimSun" w:cs="Times New Roman"/>
            <w:szCs w:val="24"/>
          </w:rPr>
          <w:id w:val="-1910073739"/>
          <w:citation/>
        </w:sdtPr>
        <w:sdtContent>
          <w:r w:rsidR="00D4675B" w:rsidRPr="009E45B6">
            <w:rPr>
              <w:rFonts w:eastAsia="SimSun" w:cs="Times New Roman"/>
              <w:szCs w:val="24"/>
            </w:rPr>
            <w:fldChar w:fldCharType="begin"/>
          </w:r>
          <w:r w:rsidR="00D4675B" w:rsidRPr="009E45B6">
            <w:rPr>
              <w:rFonts w:eastAsia="SimSun" w:cs="Times New Roman"/>
              <w:szCs w:val="24"/>
            </w:rPr>
            <w:instrText xml:space="preserve"> CITATION Bis11 \l 1033 </w:instrText>
          </w:r>
          <w:r w:rsidR="00D4675B" w:rsidRPr="009E45B6">
            <w:rPr>
              <w:rFonts w:eastAsia="SimSun" w:cs="Times New Roman"/>
              <w:szCs w:val="24"/>
            </w:rPr>
            <w:fldChar w:fldCharType="separate"/>
          </w:r>
          <w:r w:rsidR="00C84822" w:rsidRPr="00C84822">
            <w:rPr>
              <w:rFonts w:eastAsia="SimSun" w:cs="Times New Roman"/>
              <w:noProof/>
              <w:szCs w:val="24"/>
            </w:rPr>
            <w:t>(Bissell, et al., 2011)</w:t>
          </w:r>
          <w:r w:rsidR="00D4675B" w:rsidRPr="009E45B6">
            <w:rPr>
              <w:rFonts w:eastAsia="SimSun" w:cs="Times New Roman"/>
              <w:szCs w:val="24"/>
            </w:rPr>
            <w:fldChar w:fldCharType="end"/>
          </w:r>
        </w:sdtContent>
      </w:sdt>
      <w:r w:rsidR="00D4675B" w:rsidRPr="009E45B6">
        <w:rPr>
          <w:rFonts w:eastAsia="SimSun" w:cs="Times New Roman"/>
          <w:szCs w:val="24"/>
        </w:rPr>
        <w:t xml:space="preserve">, </w:t>
      </w:r>
      <w:sdt>
        <w:sdtPr>
          <w:rPr>
            <w:rFonts w:eastAsia="SimSun" w:cs="Times New Roman"/>
            <w:szCs w:val="24"/>
          </w:rPr>
          <w:id w:val="-1648121002"/>
          <w:citation/>
        </w:sdtPr>
        <w:sdtContent>
          <w:r w:rsidR="00D4675B" w:rsidRPr="009E45B6">
            <w:rPr>
              <w:rFonts w:eastAsia="SimSun" w:cs="Times New Roman"/>
              <w:szCs w:val="24"/>
            </w:rPr>
            <w:fldChar w:fldCharType="begin"/>
          </w:r>
          <w:r w:rsidR="00D4675B" w:rsidRPr="009E45B6">
            <w:rPr>
              <w:rFonts w:eastAsia="SimSun" w:cs="Times New Roman"/>
              <w:szCs w:val="24"/>
            </w:rPr>
            <w:instrText xml:space="preserve">CITATION Ver11 \l 1033 </w:instrText>
          </w:r>
          <w:r w:rsidR="00D4675B" w:rsidRPr="009E45B6">
            <w:rPr>
              <w:rFonts w:eastAsia="SimSun" w:cs="Times New Roman"/>
              <w:szCs w:val="24"/>
            </w:rPr>
            <w:fldChar w:fldCharType="separate"/>
          </w:r>
          <w:r w:rsidR="00C84822" w:rsidRPr="00C84822">
            <w:rPr>
              <w:rFonts w:eastAsia="SimSun" w:cs="Times New Roman"/>
              <w:noProof/>
              <w:szCs w:val="24"/>
            </w:rPr>
            <w:t>(Verdon, Kendall, White, &amp; Angus, 2011)</w:t>
          </w:r>
          <w:r w:rsidR="00D4675B" w:rsidRPr="009E45B6">
            <w:rPr>
              <w:rFonts w:eastAsia="SimSun" w:cs="Times New Roman"/>
              <w:szCs w:val="24"/>
            </w:rPr>
            <w:fldChar w:fldCharType="end"/>
          </w:r>
        </w:sdtContent>
      </w:sdt>
      <w:r w:rsidR="00D4675B" w:rsidRPr="009E45B6">
        <w:rPr>
          <w:rFonts w:eastAsia="SimSun" w:cs="Times New Roman"/>
          <w:szCs w:val="24"/>
        </w:rPr>
        <w:t xml:space="preserve">, </w:t>
      </w:r>
      <w:sdt>
        <w:sdtPr>
          <w:rPr>
            <w:rFonts w:eastAsia="SimSun" w:cs="Times New Roman"/>
            <w:szCs w:val="24"/>
          </w:rPr>
          <w:id w:val="1846440920"/>
          <w:citation/>
        </w:sdtPr>
        <w:sdtContent>
          <w:r w:rsidR="00D4675B" w:rsidRPr="009E45B6">
            <w:rPr>
              <w:rFonts w:eastAsia="SimSun" w:cs="Times New Roman"/>
              <w:szCs w:val="24"/>
            </w:rPr>
            <w:fldChar w:fldCharType="begin"/>
          </w:r>
          <w:r w:rsidR="00D4675B" w:rsidRPr="009E45B6">
            <w:rPr>
              <w:rFonts w:eastAsia="SimSun" w:cs="Times New Roman"/>
              <w:szCs w:val="24"/>
            </w:rPr>
            <w:instrText xml:space="preserve"> CITATION Zho10 \l 1033 </w:instrText>
          </w:r>
          <w:r w:rsidR="00D4675B" w:rsidRPr="009E45B6">
            <w:rPr>
              <w:rFonts w:eastAsia="SimSun" w:cs="Times New Roman"/>
              <w:szCs w:val="24"/>
            </w:rPr>
            <w:fldChar w:fldCharType="separate"/>
          </w:r>
          <w:r w:rsidR="00C84822" w:rsidRPr="00C84822">
            <w:rPr>
              <w:rFonts w:eastAsia="SimSun" w:cs="Times New Roman"/>
              <w:noProof/>
              <w:szCs w:val="24"/>
            </w:rPr>
            <w:t>(Zhou, Birkholzer, Mehnert, Lin, &amp; Zhang, 2010)</w:t>
          </w:r>
          <w:r w:rsidR="00D4675B" w:rsidRPr="009E45B6">
            <w:rPr>
              <w:rFonts w:eastAsia="SimSun" w:cs="Times New Roman"/>
              <w:szCs w:val="24"/>
            </w:rPr>
            <w:fldChar w:fldCharType="end"/>
          </w:r>
        </w:sdtContent>
      </w:sdt>
      <w:r w:rsidR="00D4675B" w:rsidRPr="009E45B6">
        <w:rPr>
          <w:rFonts w:eastAsia="SimSun" w:cs="Times New Roman"/>
          <w:szCs w:val="24"/>
        </w:rPr>
        <w:t xml:space="preserve">. </w:t>
      </w:r>
      <w:r w:rsidR="00E4063E">
        <w:rPr>
          <w:rFonts w:eastAsia="SimSun" w:cs="Times New Roman"/>
        </w:rPr>
        <w:t>A</w:t>
      </w:r>
      <w:r w:rsidR="00E4063E" w:rsidRPr="37DBAC1B">
        <w:rPr>
          <w:rFonts w:eastAsia="SimSun" w:cs="Times New Roman"/>
        </w:rPr>
        <w:t xml:space="preserve">ccording to </w:t>
      </w:r>
      <w:sdt>
        <w:sdtPr>
          <w:rPr>
            <w:rFonts w:eastAsia="SimSun" w:cs="Times New Roman"/>
          </w:rPr>
          <w:id w:val="-1369136963"/>
          <w:lock w:val="contentLocked"/>
          <w:placeholder>
            <w:docPart w:val="3F6A8F9AA98244788485EE0363F49859"/>
          </w:placeholder>
          <w:citation/>
        </w:sdtPr>
        <w:sdtContent>
          <w:r w:rsidR="00E4063E" w:rsidRPr="37DBAC1B">
            <w:rPr>
              <w:rFonts w:eastAsia="SimSun" w:cs="Times New Roman"/>
            </w:rPr>
            <w:fldChar w:fldCharType="begin"/>
          </w:r>
          <w:r w:rsidR="00E4063E" w:rsidRPr="37DBAC1B">
            <w:rPr>
              <w:rFonts w:eastAsia="SimSun" w:cs="Times New Roman"/>
            </w:rPr>
            <w:instrText xml:space="preserve">CITATION Aja19 \l 1033 </w:instrText>
          </w:r>
          <w:r w:rsidR="00E4063E" w:rsidRPr="37DBAC1B">
            <w:rPr>
              <w:rFonts w:eastAsia="SimSun" w:cs="Times New Roman"/>
            </w:rPr>
            <w:fldChar w:fldCharType="separate"/>
          </w:r>
          <w:r w:rsidR="00C84822" w:rsidRPr="00C84822">
            <w:rPr>
              <w:rFonts w:eastAsia="SimSun" w:cs="Times New Roman"/>
              <w:noProof/>
            </w:rPr>
            <w:t>(Ajayi, Gomes, &amp; Bera, 2019)</w:t>
          </w:r>
          <w:r w:rsidR="00E4063E" w:rsidRPr="37DBAC1B">
            <w:rPr>
              <w:rFonts w:eastAsia="SimSun" w:cs="Times New Roman"/>
            </w:rPr>
            <w:fldChar w:fldCharType="end"/>
          </w:r>
        </w:sdtContent>
      </w:sdt>
      <w:r w:rsidR="00F16896">
        <w:rPr>
          <w:rFonts w:eastAsia="SimSun" w:cs="Times New Roman"/>
        </w:rPr>
        <w:t>,</w:t>
      </w:r>
      <w:r w:rsidR="00E4063E" w:rsidRPr="37DBAC1B">
        <w:rPr>
          <w:rFonts w:eastAsia="SimSun" w:cs="Times New Roman"/>
        </w:rPr>
        <w:t xml:space="preserve"> storing CO</w:t>
      </w:r>
      <w:r w:rsidR="00E4063E" w:rsidRPr="37DBAC1B">
        <w:rPr>
          <w:rFonts w:eastAsia="SimSun" w:cs="Times New Roman"/>
          <w:vertAlign w:val="subscript"/>
        </w:rPr>
        <w:t>2</w:t>
      </w:r>
      <w:r w:rsidR="00E4063E" w:rsidRPr="37DBAC1B">
        <w:rPr>
          <w:rFonts w:eastAsia="SimSun" w:cs="Times New Roman"/>
        </w:rPr>
        <w:t xml:space="preserve"> in geologic formations entails that the formation must be suitable for storage and the injected plume </w:t>
      </w:r>
      <w:bookmarkStart w:id="11" w:name="_Int_8v6Yl37C"/>
      <w:r w:rsidR="00E4063E" w:rsidRPr="37DBAC1B">
        <w:rPr>
          <w:rFonts w:eastAsia="SimSun" w:cs="Times New Roman"/>
        </w:rPr>
        <w:t>has to</w:t>
      </w:r>
      <w:bookmarkEnd w:id="11"/>
      <w:r w:rsidR="00E4063E" w:rsidRPr="37DBAC1B">
        <w:rPr>
          <w:rFonts w:eastAsia="SimSun" w:cs="Times New Roman"/>
        </w:rPr>
        <w:t xml:space="preserve"> be monitored consistently over time to ensure that there is proper containment.</w:t>
      </w:r>
    </w:p>
    <w:p w14:paraId="6B8A95E9" w14:textId="4F75E086" w:rsidR="00B36477" w:rsidRDefault="00D4675B" w:rsidP="00D4675B">
      <w:pPr>
        <w:suppressAutoHyphens/>
        <w:overflowPunct w:val="0"/>
        <w:autoSpaceDE w:val="0"/>
        <w:autoSpaceDN w:val="0"/>
        <w:adjustRightInd w:val="0"/>
        <w:spacing w:after="0"/>
        <w:textAlignment w:val="baseline"/>
        <w:rPr>
          <w:rFonts w:eastAsia="SimSun" w:cs="Times New Roman"/>
          <w:szCs w:val="20"/>
        </w:rPr>
      </w:pPr>
      <w:r w:rsidRPr="009E45B6">
        <w:rPr>
          <w:rFonts w:eastAsia="SimSun" w:cs="Times New Roman"/>
          <w:szCs w:val="20"/>
        </w:rPr>
        <w:t>In geologic carbon sequestration</w:t>
      </w:r>
      <w:r w:rsidR="00F16896">
        <w:rPr>
          <w:rFonts w:eastAsia="SimSun" w:cs="Times New Roman"/>
          <w:szCs w:val="20"/>
        </w:rPr>
        <w:t>,</w:t>
      </w:r>
      <w:r w:rsidRPr="009E45B6">
        <w:rPr>
          <w:rFonts w:eastAsia="SimSun" w:cs="Times New Roman"/>
          <w:szCs w:val="20"/>
        </w:rPr>
        <w:t xml:space="preserve"> where geomechanical risks have as much significance as resource</w:t>
      </w:r>
      <w:r w:rsidR="00F16896">
        <w:rPr>
          <w:rFonts w:eastAsia="SimSun" w:cs="Times New Roman"/>
          <w:szCs w:val="20"/>
        </w:rPr>
        <w:t>-</w:t>
      </w:r>
      <w:r w:rsidRPr="009E45B6">
        <w:rPr>
          <w:rFonts w:eastAsia="SimSun" w:cs="Times New Roman"/>
          <w:szCs w:val="20"/>
        </w:rPr>
        <w:t>related risks, with risks historically increasing in importance with time and being of long-term impact, there is need to have more certainty in the risk assessments</w:t>
      </w:r>
      <w:r w:rsidR="00BE0907">
        <w:rPr>
          <w:rFonts w:eastAsia="SimSun" w:cs="Times New Roman"/>
          <w:szCs w:val="20"/>
        </w:rPr>
        <w:t xml:space="preserve">, especially as </w:t>
      </w:r>
      <w:r w:rsidRPr="009E45B6">
        <w:rPr>
          <w:rFonts w:eastAsia="SimSun" w:cs="Times New Roman"/>
          <w:szCs w:val="20"/>
        </w:rPr>
        <w:t>the main goal i</w:t>
      </w:r>
      <w:r w:rsidR="00BE0907">
        <w:rPr>
          <w:rFonts w:eastAsia="SimSun" w:cs="Times New Roman"/>
          <w:szCs w:val="20"/>
        </w:rPr>
        <w:t xml:space="preserve">n carbon sequestration is typically for </w:t>
      </w:r>
      <w:r w:rsidR="00BE0907" w:rsidRPr="009E45B6">
        <w:rPr>
          <w:rFonts w:eastAsia="SimSun" w:cs="Times New Roman"/>
          <w:szCs w:val="20"/>
        </w:rPr>
        <w:t>CO</w:t>
      </w:r>
      <w:r w:rsidR="00BE0907" w:rsidRPr="009E45B6">
        <w:rPr>
          <w:rFonts w:eastAsia="SimSun" w:cs="Times New Roman"/>
          <w:szCs w:val="20"/>
          <w:vertAlign w:val="subscript"/>
        </w:rPr>
        <w:t>2</w:t>
      </w:r>
      <w:r w:rsidR="00BE0907">
        <w:rPr>
          <w:rFonts w:eastAsia="SimSun" w:cs="Times New Roman"/>
          <w:szCs w:val="20"/>
        </w:rPr>
        <w:t xml:space="preserve"> to be stored over geologic time. G</w:t>
      </w:r>
      <w:r w:rsidRPr="009E45B6">
        <w:rPr>
          <w:rFonts w:eastAsia="SimSun" w:cs="Times New Roman"/>
          <w:szCs w:val="20"/>
        </w:rPr>
        <w:t>eomechanical risks such as the seismicity in the field or potential CO</w:t>
      </w:r>
      <w:r w:rsidRPr="009E45B6">
        <w:rPr>
          <w:rFonts w:eastAsia="SimSun" w:cs="Times New Roman"/>
          <w:szCs w:val="20"/>
          <w:vertAlign w:val="subscript"/>
        </w:rPr>
        <w:t>2</w:t>
      </w:r>
      <w:r w:rsidRPr="009E45B6">
        <w:rPr>
          <w:rFonts w:eastAsia="SimSun" w:cs="Times New Roman"/>
          <w:szCs w:val="20"/>
        </w:rPr>
        <w:t xml:space="preserve"> leakage through seals can</w:t>
      </w:r>
      <w:r w:rsidR="00BE0907">
        <w:rPr>
          <w:rFonts w:eastAsia="SimSun" w:cs="Times New Roman"/>
          <w:szCs w:val="20"/>
        </w:rPr>
        <w:t xml:space="preserve"> therefore not </w:t>
      </w:r>
      <w:r w:rsidRPr="009E45B6">
        <w:rPr>
          <w:rFonts w:eastAsia="SimSun" w:cs="Times New Roman"/>
          <w:szCs w:val="20"/>
        </w:rPr>
        <w:t xml:space="preserve">be ignored and </w:t>
      </w:r>
      <w:r w:rsidR="00BE0907">
        <w:rPr>
          <w:rFonts w:eastAsia="SimSun" w:cs="Times New Roman"/>
          <w:szCs w:val="20"/>
        </w:rPr>
        <w:t xml:space="preserve">are </w:t>
      </w:r>
      <w:r w:rsidRPr="009E45B6">
        <w:rPr>
          <w:rFonts w:eastAsia="SimSun" w:cs="Times New Roman"/>
          <w:szCs w:val="20"/>
        </w:rPr>
        <w:t xml:space="preserve">considered as </w:t>
      </w:r>
      <w:r w:rsidR="00BE0907">
        <w:rPr>
          <w:rFonts w:eastAsia="SimSun" w:cs="Times New Roman"/>
          <w:szCs w:val="20"/>
        </w:rPr>
        <w:t xml:space="preserve">part </w:t>
      </w:r>
      <w:r w:rsidRPr="009E45B6">
        <w:rPr>
          <w:rFonts w:eastAsia="SimSun" w:cs="Times New Roman"/>
          <w:szCs w:val="20"/>
        </w:rPr>
        <w:t xml:space="preserve">of the requirements </w:t>
      </w:r>
      <w:r w:rsidR="00BE0907">
        <w:rPr>
          <w:rFonts w:eastAsia="SimSun" w:cs="Times New Roman"/>
          <w:szCs w:val="20"/>
        </w:rPr>
        <w:t xml:space="preserve">for project feasibility </w:t>
      </w:r>
      <w:r w:rsidR="00BE0907" w:rsidRPr="009E45B6">
        <w:rPr>
          <w:rFonts w:eastAsia="SimSun" w:cs="Times New Roman"/>
          <w:szCs w:val="20"/>
        </w:rPr>
        <w:t>determin</w:t>
      </w:r>
      <w:r w:rsidR="00BE0907">
        <w:rPr>
          <w:rFonts w:eastAsia="SimSun" w:cs="Times New Roman"/>
          <w:szCs w:val="20"/>
        </w:rPr>
        <w:t>ation</w:t>
      </w:r>
      <w:r w:rsidR="005E6FC5">
        <w:rPr>
          <w:rFonts w:eastAsia="SimSun" w:cs="Times New Roman"/>
          <w:szCs w:val="20"/>
        </w:rPr>
        <w:t>.</w:t>
      </w:r>
    </w:p>
    <w:p w14:paraId="337A34F4" w14:textId="7A3C030D" w:rsidR="00E93003" w:rsidRDefault="00F54216" w:rsidP="00D4675B">
      <w:pPr>
        <w:suppressAutoHyphens/>
        <w:overflowPunct w:val="0"/>
        <w:autoSpaceDE w:val="0"/>
        <w:autoSpaceDN w:val="0"/>
        <w:adjustRightInd w:val="0"/>
        <w:spacing w:after="0"/>
        <w:textAlignment w:val="baseline"/>
        <w:rPr>
          <w:rFonts w:eastAsia="SimSun" w:cs="Times New Roman"/>
        </w:rPr>
      </w:pPr>
      <w:r w:rsidRPr="37DBAC1B">
        <w:rPr>
          <w:rFonts w:eastAsia="SimSun" w:cs="Times New Roman"/>
        </w:rPr>
        <w:lastRenderedPageBreak/>
        <w:t>Quantifying the risks for geologic carbon sequestration – such as the risk</w:t>
      </w:r>
      <w:r w:rsidR="00F16896">
        <w:rPr>
          <w:rFonts w:eastAsia="SimSun" w:cs="Times New Roman"/>
        </w:rPr>
        <w:t xml:space="preserve"> of</w:t>
      </w:r>
      <w:r w:rsidRPr="37DBAC1B">
        <w:rPr>
          <w:rFonts w:eastAsia="SimSun" w:cs="Times New Roman"/>
        </w:rPr>
        <w:t xml:space="preserve"> seismicity with a high degree of certainty is not just necessary for accuracy but is also a key safety, environmental, and economic concern</w:t>
      </w:r>
      <w:r w:rsidR="00514171">
        <w:rPr>
          <w:rFonts w:eastAsia="SimSun" w:cs="Times New Roman"/>
        </w:rPr>
        <w:t xml:space="preserve">. It </w:t>
      </w:r>
      <w:r w:rsidRPr="37DBAC1B">
        <w:rPr>
          <w:rFonts w:eastAsia="SimSun" w:cs="Times New Roman"/>
        </w:rPr>
        <w:t xml:space="preserve">is also one of the requirements to get class VI permits from the </w:t>
      </w:r>
      <w:bookmarkStart w:id="12" w:name="_Int_iXmEso4A"/>
      <w:r w:rsidRPr="37DBAC1B">
        <w:rPr>
          <w:rFonts w:eastAsia="SimSun" w:cs="Times New Roman"/>
        </w:rPr>
        <w:t xml:space="preserve">US </w:t>
      </w:r>
      <w:r w:rsidR="057B41D3" w:rsidRPr="37DBAC1B">
        <w:rPr>
          <w:rFonts w:eastAsia="SimSun" w:cs="Times New Roman"/>
        </w:rPr>
        <w:t>(United States)</w:t>
      </w:r>
      <w:bookmarkEnd w:id="12"/>
      <w:r w:rsidRPr="37DBAC1B">
        <w:rPr>
          <w:rFonts w:eastAsia="SimSun" w:cs="Times New Roman"/>
        </w:rPr>
        <w:t xml:space="preserve"> Environmental Protection Agency</w:t>
      </w:r>
      <w:r w:rsidR="00664BD6">
        <w:rPr>
          <w:rFonts w:eastAsia="SimSun" w:cs="Times New Roman"/>
        </w:rPr>
        <w:t xml:space="preserve"> </w:t>
      </w:r>
      <w:sdt>
        <w:sdtPr>
          <w:rPr>
            <w:rFonts w:eastAsia="SimSun" w:cs="Times New Roman"/>
          </w:rPr>
          <w:id w:val="465862119"/>
          <w:citation/>
        </w:sdtPr>
        <w:sdtContent>
          <w:r w:rsidR="00664BD6">
            <w:rPr>
              <w:rFonts w:eastAsia="SimSun" w:cs="Times New Roman"/>
            </w:rPr>
            <w:fldChar w:fldCharType="begin"/>
          </w:r>
          <w:r w:rsidR="0040098A">
            <w:rPr>
              <w:rFonts w:eastAsia="SimSun" w:cs="Times New Roman"/>
            </w:rPr>
            <w:instrText xml:space="preserve">CITATION EPA18 \l 1033 </w:instrText>
          </w:r>
          <w:r w:rsidR="00664BD6">
            <w:rPr>
              <w:rFonts w:eastAsia="SimSun" w:cs="Times New Roman"/>
            </w:rPr>
            <w:fldChar w:fldCharType="separate"/>
          </w:r>
          <w:r w:rsidR="00C84822" w:rsidRPr="00C84822">
            <w:rPr>
              <w:rFonts w:eastAsia="SimSun" w:cs="Times New Roman"/>
              <w:noProof/>
            </w:rPr>
            <w:t>(EPA, Geologic Sequenstration of Carbon Dioxide. Underground Injection Control (UIC) Program Class VI Implementaion Manual for UIC Program Directors, 2018)</w:t>
          </w:r>
          <w:r w:rsidR="00664BD6">
            <w:rPr>
              <w:rFonts w:eastAsia="SimSun" w:cs="Times New Roman"/>
            </w:rPr>
            <w:fldChar w:fldCharType="end"/>
          </w:r>
        </w:sdtContent>
      </w:sdt>
      <w:r w:rsidRPr="37DBAC1B">
        <w:rPr>
          <w:rFonts w:eastAsia="SimSun" w:cs="Times New Roman"/>
        </w:rPr>
        <w:t>. Significant seismic activities and how they affect the feasibility of CO</w:t>
      </w:r>
      <w:r w:rsidRPr="37DBAC1B">
        <w:rPr>
          <w:rFonts w:eastAsia="SimSun" w:cs="Times New Roman"/>
          <w:vertAlign w:val="subscript"/>
        </w:rPr>
        <w:t>2</w:t>
      </w:r>
      <w:r w:rsidRPr="37DBAC1B">
        <w:rPr>
          <w:rFonts w:eastAsia="SimSun" w:cs="Times New Roman"/>
        </w:rPr>
        <w:t xml:space="preserve"> storage, as well as the reception of CO</w:t>
      </w:r>
      <w:r w:rsidRPr="37DBAC1B">
        <w:rPr>
          <w:rFonts w:eastAsia="SimSun" w:cs="Times New Roman"/>
          <w:vertAlign w:val="subscript"/>
        </w:rPr>
        <w:t>2</w:t>
      </w:r>
      <w:r w:rsidRPr="37DBAC1B">
        <w:rPr>
          <w:rFonts w:eastAsia="SimSun" w:cs="Times New Roman"/>
        </w:rPr>
        <w:t xml:space="preserve"> sequestration by the </w:t>
      </w:r>
      <w:bookmarkStart w:id="13" w:name="_Int_yTebBbDq"/>
      <w:r w:rsidRPr="37DBAC1B">
        <w:rPr>
          <w:rFonts w:eastAsia="SimSun" w:cs="Times New Roman"/>
        </w:rPr>
        <w:t>general public</w:t>
      </w:r>
      <w:bookmarkEnd w:id="13"/>
      <w:r w:rsidRPr="37DBAC1B">
        <w:rPr>
          <w:rFonts w:eastAsia="SimSun" w:cs="Times New Roman"/>
        </w:rPr>
        <w:t xml:space="preserve"> has recently been of concern. In the past, projects in </w:t>
      </w:r>
      <w:r w:rsidR="00664BD6">
        <w:rPr>
          <w:rFonts w:eastAsia="SimSun" w:cs="Times New Roman"/>
        </w:rPr>
        <w:t xml:space="preserve">the </w:t>
      </w:r>
      <w:r w:rsidRPr="37DBAC1B">
        <w:rPr>
          <w:rFonts w:eastAsia="SimSun" w:cs="Times New Roman"/>
        </w:rPr>
        <w:t xml:space="preserve">Netherlands and Germany have been required to be postponed on account of concerns regarding risks to the public such as possible seismic tremors, spillage and leakage, and effect on property </w:t>
      </w:r>
      <w:sdt>
        <w:sdtPr>
          <w:rPr>
            <w:rFonts w:eastAsia="SimSun" w:cs="Times New Roman"/>
          </w:rPr>
          <w:id w:val="-1212267044"/>
          <w:lock w:val="contentLocked"/>
          <w:placeholder>
            <w:docPart w:val="79E789B27C2E4306AB9ADD6F950171DB"/>
          </w:placeholder>
          <w:citation/>
        </w:sdtPr>
        <w:sdtContent>
          <w:r w:rsidRPr="37DBAC1B">
            <w:rPr>
              <w:rFonts w:eastAsia="SimSun" w:cs="Times New Roman"/>
            </w:rPr>
            <w:fldChar w:fldCharType="begin"/>
          </w:r>
          <w:r w:rsidRPr="37DBAC1B">
            <w:rPr>
              <w:rFonts w:eastAsia="SimSun" w:cs="Times New Roman"/>
            </w:rPr>
            <w:instrText xml:space="preserve"> CITATION Rut12 \l 1033 </w:instrText>
          </w:r>
          <w:r w:rsidRPr="37DBAC1B">
            <w:rPr>
              <w:rFonts w:eastAsia="SimSun" w:cs="Times New Roman"/>
            </w:rPr>
            <w:fldChar w:fldCharType="separate"/>
          </w:r>
          <w:r w:rsidR="00C84822" w:rsidRPr="00C84822">
            <w:rPr>
              <w:rFonts w:eastAsia="SimSun" w:cs="Times New Roman"/>
              <w:noProof/>
            </w:rPr>
            <w:t>(Rutqvist, 2012)</w:t>
          </w:r>
          <w:r w:rsidRPr="37DBAC1B">
            <w:rPr>
              <w:rFonts w:eastAsia="SimSun" w:cs="Times New Roman"/>
            </w:rPr>
            <w:fldChar w:fldCharType="end"/>
          </w:r>
        </w:sdtContent>
      </w:sdt>
      <w:r w:rsidRPr="37DBAC1B">
        <w:rPr>
          <w:rFonts w:eastAsia="SimSun" w:cs="Times New Roman"/>
        </w:rPr>
        <w:t xml:space="preserve">. Subsequently, large-scale GCS must be created with consideration, and geomechanics </w:t>
      </w:r>
      <w:r w:rsidR="00BE0907">
        <w:rPr>
          <w:rFonts w:eastAsia="SimSun" w:cs="Times New Roman"/>
        </w:rPr>
        <w:t>is</w:t>
      </w:r>
      <w:r w:rsidRPr="37DBAC1B">
        <w:rPr>
          <w:rFonts w:eastAsia="SimSun" w:cs="Times New Roman"/>
        </w:rPr>
        <w:t xml:space="preserve"> a key part</w:t>
      </w:r>
      <w:r w:rsidR="00514171">
        <w:rPr>
          <w:rFonts w:eastAsia="SimSun" w:cs="Times New Roman"/>
        </w:rPr>
        <w:t xml:space="preserve"> of</w:t>
      </w:r>
      <w:r w:rsidRPr="37DBAC1B">
        <w:rPr>
          <w:rFonts w:eastAsia="SimSun" w:cs="Times New Roman"/>
        </w:rPr>
        <w:t xml:space="preserve"> risk examinations </w:t>
      </w:r>
      <w:r w:rsidR="00514171">
        <w:rPr>
          <w:rFonts w:eastAsia="SimSun" w:cs="Times New Roman"/>
        </w:rPr>
        <w:t xml:space="preserve">in </w:t>
      </w:r>
      <w:r w:rsidR="00BE0907">
        <w:rPr>
          <w:rFonts w:eastAsia="SimSun" w:cs="Times New Roman"/>
        </w:rPr>
        <w:t>geologic carbon sequestration sites</w:t>
      </w:r>
      <w:r w:rsidRPr="37DBAC1B">
        <w:rPr>
          <w:rFonts w:eastAsia="SimSun" w:cs="Times New Roman"/>
        </w:rPr>
        <w:t xml:space="preserve">. </w:t>
      </w:r>
      <w:r w:rsidR="00BE0907">
        <w:rPr>
          <w:rFonts w:eastAsia="SimSun" w:cs="Times New Roman"/>
        </w:rPr>
        <w:t xml:space="preserve">In this research, </w:t>
      </w:r>
      <w:r w:rsidR="00B36477">
        <w:rPr>
          <w:rFonts w:eastAsia="SimSun" w:cs="Times New Roman"/>
        </w:rPr>
        <w:t xml:space="preserve">the increase of seismicity risks in the Arbuckle Group </w:t>
      </w:r>
      <w:r w:rsidR="00BE0907">
        <w:rPr>
          <w:rFonts w:eastAsia="SimSun" w:cs="Times New Roman"/>
        </w:rPr>
        <w:t xml:space="preserve">is demonstrated </w:t>
      </w:r>
      <w:r w:rsidR="00B36477">
        <w:rPr>
          <w:rFonts w:eastAsia="SimSun" w:cs="Times New Roman"/>
        </w:rPr>
        <w:t xml:space="preserve">and then </w:t>
      </w:r>
      <w:r w:rsidRPr="37DBAC1B">
        <w:rPr>
          <w:rFonts w:eastAsia="SimSun" w:cs="Times New Roman"/>
        </w:rPr>
        <w:t xml:space="preserve">a Bayesian </w:t>
      </w:r>
      <w:r w:rsidR="00BE0907">
        <w:rPr>
          <w:rFonts w:eastAsia="SimSun" w:cs="Times New Roman"/>
        </w:rPr>
        <w:t>approach is used t</w:t>
      </w:r>
      <w:r w:rsidRPr="37DBAC1B">
        <w:rPr>
          <w:rFonts w:eastAsia="SimSun" w:cs="Times New Roman"/>
        </w:rPr>
        <w:t xml:space="preserve">o evaluate </w:t>
      </w:r>
      <w:r w:rsidR="00B36477">
        <w:rPr>
          <w:rFonts w:eastAsia="SimSun" w:cs="Times New Roman"/>
        </w:rPr>
        <w:t xml:space="preserve">these </w:t>
      </w:r>
      <w:r w:rsidRPr="37DBAC1B">
        <w:rPr>
          <w:rFonts w:eastAsia="SimSun" w:cs="Times New Roman"/>
        </w:rPr>
        <w:t xml:space="preserve">seismicity risks. </w:t>
      </w:r>
    </w:p>
    <w:p w14:paraId="2E1005BB" w14:textId="224CCF34" w:rsidR="00F54216" w:rsidRDefault="00764E63" w:rsidP="00D4675B">
      <w:pPr>
        <w:suppressAutoHyphens/>
        <w:overflowPunct w:val="0"/>
        <w:autoSpaceDE w:val="0"/>
        <w:autoSpaceDN w:val="0"/>
        <w:adjustRightInd w:val="0"/>
        <w:spacing w:after="0"/>
        <w:textAlignment w:val="baseline"/>
        <w:rPr>
          <w:rFonts w:eastAsia="SimSun" w:cs="Times New Roman"/>
        </w:rPr>
      </w:pPr>
      <w:r w:rsidRPr="37DBAC1B">
        <w:rPr>
          <w:rFonts w:eastAsia="SimSun" w:cs="Times New Roman"/>
        </w:rPr>
        <w:t xml:space="preserve">Risk is a combination of the probability of an adverse event occurring and the severity of that event. </w:t>
      </w:r>
      <w:r>
        <w:rPr>
          <w:rFonts w:eastAsia="SimSun" w:cs="Times New Roman"/>
        </w:rPr>
        <w:t>Since the</w:t>
      </w:r>
      <w:r w:rsidRPr="37DBAC1B">
        <w:rPr>
          <w:rFonts w:eastAsia="SimSun" w:cs="Times New Roman"/>
        </w:rPr>
        <w:t xml:space="preserve"> level of risk could come from events of different severity, </w:t>
      </w:r>
      <w:r>
        <w:rPr>
          <w:rFonts w:eastAsia="SimSun" w:cs="Times New Roman"/>
        </w:rPr>
        <w:t xml:space="preserve">it is important to quantify the uncertainties in risk evaluation. </w:t>
      </w:r>
      <w:r w:rsidR="00F54216" w:rsidRPr="37DBAC1B">
        <w:rPr>
          <w:rFonts w:eastAsia="SimSun" w:cs="Times New Roman"/>
        </w:rPr>
        <w:t xml:space="preserve">The Bayesian approach is a statistical model where the uncertainty (both output and input/parameters) in the model is represented as a </w:t>
      </w:r>
      <w:r w:rsidR="00514171">
        <w:rPr>
          <w:rFonts w:eastAsia="SimSun" w:cs="Times New Roman"/>
        </w:rPr>
        <w:t xml:space="preserve">probability </w:t>
      </w:r>
      <w:r w:rsidR="00F54216" w:rsidRPr="37DBAC1B">
        <w:rPr>
          <w:rFonts w:eastAsia="SimSun" w:cs="Times New Roman"/>
        </w:rPr>
        <w:t xml:space="preserve">distribution, and this can be </w:t>
      </w:r>
      <w:r w:rsidR="72813F00" w:rsidRPr="37DBAC1B">
        <w:rPr>
          <w:rFonts w:eastAsia="SimSun" w:cs="Times New Roman"/>
        </w:rPr>
        <w:t>used</w:t>
      </w:r>
      <w:r w:rsidR="00F54216" w:rsidRPr="37DBAC1B">
        <w:rPr>
          <w:rFonts w:eastAsia="SimSun" w:cs="Times New Roman"/>
        </w:rPr>
        <w:t xml:space="preserve"> to quantify the seismicity risks and improve risk assessment. Using </w:t>
      </w:r>
      <w:r w:rsidR="00B36477">
        <w:rPr>
          <w:rFonts w:eastAsia="SimSun" w:cs="Times New Roman"/>
        </w:rPr>
        <w:t xml:space="preserve">the Arbuckle Group </w:t>
      </w:r>
      <w:r w:rsidR="00F54216" w:rsidRPr="37DBAC1B">
        <w:rPr>
          <w:rFonts w:eastAsia="SimSun" w:cs="Times New Roman"/>
        </w:rPr>
        <w:t xml:space="preserve">as </w:t>
      </w:r>
      <w:r w:rsidR="00607EF6">
        <w:rPr>
          <w:rFonts w:eastAsia="SimSun" w:cs="Times New Roman"/>
        </w:rPr>
        <w:t xml:space="preserve">the area of </w:t>
      </w:r>
      <w:r w:rsidR="00F54216" w:rsidRPr="37DBAC1B">
        <w:rPr>
          <w:rFonts w:eastAsia="SimSun" w:cs="Times New Roman"/>
        </w:rPr>
        <w:t>study</w:t>
      </w:r>
      <w:r w:rsidR="00607EF6">
        <w:rPr>
          <w:rFonts w:eastAsia="SimSun" w:cs="Times New Roman"/>
        </w:rPr>
        <w:t xml:space="preserve">, </w:t>
      </w:r>
      <w:r w:rsidR="00F54216" w:rsidRPr="37DBAC1B">
        <w:rPr>
          <w:rFonts w:eastAsia="SimSun" w:cs="Times New Roman"/>
        </w:rPr>
        <w:t>data from established physics-based models of the system and the details from past observed/monitored failures</w:t>
      </w:r>
      <w:r w:rsidR="00E70472">
        <w:rPr>
          <w:rFonts w:eastAsia="SimSun" w:cs="Times New Roman"/>
        </w:rPr>
        <w:t xml:space="preserve"> as shown in</w:t>
      </w:r>
      <w:r w:rsidR="005E6FC5">
        <w:rPr>
          <w:rFonts w:eastAsia="SimSun" w:cs="Times New Roman"/>
        </w:rPr>
        <w:t xml:space="preserve"> figure 3, </w:t>
      </w:r>
      <w:r w:rsidR="00607EF6" w:rsidRPr="37DBAC1B">
        <w:rPr>
          <w:rFonts w:eastAsia="SimSun" w:cs="Times New Roman"/>
        </w:rPr>
        <w:t>w</w:t>
      </w:r>
      <w:r w:rsidR="00607EF6">
        <w:rPr>
          <w:rFonts w:eastAsia="SimSun" w:cs="Times New Roman"/>
        </w:rPr>
        <w:t>as</w:t>
      </w:r>
      <w:r w:rsidR="00607EF6" w:rsidRPr="37DBAC1B">
        <w:rPr>
          <w:rFonts w:eastAsia="SimSun" w:cs="Times New Roman"/>
        </w:rPr>
        <w:t xml:space="preserve"> utilized</w:t>
      </w:r>
      <w:r w:rsidR="00F54216" w:rsidRPr="37DBAC1B">
        <w:rPr>
          <w:rFonts w:eastAsia="SimSun" w:cs="Times New Roman"/>
        </w:rPr>
        <w:t xml:space="preserve"> to evaluate future risk potential for the area</w:t>
      </w:r>
      <w:bookmarkStart w:id="14" w:name="_Int_zEhx1TvW"/>
      <w:r w:rsidR="00F54216" w:rsidRPr="37DBAC1B">
        <w:rPr>
          <w:rFonts w:eastAsia="SimSun" w:cs="Times New Roman"/>
        </w:rPr>
        <w:t xml:space="preserve">. </w:t>
      </w:r>
      <w:bookmarkEnd w:id="14"/>
      <w:r w:rsidR="00F54216" w:rsidRPr="37DBAC1B">
        <w:rPr>
          <w:rFonts w:eastAsia="SimSun" w:cs="Times New Roman"/>
        </w:rPr>
        <w:t xml:space="preserve">In </w:t>
      </w:r>
      <w:r w:rsidR="00607EF6">
        <w:rPr>
          <w:rFonts w:eastAsia="SimSun" w:cs="Times New Roman"/>
        </w:rPr>
        <w:t>this</w:t>
      </w:r>
      <w:r w:rsidR="00F54216" w:rsidRPr="37DBAC1B">
        <w:rPr>
          <w:rFonts w:eastAsia="SimSun" w:cs="Times New Roman"/>
        </w:rPr>
        <w:t xml:space="preserve"> approach, the current probability for </w:t>
      </w:r>
      <w:r w:rsidR="00F54216" w:rsidRPr="37DBAC1B">
        <w:rPr>
          <w:rFonts w:eastAsia="SimSun" w:cs="Times New Roman"/>
        </w:rPr>
        <w:lastRenderedPageBreak/>
        <w:t>the state of stress for the area under investigation</w:t>
      </w:r>
      <w:r w:rsidR="00607EF6">
        <w:rPr>
          <w:rFonts w:eastAsia="SimSun" w:cs="Times New Roman"/>
        </w:rPr>
        <w:t xml:space="preserve"> </w:t>
      </w:r>
      <w:r w:rsidR="00607EF6" w:rsidRPr="37DBAC1B">
        <w:rPr>
          <w:rFonts w:eastAsia="SimSun" w:cs="Times New Roman"/>
        </w:rPr>
        <w:t>w</w:t>
      </w:r>
      <w:r w:rsidR="00607EF6">
        <w:rPr>
          <w:rFonts w:eastAsia="SimSun" w:cs="Times New Roman"/>
        </w:rPr>
        <w:t>as</w:t>
      </w:r>
      <w:r w:rsidR="00607EF6" w:rsidRPr="37DBAC1B">
        <w:rPr>
          <w:rFonts w:eastAsia="SimSun" w:cs="Times New Roman"/>
        </w:rPr>
        <w:t xml:space="preserve"> establish</w:t>
      </w:r>
      <w:r w:rsidR="00607EF6">
        <w:rPr>
          <w:rFonts w:eastAsia="SimSun" w:cs="Times New Roman"/>
        </w:rPr>
        <w:t>ed</w:t>
      </w:r>
      <w:r w:rsidR="00F54216" w:rsidRPr="37DBAC1B">
        <w:rPr>
          <w:rFonts w:eastAsia="SimSun" w:cs="Times New Roman"/>
        </w:rPr>
        <w:t xml:space="preserve">, then the </w:t>
      </w:r>
      <w:r w:rsidR="00607EF6">
        <w:rPr>
          <w:rFonts w:eastAsia="SimSun" w:cs="Times New Roman"/>
        </w:rPr>
        <w:t xml:space="preserve">evolution of the </w:t>
      </w:r>
      <w:r w:rsidR="00F54216" w:rsidRPr="37DBAC1B">
        <w:rPr>
          <w:rFonts w:eastAsia="SimSun" w:cs="Times New Roman"/>
        </w:rPr>
        <w:t>state of stress</w:t>
      </w:r>
      <w:r>
        <w:rPr>
          <w:rFonts w:eastAsia="SimSun" w:cs="Times New Roman"/>
        </w:rPr>
        <w:t xml:space="preserve"> </w:t>
      </w:r>
      <w:r w:rsidR="00F54216" w:rsidRPr="37DBAC1B">
        <w:rPr>
          <w:rFonts w:eastAsia="SimSun" w:cs="Times New Roman"/>
        </w:rPr>
        <w:t xml:space="preserve">owing to subsurface fluid injection. The </w:t>
      </w:r>
      <w:r w:rsidR="00511B27">
        <w:rPr>
          <w:rFonts w:eastAsia="SimSun" w:cs="Times New Roman"/>
        </w:rPr>
        <w:t xml:space="preserve">state of </w:t>
      </w:r>
      <w:r w:rsidR="00F54216" w:rsidRPr="37DBAC1B">
        <w:rPr>
          <w:rFonts w:eastAsia="SimSun" w:cs="Times New Roman"/>
        </w:rPr>
        <w:t>stress probability distribution is</w:t>
      </w:r>
      <w:r w:rsidR="00511B27">
        <w:rPr>
          <w:rFonts w:eastAsia="SimSun" w:cs="Times New Roman"/>
        </w:rPr>
        <w:t xml:space="preserve"> then</w:t>
      </w:r>
      <w:r w:rsidR="00F54216" w:rsidRPr="37DBAC1B">
        <w:rPr>
          <w:rFonts w:eastAsia="SimSun" w:cs="Times New Roman"/>
        </w:rPr>
        <w:t xml:space="preserve"> calculated to estimate the probability of activating a critically oriented fault.</w:t>
      </w:r>
    </w:p>
    <w:p w14:paraId="2AF05985" w14:textId="460FA8B2" w:rsidR="00136C8D" w:rsidRDefault="00EF1B54" w:rsidP="00CA62CF">
      <w:pPr>
        <w:pStyle w:val="Caption"/>
      </w:pPr>
      <w:r>
        <w:rPr>
          <w:noProof/>
        </w:rPr>
        <w:drawing>
          <wp:inline distT="0" distB="0" distL="0" distR="0" wp14:anchorId="35EF8B3A" wp14:editId="1621F6BB">
            <wp:extent cx="4352603" cy="3864508"/>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88070" cy="3895997"/>
                    </a:xfrm>
                    <a:prstGeom prst="rect">
                      <a:avLst/>
                    </a:prstGeom>
                    <a:noFill/>
                  </pic:spPr>
                </pic:pic>
              </a:graphicData>
            </a:graphic>
          </wp:inline>
        </w:drawing>
      </w:r>
    </w:p>
    <w:p w14:paraId="2847BA83" w14:textId="630B08EF" w:rsidR="00C258BE" w:rsidRPr="00C258BE" w:rsidRDefault="00136C8D" w:rsidP="00CA62CF">
      <w:pPr>
        <w:pStyle w:val="Caption"/>
      </w:pPr>
      <w:bookmarkStart w:id="15" w:name="_Toc121265846"/>
      <w:r>
        <w:t xml:space="preserve">Figure </w:t>
      </w:r>
      <w:fldSimple w:instr=" SEQ Figure \* ARABIC ">
        <w:r w:rsidR="00955725">
          <w:rPr>
            <w:noProof/>
          </w:rPr>
          <w:t>3</w:t>
        </w:r>
      </w:fldSimple>
      <w:r>
        <w:t xml:space="preserve">: Bayesian Approach in Essence. </w:t>
      </w:r>
      <w:r w:rsidR="00EF1B54">
        <w:t xml:space="preserve">Adapted from </w:t>
      </w:r>
      <w:sdt>
        <w:sdtPr>
          <w:id w:val="1540241405"/>
          <w:citation/>
        </w:sdtPr>
        <w:sdtContent>
          <w:r w:rsidR="001340E6">
            <w:fldChar w:fldCharType="begin"/>
          </w:r>
          <w:r w:rsidR="001340E6">
            <w:instrText xml:space="preserve"> CITATION Vad21 \l 1033 </w:instrText>
          </w:r>
          <w:r w:rsidR="001340E6">
            <w:fldChar w:fldCharType="separate"/>
          </w:r>
          <w:r w:rsidR="00C84822">
            <w:rPr>
              <w:noProof/>
            </w:rPr>
            <w:t>(Nelidov, 2021)</w:t>
          </w:r>
          <w:r w:rsidR="001340E6">
            <w:fldChar w:fldCharType="end"/>
          </w:r>
        </w:sdtContent>
      </w:sdt>
      <w:bookmarkEnd w:id="15"/>
    </w:p>
    <w:p w14:paraId="6407B88C" w14:textId="54ABED42" w:rsidR="00C14728" w:rsidRDefault="00C14728" w:rsidP="00C258BE">
      <w:pPr>
        <w:pStyle w:val="Heading2"/>
      </w:pPr>
      <w:bookmarkStart w:id="16" w:name="_Toc121265805"/>
      <w:r>
        <w:t>1</w:t>
      </w:r>
      <w:r w:rsidRPr="00C14728">
        <w:t>.2 Objective</w:t>
      </w:r>
      <w:r w:rsidR="00DD5286">
        <w:t>s</w:t>
      </w:r>
      <w:bookmarkEnd w:id="16"/>
    </w:p>
    <w:p w14:paraId="4CB8BCB5" w14:textId="13399DA3" w:rsidR="00C14728" w:rsidRDefault="00C14728" w:rsidP="00DD5286">
      <w:r w:rsidRPr="00C14728">
        <w:t xml:space="preserve">This study has the following main objectives: </w:t>
      </w:r>
    </w:p>
    <w:p w14:paraId="320643A5" w14:textId="6E1E49F1" w:rsidR="00C14728" w:rsidRDefault="00261103" w:rsidP="00C14728">
      <w:pPr>
        <w:pStyle w:val="ListParagraph"/>
        <w:numPr>
          <w:ilvl w:val="0"/>
          <w:numId w:val="9"/>
        </w:numPr>
      </w:pPr>
      <w:r>
        <w:t xml:space="preserve">Demonstrate the need to estimate seismicity risk in </w:t>
      </w:r>
      <w:r w:rsidRPr="00E93003">
        <w:t>CO</w:t>
      </w:r>
      <w:r w:rsidRPr="00E93003">
        <w:rPr>
          <w:vertAlign w:val="subscript"/>
        </w:rPr>
        <w:t>2</w:t>
      </w:r>
      <w:r w:rsidRPr="00E93003">
        <w:t xml:space="preserve"> sequestration</w:t>
      </w:r>
      <w:r>
        <w:t xml:space="preserve"> using a data-driven approach</w:t>
      </w:r>
    </w:p>
    <w:p w14:paraId="41A29947" w14:textId="7C7488C0" w:rsidR="00C14728" w:rsidRDefault="00261103" w:rsidP="00C14728">
      <w:pPr>
        <w:pStyle w:val="ListParagraph"/>
        <w:numPr>
          <w:ilvl w:val="0"/>
          <w:numId w:val="9"/>
        </w:numPr>
      </w:pPr>
      <w:r>
        <w:t>Quantitatively estimate</w:t>
      </w:r>
      <w:r w:rsidR="00C14728">
        <w:t xml:space="preserve"> induced seismicity </w:t>
      </w:r>
      <w:r>
        <w:t>risk when injecting into the Arbuckle Group</w:t>
      </w:r>
    </w:p>
    <w:p w14:paraId="24613E5F" w14:textId="77777777" w:rsidR="00C14728" w:rsidRPr="00C14728" w:rsidRDefault="00C14728" w:rsidP="00C14728"/>
    <w:p w14:paraId="3BAA658A" w14:textId="2AA57886" w:rsidR="00C258BE" w:rsidRDefault="00C258BE" w:rsidP="00C258BE">
      <w:pPr>
        <w:pStyle w:val="Heading2"/>
      </w:pPr>
      <w:bookmarkStart w:id="17" w:name="_Toc121265806"/>
      <w:r w:rsidRPr="00D4675B">
        <w:lastRenderedPageBreak/>
        <w:t>1.</w:t>
      </w:r>
      <w:r w:rsidR="00C14728">
        <w:t>3</w:t>
      </w:r>
      <w:r w:rsidRPr="00D4675B">
        <w:t xml:space="preserve"> Scope of the Thesis</w:t>
      </w:r>
      <w:bookmarkEnd w:id="17"/>
    </w:p>
    <w:p w14:paraId="507EE490" w14:textId="77777777" w:rsidR="00DD5286" w:rsidRDefault="00C258BE" w:rsidP="00C258BE">
      <w:r>
        <w:t xml:space="preserve">The scope of this thesis is to demonstrate how fluid injection has increased seismicity risks in the Arbuckle Group </w:t>
      </w:r>
      <w:r w:rsidRPr="00E93003">
        <w:t>which extends across the southern Mid-Continent of the US</w:t>
      </w:r>
      <w:r>
        <w:t xml:space="preserve">, and how these risks </w:t>
      </w:r>
      <w:r w:rsidRPr="00E93003">
        <w:t>of induced seismicity associated with CO</w:t>
      </w:r>
      <w:r w:rsidRPr="00E93003">
        <w:rPr>
          <w:vertAlign w:val="subscript"/>
        </w:rPr>
        <w:t>2</w:t>
      </w:r>
      <w:r w:rsidRPr="00E93003">
        <w:t xml:space="preserve"> sequestration </w:t>
      </w:r>
      <w:r>
        <w:t xml:space="preserve">can be quantified. </w:t>
      </w:r>
    </w:p>
    <w:p w14:paraId="3D08A75D" w14:textId="103A3F0D" w:rsidR="00DD5286" w:rsidRDefault="00DD5286" w:rsidP="00DD5286">
      <w:pPr>
        <w:pStyle w:val="Heading2"/>
      </w:pPr>
      <w:bookmarkStart w:id="18" w:name="_Toc121265807"/>
      <w:r>
        <w:t>1.4 Working Hypothesis</w:t>
      </w:r>
      <w:bookmarkEnd w:id="18"/>
    </w:p>
    <w:p w14:paraId="1027CDF1" w14:textId="4F1EE6E1" w:rsidR="00DD5286" w:rsidRDefault="00C258BE" w:rsidP="00C258BE">
      <w:r>
        <w:t>The working hypothesis is</w:t>
      </w:r>
      <w:r w:rsidR="00DD5286">
        <w:t xml:space="preserve"> that using</w:t>
      </w:r>
      <w:r w:rsidRPr="00E93003">
        <w:t xml:space="preserve"> Bayes’ theorem </w:t>
      </w:r>
      <w:r w:rsidR="00DD5286">
        <w:t xml:space="preserve">can </w:t>
      </w:r>
      <w:r w:rsidR="005E6FC5">
        <w:t>assist in evaluating</w:t>
      </w:r>
      <w:r w:rsidRPr="00E93003">
        <w:t xml:space="preserve"> the risk of induced seismicity.</w:t>
      </w:r>
    </w:p>
    <w:p w14:paraId="0CF8F1A1" w14:textId="6E65C3AE" w:rsidR="00C258BE" w:rsidRPr="004B4996" w:rsidRDefault="00C258BE" w:rsidP="00C258BE">
      <w:pPr>
        <w:pStyle w:val="Heading2"/>
      </w:pPr>
      <w:bookmarkStart w:id="19" w:name="_Toc121265808"/>
      <w:r>
        <w:t>1.</w:t>
      </w:r>
      <w:r w:rsidR="00DD5286">
        <w:t>5</w:t>
      </w:r>
      <w:r>
        <w:t xml:space="preserve"> </w:t>
      </w:r>
      <w:r w:rsidRPr="004B4996">
        <w:t>Organization</w:t>
      </w:r>
      <w:r>
        <w:t xml:space="preserve"> of the Thesis</w:t>
      </w:r>
      <w:bookmarkEnd w:id="19"/>
    </w:p>
    <w:p w14:paraId="455A5A85" w14:textId="0DC44C5D" w:rsidR="00C258BE" w:rsidRDefault="00C258BE" w:rsidP="00C258BE">
      <w:pPr>
        <w:suppressAutoHyphens/>
        <w:overflowPunct w:val="0"/>
        <w:autoSpaceDE w:val="0"/>
        <w:autoSpaceDN w:val="0"/>
        <w:adjustRightInd w:val="0"/>
        <w:spacing w:after="0"/>
        <w:textAlignment w:val="baseline"/>
        <w:rPr>
          <w:rFonts w:eastAsia="SimSun" w:cs="Times New Roman"/>
          <w:szCs w:val="20"/>
        </w:rPr>
      </w:pPr>
      <w:r>
        <w:rPr>
          <w:rFonts w:eastAsia="SimSun" w:cs="Times New Roman"/>
          <w:szCs w:val="20"/>
        </w:rPr>
        <w:t xml:space="preserve">This thesis </w:t>
      </w:r>
      <w:r w:rsidR="00511B27">
        <w:rPr>
          <w:rFonts w:eastAsia="SimSun" w:cs="Times New Roman"/>
          <w:szCs w:val="20"/>
        </w:rPr>
        <w:t>is sub-divided</w:t>
      </w:r>
      <w:r>
        <w:rPr>
          <w:rFonts w:eastAsia="SimSun" w:cs="Times New Roman"/>
          <w:szCs w:val="20"/>
        </w:rPr>
        <w:t xml:space="preserve"> into f</w:t>
      </w:r>
      <w:r w:rsidR="00C21BED">
        <w:rPr>
          <w:rFonts w:eastAsia="SimSun" w:cs="Times New Roman"/>
          <w:szCs w:val="20"/>
        </w:rPr>
        <w:t>ive</w:t>
      </w:r>
      <w:r>
        <w:rPr>
          <w:rFonts w:eastAsia="SimSun" w:cs="Times New Roman"/>
          <w:szCs w:val="20"/>
        </w:rPr>
        <w:t xml:space="preserve"> chapters:</w:t>
      </w:r>
    </w:p>
    <w:p w14:paraId="364F8086" w14:textId="0BF77B5A" w:rsidR="00C258BE" w:rsidRPr="004B4996" w:rsidRDefault="00C258BE" w:rsidP="00C14728">
      <w:pPr>
        <w:pStyle w:val="ListParagraph"/>
        <w:numPr>
          <w:ilvl w:val="0"/>
          <w:numId w:val="1"/>
        </w:numPr>
        <w:suppressAutoHyphens/>
        <w:overflowPunct w:val="0"/>
        <w:autoSpaceDE w:val="0"/>
        <w:autoSpaceDN w:val="0"/>
        <w:adjustRightInd w:val="0"/>
        <w:spacing w:after="0"/>
        <w:textAlignment w:val="baseline"/>
        <w:rPr>
          <w:rFonts w:eastAsia="SimSun" w:cs="Times New Roman"/>
          <w:szCs w:val="20"/>
        </w:rPr>
      </w:pPr>
      <w:r w:rsidRPr="004B4996">
        <w:rPr>
          <w:rFonts w:eastAsia="SimSun" w:cs="Times New Roman"/>
          <w:szCs w:val="20"/>
        </w:rPr>
        <w:t xml:space="preserve">Chapter 1: </w:t>
      </w:r>
      <w:r>
        <w:rPr>
          <w:rFonts w:eastAsia="SimSun" w:cs="Times New Roman"/>
          <w:szCs w:val="20"/>
        </w:rPr>
        <w:t>Introduction to the concept</w:t>
      </w:r>
      <w:r w:rsidR="00261103">
        <w:rPr>
          <w:rFonts w:eastAsia="SimSun" w:cs="Times New Roman"/>
          <w:szCs w:val="20"/>
        </w:rPr>
        <w:t xml:space="preserve">, including the objective of </w:t>
      </w:r>
      <w:r w:rsidR="00F16896">
        <w:rPr>
          <w:rFonts w:eastAsia="SimSun" w:cs="Times New Roman"/>
          <w:szCs w:val="20"/>
        </w:rPr>
        <w:t xml:space="preserve">the </w:t>
      </w:r>
      <w:r w:rsidR="00261103">
        <w:rPr>
          <w:rFonts w:eastAsia="SimSun" w:cs="Times New Roman"/>
          <w:szCs w:val="20"/>
        </w:rPr>
        <w:t xml:space="preserve">thesis, scope of </w:t>
      </w:r>
      <w:r w:rsidR="00F16896">
        <w:rPr>
          <w:rFonts w:eastAsia="SimSun" w:cs="Times New Roman"/>
          <w:szCs w:val="20"/>
        </w:rPr>
        <w:t xml:space="preserve">the </w:t>
      </w:r>
      <w:r w:rsidR="00261103">
        <w:rPr>
          <w:rFonts w:eastAsia="SimSun" w:cs="Times New Roman"/>
          <w:szCs w:val="20"/>
        </w:rPr>
        <w:t>thesis</w:t>
      </w:r>
      <w:r w:rsidR="00F16896">
        <w:rPr>
          <w:rFonts w:eastAsia="SimSun" w:cs="Times New Roman"/>
          <w:szCs w:val="20"/>
        </w:rPr>
        <w:t>,</w:t>
      </w:r>
      <w:r w:rsidR="00261103">
        <w:rPr>
          <w:rFonts w:eastAsia="SimSun" w:cs="Times New Roman"/>
          <w:szCs w:val="20"/>
        </w:rPr>
        <w:t xml:space="preserve"> and organization of </w:t>
      </w:r>
      <w:r w:rsidR="00F16896">
        <w:rPr>
          <w:rFonts w:eastAsia="SimSun" w:cs="Times New Roman"/>
          <w:szCs w:val="20"/>
        </w:rPr>
        <w:t xml:space="preserve">the </w:t>
      </w:r>
      <w:r w:rsidR="00261103">
        <w:rPr>
          <w:rFonts w:eastAsia="SimSun" w:cs="Times New Roman"/>
          <w:szCs w:val="20"/>
        </w:rPr>
        <w:t>thesis</w:t>
      </w:r>
    </w:p>
    <w:p w14:paraId="4B2CDE94" w14:textId="13C0D5DD" w:rsidR="00C14728" w:rsidRPr="00261103" w:rsidRDefault="00C258BE" w:rsidP="00261103">
      <w:pPr>
        <w:pStyle w:val="ListParagraph"/>
        <w:numPr>
          <w:ilvl w:val="0"/>
          <w:numId w:val="1"/>
        </w:numPr>
        <w:suppressAutoHyphens/>
        <w:overflowPunct w:val="0"/>
        <w:autoSpaceDE w:val="0"/>
        <w:autoSpaceDN w:val="0"/>
        <w:adjustRightInd w:val="0"/>
        <w:spacing w:after="0"/>
        <w:textAlignment w:val="baseline"/>
        <w:rPr>
          <w:rFonts w:eastAsia="SimSun" w:cs="Times New Roman"/>
          <w:szCs w:val="20"/>
        </w:rPr>
      </w:pPr>
      <w:r w:rsidRPr="004B4996">
        <w:rPr>
          <w:rFonts w:eastAsia="SimSun" w:cs="Times New Roman"/>
          <w:szCs w:val="20"/>
        </w:rPr>
        <w:t>Chapter 2:</w:t>
      </w:r>
      <w:r>
        <w:rPr>
          <w:rFonts w:eastAsia="SimSun" w:cs="Times New Roman"/>
          <w:szCs w:val="20"/>
        </w:rPr>
        <w:t xml:space="preserve"> </w:t>
      </w:r>
      <w:r w:rsidR="00261103">
        <w:rPr>
          <w:rFonts w:eastAsia="SimSun" w:cs="Times New Roman"/>
          <w:szCs w:val="20"/>
        </w:rPr>
        <w:t>Literature review on carbon sequestration and the importance of determining seismicity risks</w:t>
      </w:r>
    </w:p>
    <w:p w14:paraId="23027736" w14:textId="7A9EF6D4" w:rsidR="00C258BE" w:rsidRPr="00C14728" w:rsidRDefault="00C14728" w:rsidP="00C14728">
      <w:pPr>
        <w:pStyle w:val="ListParagraph"/>
        <w:numPr>
          <w:ilvl w:val="0"/>
          <w:numId w:val="1"/>
        </w:numPr>
        <w:suppressAutoHyphens/>
        <w:overflowPunct w:val="0"/>
        <w:autoSpaceDE w:val="0"/>
        <w:autoSpaceDN w:val="0"/>
        <w:adjustRightInd w:val="0"/>
        <w:spacing w:after="0"/>
        <w:textAlignment w:val="baseline"/>
        <w:rPr>
          <w:rFonts w:eastAsia="SimSun" w:cs="Times New Roman"/>
          <w:szCs w:val="20"/>
        </w:rPr>
      </w:pPr>
      <w:r w:rsidRPr="004B4996">
        <w:rPr>
          <w:rFonts w:eastAsia="SimSun" w:cs="Times New Roman"/>
          <w:szCs w:val="20"/>
        </w:rPr>
        <w:t xml:space="preserve">Chapter </w:t>
      </w:r>
      <w:r>
        <w:rPr>
          <w:rFonts w:eastAsia="SimSun" w:cs="Times New Roman"/>
          <w:szCs w:val="20"/>
        </w:rPr>
        <w:t>3</w:t>
      </w:r>
      <w:r w:rsidRPr="004B4996">
        <w:rPr>
          <w:rFonts w:eastAsia="SimSun" w:cs="Times New Roman"/>
          <w:szCs w:val="20"/>
        </w:rPr>
        <w:t>:</w:t>
      </w:r>
      <w:r>
        <w:rPr>
          <w:rFonts w:eastAsia="SimSun" w:cs="Times New Roman"/>
          <w:szCs w:val="20"/>
        </w:rPr>
        <w:t xml:space="preserve"> </w:t>
      </w:r>
      <w:r w:rsidR="00C258BE" w:rsidRPr="00C14728">
        <w:rPr>
          <w:rFonts w:eastAsia="SimSun" w:cs="Times New Roman"/>
          <w:szCs w:val="20"/>
        </w:rPr>
        <w:t>Explains the proposed methodology for determining seismicity risks</w:t>
      </w:r>
    </w:p>
    <w:p w14:paraId="30A426FD" w14:textId="3043D5F5" w:rsidR="00C258BE" w:rsidRPr="004B4996" w:rsidRDefault="00C258BE" w:rsidP="00C14728">
      <w:pPr>
        <w:pStyle w:val="ListParagraph"/>
        <w:numPr>
          <w:ilvl w:val="0"/>
          <w:numId w:val="1"/>
        </w:numPr>
        <w:suppressAutoHyphens/>
        <w:overflowPunct w:val="0"/>
        <w:autoSpaceDE w:val="0"/>
        <w:autoSpaceDN w:val="0"/>
        <w:adjustRightInd w:val="0"/>
        <w:spacing w:after="0"/>
        <w:textAlignment w:val="baseline"/>
        <w:rPr>
          <w:rFonts w:eastAsia="SimSun" w:cs="Times New Roman"/>
          <w:szCs w:val="20"/>
        </w:rPr>
      </w:pPr>
      <w:r w:rsidRPr="004B4996">
        <w:rPr>
          <w:rFonts w:eastAsia="SimSun" w:cs="Times New Roman"/>
          <w:szCs w:val="20"/>
        </w:rPr>
        <w:t xml:space="preserve">Chapter </w:t>
      </w:r>
      <w:r w:rsidR="00C14728">
        <w:rPr>
          <w:rFonts w:eastAsia="SimSun" w:cs="Times New Roman"/>
          <w:szCs w:val="20"/>
        </w:rPr>
        <w:t>4</w:t>
      </w:r>
      <w:r w:rsidRPr="004B4996">
        <w:rPr>
          <w:rFonts w:eastAsia="SimSun" w:cs="Times New Roman"/>
          <w:szCs w:val="20"/>
        </w:rPr>
        <w:t>:</w:t>
      </w:r>
      <w:r>
        <w:rPr>
          <w:rFonts w:eastAsia="SimSun" w:cs="Times New Roman"/>
          <w:szCs w:val="20"/>
        </w:rPr>
        <w:t xml:space="preserve"> Explains the results obtained from the modeling and its interpretation</w:t>
      </w:r>
    </w:p>
    <w:p w14:paraId="24109FD3" w14:textId="3B5B200F" w:rsidR="008A67EE" w:rsidRPr="001E13CC" w:rsidRDefault="00C258BE" w:rsidP="008A67EE">
      <w:pPr>
        <w:pStyle w:val="ListParagraph"/>
        <w:numPr>
          <w:ilvl w:val="0"/>
          <w:numId w:val="1"/>
        </w:numPr>
      </w:pPr>
      <w:r w:rsidRPr="00C14728">
        <w:rPr>
          <w:rFonts w:eastAsia="SimSun" w:cs="Times New Roman"/>
          <w:szCs w:val="20"/>
        </w:rPr>
        <w:t xml:space="preserve">Chapter </w:t>
      </w:r>
      <w:r w:rsidR="00C14728">
        <w:rPr>
          <w:rFonts w:eastAsia="SimSun" w:cs="Times New Roman"/>
          <w:szCs w:val="20"/>
        </w:rPr>
        <w:t>5</w:t>
      </w:r>
      <w:r w:rsidRPr="00C14728">
        <w:rPr>
          <w:rFonts w:eastAsia="SimSun" w:cs="Times New Roman"/>
          <w:szCs w:val="20"/>
        </w:rPr>
        <w:t>: The conclusion of the study</w:t>
      </w:r>
    </w:p>
    <w:p w14:paraId="31E9A283" w14:textId="084C61B9" w:rsidR="001E13CC" w:rsidRDefault="001E13CC">
      <w:pPr>
        <w:spacing w:before="0" w:after="160" w:line="259" w:lineRule="auto"/>
        <w:jc w:val="left"/>
      </w:pPr>
      <w:r>
        <w:br w:type="page"/>
      </w:r>
    </w:p>
    <w:p w14:paraId="754DB538" w14:textId="36ACB857" w:rsidR="001E13CC" w:rsidRPr="008A67EE" w:rsidRDefault="001E13CC" w:rsidP="001E13CC">
      <w:pPr>
        <w:pStyle w:val="Heading1"/>
      </w:pPr>
      <w:bookmarkStart w:id="20" w:name="_Toc121265809"/>
      <w:r>
        <w:lastRenderedPageBreak/>
        <w:t>CHAPTER 2: Literature Review</w:t>
      </w:r>
      <w:bookmarkEnd w:id="20"/>
    </w:p>
    <w:p w14:paraId="351A8754" w14:textId="5FF76B0F" w:rsidR="00536395" w:rsidRPr="00536395" w:rsidRDefault="001E13CC" w:rsidP="00536395">
      <w:pPr>
        <w:pStyle w:val="Heading2"/>
        <w:rPr>
          <w:szCs w:val="32"/>
        </w:rPr>
      </w:pPr>
      <w:bookmarkStart w:id="21" w:name="_Toc121265810"/>
      <w:r>
        <w:t>2.</w:t>
      </w:r>
      <w:r w:rsidR="00536395">
        <w:t>1 Geologic Carbon Sequestration</w:t>
      </w:r>
      <w:bookmarkEnd w:id="21"/>
    </w:p>
    <w:p w14:paraId="539B20EF" w14:textId="65CB0B9F" w:rsidR="002F4AAF" w:rsidRDefault="00536395" w:rsidP="00460750">
      <w:pPr>
        <w:suppressAutoHyphens/>
        <w:overflowPunct w:val="0"/>
        <w:autoSpaceDE w:val="0"/>
        <w:autoSpaceDN w:val="0"/>
        <w:adjustRightInd w:val="0"/>
        <w:spacing w:after="0"/>
        <w:textAlignment w:val="baseline"/>
        <w:rPr>
          <w:rFonts w:eastAsia="SimSun" w:cs="Times New Roman"/>
          <w:noProof/>
          <w:szCs w:val="20"/>
        </w:rPr>
      </w:pPr>
      <w:r>
        <w:rPr>
          <w:rFonts w:eastAsia="SimSun" w:cs="Times New Roman"/>
          <w:szCs w:val="20"/>
        </w:rPr>
        <w:t xml:space="preserve">Geologic Carbon Sequestration (GSC) is storing captured carbon in </w:t>
      </w:r>
      <w:r w:rsidR="00764E63">
        <w:rPr>
          <w:rFonts w:eastAsia="SimSun" w:cs="Times New Roman"/>
          <w:szCs w:val="20"/>
        </w:rPr>
        <w:t xml:space="preserve">a </w:t>
      </w:r>
      <w:r>
        <w:rPr>
          <w:rFonts w:eastAsia="SimSun" w:cs="Times New Roman"/>
          <w:szCs w:val="20"/>
        </w:rPr>
        <w:t>geologic formation over geologic time</w:t>
      </w:r>
      <w:r w:rsidR="00D46A0B">
        <w:rPr>
          <w:rFonts w:eastAsia="SimSun" w:cs="Times New Roman"/>
          <w:szCs w:val="20"/>
        </w:rPr>
        <w:t xml:space="preserve"> – over thousands of years </w:t>
      </w:r>
      <w:sdt>
        <w:sdtPr>
          <w:rPr>
            <w:rFonts w:eastAsia="SimSun" w:cs="Times New Roman"/>
            <w:szCs w:val="20"/>
          </w:rPr>
          <w:id w:val="-324824179"/>
          <w:citation/>
        </w:sdtPr>
        <w:sdtContent>
          <w:r w:rsidR="00D46A0B">
            <w:rPr>
              <w:rFonts w:eastAsia="SimSun" w:cs="Times New Roman"/>
              <w:szCs w:val="20"/>
            </w:rPr>
            <w:fldChar w:fldCharType="begin"/>
          </w:r>
          <w:r w:rsidR="00D46A0B">
            <w:rPr>
              <w:rFonts w:eastAsia="SimSun" w:cs="Times New Roman"/>
              <w:szCs w:val="20"/>
            </w:rPr>
            <w:instrText xml:space="preserve"> CITATION Int16 \l 1033 </w:instrText>
          </w:r>
          <w:r w:rsidR="00D46A0B">
            <w:rPr>
              <w:rFonts w:eastAsia="SimSun" w:cs="Times New Roman"/>
              <w:szCs w:val="20"/>
            </w:rPr>
            <w:fldChar w:fldCharType="separate"/>
          </w:r>
          <w:r w:rsidR="00C84822" w:rsidRPr="00C84822">
            <w:rPr>
              <w:rFonts w:eastAsia="SimSun" w:cs="Times New Roman"/>
              <w:noProof/>
              <w:szCs w:val="20"/>
            </w:rPr>
            <w:t>(International Energy Agency, 2016)</w:t>
          </w:r>
          <w:r w:rsidR="00D46A0B">
            <w:rPr>
              <w:rFonts w:eastAsia="SimSun" w:cs="Times New Roman"/>
              <w:szCs w:val="20"/>
            </w:rPr>
            <w:fldChar w:fldCharType="end"/>
          </w:r>
        </w:sdtContent>
      </w:sdt>
      <w:r>
        <w:rPr>
          <w:rFonts w:eastAsia="SimSun" w:cs="Times New Roman"/>
          <w:szCs w:val="20"/>
        </w:rPr>
        <w:t xml:space="preserve">. </w:t>
      </w:r>
      <w:r w:rsidR="00E245D3">
        <w:rPr>
          <w:rFonts w:eastAsia="SimSun" w:cs="Times New Roman"/>
        </w:rPr>
        <w:t>The technology had initially been implemented since the 1920’s in the separation of CO</w:t>
      </w:r>
      <w:r w:rsidR="00E245D3">
        <w:rPr>
          <w:rFonts w:eastAsia="SimSun" w:cs="Times New Roman"/>
          <w:vertAlign w:val="subscript"/>
        </w:rPr>
        <w:t xml:space="preserve">2 </w:t>
      </w:r>
      <w:r w:rsidR="00E245D3">
        <w:rPr>
          <w:rFonts w:eastAsia="SimSun" w:cs="Times New Roman"/>
        </w:rPr>
        <w:t>from sal</w:t>
      </w:r>
      <w:r w:rsidR="008B03EF">
        <w:rPr>
          <w:rFonts w:eastAsia="SimSun" w:cs="Times New Roman"/>
        </w:rPr>
        <w:t>e</w:t>
      </w:r>
      <w:r w:rsidR="00E245D3">
        <w:rPr>
          <w:rFonts w:eastAsia="SimSun" w:cs="Times New Roman"/>
        </w:rPr>
        <w:t xml:space="preserve">able methane gas in natural gas reservoirs </w:t>
      </w:r>
      <w:sdt>
        <w:sdtPr>
          <w:rPr>
            <w:rFonts w:eastAsia="SimSun" w:cs="Times New Roman"/>
          </w:rPr>
          <w:id w:val="-1940362796"/>
          <w:citation/>
        </w:sdtPr>
        <w:sdtContent>
          <w:r w:rsidR="00E245D3">
            <w:rPr>
              <w:rFonts w:eastAsia="SimSun" w:cs="Times New Roman"/>
            </w:rPr>
            <w:fldChar w:fldCharType="begin"/>
          </w:r>
          <w:r w:rsidR="00E245D3">
            <w:rPr>
              <w:rFonts w:eastAsia="SimSun" w:cs="Times New Roman"/>
            </w:rPr>
            <w:instrText xml:space="preserve">CITATION IEA22 \l 1033 </w:instrText>
          </w:r>
          <w:r w:rsidR="00E245D3">
            <w:rPr>
              <w:rFonts w:eastAsia="SimSun" w:cs="Times New Roman"/>
            </w:rPr>
            <w:fldChar w:fldCharType="separate"/>
          </w:r>
          <w:r w:rsidR="00C84822" w:rsidRPr="00C84822">
            <w:rPr>
              <w:rFonts w:eastAsia="SimSun" w:cs="Times New Roman"/>
              <w:noProof/>
            </w:rPr>
            <w:t>(IEAGHG, 2022)</w:t>
          </w:r>
          <w:r w:rsidR="00E245D3">
            <w:rPr>
              <w:rFonts w:eastAsia="SimSun" w:cs="Times New Roman"/>
            </w:rPr>
            <w:fldChar w:fldCharType="end"/>
          </w:r>
        </w:sdtContent>
      </w:sdt>
      <w:r w:rsidR="00E245D3">
        <w:rPr>
          <w:rFonts w:eastAsia="SimSun" w:cs="Times New Roman"/>
        </w:rPr>
        <w:t>. This concept gained more popularity in the 1970’s when captured CO</w:t>
      </w:r>
      <w:r w:rsidR="00E245D3">
        <w:rPr>
          <w:rFonts w:eastAsia="SimSun" w:cs="Times New Roman"/>
          <w:vertAlign w:val="subscript"/>
        </w:rPr>
        <w:t>2</w:t>
      </w:r>
      <w:r w:rsidR="00E245D3">
        <w:rPr>
          <w:rFonts w:eastAsia="SimSun" w:cs="Times New Roman"/>
        </w:rPr>
        <w:t xml:space="preserve"> was injected in an oil field in Texas to boost productivity from the formation and was called</w:t>
      </w:r>
      <w:r w:rsidR="00E245D3" w:rsidRPr="37DBAC1B">
        <w:rPr>
          <w:rFonts w:eastAsia="SimSun" w:cs="Times New Roman"/>
        </w:rPr>
        <w:t xml:space="preserve"> enhanced oil recovery (EOR) in the conventional oil and gas industry </w:t>
      </w:r>
      <w:sdt>
        <w:sdtPr>
          <w:rPr>
            <w:rFonts w:eastAsia="SimSun" w:cs="Times New Roman"/>
          </w:rPr>
          <w:id w:val="-122077212"/>
          <w:lock w:val="contentLocked"/>
          <w:placeholder>
            <w:docPart w:val="A2F32E8533B34E3CA8794D3DFBE94E39"/>
          </w:placeholder>
          <w:citation/>
        </w:sdtPr>
        <w:sdtContent>
          <w:r w:rsidR="00E245D3" w:rsidRPr="37DBAC1B">
            <w:rPr>
              <w:rFonts w:eastAsia="SimSun" w:cs="Times New Roman"/>
            </w:rPr>
            <w:fldChar w:fldCharType="begin"/>
          </w:r>
          <w:r w:rsidR="00E245D3" w:rsidRPr="37DBAC1B">
            <w:rPr>
              <w:rFonts w:eastAsia="SimSun" w:cs="Times New Roman"/>
            </w:rPr>
            <w:instrText xml:space="preserve">CITATION Bat18 \l 1033 </w:instrText>
          </w:r>
          <w:r w:rsidR="00E245D3" w:rsidRPr="37DBAC1B">
            <w:rPr>
              <w:rFonts w:eastAsia="SimSun" w:cs="Times New Roman"/>
            </w:rPr>
            <w:fldChar w:fldCharType="separate"/>
          </w:r>
          <w:r w:rsidR="00C84822" w:rsidRPr="00C84822">
            <w:rPr>
              <w:rFonts w:eastAsia="SimSun" w:cs="Times New Roman"/>
              <w:noProof/>
            </w:rPr>
            <w:t>(Battelle, 2018)</w:t>
          </w:r>
          <w:r w:rsidR="00E245D3" w:rsidRPr="37DBAC1B">
            <w:rPr>
              <w:rFonts w:eastAsia="SimSun" w:cs="Times New Roman"/>
            </w:rPr>
            <w:fldChar w:fldCharType="end"/>
          </w:r>
        </w:sdtContent>
      </w:sdt>
      <w:r w:rsidR="008B03EF">
        <w:rPr>
          <w:rFonts w:eastAsia="SimSun" w:cs="Times New Roman"/>
        </w:rPr>
        <w:t>. H</w:t>
      </w:r>
      <w:r w:rsidR="00E245D3" w:rsidRPr="37DBAC1B">
        <w:rPr>
          <w:rFonts w:eastAsia="SimSun" w:cs="Times New Roman"/>
        </w:rPr>
        <w:t xml:space="preserve">owever, it has currently gained more popularity </w:t>
      </w:r>
      <w:r w:rsidR="00D179BB">
        <w:rPr>
          <w:rFonts w:eastAsia="SimSun" w:cs="Times New Roman"/>
        </w:rPr>
        <w:t xml:space="preserve">as it </w:t>
      </w:r>
      <w:r w:rsidR="00D179BB" w:rsidRPr="00D179BB">
        <w:rPr>
          <w:rFonts w:eastAsia="SimSun" w:cs="Times New Roman"/>
        </w:rPr>
        <w:t>can effectively decrease greenhouse gases emissions</w:t>
      </w:r>
      <w:r w:rsidR="00D179BB">
        <w:rPr>
          <w:rFonts w:eastAsia="SimSun" w:cs="Times New Roman"/>
        </w:rPr>
        <w:t xml:space="preserve">. </w:t>
      </w:r>
      <w:r w:rsidRPr="009E45B6">
        <w:rPr>
          <w:rFonts w:eastAsia="SimSun" w:cs="Times New Roman"/>
          <w:szCs w:val="20"/>
        </w:rPr>
        <w:t xml:space="preserve">The </w:t>
      </w:r>
      <w:r>
        <w:rPr>
          <w:rFonts w:eastAsia="SimSun" w:cs="Times New Roman"/>
          <w:szCs w:val="20"/>
        </w:rPr>
        <w:t xml:space="preserve">types of </w:t>
      </w:r>
      <w:r w:rsidRPr="009E45B6">
        <w:rPr>
          <w:rFonts w:eastAsia="SimSun" w:cs="Times New Roman"/>
          <w:szCs w:val="20"/>
        </w:rPr>
        <w:t>geologic formation</w:t>
      </w:r>
      <w:r>
        <w:rPr>
          <w:rFonts w:eastAsia="SimSun" w:cs="Times New Roman"/>
          <w:szCs w:val="20"/>
        </w:rPr>
        <w:t xml:space="preserve"> for </w:t>
      </w:r>
      <w:r w:rsidRPr="009E45B6">
        <w:rPr>
          <w:rFonts w:eastAsia="SimSun" w:cs="Times New Roman"/>
          <w:szCs w:val="20"/>
        </w:rPr>
        <w:t>CO</w:t>
      </w:r>
      <w:r w:rsidRPr="009E45B6">
        <w:rPr>
          <w:rFonts w:eastAsia="SimSun" w:cs="Times New Roman"/>
          <w:szCs w:val="20"/>
          <w:vertAlign w:val="subscript"/>
        </w:rPr>
        <w:t>2</w:t>
      </w:r>
      <w:r>
        <w:rPr>
          <w:rFonts w:eastAsia="SimSun" w:cs="Times New Roman"/>
          <w:szCs w:val="20"/>
          <w:vertAlign w:val="subscript"/>
        </w:rPr>
        <w:t xml:space="preserve"> </w:t>
      </w:r>
      <w:r>
        <w:rPr>
          <w:rFonts w:eastAsia="SimSun" w:cs="Times New Roman"/>
          <w:szCs w:val="20"/>
        </w:rPr>
        <w:t>sequestration are b</w:t>
      </w:r>
      <w:r w:rsidRPr="009E45B6">
        <w:rPr>
          <w:rFonts w:eastAsia="SimSun" w:cs="Times New Roman"/>
          <w:szCs w:val="20"/>
        </w:rPr>
        <w:t xml:space="preserve">roadly classified into </w:t>
      </w:r>
      <w:r w:rsidR="0040098A" w:rsidRPr="009E45B6">
        <w:rPr>
          <w:rFonts w:eastAsia="SimSun" w:cs="Times New Roman"/>
          <w:szCs w:val="20"/>
        </w:rPr>
        <w:t xml:space="preserve">depleted oil and gas reservoirs, </w:t>
      </w:r>
      <w:r w:rsidRPr="009E45B6">
        <w:rPr>
          <w:rFonts w:eastAsia="SimSun" w:cs="Times New Roman"/>
          <w:szCs w:val="20"/>
        </w:rPr>
        <w:t>saline aquifers, unmineable coal beds</w:t>
      </w:r>
      <w:r w:rsidR="0040098A">
        <w:rPr>
          <w:rFonts w:eastAsia="SimSun" w:cs="Times New Roman"/>
          <w:szCs w:val="20"/>
        </w:rPr>
        <w:t xml:space="preserve"> and </w:t>
      </w:r>
      <w:r w:rsidR="0040098A" w:rsidRPr="009E45B6">
        <w:rPr>
          <w:rFonts w:eastAsia="SimSun" w:cs="Times New Roman"/>
          <w:szCs w:val="20"/>
        </w:rPr>
        <w:t>shales</w:t>
      </w:r>
      <w:r w:rsidRPr="009E45B6">
        <w:rPr>
          <w:rFonts w:eastAsia="SimSun" w:cs="Times New Roman"/>
          <w:szCs w:val="20"/>
        </w:rPr>
        <w:t xml:space="preserve"> shown in figure </w:t>
      </w:r>
      <w:r w:rsidR="008A67EE">
        <w:rPr>
          <w:rFonts w:eastAsia="SimSun" w:cs="Times New Roman"/>
          <w:szCs w:val="20"/>
        </w:rPr>
        <w:t>4</w:t>
      </w:r>
      <w:r w:rsidRPr="009E45B6">
        <w:rPr>
          <w:rFonts w:eastAsia="SimSun" w:cs="Times New Roman"/>
          <w:szCs w:val="20"/>
        </w:rPr>
        <w:t xml:space="preserve"> below. The kind of seismicity risks encountered in the geologic formation </w:t>
      </w:r>
      <w:r w:rsidR="00F16896">
        <w:rPr>
          <w:rFonts w:eastAsia="SimSun" w:cs="Times New Roman"/>
          <w:szCs w:val="20"/>
        </w:rPr>
        <w:t xml:space="preserve">are </w:t>
      </w:r>
      <w:r w:rsidRPr="009E45B6">
        <w:rPr>
          <w:rFonts w:eastAsia="SimSun" w:cs="Times New Roman"/>
          <w:szCs w:val="20"/>
        </w:rPr>
        <w:t>highly dependent on the type of formation.</w:t>
      </w:r>
    </w:p>
    <w:p w14:paraId="7CC8E4CE" w14:textId="6D1F9F35" w:rsidR="00CA62CF" w:rsidRDefault="002F4AAF" w:rsidP="002F4AAF">
      <w:pPr>
        <w:pStyle w:val="Caption"/>
      </w:pPr>
      <w:r>
        <w:rPr>
          <w:noProof/>
        </w:rPr>
        <w:drawing>
          <wp:inline distT="0" distB="0" distL="0" distR="0" wp14:anchorId="2425225C" wp14:editId="33E39D63">
            <wp:extent cx="4317105" cy="2720623"/>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933" t="4315" r="33156"/>
                    <a:stretch/>
                  </pic:blipFill>
                  <pic:spPr bwMode="auto">
                    <a:xfrm>
                      <a:off x="0" y="0"/>
                      <a:ext cx="4360777" cy="2748145"/>
                    </a:xfrm>
                    <a:prstGeom prst="rect">
                      <a:avLst/>
                    </a:prstGeom>
                    <a:noFill/>
                    <a:ln>
                      <a:noFill/>
                    </a:ln>
                    <a:extLst>
                      <a:ext uri="{53640926-AAD7-44D8-BBD7-CCE9431645EC}">
                        <a14:shadowObscured xmlns:a14="http://schemas.microsoft.com/office/drawing/2010/main"/>
                      </a:ext>
                    </a:extLst>
                  </pic:spPr>
                </pic:pic>
              </a:graphicData>
            </a:graphic>
          </wp:inline>
        </w:drawing>
      </w:r>
    </w:p>
    <w:p w14:paraId="12EFB5AE" w14:textId="328735F4" w:rsidR="00536395" w:rsidRPr="00FD1985" w:rsidRDefault="00CA62CF" w:rsidP="002F4AAF">
      <w:pPr>
        <w:pStyle w:val="Caption"/>
      </w:pPr>
      <w:bookmarkStart w:id="22" w:name="_Toc121265847"/>
      <w:r>
        <w:t xml:space="preserve">Figure </w:t>
      </w:r>
      <w:fldSimple w:instr=" SEQ Figure \* ARABIC ">
        <w:r w:rsidR="00955725">
          <w:rPr>
            <w:noProof/>
          </w:rPr>
          <w:t>4</w:t>
        </w:r>
      </w:fldSimple>
      <w:r>
        <w:t>: Overview of</w:t>
      </w:r>
      <w:r w:rsidRPr="004F11A5">
        <w:t xml:space="preserve"> Geologic</w:t>
      </w:r>
      <w:r>
        <w:t xml:space="preserve"> Carbon Sequestration</w:t>
      </w:r>
      <w:r w:rsidRPr="004F11A5">
        <w:t xml:space="preserve">. </w:t>
      </w:r>
      <w:r w:rsidR="002F4AAF">
        <w:t>Modified from</w:t>
      </w:r>
      <w:r w:rsidRPr="004F11A5">
        <w:t xml:space="preserve"> </w:t>
      </w:r>
      <w:sdt>
        <w:sdtPr>
          <w:id w:val="1549805312"/>
          <w:citation/>
        </w:sdtPr>
        <w:sdtContent>
          <w:r>
            <w:fldChar w:fldCharType="begin"/>
          </w:r>
          <w:r>
            <w:instrText xml:space="preserve">CITATION Int05 \l 1033 </w:instrText>
          </w:r>
          <w:r>
            <w:fldChar w:fldCharType="separate"/>
          </w:r>
          <w:r w:rsidR="00C84822">
            <w:rPr>
              <w:noProof/>
            </w:rPr>
            <w:t>(Intergovernmental Panel on Climate Change, 2005)</w:t>
          </w:r>
          <w:r>
            <w:fldChar w:fldCharType="end"/>
          </w:r>
        </w:sdtContent>
      </w:sdt>
      <w:bookmarkEnd w:id="22"/>
    </w:p>
    <w:p w14:paraId="11198D76" w14:textId="5DBA8508" w:rsidR="00536395" w:rsidRPr="00FD1985" w:rsidRDefault="001E13CC" w:rsidP="00460750">
      <w:pPr>
        <w:pStyle w:val="Heading3"/>
      </w:pPr>
      <w:bookmarkStart w:id="23" w:name="_Toc121265811"/>
      <w:r>
        <w:lastRenderedPageBreak/>
        <w:t>2.1</w:t>
      </w:r>
      <w:r w:rsidR="00536395">
        <w:t>.1</w:t>
      </w:r>
      <w:r w:rsidR="00536395" w:rsidRPr="00FD1985">
        <w:t xml:space="preserve"> Storage in Aquifers</w:t>
      </w:r>
      <w:bookmarkEnd w:id="23"/>
    </w:p>
    <w:p w14:paraId="1C5492A7" w14:textId="0DE1C43E" w:rsidR="00536395" w:rsidRPr="009E45B6" w:rsidRDefault="00536395" w:rsidP="00460750">
      <w:pPr>
        <w:suppressAutoHyphens/>
        <w:overflowPunct w:val="0"/>
        <w:autoSpaceDE w:val="0"/>
        <w:autoSpaceDN w:val="0"/>
        <w:adjustRightInd w:val="0"/>
        <w:spacing w:after="0"/>
        <w:textAlignment w:val="baseline"/>
        <w:rPr>
          <w:rFonts w:eastAsia="SimSun" w:cs="Times New Roman"/>
        </w:rPr>
      </w:pPr>
      <w:r w:rsidRPr="37DBAC1B">
        <w:rPr>
          <w:rFonts w:eastAsia="SimSun" w:cs="Times New Roman"/>
        </w:rPr>
        <w:t>Saline aquifers have been identified as one of the most promising geologic storage sites for the storage of CO</w:t>
      </w:r>
      <w:r w:rsidRPr="37DBAC1B">
        <w:rPr>
          <w:rFonts w:eastAsia="SimSun" w:cs="Times New Roman"/>
          <w:vertAlign w:val="subscript"/>
        </w:rPr>
        <w:t>2</w:t>
      </w:r>
      <w:r w:rsidRPr="37DBAC1B">
        <w:rPr>
          <w:rFonts w:eastAsia="SimSun" w:cs="Times New Roman"/>
        </w:rPr>
        <w:t xml:space="preserve">. </w:t>
      </w:r>
      <w:r w:rsidR="00D46A0B">
        <w:rPr>
          <w:rFonts w:eastAsia="SimSun" w:cs="Times New Roman"/>
        </w:rPr>
        <w:t>T</w:t>
      </w:r>
      <w:r w:rsidRPr="37DBAC1B">
        <w:rPr>
          <w:rFonts w:eastAsia="SimSun" w:cs="Times New Roman"/>
        </w:rPr>
        <w:t>he main goal in any CO</w:t>
      </w:r>
      <w:r w:rsidRPr="37DBAC1B">
        <w:rPr>
          <w:rFonts w:eastAsia="SimSun" w:cs="Times New Roman"/>
          <w:vertAlign w:val="subscript"/>
        </w:rPr>
        <w:t>2</w:t>
      </w:r>
      <w:r w:rsidRPr="37DBAC1B">
        <w:rPr>
          <w:rFonts w:eastAsia="SimSun" w:cs="Times New Roman"/>
        </w:rPr>
        <w:t xml:space="preserve"> sequestration project is </w:t>
      </w:r>
      <w:r w:rsidR="00511B27">
        <w:rPr>
          <w:rFonts w:eastAsia="SimSun" w:cs="Times New Roman"/>
        </w:rPr>
        <w:t>typically</w:t>
      </w:r>
      <w:r w:rsidRPr="37DBAC1B">
        <w:rPr>
          <w:rFonts w:eastAsia="SimSun" w:cs="Times New Roman"/>
        </w:rPr>
        <w:t xml:space="preserve"> for </w:t>
      </w:r>
      <w:r w:rsidR="00E56EDB">
        <w:rPr>
          <w:rFonts w:eastAsia="SimSun" w:cs="Times New Roman"/>
        </w:rPr>
        <w:t xml:space="preserve">the </w:t>
      </w:r>
      <w:r w:rsidRPr="37DBAC1B">
        <w:rPr>
          <w:rFonts w:eastAsia="SimSun" w:cs="Times New Roman"/>
        </w:rPr>
        <w:t>CO</w:t>
      </w:r>
      <w:r w:rsidRPr="37DBAC1B">
        <w:rPr>
          <w:rFonts w:eastAsia="SimSun" w:cs="Times New Roman"/>
          <w:vertAlign w:val="subscript"/>
        </w:rPr>
        <w:t>2</w:t>
      </w:r>
      <w:r w:rsidRPr="37DBAC1B">
        <w:rPr>
          <w:rFonts w:eastAsia="SimSun" w:cs="Times New Roman"/>
        </w:rPr>
        <w:t xml:space="preserve"> to be stored</w:t>
      </w:r>
      <w:r w:rsidR="00E56EDB">
        <w:rPr>
          <w:rFonts w:eastAsia="SimSun" w:cs="Times New Roman"/>
        </w:rPr>
        <w:t xml:space="preserve"> for a long period</w:t>
      </w:r>
      <w:r w:rsidR="00001142">
        <w:rPr>
          <w:rFonts w:eastAsia="SimSun" w:cs="Times New Roman"/>
        </w:rPr>
        <w:t xml:space="preserve"> of time</w:t>
      </w:r>
      <w:r w:rsidR="00D46A0B">
        <w:rPr>
          <w:rFonts w:eastAsia="SimSun" w:cs="Times New Roman"/>
        </w:rPr>
        <w:t>. Hence,</w:t>
      </w:r>
      <w:r w:rsidRPr="37DBAC1B">
        <w:rPr>
          <w:rFonts w:eastAsia="SimSun" w:cs="Times New Roman"/>
        </w:rPr>
        <w:t xml:space="preserve"> monitoring the CO</w:t>
      </w:r>
      <w:r w:rsidRPr="37DBAC1B">
        <w:rPr>
          <w:rFonts w:eastAsia="SimSun" w:cs="Times New Roman"/>
          <w:vertAlign w:val="subscript"/>
        </w:rPr>
        <w:t>2</w:t>
      </w:r>
      <w:r w:rsidRPr="37DBAC1B">
        <w:rPr>
          <w:rFonts w:eastAsia="SimSun" w:cs="Times New Roman"/>
        </w:rPr>
        <w:t xml:space="preserve"> plume when storing the </w:t>
      </w:r>
      <w:bookmarkStart w:id="24" w:name="_Hlk106985964"/>
      <w:r w:rsidRPr="37DBAC1B">
        <w:rPr>
          <w:rFonts w:eastAsia="SimSun" w:cs="Times New Roman"/>
        </w:rPr>
        <w:t>CO</w:t>
      </w:r>
      <w:r w:rsidRPr="37DBAC1B">
        <w:rPr>
          <w:rFonts w:eastAsia="SimSun" w:cs="Times New Roman"/>
          <w:vertAlign w:val="subscript"/>
        </w:rPr>
        <w:t>2</w:t>
      </w:r>
      <w:bookmarkEnd w:id="24"/>
      <w:r w:rsidRPr="37DBAC1B">
        <w:rPr>
          <w:rFonts w:eastAsia="SimSun" w:cs="Times New Roman"/>
        </w:rPr>
        <w:t xml:space="preserve"> in aquifers is </w:t>
      </w:r>
      <w:bookmarkStart w:id="25" w:name="_Int_bHtZbvXa"/>
      <w:r w:rsidRPr="37DBAC1B">
        <w:rPr>
          <w:rFonts w:eastAsia="SimSun" w:cs="Times New Roman"/>
        </w:rPr>
        <w:t>particularly important</w:t>
      </w:r>
      <w:bookmarkEnd w:id="25"/>
      <w:r w:rsidRPr="37DBAC1B">
        <w:rPr>
          <w:rFonts w:eastAsia="SimSun" w:cs="Times New Roman"/>
        </w:rPr>
        <w:t xml:space="preserve"> because the injected CO</w:t>
      </w:r>
      <w:r w:rsidRPr="37DBAC1B">
        <w:rPr>
          <w:rFonts w:eastAsia="SimSun" w:cs="Times New Roman"/>
          <w:vertAlign w:val="subscript"/>
        </w:rPr>
        <w:t>2</w:t>
      </w:r>
      <w:r w:rsidRPr="37DBAC1B">
        <w:rPr>
          <w:rFonts w:eastAsia="SimSun" w:cs="Times New Roman"/>
        </w:rPr>
        <w:t xml:space="preserve"> has a propensity for migrating upwards since it is less dense than the water in the aquifer </w:t>
      </w:r>
      <w:sdt>
        <w:sdtPr>
          <w:rPr>
            <w:rFonts w:eastAsia="SimSun" w:cs="Times New Roman"/>
          </w:rPr>
          <w:id w:val="-909226797"/>
          <w:lock w:val="contentLocked"/>
          <w:placeholder>
            <w:docPart w:val="775C98EA0B344B6D9A3EB1C1327E490B"/>
          </w:placeholder>
          <w:citation/>
        </w:sdtPr>
        <w:sdtContent>
          <w:r w:rsidRPr="37DBAC1B">
            <w:rPr>
              <w:rFonts w:eastAsia="SimSun" w:cs="Times New Roman"/>
            </w:rPr>
            <w:fldChar w:fldCharType="begin"/>
          </w:r>
          <w:r w:rsidRPr="37DBAC1B">
            <w:rPr>
              <w:rFonts w:eastAsia="SimSun" w:cs="Times New Roman"/>
            </w:rPr>
            <w:instrText xml:space="preserve"> CITATION Bar101 \l 1033 </w:instrText>
          </w:r>
          <w:r w:rsidRPr="37DBAC1B">
            <w:rPr>
              <w:rFonts w:eastAsia="SimSun" w:cs="Times New Roman"/>
            </w:rPr>
            <w:fldChar w:fldCharType="separate"/>
          </w:r>
          <w:r w:rsidR="00C84822" w:rsidRPr="00C84822">
            <w:rPr>
              <w:rFonts w:eastAsia="SimSun" w:cs="Times New Roman"/>
              <w:noProof/>
            </w:rPr>
            <w:t>(Barrufet, Bacquet, &amp; Falcone, 2010)</w:t>
          </w:r>
          <w:r w:rsidRPr="37DBAC1B">
            <w:rPr>
              <w:rFonts w:eastAsia="SimSun" w:cs="Times New Roman"/>
            </w:rPr>
            <w:fldChar w:fldCharType="end"/>
          </w:r>
        </w:sdtContent>
      </w:sdt>
      <w:r w:rsidRPr="37DBAC1B">
        <w:rPr>
          <w:rFonts w:eastAsia="SimSun" w:cs="Times New Roman"/>
        </w:rPr>
        <w:t>. Brine migration and stress changes due to pressure increase from sequestration are key challenges when storing CO</w:t>
      </w:r>
      <w:r w:rsidRPr="37DBAC1B">
        <w:rPr>
          <w:rFonts w:eastAsia="SimSun" w:cs="Times New Roman"/>
          <w:vertAlign w:val="subscript"/>
        </w:rPr>
        <w:t>2</w:t>
      </w:r>
      <w:r w:rsidRPr="37DBAC1B">
        <w:rPr>
          <w:rFonts w:eastAsia="SimSun" w:cs="Times New Roman"/>
        </w:rPr>
        <w:t xml:space="preserve"> in aquifers. Stress changes can result in fault reactivation, increased seismicity, formation or caprock fracturing, or surface uplifting </w:t>
      </w:r>
      <w:sdt>
        <w:sdtPr>
          <w:rPr>
            <w:rFonts w:eastAsia="SimSun" w:cs="Times New Roman"/>
          </w:rPr>
          <w:id w:val="-399065077"/>
          <w:lock w:val="contentLocked"/>
          <w:placeholder>
            <w:docPart w:val="775C98EA0B344B6D9A3EB1C1327E490B"/>
          </w:placeholder>
          <w:citation/>
        </w:sdtPr>
        <w:sdtContent>
          <w:r w:rsidRPr="37DBAC1B">
            <w:rPr>
              <w:rFonts w:eastAsia="SimSun" w:cs="Times New Roman"/>
            </w:rPr>
            <w:fldChar w:fldCharType="begin"/>
          </w:r>
          <w:r w:rsidRPr="37DBAC1B">
            <w:rPr>
              <w:rFonts w:eastAsia="SimSun" w:cs="Times New Roman"/>
            </w:rPr>
            <w:instrText xml:space="preserve"> CITATION Ban15 \l 1033 </w:instrText>
          </w:r>
          <w:r w:rsidRPr="37DBAC1B">
            <w:rPr>
              <w:rFonts w:eastAsia="SimSun" w:cs="Times New Roman"/>
            </w:rPr>
            <w:fldChar w:fldCharType="separate"/>
          </w:r>
          <w:r w:rsidR="00C84822" w:rsidRPr="00C84822">
            <w:rPr>
              <w:rFonts w:eastAsia="SimSun" w:cs="Times New Roman"/>
              <w:noProof/>
            </w:rPr>
            <w:t>(Bandilla, Celia, Birkholzer, Cihan, &amp; Leister, 2015)</w:t>
          </w:r>
          <w:r w:rsidRPr="37DBAC1B">
            <w:rPr>
              <w:rFonts w:eastAsia="SimSun" w:cs="Times New Roman"/>
            </w:rPr>
            <w:fldChar w:fldCharType="end"/>
          </w:r>
        </w:sdtContent>
      </w:sdt>
      <w:r w:rsidRPr="37DBAC1B">
        <w:rPr>
          <w:rFonts w:eastAsia="SimSun" w:cs="Times New Roman"/>
        </w:rPr>
        <w:t>. This means that geomechanical risks such as seismicity in the field or potential CO</w:t>
      </w:r>
      <w:r w:rsidRPr="37DBAC1B">
        <w:rPr>
          <w:rFonts w:eastAsia="SimSun" w:cs="Times New Roman"/>
          <w:vertAlign w:val="subscript"/>
        </w:rPr>
        <w:t>2</w:t>
      </w:r>
      <w:r w:rsidRPr="37DBAC1B">
        <w:rPr>
          <w:rFonts w:eastAsia="SimSun" w:cs="Times New Roman"/>
        </w:rPr>
        <w:t xml:space="preserve"> leakage through seals must be considered.</w:t>
      </w:r>
    </w:p>
    <w:p w14:paraId="738ADFA4" w14:textId="32EEEB1D" w:rsidR="00536395" w:rsidRPr="009E45B6" w:rsidRDefault="001E13CC" w:rsidP="00460750">
      <w:pPr>
        <w:pStyle w:val="Heading3"/>
        <w:rPr>
          <w:rFonts w:eastAsia="SimSun"/>
        </w:rPr>
      </w:pPr>
      <w:bookmarkStart w:id="26" w:name="_Toc121265812"/>
      <w:r>
        <w:rPr>
          <w:rFonts w:eastAsia="SimSun"/>
        </w:rPr>
        <w:t>2.1</w:t>
      </w:r>
      <w:r w:rsidR="00536395">
        <w:rPr>
          <w:rFonts w:eastAsia="SimSun"/>
        </w:rPr>
        <w:t xml:space="preserve">.2 </w:t>
      </w:r>
      <w:r w:rsidR="00536395" w:rsidRPr="009E45B6">
        <w:rPr>
          <w:rFonts w:eastAsia="SimSun"/>
        </w:rPr>
        <w:t>Storage in Hydrocarbon Reservoirs</w:t>
      </w:r>
      <w:bookmarkEnd w:id="26"/>
    </w:p>
    <w:p w14:paraId="31B281A7" w14:textId="2215BF1A" w:rsidR="00536395" w:rsidRPr="009E45B6" w:rsidRDefault="00536395" w:rsidP="00460750">
      <w:pPr>
        <w:suppressAutoHyphens/>
        <w:overflowPunct w:val="0"/>
        <w:autoSpaceDE w:val="0"/>
        <w:autoSpaceDN w:val="0"/>
        <w:adjustRightInd w:val="0"/>
        <w:spacing w:after="0"/>
        <w:textAlignment w:val="baseline"/>
        <w:rPr>
          <w:rFonts w:eastAsia="SimSun" w:cs="Times New Roman"/>
        </w:rPr>
      </w:pPr>
      <w:r w:rsidRPr="37DBAC1B">
        <w:rPr>
          <w:rFonts w:eastAsia="SimSun" w:cs="Times New Roman"/>
        </w:rPr>
        <w:t>Over the years</w:t>
      </w:r>
      <w:r w:rsidR="00F16896">
        <w:rPr>
          <w:rFonts w:eastAsia="SimSun" w:cs="Times New Roman"/>
        </w:rPr>
        <w:t>, h</w:t>
      </w:r>
      <w:r w:rsidRPr="37DBAC1B">
        <w:rPr>
          <w:rFonts w:eastAsia="SimSun" w:cs="Times New Roman"/>
        </w:rPr>
        <w:t xml:space="preserve">ydrocarbon reservoirs have shown </w:t>
      </w:r>
      <w:bookmarkStart w:id="27" w:name="_Int_F1uKB3lF"/>
      <w:r w:rsidRPr="37DBAC1B">
        <w:rPr>
          <w:rFonts w:eastAsia="SimSun" w:cs="Times New Roman"/>
        </w:rPr>
        <w:t>exciting potential</w:t>
      </w:r>
      <w:bookmarkEnd w:id="27"/>
      <w:r w:rsidRPr="37DBAC1B">
        <w:rPr>
          <w:rFonts w:eastAsia="SimSun" w:cs="Times New Roman"/>
        </w:rPr>
        <w:t xml:space="preserve"> as geologic sites for CO</w:t>
      </w:r>
      <w:r w:rsidRPr="37DBAC1B">
        <w:rPr>
          <w:rFonts w:eastAsia="SimSun" w:cs="Times New Roman"/>
          <w:vertAlign w:val="subscript"/>
        </w:rPr>
        <w:t>2</w:t>
      </w:r>
      <w:r w:rsidRPr="37DBAC1B">
        <w:rPr>
          <w:rFonts w:eastAsia="SimSun" w:cs="Times New Roman"/>
        </w:rPr>
        <w:t xml:space="preserve"> storage, especially as they have stored hydrocarbons for prolonged periods of geologic time. </w:t>
      </w:r>
      <w:r w:rsidR="00FC13CC">
        <w:rPr>
          <w:rFonts w:eastAsia="SimSun" w:cs="Times New Roman"/>
        </w:rPr>
        <w:t xml:space="preserve">This is important because </w:t>
      </w:r>
      <w:r w:rsidRPr="37DBAC1B">
        <w:rPr>
          <w:rFonts w:eastAsia="SimSun" w:cs="Times New Roman"/>
        </w:rPr>
        <w:t>their past exploration, exploitation</w:t>
      </w:r>
      <w:r w:rsidR="00F16896">
        <w:rPr>
          <w:rFonts w:eastAsia="SimSun" w:cs="Times New Roman"/>
        </w:rPr>
        <w:t>,</w:t>
      </w:r>
      <w:r w:rsidRPr="37DBAC1B">
        <w:rPr>
          <w:rFonts w:eastAsia="SimSun" w:cs="Times New Roman"/>
        </w:rPr>
        <w:t xml:space="preserve"> and production, knowledge of their architecture and properties </w:t>
      </w:r>
      <w:r w:rsidR="00FC13CC">
        <w:rPr>
          <w:rFonts w:eastAsia="SimSun" w:cs="Times New Roman"/>
        </w:rPr>
        <w:t xml:space="preserve">can be leveraged </w:t>
      </w:r>
      <w:r w:rsidRPr="37DBAC1B">
        <w:rPr>
          <w:rFonts w:eastAsia="SimSun" w:cs="Times New Roman"/>
        </w:rPr>
        <w:t>for CO</w:t>
      </w:r>
      <w:r w:rsidRPr="37DBAC1B">
        <w:rPr>
          <w:rFonts w:eastAsia="SimSun" w:cs="Times New Roman"/>
          <w:vertAlign w:val="subscript"/>
        </w:rPr>
        <w:t>2</w:t>
      </w:r>
      <w:r w:rsidRPr="37DBAC1B">
        <w:rPr>
          <w:rFonts w:eastAsia="SimSun" w:cs="Times New Roman"/>
        </w:rPr>
        <w:t xml:space="preserve"> storage</w:t>
      </w:r>
      <w:r w:rsidR="00FC13CC">
        <w:rPr>
          <w:rFonts w:eastAsia="SimSun" w:cs="Times New Roman"/>
        </w:rPr>
        <w:t xml:space="preserve"> projects</w:t>
      </w:r>
      <w:r w:rsidRPr="37DBAC1B">
        <w:rPr>
          <w:rFonts w:eastAsia="SimSun" w:cs="Times New Roman"/>
        </w:rPr>
        <w:t xml:space="preserve"> </w:t>
      </w:r>
      <w:sdt>
        <w:sdtPr>
          <w:rPr>
            <w:rFonts w:eastAsia="SimSun" w:cs="Times New Roman"/>
          </w:rPr>
          <w:id w:val="1765886031"/>
          <w:lock w:val="contentLocked"/>
          <w:placeholder>
            <w:docPart w:val="775C98EA0B344B6D9A3EB1C1327E490B"/>
          </w:placeholder>
          <w:citation/>
        </w:sdtPr>
        <w:sdtContent>
          <w:r w:rsidRPr="37DBAC1B">
            <w:rPr>
              <w:rFonts w:eastAsia="SimSun" w:cs="Times New Roman"/>
            </w:rPr>
            <w:fldChar w:fldCharType="begin"/>
          </w:r>
          <w:r w:rsidRPr="37DBAC1B">
            <w:rPr>
              <w:rFonts w:eastAsia="SimSun" w:cs="Times New Roman"/>
            </w:rPr>
            <w:instrText xml:space="preserve">CITATION Chi21 \l 1033 </w:instrText>
          </w:r>
          <w:r w:rsidRPr="37DBAC1B">
            <w:rPr>
              <w:rFonts w:eastAsia="SimSun" w:cs="Times New Roman"/>
            </w:rPr>
            <w:fldChar w:fldCharType="separate"/>
          </w:r>
          <w:r w:rsidR="00C84822" w:rsidRPr="00C84822">
            <w:rPr>
              <w:rFonts w:eastAsia="SimSun" w:cs="Times New Roman"/>
              <w:noProof/>
            </w:rPr>
            <w:t>(Chidambaram, Tewari, Ali, Tan, &amp; PETRONAS, 2021)</w:t>
          </w:r>
          <w:r w:rsidRPr="37DBAC1B">
            <w:rPr>
              <w:rFonts w:eastAsia="SimSun" w:cs="Times New Roman"/>
            </w:rPr>
            <w:fldChar w:fldCharType="end"/>
          </w:r>
        </w:sdtContent>
      </w:sdt>
      <w:r w:rsidRPr="37DBAC1B">
        <w:rPr>
          <w:rFonts w:eastAsia="SimSun" w:cs="Times New Roman"/>
        </w:rPr>
        <w:t xml:space="preserve">. </w:t>
      </w:r>
      <w:r w:rsidR="00FC13CC">
        <w:rPr>
          <w:rFonts w:eastAsia="SimSun" w:cs="Times New Roman"/>
        </w:rPr>
        <w:t xml:space="preserve">Since producing hydrocarbons contributes to increasing </w:t>
      </w:r>
      <w:r w:rsidR="00FC13CC" w:rsidRPr="37DBAC1B">
        <w:rPr>
          <w:rFonts w:eastAsia="SimSun" w:cs="Times New Roman"/>
        </w:rPr>
        <w:t>CO</w:t>
      </w:r>
      <w:r w:rsidR="00FC13CC" w:rsidRPr="37DBAC1B">
        <w:rPr>
          <w:rFonts w:eastAsia="SimSun" w:cs="Times New Roman"/>
          <w:vertAlign w:val="subscript"/>
        </w:rPr>
        <w:t>2</w:t>
      </w:r>
      <w:r w:rsidR="00FC13CC">
        <w:rPr>
          <w:rFonts w:eastAsia="SimSun" w:cs="Times New Roman"/>
          <w:vertAlign w:val="subscript"/>
        </w:rPr>
        <w:t xml:space="preserve"> </w:t>
      </w:r>
      <w:r w:rsidR="00FC13CC">
        <w:rPr>
          <w:rFonts w:eastAsia="SimSun" w:cs="Times New Roman"/>
        </w:rPr>
        <w:t xml:space="preserve">emissions, planning for sequestration </w:t>
      </w:r>
      <w:r w:rsidR="003A7CA4">
        <w:rPr>
          <w:rFonts w:eastAsia="SimSun" w:cs="Times New Roman"/>
        </w:rPr>
        <w:t>is beneficial</w:t>
      </w:r>
      <w:r w:rsidR="00FC13CC">
        <w:rPr>
          <w:rFonts w:eastAsia="SimSun" w:cs="Times New Roman"/>
        </w:rPr>
        <w:t xml:space="preserve"> for climate goals. S</w:t>
      </w:r>
      <w:r w:rsidRPr="37DBAC1B">
        <w:rPr>
          <w:rFonts w:eastAsia="SimSun" w:cs="Times New Roman"/>
        </w:rPr>
        <w:t>torage in hydrocarbon reservoirs can be of two forms</w:t>
      </w:r>
      <w:r w:rsidR="00FC13CC">
        <w:rPr>
          <w:rFonts w:eastAsia="SimSun" w:cs="Times New Roman"/>
        </w:rPr>
        <w:t xml:space="preserve">. It can be </w:t>
      </w:r>
      <w:r w:rsidR="00FC13CC" w:rsidRPr="37DBAC1B">
        <w:rPr>
          <w:rFonts w:eastAsia="SimSun" w:cs="Times New Roman"/>
        </w:rPr>
        <w:t>stored</w:t>
      </w:r>
      <w:r w:rsidRPr="37DBAC1B">
        <w:rPr>
          <w:rFonts w:eastAsia="SimSun" w:cs="Times New Roman"/>
        </w:rPr>
        <w:t xml:space="preserve"> via EOR</w:t>
      </w:r>
      <w:r w:rsidR="00F16896">
        <w:rPr>
          <w:rFonts w:eastAsia="SimSun" w:cs="Times New Roman"/>
        </w:rPr>
        <w:t>,</w:t>
      </w:r>
      <w:r w:rsidRPr="37DBAC1B">
        <w:rPr>
          <w:rFonts w:eastAsia="SimSun" w:cs="Times New Roman"/>
        </w:rPr>
        <w:t xml:space="preserve"> which is more popular as it generates revenue upon implementation and has been practiced before CO</w:t>
      </w:r>
      <w:r w:rsidRPr="37DBAC1B">
        <w:rPr>
          <w:rFonts w:eastAsia="SimSun" w:cs="Times New Roman"/>
          <w:vertAlign w:val="subscript"/>
        </w:rPr>
        <w:t>2</w:t>
      </w:r>
      <w:r w:rsidRPr="37DBAC1B">
        <w:rPr>
          <w:rFonts w:eastAsia="SimSun" w:cs="Times New Roman"/>
        </w:rPr>
        <w:t xml:space="preserve"> sequestration even became a solution for excessive CO</w:t>
      </w:r>
      <w:r w:rsidRPr="37DBAC1B">
        <w:rPr>
          <w:rFonts w:eastAsia="SimSun" w:cs="Times New Roman"/>
          <w:vertAlign w:val="subscript"/>
        </w:rPr>
        <w:t>2</w:t>
      </w:r>
      <w:r w:rsidRPr="37DBAC1B">
        <w:rPr>
          <w:rFonts w:eastAsia="SimSun" w:cs="Times New Roman"/>
        </w:rPr>
        <w:t xml:space="preserve"> emission</w:t>
      </w:r>
      <w:r w:rsidR="00FC13CC">
        <w:rPr>
          <w:rFonts w:eastAsia="SimSun" w:cs="Times New Roman"/>
        </w:rPr>
        <w:t>. The second form</w:t>
      </w:r>
      <w:r w:rsidRPr="37DBAC1B">
        <w:rPr>
          <w:rFonts w:eastAsia="SimSun" w:cs="Times New Roman"/>
        </w:rPr>
        <w:t xml:space="preserve"> </w:t>
      </w:r>
      <w:r w:rsidR="00FC13CC" w:rsidRPr="37DBAC1B">
        <w:rPr>
          <w:rFonts w:eastAsia="SimSun" w:cs="Times New Roman"/>
        </w:rPr>
        <w:t>is storage</w:t>
      </w:r>
      <w:r w:rsidRPr="37DBAC1B">
        <w:rPr>
          <w:rFonts w:eastAsia="SimSun" w:cs="Times New Roman"/>
        </w:rPr>
        <w:t xml:space="preserve"> in depleted reservoirs</w:t>
      </w:r>
      <w:r w:rsidR="00FC13CC">
        <w:rPr>
          <w:rFonts w:eastAsia="SimSun" w:cs="Times New Roman"/>
        </w:rPr>
        <w:t xml:space="preserve"> which is a</w:t>
      </w:r>
      <w:r w:rsidR="00FC13CC" w:rsidRPr="37DBAC1B">
        <w:rPr>
          <w:rFonts w:eastAsia="SimSun" w:cs="Times New Roman"/>
        </w:rPr>
        <w:t xml:space="preserve"> </w:t>
      </w:r>
      <w:r w:rsidR="00FC13CC">
        <w:rPr>
          <w:rFonts w:eastAsia="SimSun" w:cs="Times New Roman"/>
        </w:rPr>
        <w:t xml:space="preserve">relatively </w:t>
      </w:r>
      <w:r w:rsidR="00FC13CC" w:rsidRPr="37DBAC1B">
        <w:rPr>
          <w:rFonts w:eastAsia="SimSun" w:cs="Times New Roman"/>
        </w:rPr>
        <w:t>more recent</w:t>
      </w:r>
      <w:r w:rsidR="00FC13CC">
        <w:rPr>
          <w:rFonts w:eastAsia="SimSun" w:cs="Times New Roman"/>
        </w:rPr>
        <w:t xml:space="preserve"> technolog</w:t>
      </w:r>
      <w:r w:rsidR="00FC13CC" w:rsidRPr="37DBAC1B">
        <w:rPr>
          <w:rFonts w:eastAsia="SimSun" w:cs="Times New Roman"/>
        </w:rPr>
        <w:t>y</w:t>
      </w:r>
      <w:r w:rsidRPr="37DBAC1B">
        <w:rPr>
          <w:rFonts w:eastAsia="SimSun" w:cs="Times New Roman"/>
        </w:rPr>
        <w:t>.</w:t>
      </w:r>
    </w:p>
    <w:p w14:paraId="2824ACE0" w14:textId="5BFEB2CE" w:rsidR="00536395" w:rsidRPr="009E45B6" w:rsidRDefault="001E13CC" w:rsidP="00460750">
      <w:pPr>
        <w:pStyle w:val="Heading3"/>
        <w:rPr>
          <w:rFonts w:eastAsia="SimSun"/>
        </w:rPr>
      </w:pPr>
      <w:bookmarkStart w:id="28" w:name="_Toc121265813"/>
      <w:r>
        <w:rPr>
          <w:rFonts w:eastAsia="SimSun"/>
        </w:rPr>
        <w:lastRenderedPageBreak/>
        <w:t>2.</w:t>
      </w:r>
      <w:r w:rsidR="00536395">
        <w:rPr>
          <w:rFonts w:eastAsia="SimSun"/>
        </w:rPr>
        <w:t xml:space="preserve">1.3 </w:t>
      </w:r>
      <w:r w:rsidR="00536395" w:rsidRPr="009E45B6">
        <w:rPr>
          <w:rFonts w:eastAsia="SimSun"/>
        </w:rPr>
        <w:t>Storage in Coal Bed</w:t>
      </w:r>
      <w:bookmarkEnd w:id="28"/>
    </w:p>
    <w:p w14:paraId="2208D29C" w14:textId="70091E95" w:rsidR="00536395" w:rsidRPr="009E45B6" w:rsidRDefault="00536395" w:rsidP="00460750">
      <w:pPr>
        <w:suppressAutoHyphens/>
        <w:overflowPunct w:val="0"/>
        <w:autoSpaceDE w:val="0"/>
        <w:autoSpaceDN w:val="0"/>
        <w:adjustRightInd w:val="0"/>
        <w:spacing w:after="0"/>
        <w:textAlignment w:val="baseline"/>
        <w:rPr>
          <w:rFonts w:eastAsia="SimSun" w:cs="Times New Roman"/>
          <w:b/>
          <w:bCs/>
          <w:szCs w:val="20"/>
        </w:rPr>
      </w:pPr>
      <w:r w:rsidRPr="009E45B6">
        <w:rPr>
          <w:rFonts w:eastAsia="SimSun" w:cs="Times New Roman"/>
          <w:szCs w:val="20"/>
        </w:rPr>
        <w:t>CO</w:t>
      </w:r>
      <w:r w:rsidRPr="009E45B6">
        <w:rPr>
          <w:rFonts w:eastAsia="SimSun" w:cs="Times New Roman"/>
          <w:szCs w:val="20"/>
          <w:vertAlign w:val="subscript"/>
        </w:rPr>
        <w:t>2</w:t>
      </w:r>
      <w:r w:rsidRPr="009E45B6">
        <w:rPr>
          <w:rFonts w:eastAsia="SimSun" w:cs="Times New Roman"/>
          <w:szCs w:val="20"/>
        </w:rPr>
        <w:t xml:space="preserve"> sequestration in unmineable coal seams is of interest because of the concurrent recovery of methane while storing the CO</w:t>
      </w:r>
      <w:r w:rsidRPr="009E45B6">
        <w:rPr>
          <w:rFonts w:eastAsia="SimSun" w:cs="Times New Roman"/>
          <w:szCs w:val="20"/>
          <w:vertAlign w:val="subscript"/>
        </w:rPr>
        <w:t>2</w:t>
      </w:r>
      <w:r w:rsidRPr="009E45B6">
        <w:rPr>
          <w:rFonts w:eastAsia="SimSun" w:cs="Times New Roman"/>
          <w:szCs w:val="20"/>
        </w:rPr>
        <w:t xml:space="preserve"> </w:t>
      </w:r>
      <w:sdt>
        <w:sdtPr>
          <w:rPr>
            <w:rFonts w:eastAsia="SimSun" w:cs="Times New Roman"/>
            <w:szCs w:val="24"/>
          </w:rPr>
          <w:id w:val="-2070789282"/>
          <w:citation/>
        </w:sdtPr>
        <w:sdtContent>
          <w:r w:rsidRPr="009E45B6">
            <w:rPr>
              <w:rFonts w:eastAsia="SimSun" w:cs="Times New Roman"/>
              <w:szCs w:val="24"/>
            </w:rPr>
            <w:fldChar w:fldCharType="begin"/>
          </w:r>
          <w:r w:rsidRPr="009E45B6">
            <w:rPr>
              <w:rFonts w:eastAsia="SimSun" w:cs="Times New Roman"/>
              <w:szCs w:val="24"/>
            </w:rPr>
            <w:instrText xml:space="preserve"> CITATION Gor051 \l 1033 </w:instrText>
          </w:r>
          <w:r w:rsidRPr="009E45B6">
            <w:rPr>
              <w:rFonts w:eastAsia="SimSun" w:cs="Times New Roman"/>
              <w:szCs w:val="24"/>
            </w:rPr>
            <w:fldChar w:fldCharType="separate"/>
          </w:r>
          <w:r w:rsidR="00C84822" w:rsidRPr="00C84822">
            <w:rPr>
              <w:rFonts w:eastAsia="SimSun" w:cs="Times New Roman"/>
              <w:noProof/>
              <w:szCs w:val="24"/>
            </w:rPr>
            <w:t>(Gorucu, et al., 2005)</w:t>
          </w:r>
          <w:r w:rsidRPr="009E45B6">
            <w:rPr>
              <w:rFonts w:eastAsia="SimSun" w:cs="Times New Roman"/>
              <w:szCs w:val="24"/>
            </w:rPr>
            <w:fldChar w:fldCharType="end"/>
          </w:r>
        </w:sdtContent>
      </w:sdt>
      <w:r w:rsidRPr="009E45B6">
        <w:rPr>
          <w:rFonts w:eastAsia="SimSun" w:cs="Times New Roman"/>
          <w:szCs w:val="20"/>
        </w:rPr>
        <w:t>. This results in decreasing atmospheric CO</w:t>
      </w:r>
      <w:r w:rsidRPr="009E45B6">
        <w:rPr>
          <w:rFonts w:eastAsia="SimSun" w:cs="Times New Roman"/>
          <w:szCs w:val="20"/>
          <w:vertAlign w:val="subscript"/>
        </w:rPr>
        <w:t>2</w:t>
      </w:r>
      <w:r w:rsidRPr="009E45B6">
        <w:rPr>
          <w:rFonts w:eastAsia="SimSun" w:cs="Times New Roman"/>
          <w:szCs w:val="20"/>
        </w:rPr>
        <w:t xml:space="preserve"> concentrations while reducing the associated costs </w:t>
      </w:r>
      <w:r w:rsidR="00F16896">
        <w:rPr>
          <w:rFonts w:eastAsia="SimSun" w:cs="Times New Roman"/>
          <w:szCs w:val="20"/>
        </w:rPr>
        <w:t>of</w:t>
      </w:r>
      <w:r w:rsidRPr="009E45B6">
        <w:rPr>
          <w:rFonts w:eastAsia="SimSun" w:cs="Times New Roman"/>
          <w:szCs w:val="20"/>
        </w:rPr>
        <w:t xml:space="preserve"> handling CO</w:t>
      </w:r>
      <w:r w:rsidRPr="009E45B6">
        <w:rPr>
          <w:rFonts w:eastAsia="SimSun" w:cs="Times New Roman"/>
          <w:szCs w:val="20"/>
          <w:vertAlign w:val="subscript"/>
        </w:rPr>
        <w:t>2</w:t>
      </w:r>
      <w:r w:rsidRPr="009E45B6">
        <w:rPr>
          <w:rFonts w:eastAsia="SimSun" w:cs="Times New Roman"/>
          <w:szCs w:val="20"/>
        </w:rPr>
        <w:t xml:space="preserve"> during methane production. </w:t>
      </w:r>
      <w:r w:rsidR="00001142">
        <w:rPr>
          <w:rFonts w:eastAsia="SimSun" w:cs="Times New Roman"/>
          <w:szCs w:val="20"/>
        </w:rPr>
        <w:t xml:space="preserve">Producing methane is also a source of </w:t>
      </w:r>
      <w:r w:rsidR="00001142" w:rsidRPr="37DBAC1B">
        <w:rPr>
          <w:rFonts w:eastAsia="SimSun" w:cs="Times New Roman"/>
        </w:rPr>
        <w:t>CO</w:t>
      </w:r>
      <w:r w:rsidR="00001142" w:rsidRPr="37DBAC1B">
        <w:rPr>
          <w:rFonts w:eastAsia="SimSun" w:cs="Times New Roman"/>
          <w:vertAlign w:val="subscript"/>
        </w:rPr>
        <w:t>2</w:t>
      </w:r>
      <w:r w:rsidR="00001142" w:rsidRPr="37DBAC1B">
        <w:rPr>
          <w:rFonts w:eastAsia="SimSun" w:cs="Times New Roman"/>
        </w:rPr>
        <w:t xml:space="preserve"> </w:t>
      </w:r>
      <w:r w:rsidR="00001142">
        <w:rPr>
          <w:rFonts w:eastAsia="SimSun" w:cs="Times New Roman"/>
        </w:rPr>
        <w:t xml:space="preserve">emissions, hence planning for sequestration is also beneficial to the environment. </w:t>
      </w:r>
      <w:r w:rsidRPr="009E45B6">
        <w:rPr>
          <w:rFonts w:eastAsia="SimSun" w:cs="Times New Roman"/>
          <w:szCs w:val="20"/>
        </w:rPr>
        <w:t>To study CO</w:t>
      </w:r>
      <w:r w:rsidRPr="009E45B6">
        <w:rPr>
          <w:rFonts w:eastAsia="SimSun" w:cs="Times New Roman"/>
          <w:szCs w:val="20"/>
          <w:vertAlign w:val="subscript"/>
        </w:rPr>
        <w:t>2</w:t>
      </w:r>
      <w:r w:rsidRPr="009E45B6">
        <w:rPr>
          <w:rFonts w:eastAsia="SimSun" w:cs="Times New Roman"/>
          <w:szCs w:val="20"/>
        </w:rPr>
        <w:t xml:space="preserve"> storage capacity in coalbed reservoirs, adsorption and desorption experiments of coal rocks from different regions and coal ranks need to be conducted </w:t>
      </w:r>
      <w:sdt>
        <w:sdtPr>
          <w:rPr>
            <w:rFonts w:eastAsia="SimSun" w:cs="Times New Roman"/>
            <w:szCs w:val="24"/>
          </w:rPr>
          <w:id w:val="1123966543"/>
          <w:citation/>
        </w:sdtPr>
        <w:sdtContent>
          <w:r w:rsidRPr="009E45B6">
            <w:rPr>
              <w:rFonts w:eastAsia="SimSun" w:cs="Times New Roman"/>
              <w:szCs w:val="24"/>
            </w:rPr>
            <w:fldChar w:fldCharType="begin"/>
          </w:r>
          <w:r w:rsidRPr="009E45B6">
            <w:rPr>
              <w:rFonts w:eastAsia="SimSun" w:cs="Times New Roman"/>
              <w:szCs w:val="24"/>
            </w:rPr>
            <w:instrText xml:space="preserve"> CITATION Jia151 \l 1033 </w:instrText>
          </w:r>
          <w:r w:rsidRPr="009E45B6">
            <w:rPr>
              <w:rFonts w:eastAsia="SimSun" w:cs="Times New Roman"/>
              <w:szCs w:val="24"/>
            </w:rPr>
            <w:fldChar w:fldCharType="separate"/>
          </w:r>
          <w:r w:rsidR="00C84822" w:rsidRPr="00C84822">
            <w:rPr>
              <w:rFonts w:eastAsia="SimSun" w:cs="Times New Roman"/>
              <w:noProof/>
              <w:szCs w:val="24"/>
            </w:rPr>
            <w:t>(Jiang, Dou, Shen, &amp; Sun, 2015)</w:t>
          </w:r>
          <w:r w:rsidRPr="009E45B6">
            <w:rPr>
              <w:rFonts w:eastAsia="SimSun" w:cs="Times New Roman"/>
              <w:szCs w:val="24"/>
            </w:rPr>
            <w:fldChar w:fldCharType="end"/>
          </w:r>
        </w:sdtContent>
      </w:sdt>
      <w:r w:rsidRPr="009E45B6">
        <w:rPr>
          <w:rFonts w:eastAsia="SimSun" w:cs="Times New Roman"/>
          <w:b/>
          <w:bCs/>
          <w:szCs w:val="20"/>
        </w:rPr>
        <w:t>.</w:t>
      </w:r>
    </w:p>
    <w:p w14:paraId="47847E37" w14:textId="3134A06D" w:rsidR="00536395" w:rsidRPr="009E45B6" w:rsidRDefault="001E13CC" w:rsidP="00460750">
      <w:pPr>
        <w:pStyle w:val="Heading3"/>
        <w:rPr>
          <w:rFonts w:eastAsia="SimSun"/>
        </w:rPr>
      </w:pPr>
      <w:bookmarkStart w:id="29" w:name="_Toc121265814"/>
      <w:r>
        <w:rPr>
          <w:rFonts w:eastAsia="SimSun"/>
        </w:rPr>
        <w:t>2.</w:t>
      </w:r>
      <w:r w:rsidR="00536395">
        <w:rPr>
          <w:rFonts w:eastAsia="SimSun"/>
        </w:rPr>
        <w:t xml:space="preserve">1.4 </w:t>
      </w:r>
      <w:r w:rsidR="00536395" w:rsidRPr="009E45B6">
        <w:rPr>
          <w:rFonts w:eastAsia="SimSun"/>
        </w:rPr>
        <w:t>Storage in Shales</w:t>
      </w:r>
      <w:bookmarkEnd w:id="29"/>
      <w:r w:rsidR="00536395" w:rsidRPr="009E45B6">
        <w:rPr>
          <w:rFonts w:eastAsia="SimSun"/>
        </w:rPr>
        <w:tab/>
      </w:r>
    </w:p>
    <w:p w14:paraId="40EAF220" w14:textId="2C3BBDAD" w:rsidR="00536395" w:rsidRDefault="00B57E2A" w:rsidP="00460750">
      <w:pPr>
        <w:suppressAutoHyphens/>
        <w:overflowPunct w:val="0"/>
        <w:autoSpaceDE w:val="0"/>
        <w:autoSpaceDN w:val="0"/>
        <w:adjustRightInd w:val="0"/>
        <w:spacing w:after="0"/>
        <w:textAlignment w:val="baseline"/>
        <w:rPr>
          <w:rFonts w:eastAsia="SimSun" w:cs="Times New Roman"/>
        </w:rPr>
      </w:pPr>
      <w:r>
        <w:rPr>
          <w:rFonts w:eastAsia="SimSun" w:cs="Times New Roman"/>
        </w:rPr>
        <w:t xml:space="preserve">Storing </w:t>
      </w:r>
      <w:r w:rsidRPr="37DBAC1B">
        <w:rPr>
          <w:rFonts w:eastAsia="SimSun" w:cs="Times New Roman"/>
        </w:rPr>
        <w:t>CO</w:t>
      </w:r>
      <w:r w:rsidRPr="37DBAC1B">
        <w:rPr>
          <w:rFonts w:eastAsia="SimSun" w:cs="Times New Roman"/>
          <w:vertAlign w:val="subscript"/>
        </w:rPr>
        <w:t>2</w:t>
      </w:r>
      <w:r>
        <w:rPr>
          <w:rFonts w:eastAsia="SimSun" w:cs="Times New Roman"/>
          <w:vertAlign w:val="subscript"/>
        </w:rPr>
        <w:t xml:space="preserve"> </w:t>
      </w:r>
      <w:r>
        <w:rPr>
          <w:rFonts w:eastAsia="SimSun" w:cs="Times New Roman"/>
        </w:rPr>
        <w:t>in s</w:t>
      </w:r>
      <w:r w:rsidR="00536395" w:rsidRPr="37DBAC1B">
        <w:rPr>
          <w:rFonts w:eastAsia="SimSun" w:cs="Times New Roman"/>
        </w:rPr>
        <w:t xml:space="preserve">hales </w:t>
      </w:r>
      <w:r>
        <w:rPr>
          <w:rFonts w:eastAsia="SimSun" w:cs="Times New Roman"/>
        </w:rPr>
        <w:t xml:space="preserve">is not as </w:t>
      </w:r>
      <w:r w:rsidR="00536395" w:rsidRPr="37DBAC1B">
        <w:rPr>
          <w:rFonts w:eastAsia="SimSun" w:cs="Times New Roman"/>
        </w:rPr>
        <w:t xml:space="preserve">popular despite them being abundant, as they typically have </w:t>
      </w:r>
      <w:bookmarkStart w:id="30" w:name="_Int_suIIe2Fd"/>
      <w:r w:rsidR="00536395" w:rsidRPr="37DBAC1B">
        <w:rPr>
          <w:rFonts w:eastAsia="SimSun" w:cs="Times New Roman"/>
        </w:rPr>
        <w:t>extremely low</w:t>
      </w:r>
      <w:bookmarkEnd w:id="30"/>
      <w:r w:rsidR="00536395" w:rsidRPr="37DBAC1B">
        <w:rPr>
          <w:rFonts w:eastAsia="SimSun" w:cs="Times New Roman"/>
        </w:rPr>
        <w:t xml:space="preserve"> permeability, and the field implementation is not as developed as other geologic storage sites. </w:t>
      </w:r>
      <w:sdt>
        <w:sdtPr>
          <w:rPr>
            <w:rFonts w:eastAsia="SimSun" w:cs="Times New Roman"/>
          </w:rPr>
          <w:id w:val="-1413308123"/>
          <w:lock w:val="contentLocked"/>
          <w:placeholder>
            <w:docPart w:val="775C98EA0B344B6D9A3EB1C1327E490B"/>
          </w:placeholder>
          <w:citation/>
        </w:sdtPr>
        <w:sdtContent>
          <w:r w:rsidR="00536395" w:rsidRPr="37DBAC1B">
            <w:rPr>
              <w:rFonts w:eastAsia="SimSun" w:cs="Times New Roman"/>
            </w:rPr>
            <w:fldChar w:fldCharType="begin"/>
          </w:r>
          <w:r w:rsidR="00536395" w:rsidRPr="37DBAC1B">
            <w:rPr>
              <w:rFonts w:eastAsia="SimSun" w:cs="Times New Roman"/>
            </w:rPr>
            <w:instrText xml:space="preserve"> CITATION Fak202 \l 1033 </w:instrText>
          </w:r>
          <w:r w:rsidR="00536395" w:rsidRPr="37DBAC1B">
            <w:rPr>
              <w:rFonts w:eastAsia="SimSun" w:cs="Times New Roman"/>
            </w:rPr>
            <w:fldChar w:fldCharType="separate"/>
          </w:r>
          <w:r w:rsidR="00C84822" w:rsidRPr="00C84822">
            <w:rPr>
              <w:rFonts w:eastAsia="SimSun" w:cs="Times New Roman"/>
              <w:noProof/>
            </w:rPr>
            <w:t>(Fakher, Abdelaal, Elgahawy, &amp; El-Tonbary, 2020)</w:t>
          </w:r>
          <w:r w:rsidR="00536395" w:rsidRPr="37DBAC1B">
            <w:rPr>
              <w:rFonts w:eastAsia="SimSun" w:cs="Times New Roman"/>
            </w:rPr>
            <w:fldChar w:fldCharType="end"/>
          </w:r>
        </w:sdtContent>
      </w:sdt>
      <w:r w:rsidR="00536395" w:rsidRPr="37DBAC1B">
        <w:rPr>
          <w:rFonts w:eastAsia="SimSun" w:cs="Times New Roman"/>
        </w:rPr>
        <w:t xml:space="preserve"> and </w:t>
      </w:r>
      <w:sdt>
        <w:sdtPr>
          <w:rPr>
            <w:rFonts w:eastAsia="SimSun" w:cs="Times New Roman"/>
          </w:rPr>
          <w:id w:val="1475870680"/>
          <w:lock w:val="contentLocked"/>
          <w:placeholder>
            <w:docPart w:val="775C98EA0B344B6D9A3EB1C1327E490B"/>
          </w:placeholder>
          <w:citation/>
        </w:sdtPr>
        <w:sdtContent>
          <w:r w:rsidR="00536395" w:rsidRPr="37DBAC1B">
            <w:rPr>
              <w:rFonts w:eastAsia="SimSun" w:cs="Times New Roman"/>
            </w:rPr>
            <w:fldChar w:fldCharType="begin"/>
          </w:r>
          <w:r w:rsidR="00536395" w:rsidRPr="37DBAC1B">
            <w:rPr>
              <w:rFonts w:eastAsia="SimSun" w:cs="Times New Roman"/>
            </w:rPr>
            <w:instrText xml:space="preserve"> CITATION Fak203 \l 1033 </w:instrText>
          </w:r>
          <w:r w:rsidR="00536395" w:rsidRPr="37DBAC1B">
            <w:rPr>
              <w:rFonts w:eastAsia="SimSun" w:cs="Times New Roman"/>
            </w:rPr>
            <w:fldChar w:fldCharType="separate"/>
          </w:r>
          <w:r w:rsidR="00C84822" w:rsidRPr="00C84822">
            <w:rPr>
              <w:rFonts w:eastAsia="SimSun" w:cs="Times New Roman"/>
              <w:noProof/>
            </w:rPr>
            <w:t>(Fakher &amp; Imqam, 2020)</w:t>
          </w:r>
          <w:r w:rsidR="00536395" w:rsidRPr="37DBAC1B">
            <w:rPr>
              <w:rFonts w:eastAsia="SimSun" w:cs="Times New Roman"/>
            </w:rPr>
            <w:fldChar w:fldCharType="end"/>
          </w:r>
        </w:sdtContent>
      </w:sdt>
      <w:r w:rsidR="00536395" w:rsidRPr="37DBAC1B">
        <w:rPr>
          <w:rFonts w:eastAsia="SimSun" w:cs="Times New Roman"/>
        </w:rPr>
        <w:t xml:space="preserve"> demonstrated the advantage of using shales to store CO</w:t>
      </w:r>
      <w:r w:rsidR="00536395" w:rsidRPr="37DBAC1B">
        <w:rPr>
          <w:rFonts w:eastAsia="SimSun" w:cs="Times New Roman"/>
          <w:vertAlign w:val="subscript"/>
        </w:rPr>
        <w:t xml:space="preserve">2 </w:t>
      </w:r>
      <w:r w:rsidR="00536395" w:rsidRPr="37DBAC1B">
        <w:rPr>
          <w:rFonts w:eastAsia="SimSun" w:cs="Times New Roman"/>
        </w:rPr>
        <w:t>by considering the main mechanism for storage to be absorption</w:t>
      </w:r>
      <w:r w:rsidR="0008209D">
        <w:rPr>
          <w:rFonts w:eastAsia="SimSun" w:cs="Times New Roman"/>
        </w:rPr>
        <w:t>,</w:t>
      </w:r>
      <w:r w:rsidR="00536395" w:rsidRPr="37DBAC1B">
        <w:rPr>
          <w:rFonts w:eastAsia="SimSun" w:cs="Times New Roman"/>
        </w:rPr>
        <w:t xml:space="preserve"> and they showed the absorption capacities of different shale plays at different thermodynamic conditions. </w:t>
      </w:r>
    </w:p>
    <w:p w14:paraId="0A38D921" w14:textId="32BD1941" w:rsidR="00536395" w:rsidRDefault="00536395" w:rsidP="00460750">
      <w:pPr>
        <w:suppressAutoHyphens/>
        <w:overflowPunct w:val="0"/>
        <w:autoSpaceDE w:val="0"/>
        <w:autoSpaceDN w:val="0"/>
        <w:adjustRightInd w:val="0"/>
        <w:spacing w:after="0"/>
        <w:textAlignment w:val="baseline"/>
        <w:rPr>
          <w:rFonts w:eastAsia="SimSun" w:cs="Times New Roman"/>
        </w:rPr>
      </w:pPr>
      <w:r w:rsidRPr="37DBAC1B">
        <w:rPr>
          <w:rFonts w:eastAsia="SimSun" w:cs="Times New Roman"/>
        </w:rPr>
        <w:t>Each of the geologic sites ha</w:t>
      </w:r>
      <w:r w:rsidR="0008209D">
        <w:rPr>
          <w:rFonts w:eastAsia="SimSun" w:cs="Times New Roman"/>
        </w:rPr>
        <w:t>s</w:t>
      </w:r>
      <w:r w:rsidRPr="37DBAC1B">
        <w:rPr>
          <w:rFonts w:eastAsia="SimSun" w:cs="Times New Roman"/>
        </w:rPr>
        <w:t xml:space="preserve"> different trapping mechanisms. A trapping mechanism and the geologic site properties would determine the type of </w:t>
      </w:r>
      <w:r w:rsidR="00001142">
        <w:rPr>
          <w:rFonts w:eastAsia="SimSun" w:cs="Times New Roman"/>
        </w:rPr>
        <w:t>deformation</w:t>
      </w:r>
      <w:r w:rsidRPr="37DBAC1B">
        <w:rPr>
          <w:rFonts w:eastAsia="SimSun" w:cs="Times New Roman"/>
        </w:rPr>
        <w:t xml:space="preserve"> that might be encountered</w:t>
      </w:r>
      <w:r w:rsidR="0008209D">
        <w:rPr>
          <w:rFonts w:eastAsia="SimSun" w:cs="Times New Roman"/>
        </w:rPr>
        <w:t xml:space="preserve"> </w:t>
      </w:r>
      <w:r w:rsidRPr="37DBAC1B">
        <w:rPr>
          <w:rFonts w:eastAsia="SimSun" w:cs="Times New Roman"/>
        </w:rPr>
        <w:t xml:space="preserve">and </w:t>
      </w:r>
      <w:r w:rsidR="005F3A60" w:rsidRPr="37DBAC1B">
        <w:rPr>
          <w:rFonts w:eastAsia="SimSun" w:cs="Times New Roman"/>
        </w:rPr>
        <w:t>overall,</w:t>
      </w:r>
      <w:r w:rsidRPr="37DBAC1B">
        <w:rPr>
          <w:rFonts w:eastAsia="SimSun" w:cs="Times New Roman"/>
        </w:rPr>
        <w:t xml:space="preserve"> the efficiency of the sequestration. Trapping mechanisms can be </w:t>
      </w:r>
      <w:bookmarkStart w:id="31" w:name="_Int_tZlTD0ES"/>
      <w:r w:rsidRPr="37DBAC1B">
        <w:rPr>
          <w:rFonts w:eastAsia="SimSun" w:cs="Times New Roman"/>
        </w:rPr>
        <w:t>generally classified</w:t>
      </w:r>
      <w:bookmarkEnd w:id="31"/>
      <w:r w:rsidRPr="37DBAC1B">
        <w:rPr>
          <w:rFonts w:eastAsia="SimSun" w:cs="Times New Roman"/>
        </w:rPr>
        <w:t xml:space="preserve"> as physical or geochemical</w:t>
      </w:r>
      <w:r w:rsidR="005F3A60">
        <w:rPr>
          <w:rFonts w:eastAsia="SimSun" w:cs="Times New Roman"/>
        </w:rPr>
        <w:t>,</w:t>
      </w:r>
      <w:r w:rsidRPr="37DBAC1B">
        <w:rPr>
          <w:rFonts w:eastAsia="SimSun" w:cs="Times New Roman"/>
        </w:rPr>
        <w:t xml:space="preserve"> as shown in the figure below. Physical trapping </w:t>
      </w:r>
      <w:r w:rsidR="00356787">
        <w:rPr>
          <w:rFonts w:eastAsia="SimSun" w:cs="Times New Roman"/>
        </w:rPr>
        <w:t xml:space="preserve">mechanisms can either be when structural or stratigraphic traps entrap </w:t>
      </w:r>
      <w:r w:rsidRPr="37DBAC1B">
        <w:rPr>
          <w:rFonts w:eastAsia="SimSun" w:cs="Times New Roman"/>
        </w:rPr>
        <w:t>mobile CO</w:t>
      </w:r>
      <w:r w:rsidRPr="37DBAC1B">
        <w:rPr>
          <w:rFonts w:eastAsia="SimSun" w:cs="Times New Roman"/>
          <w:vertAlign w:val="subscript"/>
        </w:rPr>
        <w:t>2</w:t>
      </w:r>
      <w:r w:rsidRPr="37DBAC1B">
        <w:rPr>
          <w:rFonts w:eastAsia="SimSun" w:cs="Times New Roman"/>
        </w:rPr>
        <w:t xml:space="preserve"> </w:t>
      </w:r>
      <w:r w:rsidR="00356787">
        <w:rPr>
          <w:rFonts w:eastAsia="SimSun" w:cs="Times New Roman"/>
        </w:rPr>
        <w:t xml:space="preserve">or when </w:t>
      </w:r>
      <w:r w:rsidR="00356787" w:rsidRPr="37DBAC1B">
        <w:rPr>
          <w:rFonts w:eastAsia="SimSun" w:cs="Times New Roman"/>
        </w:rPr>
        <w:t>CO</w:t>
      </w:r>
      <w:r w:rsidR="00356787" w:rsidRPr="37DBAC1B">
        <w:rPr>
          <w:rFonts w:eastAsia="SimSun" w:cs="Times New Roman"/>
          <w:vertAlign w:val="subscript"/>
        </w:rPr>
        <w:t>2</w:t>
      </w:r>
      <w:r w:rsidR="00356787">
        <w:rPr>
          <w:rFonts w:eastAsia="SimSun" w:cs="Times New Roman"/>
          <w:vertAlign w:val="subscript"/>
        </w:rPr>
        <w:t xml:space="preserve"> </w:t>
      </w:r>
      <w:r w:rsidR="00356787">
        <w:rPr>
          <w:rFonts w:eastAsia="SimSun" w:cs="Times New Roman"/>
        </w:rPr>
        <w:t xml:space="preserve">becomes trapped in pore spaces due to its lack of mobility at irreducible saturations </w:t>
      </w:r>
      <w:sdt>
        <w:sdtPr>
          <w:rPr>
            <w:szCs w:val="24"/>
          </w:rPr>
          <w:id w:val="-1126393537"/>
          <w:lock w:val="contentLocked"/>
          <w:placeholder>
            <w:docPart w:val="B5EF8E4F95E748BFB1AB439CFCAFD5D8"/>
          </w:placeholder>
          <w:citation/>
        </w:sdtPr>
        <w:sdtContent>
          <w:r w:rsidR="00356787">
            <w:rPr>
              <w:szCs w:val="24"/>
            </w:rPr>
            <w:fldChar w:fldCharType="begin"/>
          </w:r>
          <w:r w:rsidR="00356787">
            <w:rPr>
              <w:szCs w:val="24"/>
            </w:rPr>
            <w:instrText xml:space="preserve"> CITATION Bac081 \l 1033 </w:instrText>
          </w:r>
          <w:r w:rsidR="00356787">
            <w:rPr>
              <w:szCs w:val="24"/>
            </w:rPr>
            <w:fldChar w:fldCharType="separate"/>
          </w:r>
          <w:r w:rsidR="00C84822" w:rsidRPr="00C84822">
            <w:rPr>
              <w:noProof/>
              <w:szCs w:val="24"/>
            </w:rPr>
            <w:t>(Bachu, 2008)</w:t>
          </w:r>
          <w:r w:rsidR="00356787">
            <w:rPr>
              <w:szCs w:val="24"/>
            </w:rPr>
            <w:fldChar w:fldCharType="end"/>
          </w:r>
        </w:sdtContent>
      </w:sdt>
      <w:r w:rsidR="00356787">
        <w:rPr>
          <w:szCs w:val="24"/>
        </w:rPr>
        <w:t xml:space="preserve">, </w:t>
      </w:r>
      <w:sdt>
        <w:sdtPr>
          <w:rPr>
            <w:szCs w:val="24"/>
          </w:rPr>
          <w:id w:val="2001693895"/>
          <w:lock w:val="contentLocked"/>
          <w:placeholder>
            <w:docPart w:val="B5EF8E4F95E748BFB1AB439CFCAFD5D8"/>
          </w:placeholder>
          <w:citation/>
        </w:sdtPr>
        <w:sdtContent>
          <w:r w:rsidR="00356787" w:rsidRPr="009C1FF4">
            <w:rPr>
              <w:szCs w:val="24"/>
            </w:rPr>
            <w:fldChar w:fldCharType="begin"/>
          </w:r>
          <w:r w:rsidR="00356787" w:rsidRPr="009C1FF4">
            <w:rPr>
              <w:szCs w:val="24"/>
            </w:rPr>
            <w:instrText xml:space="preserve"> CITATION Ben08 \l 1033 </w:instrText>
          </w:r>
          <w:r w:rsidR="00356787" w:rsidRPr="009C1FF4">
            <w:rPr>
              <w:szCs w:val="24"/>
            </w:rPr>
            <w:fldChar w:fldCharType="separate"/>
          </w:r>
          <w:r w:rsidR="00C84822" w:rsidRPr="00C84822">
            <w:rPr>
              <w:noProof/>
              <w:szCs w:val="24"/>
            </w:rPr>
            <w:t xml:space="preserve">(Benson &amp; Cole, </w:t>
          </w:r>
          <w:r w:rsidR="00C84822" w:rsidRPr="00C84822">
            <w:rPr>
              <w:noProof/>
              <w:szCs w:val="24"/>
            </w:rPr>
            <w:lastRenderedPageBreak/>
            <w:t>2008)</w:t>
          </w:r>
          <w:r w:rsidR="00356787" w:rsidRPr="009C1FF4">
            <w:rPr>
              <w:szCs w:val="24"/>
            </w:rPr>
            <w:fldChar w:fldCharType="end"/>
          </w:r>
        </w:sdtContent>
      </w:sdt>
      <w:r w:rsidR="00356787" w:rsidRPr="009C1FF4">
        <w:rPr>
          <w:szCs w:val="24"/>
        </w:rPr>
        <w:t>.</w:t>
      </w:r>
      <w:r w:rsidR="00356787">
        <w:rPr>
          <w:rFonts w:eastAsia="SimSun" w:cs="Times New Roman"/>
        </w:rPr>
        <w:t xml:space="preserve"> </w:t>
      </w:r>
      <w:r w:rsidRPr="37DBAC1B">
        <w:rPr>
          <w:rFonts w:eastAsia="SimSun" w:cs="Times New Roman"/>
        </w:rPr>
        <w:t xml:space="preserve">Geochemical trapping </w:t>
      </w:r>
      <w:r w:rsidR="00356787">
        <w:rPr>
          <w:rFonts w:eastAsia="SimSun" w:cs="Times New Roman"/>
        </w:rPr>
        <w:t xml:space="preserve">involves the dissolution of </w:t>
      </w:r>
      <w:r w:rsidRPr="37DBAC1B">
        <w:rPr>
          <w:rFonts w:eastAsia="SimSun" w:cs="Times New Roman"/>
        </w:rPr>
        <w:t>CO</w:t>
      </w:r>
      <w:r w:rsidRPr="37DBAC1B">
        <w:rPr>
          <w:rFonts w:eastAsia="SimSun" w:cs="Times New Roman"/>
          <w:vertAlign w:val="subscript"/>
        </w:rPr>
        <w:t>2</w:t>
      </w:r>
      <w:r w:rsidR="00D179BB">
        <w:rPr>
          <w:rFonts w:eastAsia="SimSun" w:cs="Times New Roman"/>
        </w:rPr>
        <w:t xml:space="preserve"> </w:t>
      </w:r>
      <w:r w:rsidRPr="37DBAC1B">
        <w:rPr>
          <w:rFonts w:eastAsia="SimSun" w:cs="Times New Roman"/>
        </w:rPr>
        <w:t xml:space="preserve">in </w:t>
      </w:r>
      <w:r w:rsidR="00356787">
        <w:rPr>
          <w:rFonts w:eastAsia="SimSun" w:cs="Times New Roman"/>
        </w:rPr>
        <w:t>in-situ</w:t>
      </w:r>
      <w:r w:rsidRPr="37DBAC1B">
        <w:rPr>
          <w:rFonts w:eastAsia="SimSun" w:cs="Times New Roman"/>
        </w:rPr>
        <w:t xml:space="preserve"> fluids</w:t>
      </w:r>
      <w:r w:rsidR="00356787">
        <w:rPr>
          <w:rFonts w:eastAsia="SimSun" w:cs="Times New Roman"/>
        </w:rPr>
        <w:t xml:space="preserve">. This can be </w:t>
      </w:r>
      <w:r w:rsidR="009A72C5">
        <w:rPr>
          <w:rFonts w:eastAsia="SimSun" w:cs="Times New Roman"/>
        </w:rPr>
        <w:t>because of</w:t>
      </w:r>
      <w:r w:rsidR="00356787">
        <w:rPr>
          <w:rFonts w:eastAsia="SimSun" w:cs="Times New Roman"/>
        </w:rPr>
        <w:t xml:space="preserve"> the solubility of the fluids or ions in the fluids entrapping the </w:t>
      </w:r>
      <w:r w:rsidR="00356787" w:rsidRPr="37DBAC1B">
        <w:rPr>
          <w:rFonts w:eastAsia="SimSun" w:cs="Times New Roman"/>
        </w:rPr>
        <w:t>CO</w:t>
      </w:r>
      <w:r w:rsidR="00356787" w:rsidRPr="37DBAC1B">
        <w:rPr>
          <w:rFonts w:eastAsia="SimSun" w:cs="Times New Roman"/>
          <w:vertAlign w:val="subscript"/>
        </w:rPr>
        <w:t>2</w:t>
      </w:r>
      <w:r w:rsidR="00356787">
        <w:rPr>
          <w:rFonts w:eastAsia="SimSun" w:cs="Times New Roman"/>
        </w:rPr>
        <w:t xml:space="preserve">. Aside from reaction with in-situ fluids, geochemical tapping can also occur when the </w:t>
      </w:r>
      <w:r w:rsidR="00356787" w:rsidRPr="37DBAC1B">
        <w:rPr>
          <w:rFonts w:eastAsia="SimSun" w:cs="Times New Roman"/>
        </w:rPr>
        <w:t>CO</w:t>
      </w:r>
      <w:r w:rsidR="00356787" w:rsidRPr="37DBAC1B">
        <w:rPr>
          <w:rFonts w:eastAsia="SimSun" w:cs="Times New Roman"/>
          <w:vertAlign w:val="subscript"/>
        </w:rPr>
        <w:t>2</w:t>
      </w:r>
      <w:r w:rsidR="00356787">
        <w:rPr>
          <w:rFonts w:eastAsia="SimSun" w:cs="Times New Roman"/>
        </w:rPr>
        <w:t xml:space="preserve"> reacts with the matrix of the formation. This is called mineral trapping. During </w:t>
      </w:r>
      <w:r w:rsidR="00356787" w:rsidRPr="37DBAC1B">
        <w:rPr>
          <w:rFonts w:eastAsia="SimSun" w:cs="Times New Roman"/>
        </w:rPr>
        <w:t>CO</w:t>
      </w:r>
      <w:r w:rsidR="00356787" w:rsidRPr="37DBAC1B">
        <w:rPr>
          <w:rFonts w:eastAsia="SimSun" w:cs="Times New Roman"/>
          <w:vertAlign w:val="subscript"/>
        </w:rPr>
        <w:t>2</w:t>
      </w:r>
      <w:r w:rsidR="00356787" w:rsidRPr="37DBAC1B">
        <w:rPr>
          <w:rFonts w:eastAsia="SimSun" w:cs="Times New Roman"/>
        </w:rPr>
        <w:t xml:space="preserve"> injection</w:t>
      </w:r>
      <w:r w:rsidR="00356787">
        <w:rPr>
          <w:rFonts w:eastAsia="SimSun" w:cs="Times New Roman"/>
        </w:rPr>
        <w:t>, g</w:t>
      </w:r>
      <w:r w:rsidRPr="37DBAC1B">
        <w:rPr>
          <w:rFonts w:eastAsia="SimSun" w:cs="Times New Roman"/>
        </w:rPr>
        <w:t xml:space="preserve">eomechanics is </w:t>
      </w:r>
      <w:r w:rsidR="009A72C5" w:rsidRPr="37DBAC1B">
        <w:rPr>
          <w:rFonts w:eastAsia="SimSun" w:cs="Times New Roman"/>
        </w:rPr>
        <w:t>most related</w:t>
      </w:r>
      <w:r w:rsidRPr="37DBAC1B">
        <w:rPr>
          <w:rFonts w:eastAsia="SimSun" w:cs="Times New Roman"/>
        </w:rPr>
        <w:t xml:space="preserve"> to physical trapping</w:t>
      </w:r>
      <w:r w:rsidR="00001142">
        <w:rPr>
          <w:rFonts w:eastAsia="SimSun" w:cs="Times New Roman"/>
        </w:rPr>
        <w:t>, hence the seismicity risk is associated with physical trapping.</w:t>
      </w:r>
    </w:p>
    <w:p w14:paraId="41EE87A7" w14:textId="1AD6461C" w:rsidR="00536395" w:rsidRPr="006A5693" w:rsidRDefault="006A5693" w:rsidP="006A5693">
      <w:pPr>
        <w:suppressAutoHyphens/>
        <w:overflowPunct w:val="0"/>
        <w:autoSpaceDE w:val="0"/>
        <w:autoSpaceDN w:val="0"/>
        <w:adjustRightInd w:val="0"/>
        <w:spacing w:after="0"/>
        <w:textAlignment w:val="baseline"/>
        <w:rPr>
          <w:rFonts w:eastAsia="SimSun" w:cs="Times New Roman"/>
        </w:rPr>
      </w:pPr>
      <w:r>
        <w:rPr>
          <w:rFonts w:eastAsia="SimSun" w:cs="Times New Roman"/>
          <w:noProof/>
        </w:rPr>
        <w:drawing>
          <wp:inline distT="0" distB="0" distL="0" distR="0" wp14:anchorId="2BB27B42" wp14:editId="39649F9F">
            <wp:extent cx="5897880" cy="24892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9">
                      <a:extLst>
                        <a:ext uri="{28A0092B-C50C-407E-A947-70E740481C1C}">
                          <a14:useLocalDpi xmlns:a14="http://schemas.microsoft.com/office/drawing/2010/main" val="0"/>
                        </a:ext>
                      </a:extLst>
                    </a:blip>
                    <a:srcRect t="20879" b="18031"/>
                    <a:stretch/>
                  </pic:blipFill>
                  <pic:spPr bwMode="auto">
                    <a:xfrm>
                      <a:off x="0" y="0"/>
                      <a:ext cx="5919587" cy="2498361"/>
                    </a:xfrm>
                    <a:prstGeom prst="rect">
                      <a:avLst/>
                    </a:prstGeom>
                    <a:noFill/>
                    <a:ln>
                      <a:noFill/>
                    </a:ln>
                    <a:extLst>
                      <a:ext uri="{53640926-AAD7-44D8-BBD7-CCE9431645EC}">
                        <a14:shadowObscured xmlns:a14="http://schemas.microsoft.com/office/drawing/2010/main"/>
                      </a:ext>
                    </a:extLst>
                  </pic:spPr>
                </pic:pic>
              </a:graphicData>
            </a:graphic>
          </wp:inline>
        </w:drawing>
      </w:r>
    </w:p>
    <w:p w14:paraId="2CAE5C11" w14:textId="4AB6FD34" w:rsidR="00536395" w:rsidRPr="00066DA9" w:rsidRDefault="00536395" w:rsidP="00CA62CF">
      <w:pPr>
        <w:pStyle w:val="Caption"/>
      </w:pPr>
      <w:bookmarkStart w:id="32" w:name="_Toc112856553"/>
      <w:bookmarkStart w:id="33" w:name="_Toc121265848"/>
      <w:r>
        <w:t xml:space="preserve">Figure </w:t>
      </w:r>
      <w:fldSimple w:instr=" SEQ Figure \* ARABIC ">
        <w:r w:rsidR="00955725">
          <w:rPr>
            <w:noProof/>
          </w:rPr>
          <w:t>5</w:t>
        </w:r>
      </w:fldSimple>
      <w:r>
        <w:t xml:space="preserve">: </w:t>
      </w:r>
      <w:r w:rsidRPr="00AB1DB7">
        <w:t>Different CO2 trapping mechanisms in geological storage sites</w:t>
      </w:r>
      <w:bookmarkEnd w:id="32"/>
      <w:bookmarkEnd w:id="33"/>
    </w:p>
    <w:p w14:paraId="380EBBB0" w14:textId="53A32265" w:rsidR="00536395" w:rsidRPr="00276172" w:rsidRDefault="001E13CC" w:rsidP="00460750">
      <w:pPr>
        <w:pStyle w:val="Heading2"/>
        <w:rPr>
          <w:rFonts w:eastAsia="SimSun"/>
          <w:sz w:val="24"/>
        </w:rPr>
      </w:pPr>
      <w:bookmarkStart w:id="34" w:name="_Toc121265815"/>
      <w:r>
        <w:rPr>
          <w:rFonts w:eastAsia="SimSun"/>
        </w:rPr>
        <w:t>2.2</w:t>
      </w:r>
      <w:r w:rsidR="00536395">
        <w:rPr>
          <w:rFonts w:eastAsia="SimSun"/>
        </w:rPr>
        <w:t xml:space="preserve"> Geomechanical </w:t>
      </w:r>
      <w:r w:rsidR="00536395" w:rsidRPr="00276172">
        <w:rPr>
          <w:rFonts w:eastAsia="SimSun"/>
          <w:sz w:val="24"/>
        </w:rPr>
        <w:t>R</w:t>
      </w:r>
      <w:r w:rsidR="00536395">
        <w:rPr>
          <w:rFonts w:eastAsia="SimSun"/>
        </w:rPr>
        <w:t>isk</w:t>
      </w:r>
      <w:bookmarkEnd w:id="34"/>
    </w:p>
    <w:p w14:paraId="4DB59728" w14:textId="346B563B" w:rsidR="008A67EE" w:rsidRPr="00276172" w:rsidRDefault="00536395" w:rsidP="00460750">
      <w:pPr>
        <w:suppressAutoHyphens/>
        <w:overflowPunct w:val="0"/>
        <w:autoSpaceDE w:val="0"/>
        <w:autoSpaceDN w:val="0"/>
        <w:adjustRightInd w:val="0"/>
        <w:spacing w:after="0"/>
        <w:textAlignment w:val="baseline"/>
        <w:rPr>
          <w:rFonts w:eastAsia="SimSun" w:cs="Times New Roman"/>
        </w:rPr>
      </w:pPr>
      <w:r w:rsidRPr="37DBAC1B">
        <w:rPr>
          <w:rFonts w:eastAsia="SimSun" w:cs="Times New Roman"/>
        </w:rPr>
        <w:t xml:space="preserve">Risk is the probability of occurrence and magnitude of consequence of an unwanted accident. It is a combination of the probability of an adverse event occurring and the severity of that event. Under this concept a given level of risk could come from events of different severity, but the more severe the event the lower the probability of its occurrence would be. In geologic subsurface sequestration activities, achieving zero geomechanical risk is </w:t>
      </w:r>
      <w:bookmarkStart w:id="35" w:name="_Int_qp5HjqYl"/>
      <w:r w:rsidRPr="37DBAC1B">
        <w:rPr>
          <w:rFonts w:eastAsia="SimSun" w:cs="Times New Roman"/>
        </w:rPr>
        <w:t>nearly impossible</w:t>
      </w:r>
      <w:bookmarkEnd w:id="35"/>
      <w:r w:rsidRPr="37DBAC1B">
        <w:rPr>
          <w:rFonts w:eastAsia="SimSun" w:cs="Times New Roman"/>
        </w:rPr>
        <w:t xml:space="preserve">, majorly due to the limited direct access to the deep subsurface via boreholes and the inherent heterogeneity of geology, hence it is </w:t>
      </w:r>
      <w:bookmarkStart w:id="36" w:name="_Int_Mzlo1moZ"/>
      <w:r w:rsidRPr="37DBAC1B">
        <w:rPr>
          <w:rFonts w:eastAsia="SimSun" w:cs="Times New Roman"/>
        </w:rPr>
        <w:t>incredibly significant</w:t>
      </w:r>
      <w:bookmarkEnd w:id="36"/>
      <w:r w:rsidRPr="37DBAC1B">
        <w:rPr>
          <w:rFonts w:eastAsia="SimSun" w:cs="Times New Roman"/>
        </w:rPr>
        <w:t xml:space="preserve"> to be able to estimate the probabilities </w:t>
      </w:r>
      <w:r w:rsidRPr="37DBAC1B">
        <w:rPr>
          <w:rFonts w:eastAsia="SimSun" w:cs="Times New Roman"/>
        </w:rPr>
        <w:lastRenderedPageBreak/>
        <w:t>of the state of stress associated with these activities as well as other geomechanical parameters that can contribute to the risk of sequestration.</w:t>
      </w:r>
    </w:p>
    <w:p w14:paraId="3F2B034F" w14:textId="6DD4D9CB" w:rsidR="008A67EE" w:rsidRPr="00276172" w:rsidRDefault="00536395" w:rsidP="00460750">
      <w:pPr>
        <w:suppressAutoHyphens/>
        <w:overflowPunct w:val="0"/>
        <w:autoSpaceDE w:val="0"/>
        <w:autoSpaceDN w:val="0"/>
        <w:adjustRightInd w:val="0"/>
        <w:spacing w:after="0"/>
        <w:textAlignment w:val="baseline"/>
        <w:rPr>
          <w:rFonts w:eastAsia="SimSun" w:cs="Times New Roman"/>
        </w:rPr>
      </w:pPr>
      <w:r w:rsidRPr="37DBAC1B">
        <w:rPr>
          <w:rFonts w:eastAsia="SimSun" w:cs="Times New Roman"/>
        </w:rPr>
        <w:t>The Environmental Protection Agency (EPA) has some well</w:t>
      </w:r>
      <w:r w:rsidR="00707420">
        <w:rPr>
          <w:rFonts w:eastAsia="SimSun" w:cs="Times New Roman"/>
        </w:rPr>
        <w:t>-</w:t>
      </w:r>
      <w:r w:rsidRPr="37DBAC1B">
        <w:rPr>
          <w:rFonts w:eastAsia="SimSun" w:cs="Times New Roman"/>
        </w:rPr>
        <w:t xml:space="preserve">laid out guidelines regarding the risks associated with </w:t>
      </w:r>
      <w:r>
        <w:rPr>
          <w:rFonts w:eastAsia="SimSun" w:cs="Times New Roman"/>
        </w:rPr>
        <w:t>CO</w:t>
      </w:r>
      <w:r>
        <w:rPr>
          <w:rFonts w:eastAsia="SimSun" w:cs="Times New Roman"/>
          <w:vertAlign w:val="subscript"/>
        </w:rPr>
        <w:t>2</w:t>
      </w:r>
      <w:r w:rsidRPr="37DBAC1B">
        <w:rPr>
          <w:rFonts w:eastAsia="SimSun" w:cs="Times New Roman"/>
        </w:rPr>
        <w:t xml:space="preserve"> injection. The Class VI permit</w:t>
      </w:r>
      <w:r w:rsidR="00001142">
        <w:rPr>
          <w:rFonts w:eastAsia="SimSun" w:cs="Times New Roman"/>
        </w:rPr>
        <w:t xml:space="preserve"> regulations</w:t>
      </w:r>
      <w:r>
        <w:rPr>
          <w:rFonts w:eastAsia="SimSun" w:cs="Times New Roman"/>
        </w:rPr>
        <w:t xml:space="preserve"> </w:t>
      </w:r>
      <w:sdt>
        <w:sdtPr>
          <w:rPr>
            <w:rFonts w:eastAsia="SimSun" w:cs="Times New Roman"/>
          </w:rPr>
          <w:id w:val="370966644"/>
          <w:citation/>
        </w:sdtPr>
        <w:sdtContent>
          <w:r>
            <w:rPr>
              <w:rFonts w:eastAsia="SimSun" w:cs="Times New Roman"/>
            </w:rPr>
            <w:fldChar w:fldCharType="begin"/>
          </w:r>
          <w:r>
            <w:rPr>
              <w:rFonts w:eastAsia="SimSun" w:cs="Times New Roman"/>
            </w:rPr>
            <w:instrText xml:space="preserve">CITATION EPA \l 1033 </w:instrText>
          </w:r>
          <w:r>
            <w:rPr>
              <w:rFonts w:eastAsia="SimSun" w:cs="Times New Roman"/>
            </w:rPr>
            <w:fldChar w:fldCharType="separate"/>
          </w:r>
          <w:r w:rsidR="00C84822" w:rsidRPr="00C84822">
            <w:rPr>
              <w:rFonts w:eastAsia="SimSun" w:cs="Times New Roman"/>
              <w:noProof/>
            </w:rPr>
            <w:t>(EPA, Subpart UU – Injection of Carbon Dioxide, 2021)</w:t>
          </w:r>
          <w:r>
            <w:rPr>
              <w:rFonts w:eastAsia="SimSun" w:cs="Times New Roman"/>
            </w:rPr>
            <w:fldChar w:fldCharType="end"/>
          </w:r>
        </w:sdtContent>
      </w:sdt>
      <w:r w:rsidRPr="37DBAC1B">
        <w:rPr>
          <w:rFonts w:eastAsia="SimSun" w:cs="Times New Roman"/>
        </w:rPr>
        <w:t xml:space="preserve"> </w:t>
      </w:r>
      <w:r w:rsidR="00001142">
        <w:rPr>
          <w:rFonts w:eastAsia="SimSun" w:cs="Times New Roman"/>
        </w:rPr>
        <w:t>require</w:t>
      </w:r>
      <w:r w:rsidRPr="37DBAC1B">
        <w:rPr>
          <w:rFonts w:eastAsia="SimSun" w:cs="Times New Roman"/>
        </w:rPr>
        <w:t xml:space="preserve"> that an operator </w:t>
      </w:r>
      <w:r w:rsidR="00001142">
        <w:rPr>
          <w:rFonts w:eastAsia="SimSun" w:cs="Times New Roman"/>
        </w:rPr>
        <w:t>should</w:t>
      </w:r>
      <w:r w:rsidRPr="37DBAC1B">
        <w:rPr>
          <w:rFonts w:eastAsia="SimSun" w:cs="Times New Roman"/>
        </w:rPr>
        <w:t xml:space="preserve"> submit </w:t>
      </w:r>
      <w:r w:rsidR="007A2054">
        <w:rPr>
          <w:rFonts w:eastAsia="SimSun" w:cs="Times New Roman"/>
        </w:rPr>
        <w:t xml:space="preserve">relevant </w:t>
      </w:r>
      <w:r w:rsidRPr="37DBAC1B">
        <w:rPr>
          <w:rFonts w:eastAsia="SimSun" w:cs="Times New Roman"/>
        </w:rPr>
        <w:t>information on</w:t>
      </w:r>
      <w:r w:rsidR="007A2054" w:rsidRPr="37DBAC1B">
        <w:rPr>
          <w:rFonts w:eastAsia="SimSun" w:cs="Times New Roman"/>
        </w:rPr>
        <w:t xml:space="preserve"> stress, </w:t>
      </w:r>
      <w:r w:rsidR="00E56EDB" w:rsidRPr="37DBAC1B">
        <w:rPr>
          <w:rFonts w:eastAsia="SimSun" w:cs="Times New Roman"/>
        </w:rPr>
        <w:t>and in situ fluid pressures</w:t>
      </w:r>
      <w:r w:rsidR="00E56EDB">
        <w:rPr>
          <w:rFonts w:eastAsia="SimSun" w:cs="Times New Roman"/>
        </w:rPr>
        <w:t xml:space="preserve">, </w:t>
      </w:r>
      <w:r w:rsidRPr="37DBAC1B">
        <w:rPr>
          <w:rFonts w:eastAsia="SimSun" w:cs="Times New Roman"/>
        </w:rPr>
        <w:t>fractures</w:t>
      </w:r>
      <w:r w:rsidR="007A2054">
        <w:rPr>
          <w:rFonts w:eastAsia="SimSun" w:cs="Times New Roman"/>
        </w:rPr>
        <w:t xml:space="preserve">, </w:t>
      </w:r>
      <w:r w:rsidR="00E56EDB" w:rsidRPr="37DBAC1B">
        <w:rPr>
          <w:rFonts w:eastAsia="SimSun" w:cs="Times New Roman"/>
        </w:rPr>
        <w:t>rock strength</w:t>
      </w:r>
      <w:r w:rsidR="00E56EDB">
        <w:rPr>
          <w:rFonts w:eastAsia="SimSun" w:cs="Times New Roman"/>
        </w:rPr>
        <w:t xml:space="preserve"> and </w:t>
      </w:r>
      <w:r w:rsidRPr="37DBAC1B">
        <w:rPr>
          <w:rFonts w:eastAsia="SimSun" w:cs="Times New Roman"/>
        </w:rPr>
        <w:t>ductility. They</w:t>
      </w:r>
      <w:r w:rsidR="007A2054">
        <w:rPr>
          <w:rFonts w:eastAsia="SimSun" w:cs="Times New Roman"/>
        </w:rPr>
        <w:t xml:space="preserve"> should</w:t>
      </w:r>
      <w:r w:rsidRPr="37DBAC1B">
        <w:rPr>
          <w:rFonts w:eastAsia="SimSun" w:cs="Times New Roman"/>
        </w:rPr>
        <w:t xml:space="preserve"> also demonstrate that the proposed injection pressures and volumes </w:t>
      </w:r>
      <w:r w:rsidR="007A2054">
        <w:rPr>
          <w:rFonts w:eastAsia="SimSun" w:cs="Times New Roman"/>
        </w:rPr>
        <w:t xml:space="preserve">into the formation would not </w:t>
      </w:r>
      <w:r w:rsidRPr="37DBAC1B">
        <w:rPr>
          <w:rFonts w:eastAsia="SimSun" w:cs="Times New Roman"/>
        </w:rPr>
        <w:t>initiat</w:t>
      </w:r>
      <w:r w:rsidR="007A2054">
        <w:rPr>
          <w:rFonts w:eastAsia="SimSun" w:cs="Times New Roman"/>
        </w:rPr>
        <w:t>e</w:t>
      </w:r>
      <w:r w:rsidRPr="37DBAC1B">
        <w:rPr>
          <w:rFonts w:eastAsia="SimSun" w:cs="Times New Roman"/>
        </w:rPr>
        <w:t xml:space="preserve"> or propaga</w:t>
      </w:r>
      <w:r w:rsidR="007A2054">
        <w:rPr>
          <w:rFonts w:eastAsia="SimSun" w:cs="Times New Roman"/>
        </w:rPr>
        <w:t>te</w:t>
      </w:r>
      <w:r w:rsidR="00D179BB">
        <w:rPr>
          <w:rFonts w:eastAsia="SimSun" w:cs="Times New Roman"/>
        </w:rPr>
        <w:t xml:space="preserve"> faults or fractures</w:t>
      </w:r>
      <w:r w:rsidR="007A2054">
        <w:rPr>
          <w:rFonts w:eastAsia="SimSun" w:cs="Times New Roman"/>
        </w:rPr>
        <w:t xml:space="preserve"> </w:t>
      </w:r>
      <w:sdt>
        <w:sdtPr>
          <w:rPr>
            <w:rFonts w:eastAsia="SimSun" w:cs="Times New Roman"/>
          </w:rPr>
          <w:id w:val="1502537656"/>
          <w:citation/>
        </w:sdtPr>
        <w:sdtContent>
          <w:r>
            <w:rPr>
              <w:rFonts w:eastAsia="SimSun" w:cs="Times New Roman"/>
            </w:rPr>
            <w:fldChar w:fldCharType="begin"/>
          </w:r>
          <w:r>
            <w:rPr>
              <w:rFonts w:eastAsia="SimSun" w:cs="Times New Roman"/>
            </w:rPr>
            <w:instrText xml:space="preserve"> CITATION EPA \l 1033 </w:instrText>
          </w:r>
          <w:r>
            <w:rPr>
              <w:rFonts w:eastAsia="SimSun" w:cs="Times New Roman"/>
            </w:rPr>
            <w:fldChar w:fldCharType="separate"/>
          </w:r>
          <w:r w:rsidR="00C84822" w:rsidRPr="00C84822">
            <w:rPr>
              <w:rFonts w:eastAsia="SimSun" w:cs="Times New Roman"/>
              <w:noProof/>
            </w:rPr>
            <w:t>(EPA, Subpart UU – Injection of Carbon Dioxide, 2021)</w:t>
          </w:r>
          <w:r>
            <w:rPr>
              <w:rFonts w:eastAsia="SimSun" w:cs="Times New Roman"/>
            </w:rPr>
            <w:fldChar w:fldCharType="end"/>
          </w:r>
        </w:sdtContent>
      </w:sdt>
      <w:r w:rsidRPr="37DBAC1B">
        <w:rPr>
          <w:rFonts w:eastAsia="SimSun" w:cs="Times New Roman"/>
        </w:rPr>
        <w:t xml:space="preserve">. </w:t>
      </w:r>
      <w:r w:rsidR="00E56EDB">
        <w:rPr>
          <w:rFonts w:eastAsia="SimSun" w:cs="Times New Roman"/>
        </w:rPr>
        <w:t xml:space="preserve">The fracture pressure </w:t>
      </w:r>
      <w:r w:rsidR="0085798A">
        <w:rPr>
          <w:rFonts w:eastAsia="SimSun" w:cs="Times New Roman"/>
        </w:rPr>
        <w:t xml:space="preserve">should </w:t>
      </w:r>
      <w:r w:rsidR="00E56EDB">
        <w:rPr>
          <w:rFonts w:eastAsia="SimSun" w:cs="Times New Roman"/>
        </w:rPr>
        <w:t>exceed the i</w:t>
      </w:r>
      <w:r w:rsidRPr="37DBAC1B">
        <w:rPr>
          <w:rFonts w:eastAsia="SimSun" w:cs="Times New Roman"/>
        </w:rPr>
        <w:t>njection pressure</w:t>
      </w:r>
      <w:r w:rsidR="00E56EDB">
        <w:rPr>
          <w:rFonts w:eastAsia="SimSun" w:cs="Times New Roman"/>
        </w:rPr>
        <w:t xml:space="preserve">, that is, </w:t>
      </w:r>
      <w:r w:rsidR="0085798A">
        <w:rPr>
          <w:rFonts w:eastAsia="SimSun" w:cs="Times New Roman"/>
        </w:rPr>
        <w:t>the injection pressure</w:t>
      </w:r>
      <w:r w:rsidRPr="37DBAC1B">
        <w:rPr>
          <w:rFonts w:eastAsia="SimSun" w:cs="Times New Roman"/>
        </w:rPr>
        <w:t xml:space="preserve"> should not </w:t>
      </w:r>
      <w:r w:rsidR="007A2054">
        <w:rPr>
          <w:rFonts w:eastAsia="SimSun" w:cs="Times New Roman"/>
        </w:rPr>
        <w:t xml:space="preserve">be more than </w:t>
      </w:r>
      <w:r w:rsidRPr="37DBAC1B">
        <w:rPr>
          <w:rFonts w:eastAsia="SimSun" w:cs="Times New Roman"/>
        </w:rPr>
        <w:t>90</w:t>
      </w:r>
      <w:r w:rsidR="007A2054">
        <w:rPr>
          <w:rFonts w:eastAsia="SimSun" w:cs="Times New Roman"/>
        </w:rPr>
        <w:t>%</w:t>
      </w:r>
      <w:r w:rsidRPr="37DBAC1B">
        <w:rPr>
          <w:rFonts w:eastAsia="SimSun" w:cs="Times New Roman"/>
        </w:rPr>
        <w:t xml:space="preserve"> of</w:t>
      </w:r>
      <w:r w:rsidR="007A2054">
        <w:rPr>
          <w:rFonts w:eastAsia="SimSun" w:cs="Times New Roman"/>
        </w:rPr>
        <w:t xml:space="preserve"> formation</w:t>
      </w:r>
      <w:r w:rsidRPr="37DBAC1B">
        <w:rPr>
          <w:rFonts w:eastAsia="SimSun" w:cs="Times New Roman"/>
        </w:rPr>
        <w:t xml:space="preserve"> fracture pressure</w:t>
      </w:r>
      <w:r w:rsidR="00707420">
        <w:rPr>
          <w:rFonts w:eastAsia="SimSun" w:cs="Times New Roman"/>
        </w:rPr>
        <w:t>,</w:t>
      </w:r>
      <w:r w:rsidRPr="37DBAC1B">
        <w:rPr>
          <w:rFonts w:eastAsia="SimSun" w:cs="Times New Roman"/>
        </w:rPr>
        <w:t xml:space="preserve"> such as in </w:t>
      </w:r>
      <w:sdt>
        <w:sdtPr>
          <w:rPr>
            <w:rFonts w:eastAsia="SimSun" w:cs="Times New Roman"/>
          </w:rPr>
          <w:id w:val="-1817334149"/>
          <w:citation/>
        </w:sdtPr>
        <w:sdtContent>
          <w:r>
            <w:rPr>
              <w:rFonts w:eastAsia="SimSun" w:cs="Times New Roman"/>
            </w:rPr>
            <w:fldChar w:fldCharType="begin"/>
          </w:r>
          <w:r>
            <w:rPr>
              <w:rFonts w:eastAsia="SimSun" w:cs="Times New Roman"/>
            </w:rPr>
            <w:instrText xml:space="preserve">CITATION Chi08 \l 1033 </w:instrText>
          </w:r>
          <w:r>
            <w:rPr>
              <w:rFonts w:eastAsia="SimSun" w:cs="Times New Roman"/>
            </w:rPr>
            <w:fldChar w:fldCharType="separate"/>
          </w:r>
          <w:r w:rsidR="00C84822" w:rsidRPr="00C84822">
            <w:rPr>
              <w:rFonts w:eastAsia="SimSun" w:cs="Times New Roman"/>
              <w:noProof/>
            </w:rPr>
            <w:t>(Chiaramonte, Zoback, Friedmann, &amp; Stamp, 2008)</w:t>
          </w:r>
          <w:r>
            <w:rPr>
              <w:rFonts w:eastAsia="SimSun" w:cs="Times New Roman"/>
            </w:rPr>
            <w:fldChar w:fldCharType="end"/>
          </w:r>
        </w:sdtContent>
      </w:sdt>
      <w:r w:rsidRPr="37DBAC1B">
        <w:rPr>
          <w:rFonts w:eastAsia="SimSun" w:cs="Times New Roman"/>
        </w:rPr>
        <w:t xml:space="preserve"> and </w:t>
      </w:r>
      <w:sdt>
        <w:sdtPr>
          <w:rPr>
            <w:rFonts w:eastAsia="SimSun" w:cs="Times New Roman"/>
          </w:rPr>
          <w:id w:val="1911652837"/>
          <w:citation/>
        </w:sdtPr>
        <w:sdtContent>
          <w:r>
            <w:rPr>
              <w:rFonts w:eastAsia="SimSun" w:cs="Times New Roman"/>
            </w:rPr>
            <w:fldChar w:fldCharType="begin"/>
          </w:r>
          <w:r>
            <w:rPr>
              <w:rFonts w:eastAsia="SimSun" w:cs="Times New Roman"/>
            </w:rPr>
            <w:instrText xml:space="preserve"> CITATION Zob03 \l 1033 </w:instrText>
          </w:r>
          <w:r>
            <w:rPr>
              <w:rFonts w:eastAsia="SimSun" w:cs="Times New Roman"/>
            </w:rPr>
            <w:fldChar w:fldCharType="separate"/>
          </w:r>
          <w:r w:rsidR="00C84822" w:rsidRPr="00C84822">
            <w:rPr>
              <w:rFonts w:eastAsia="SimSun" w:cs="Times New Roman"/>
              <w:noProof/>
            </w:rPr>
            <w:t>(Zoback, et al., 2003)</w:t>
          </w:r>
          <w:r>
            <w:rPr>
              <w:rFonts w:eastAsia="SimSun" w:cs="Times New Roman"/>
            </w:rPr>
            <w:fldChar w:fldCharType="end"/>
          </w:r>
        </w:sdtContent>
      </w:sdt>
      <w:r w:rsidR="00001142">
        <w:rPr>
          <w:rFonts w:eastAsia="SimSun" w:cs="Times New Roman"/>
        </w:rPr>
        <w:t>. H</w:t>
      </w:r>
      <w:r w:rsidRPr="37DBAC1B">
        <w:rPr>
          <w:rFonts w:eastAsia="SimSun" w:cs="Times New Roman"/>
        </w:rPr>
        <w:t>ence</w:t>
      </w:r>
      <w:r w:rsidR="00001142">
        <w:rPr>
          <w:rFonts w:eastAsia="SimSun" w:cs="Times New Roman"/>
        </w:rPr>
        <w:t>,</w:t>
      </w:r>
      <w:r w:rsidRPr="37DBAC1B">
        <w:rPr>
          <w:rFonts w:eastAsia="SimSun" w:cs="Times New Roman"/>
        </w:rPr>
        <w:t xml:space="preserve"> direct in situ formation testing, hydraulic fracture tests, borehole breakouts, and drilling induced fractures</w:t>
      </w:r>
      <w:r w:rsidR="00D179BB">
        <w:rPr>
          <w:rFonts w:eastAsia="SimSun" w:cs="Times New Roman"/>
        </w:rPr>
        <w:t xml:space="preserve"> tests (DIFT)</w:t>
      </w:r>
      <w:r w:rsidRPr="37DBAC1B">
        <w:rPr>
          <w:rFonts w:eastAsia="SimSun" w:cs="Times New Roman"/>
        </w:rPr>
        <w:t xml:space="preserve"> should be applied to e</w:t>
      </w:r>
      <w:r w:rsidR="007A2054">
        <w:rPr>
          <w:rFonts w:eastAsia="SimSun" w:cs="Times New Roman"/>
        </w:rPr>
        <w:t>valuate</w:t>
      </w:r>
      <w:r w:rsidRPr="37DBAC1B">
        <w:rPr>
          <w:rFonts w:eastAsia="SimSun" w:cs="Times New Roman"/>
        </w:rPr>
        <w:t xml:space="preserve"> the complete stress tensor hence, determining the magnitudes of the </w:t>
      </w:r>
      <w:r w:rsidR="007A2054">
        <w:rPr>
          <w:rFonts w:eastAsia="SimSun" w:cs="Times New Roman"/>
        </w:rPr>
        <w:t xml:space="preserve">principal </w:t>
      </w:r>
      <w:r w:rsidRPr="37DBAC1B">
        <w:rPr>
          <w:rFonts w:eastAsia="SimSun" w:cs="Times New Roman"/>
        </w:rPr>
        <w:t xml:space="preserve">minimum horizontal stress and </w:t>
      </w:r>
      <w:r w:rsidR="007A2054">
        <w:rPr>
          <w:rFonts w:eastAsia="SimSun" w:cs="Times New Roman"/>
        </w:rPr>
        <w:t xml:space="preserve">principal </w:t>
      </w:r>
      <w:r w:rsidRPr="37DBAC1B">
        <w:rPr>
          <w:rFonts w:eastAsia="SimSun" w:cs="Times New Roman"/>
        </w:rPr>
        <w:t xml:space="preserve">maximum horizontal stress with considerable accuracy. </w:t>
      </w:r>
    </w:p>
    <w:p w14:paraId="3652327E" w14:textId="51229FCF" w:rsidR="008A67EE" w:rsidRPr="00276172" w:rsidRDefault="00000000" w:rsidP="00460750">
      <w:pPr>
        <w:suppressAutoHyphens/>
        <w:overflowPunct w:val="0"/>
        <w:autoSpaceDE w:val="0"/>
        <w:autoSpaceDN w:val="0"/>
        <w:adjustRightInd w:val="0"/>
        <w:spacing w:after="0"/>
        <w:textAlignment w:val="baseline"/>
        <w:rPr>
          <w:rFonts w:eastAsia="SimSun" w:cs="Times New Roman"/>
        </w:rPr>
      </w:pPr>
      <w:sdt>
        <w:sdtPr>
          <w:rPr>
            <w:rFonts w:eastAsia="SimSun" w:cs="Times New Roman"/>
          </w:rPr>
          <w:id w:val="915368698"/>
          <w:citation/>
        </w:sdtPr>
        <w:sdtContent>
          <w:r w:rsidR="00C84822">
            <w:rPr>
              <w:rFonts w:eastAsia="SimSun" w:cs="Times New Roman"/>
            </w:rPr>
            <w:fldChar w:fldCharType="begin"/>
          </w:r>
          <w:r w:rsidR="00C84822">
            <w:rPr>
              <w:rFonts w:eastAsia="SimSun" w:cs="Times New Roman"/>
            </w:rPr>
            <w:instrText xml:space="preserve">CITATION Rin19 \l 1033 </w:instrText>
          </w:r>
          <w:r w:rsidR="00C84822">
            <w:rPr>
              <w:rFonts w:eastAsia="SimSun" w:cs="Times New Roman"/>
            </w:rPr>
            <w:fldChar w:fldCharType="separate"/>
          </w:r>
          <w:r w:rsidR="00C84822" w:rsidRPr="00C84822">
            <w:rPr>
              <w:rFonts w:eastAsia="SimSun" w:cs="Times New Roman"/>
              <w:noProof/>
            </w:rPr>
            <w:t>(Ringrose, et al., 2013)</w:t>
          </w:r>
          <w:r w:rsidR="00C84822">
            <w:rPr>
              <w:rFonts w:eastAsia="SimSun" w:cs="Times New Roman"/>
            </w:rPr>
            <w:fldChar w:fldCharType="end"/>
          </w:r>
        </w:sdtContent>
      </w:sdt>
      <w:r w:rsidR="00C84822">
        <w:rPr>
          <w:rFonts w:eastAsia="SimSun" w:cs="Times New Roman"/>
        </w:rPr>
        <w:t xml:space="preserve"> </w:t>
      </w:r>
      <w:r w:rsidR="00E56EDB">
        <w:rPr>
          <w:rFonts w:eastAsia="SimSun" w:cs="Times New Roman"/>
        </w:rPr>
        <w:t>explained th</w:t>
      </w:r>
      <w:r w:rsidR="00C84822">
        <w:rPr>
          <w:rFonts w:eastAsia="SimSun" w:cs="Times New Roman"/>
        </w:rPr>
        <w:t>e</w:t>
      </w:r>
      <w:r w:rsidR="00E56EDB">
        <w:rPr>
          <w:rFonts w:eastAsia="SimSun" w:cs="Times New Roman"/>
        </w:rPr>
        <w:t xml:space="preserve"> </w:t>
      </w:r>
      <w:r w:rsidR="00536395" w:rsidRPr="37DBAC1B">
        <w:rPr>
          <w:rFonts w:eastAsia="SimSun" w:cs="Times New Roman"/>
        </w:rPr>
        <w:t xml:space="preserve">geomechanical risks associated with </w:t>
      </w:r>
      <w:r w:rsidR="007543BA">
        <w:rPr>
          <w:rFonts w:eastAsia="SimSun" w:cs="Times New Roman"/>
        </w:rPr>
        <w:t>geologic carbon sequestration</w:t>
      </w:r>
      <w:r w:rsidR="00536395" w:rsidRPr="37DBAC1B">
        <w:rPr>
          <w:rFonts w:eastAsia="SimSun" w:cs="Times New Roman"/>
        </w:rPr>
        <w:t xml:space="preserve"> a</w:t>
      </w:r>
      <w:r w:rsidR="00E70472">
        <w:rPr>
          <w:rFonts w:eastAsia="SimSun" w:cs="Times New Roman"/>
        </w:rPr>
        <w:t>s</w:t>
      </w:r>
      <w:r w:rsidR="00536395" w:rsidRPr="37DBAC1B">
        <w:rPr>
          <w:rFonts w:eastAsia="SimSun" w:cs="Times New Roman"/>
        </w:rPr>
        <w:t xml:space="preserve"> shown in </w:t>
      </w:r>
      <w:r w:rsidR="00536395">
        <w:rPr>
          <w:rFonts w:eastAsia="SimSun" w:cs="Times New Roman"/>
        </w:rPr>
        <w:t>f</w:t>
      </w:r>
      <w:r w:rsidR="00536395" w:rsidRPr="37DBAC1B">
        <w:rPr>
          <w:rFonts w:eastAsia="SimSun" w:cs="Times New Roman"/>
        </w:rPr>
        <w:t xml:space="preserve">igure </w:t>
      </w:r>
      <w:r w:rsidR="008A67EE">
        <w:rPr>
          <w:rFonts w:eastAsia="SimSun" w:cs="Times New Roman"/>
        </w:rPr>
        <w:t>6</w:t>
      </w:r>
      <w:r w:rsidR="00536395" w:rsidRPr="37DBAC1B">
        <w:rPr>
          <w:rFonts w:eastAsia="SimSun" w:cs="Times New Roman"/>
        </w:rPr>
        <w:t xml:space="preserve"> below. </w:t>
      </w:r>
      <w:r w:rsidR="007543BA">
        <w:rPr>
          <w:rFonts w:eastAsia="SimSun" w:cs="Times New Roman"/>
        </w:rPr>
        <w:t>The</w:t>
      </w:r>
      <w:r w:rsidR="00C84822">
        <w:rPr>
          <w:rFonts w:eastAsia="SimSun" w:cs="Times New Roman"/>
        </w:rPr>
        <w:t xml:space="preserve">y highlight </w:t>
      </w:r>
      <w:r w:rsidR="007543BA">
        <w:rPr>
          <w:rFonts w:eastAsia="SimSun" w:cs="Times New Roman"/>
        </w:rPr>
        <w:t>that changes in the formation can occur beyond the point of injection and even the CO</w:t>
      </w:r>
      <w:r w:rsidR="007543BA">
        <w:rPr>
          <w:rFonts w:eastAsia="SimSun" w:cs="Times New Roman"/>
          <w:vertAlign w:val="subscript"/>
        </w:rPr>
        <w:t>2</w:t>
      </w:r>
      <w:r w:rsidR="007543BA" w:rsidRPr="37DBAC1B">
        <w:rPr>
          <w:rFonts w:eastAsia="SimSun" w:cs="Times New Roman"/>
        </w:rPr>
        <w:t xml:space="preserve"> plume</w:t>
      </w:r>
      <w:r w:rsidR="007543BA">
        <w:rPr>
          <w:rFonts w:eastAsia="SimSun" w:cs="Times New Roman"/>
        </w:rPr>
        <w:t>.</w:t>
      </w:r>
      <w:r w:rsidR="00536395" w:rsidRPr="37DBAC1B">
        <w:rPr>
          <w:rFonts w:eastAsia="SimSun" w:cs="Times New Roman"/>
        </w:rPr>
        <w:t xml:space="preserve"> </w:t>
      </w:r>
      <w:r w:rsidR="00C84822">
        <w:rPr>
          <w:rFonts w:eastAsia="SimSun" w:cs="Times New Roman"/>
        </w:rPr>
        <w:t>I</w:t>
      </w:r>
      <w:r w:rsidR="007543BA">
        <w:rPr>
          <w:rFonts w:eastAsia="SimSun" w:cs="Times New Roman"/>
        </w:rPr>
        <w:t xml:space="preserve">t can be observed that changes in the temperature and pressure in the area of injection can cause changes in the stress and </w:t>
      </w:r>
      <w:r w:rsidR="00C84822">
        <w:rPr>
          <w:rFonts w:eastAsia="SimSun" w:cs="Times New Roman"/>
        </w:rPr>
        <w:t xml:space="preserve">mechanical </w:t>
      </w:r>
      <w:r w:rsidR="007543BA">
        <w:rPr>
          <w:rFonts w:eastAsia="SimSun" w:cs="Times New Roman"/>
        </w:rPr>
        <w:t>strain patterns, and fault activation around the area of injection. Beyond this area, stress and strain changes can also occur and these can affect faults</w:t>
      </w:r>
      <w:r w:rsidR="00F957A3">
        <w:rPr>
          <w:rFonts w:eastAsia="SimSun" w:cs="Times New Roman"/>
        </w:rPr>
        <w:t>, resulting in seismic events.</w:t>
      </w:r>
    </w:p>
    <w:p w14:paraId="35D7FC7B" w14:textId="2F60CD06" w:rsidR="00536395" w:rsidRDefault="00E56EDB" w:rsidP="00460750">
      <w:pPr>
        <w:suppressAutoHyphens/>
        <w:overflowPunct w:val="0"/>
        <w:autoSpaceDE w:val="0"/>
        <w:autoSpaceDN w:val="0"/>
        <w:adjustRightInd w:val="0"/>
        <w:spacing w:after="0"/>
        <w:textAlignment w:val="baseline"/>
        <w:rPr>
          <w:rFonts w:eastAsia="SimSun" w:cs="Times New Roman"/>
        </w:rPr>
      </w:pPr>
      <w:r>
        <w:rPr>
          <w:rFonts w:eastAsia="SimSun" w:cs="Times New Roman"/>
        </w:rPr>
        <w:t>Based on these highlighted</w:t>
      </w:r>
      <w:r w:rsidR="00536395" w:rsidRPr="37DBAC1B">
        <w:rPr>
          <w:rFonts w:eastAsia="SimSun" w:cs="Times New Roman"/>
        </w:rPr>
        <w:t xml:space="preserve"> geomechanical </w:t>
      </w:r>
      <w:r w:rsidR="00F957A3">
        <w:rPr>
          <w:rFonts w:eastAsia="SimSun" w:cs="Times New Roman"/>
        </w:rPr>
        <w:t>risks</w:t>
      </w:r>
      <w:r w:rsidR="00536395" w:rsidRPr="37DBAC1B">
        <w:rPr>
          <w:rFonts w:eastAsia="SimSun" w:cs="Times New Roman"/>
        </w:rPr>
        <w:t>,</w:t>
      </w:r>
      <w:r w:rsidR="00F957A3">
        <w:rPr>
          <w:rFonts w:eastAsia="SimSun" w:cs="Times New Roman"/>
        </w:rPr>
        <w:t xml:space="preserve"> it is apparent that </w:t>
      </w:r>
      <w:r>
        <w:rPr>
          <w:rFonts w:eastAsia="SimSun" w:cs="Times New Roman"/>
        </w:rPr>
        <w:t>accounting for these risks</w:t>
      </w:r>
      <w:r w:rsidR="00F957A3">
        <w:rPr>
          <w:rFonts w:eastAsia="SimSun" w:cs="Times New Roman"/>
        </w:rPr>
        <w:t xml:space="preserve"> has a significant </w:t>
      </w:r>
      <w:r>
        <w:rPr>
          <w:rFonts w:eastAsia="SimSun" w:cs="Times New Roman"/>
        </w:rPr>
        <w:t xml:space="preserve">part </w:t>
      </w:r>
      <w:r w:rsidR="00F957A3">
        <w:rPr>
          <w:rFonts w:eastAsia="SimSun" w:cs="Times New Roman"/>
        </w:rPr>
        <w:t xml:space="preserve">to play when </w:t>
      </w:r>
      <w:r w:rsidR="009A72C5">
        <w:rPr>
          <w:rFonts w:eastAsia="SimSun" w:cs="Times New Roman"/>
        </w:rPr>
        <w:t xml:space="preserve">selecting a site for carbon sequestration. At the early stages of </w:t>
      </w:r>
      <w:r w:rsidR="009A72C5">
        <w:rPr>
          <w:rFonts w:eastAsia="SimSun" w:cs="Times New Roman"/>
        </w:rPr>
        <w:lastRenderedPageBreak/>
        <w:t>carbon sequestration projects, risk assessments is usually performed to determine if the site is fit for selection</w:t>
      </w:r>
      <w:sdt>
        <w:sdtPr>
          <w:rPr>
            <w:rFonts w:eastAsia="SimSun" w:cs="Times New Roman"/>
          </w:rPr>
          <w:id w:val="238687847"/>
          <w:citation/>
        </w:sdtPr>
        <w:sdtContent>
          <w:r w:rsidR="006857CF" w:rsidRPr="006857CF">
            <w:rPr>
              <w:rFonts w:eastAsia="SimSun" w:cs="Times New Roman"/>
            </w:rPr>
            <w:fldChar w:fldCharType="begin"/>
          </w:r>
          <w:r w:rsidR="006857CF" w:rsidRPr="006857CF">
            <w:rPr>
              <w:rFonts w:eastAsia="SimSun" w:cs="Times New Roman"/>
            </w:rPr>
            <w:instrText xml:space="preserve">CITATION Sta09 \l 1033 </w:instrText>
          </w:r>
          <w:r w:rsidR="006857CF" w:rsidRPr="006857CF">
            <w:rPr>
              <w:rFonts w:eastAsia="SimSun" w:cs="Times New Roman"/>
            </w:rPr>
            <w:fldChar w:fldCharType="separate"/>
          </w:r>
          <w:r w:rsidR="00C84822">
            <w:rPr>
              <w:rFonts w:eastAsia="SimSun" w:cs="Times New Roman"/>
              <w:noProof/>
            </w:rPr>
            <w:t xml:space="preserve"> </w:t>
          </w:r>
          <w:r w:rsidR="00C84822" w:rsidRPr="00C84822">
            <w:rPr>
              <w:rFonts w:eastAsia="SimSun" w:cs="Times New Roman"/>
              <w:noProof/>
            </w:rPr>
            <w:t>(Stauffer, Viswanathan, Pawar, &amp; Guthrie, 2009)</w:t>
          </w:r>
          <w:r w:rsidR="006857CF" w:rsidRPr="006857CF">
            <w:rPr>
              <w:rFonts w:eastAsia="SimSun" w:cs="Times New Roman"/>
            </w:rPr>
            <w:fldChar w:fldCharType="end"/>
          </w:r>
        </w:sdtContent>
      </w:sdt>
      <w:r w:rsidR="00536395" w:rsidRPr="006857CF">
        <w:rPr>
          <w:rFonts w:eastAsia="SimSun" w:cs="Times New Roman"/>
        </w:rPr>
        <w:t xml:space="preserve">; </w:t>
      </w:r>
      <w:sdt>
        <w:sdtPr>
          <w:rPr>
            <w:rFonts w:eastAsia="SimSun" w:cs="Times New Roman"/>
          </w:rPr>
          <w:id w:val="-1887324558"/>
          <w:citation/>
        </w:sdtPr>
        <w:sdtContent>
          <w:r w:rsidR="006857CF" w:rsidRPr="006857CF">
            <w:rPr>
              <w:rFonts w:eastAsia="SimSun" w:cs="Times New Roman"/>
            </w:rPr>
            <w:fldChar w:fldCharType="begin"/>
          </w:r>
          <w:r w:rsidR="006857CF" w:rsidRPr="006857CF">
            <w:rPr>
              <w:rFonts w:eastAsia="SimSun" w:cs="Times New Roman"/>
            </w:rPr>
            <w:instrText xml:space="preserve"> CITATION Old09 \l 1033 </w:instrText>
          </w:r>
          <w:r w:rsidR="006857CF" w:rsidRPr="006857CF">
            <w:rPr>
              <w:rFonts w:eastAsia="SimSun" w:cs="Times New Roman"/>
            </w:rPr>
            <w:fldChar w:fldCharType="separate"/>
          </w:r>
          <w:r w:rsidR="00C84822" w:rsidRPr="00C84822">
            <w:rPr>
              <w:rFonts w:eastAsia="SimSun" w:cs="Times New Roman"/>
              <w:noProof/>
            </w:rPr>
            <w:t>(Oldenburg, Bryant, &amp; Nicot, 2009)</w:t>
          </w:r>
          <w:r w:rsidR="006857CF" w:rsidRPr="006857CF">
            <w:rPr>
              <w:rFonts w:eastAsia="SimSun" w:cs="Times New Roman"/>
            </w:rPr>
            <w:fldChar w:fldCharType="end"/>
          </w:r>
        </w:sdtContent>
      </w:sdt>
      <w:r w:rsidR="00536395" w:rsidRPr="37DBAC1B">
        <w:rPr>
          <w:rFonts w:eastAsia="SimSun" w:cs="Times New Roman"/>
        </w:rPr>
        <w:t>. In such a</w:t>
      </w:r>
      <w:r w:rsidR="009A72C5">
        <w:rPr>
          <w:rFonts w:eastAsia="SimSun" w:cs="Times New Roman"/>
        </w:rPr>
        <w:t>n</w:t>
      </w:r>
      <w:r w:rsidR="00536395" w:rsidRPr="37DBAC1B">
        <w:rPr>
          <w:rFonts w:eastAsia="SimSun" w:cs="Times New Roman"/>
        </w:rPr>
        <w:t xml:space="preserve"> analysis, </w:t>
      </w:r>
      <w:r w:rsidR="009A72C5">
        <w:rPr>
          <w:rFonts w:eastAsia="SimSun" w:cs="Times New Roman"/>
        </w:rPr>
        <w:t>the risks involved is not just limited to seismicity risks but also captures other events such as CO</w:t>
      </w:r>
      <w:r w:rsidR="009A72C5">
        <w:rPr>
          <w:rFonts w:eastAsia="SimSun" w:cs="Times New Roman"/>
          <w:vertAlign w:val="subscript"/>
        </w:rPr>
        <w:t xml:space="preserve">2 </w:t>
      </w:r>
      <w:r w:rsidR="009A72C5">
        <w:rPr>
          <w:rFonts w:eastAsia="SimSun" w:cs="Times New Roman"/>
        </w:rPr>
        <w:t>leakage into the formation, CO</w:t>
      </w:r>
      <w:r w:rsidR="009A72C5">
        <w:rPr>
          <w:rFonts w:eastAsia="SimSun" w:cs="Times New Roman"/>
          <w:vertAlign w:val="subscript"/>
        </w:rPr>
        <w:t xml:space="preserve">2 </w:t>
      </w:r>
      <w:r w:rsidR="009A72C5">
        <w:rPr>
          <w:rFonts w:eastAsia="SimSun" w:cs="Times New Roman"/>
        </w:rPr>
        <w:t xml:space="preserve">migration and buoyancy effects, contamination of groundwater </w:t>
      </w:r>
      <w:r w:rsidR="008F4D99">
        <w:rPr>
          <w:rFonts w:eastAsia="SimSun" w:cs="Times New Roman"/>
        </w:rPr>
        <w:t xml:space="preserve">table and aquifers </w:t>
      </w:r>
      <w:r w:rsidR="009A72C5">
        <w:rPr>
          <w:rFonts w:eastAsia="SimSun" w:cs="Times New Roman"/>
        </w:rPr>
        <w:t>due to carbon sequestration, deformation of surrounding formation</w:t>
      </w:r>
      <w:r w:rsidR="008F4D99">
        <w:rPr>
          <w:rFonts w:eastAsia="SimSun" w:cs="Times New Roman"/>
        </w:rPr>
        <w:t xml:space="preserve"> and overlying seals</w:t>
      </w:r>
      <w:r w:rsidR="009A72C5">
        <w:rPr>
          <w:rFonts w:eastAsia="SimSun" w:cs="Times New Roman"/>
        </w:rPr>
        <w:t>, localized deformation</w:t>
      </w:r>
      <w:r w:rsidR="008F4D99">
        <w:rPr>
          <w:rFonts w:eastAsia="SimSun" w:cs="Times New Roman"/>
        </w:rPr>
        <w:t xml:space="preserve"> around the point of injection</w:t>
      </w:r>
      <w:r w:rsidR="009A72C5">
        <w:rPr>
          <w:rFonts w:eastAsia="SimSun" w:cs="Times New Roman"/>
        </w:rPr>
        <w:t>, well damage due to injection CO</w:t>
      </w:r>
      <w:r w:rsidR="009A72C5">
        <w:rPr>
          <w:rFonts w:eastAsia="SimSun" w:cs="Times New Roman"/>
          <w:vertAlign w:val="subscript"/>
        </w:rPr>
        <w:t xml:space="preserve">2, </w:t>
      </w:r>
      <w:r w:rsidR="009A72C5">
        <w:rPr>
          <w:rFonts w:eastAsia="SimSun" w:cs="Times New Roman"/>
        </w:rPr>
        <w:t>migration to surface via faults or leaky pathways, and so on.</w:t>
      </w:r>
      <w:r w:rsidR="00536395" w:rsidRPr="37DBAC1B">
        <w:rPr>
          <w:rFonts w:eastAsia="SimSun" w:cs="Times New Roman"/>
        </w:rPr>
        <w:t xml:space="preserve"> </w:t>
      </w:r>
    </w:p>
    <w:p w14:paraId="39FDC28A" w14:textId="5F68502F" w:rsidR="00536395" w:rsidRPr="00FA7558" w:rsidRDefault="00D60B4B" w:rsidP="00FA7558">
      <w:pPr>
        <w:suppressAutoHyphens/>
        <w:overflowPunct w:val="0"/>
        <w:autoSpaceDE w:val="0"/>
        <w:autoSpaceDN w:val="0"/>
        <w:adjustRightInd w:val="0"/>
        <w:spacing w:after="0"/>
        <w:textAlignment w:val="baseline"/>
        <w:rPr>
          <w:rFonts w:eastAsia="SimSun" w:cs="Times New Roman"/>
          <w:szCs w:val="20"/>
        </w:rPr>
      </w:pPr>
      <w:r>
        <w:rPr>
          <w:rFonts w:eastAsia="SimSun" w:cs="Times New Roman"/>
          <w:noProof/>
        </w:rPr>
        <w:drawing>
          <wp:inline distT="0" distB="0" distL="0" distR="0" wp14:anchorId="5B4CD4F6" wp14:editId="4AE8B2CE">
            <wp:extent cx="5907024" cy="2227047"/>
            <wp:effectExtent l="19050" t="19050" r="0" b="190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17298"/>
                    <a:stretch/>
                  </pic:blipFill>
                  <pic:spPr bwMode="auto">
                    <a:xfrm>
                      <a:off x="0" y="0"/>
                      <a:ext cx="5927963" cy="2234941"/>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inline>
        </w:drawing>
      </w:r>
    </w:p>
    <w:p w14:paraId="0FFE1254" w14:textId="5929E06B" w:rsidR="00536395" w:rsidRPr="001E13CC" w:rsidRDefault="00536395" w:rsidP="00CA62CF">
      <w:pPr>
        <w:pStyle w:val="Caption"/>
        <w:rPr>
          <w:szCs w:val="24"/>
        </w:rPr>
      </w:pPr>
      <w:bookmarkStart w:id="37" w:name="_Toc112856554"/>
      <w:bookmarkStart w:id="38" w:name="_Toc121265849"/>
      <w:r>
        <w:t xml:space="preserve">Figure </w:t>
      </w:r>
      <w:fldSimple w:instr=" SEQ Figure \* ARABIC ">
        <w:r w:rsidR="00955725">
          <w:rPr>
            <w:noProof/>
          </w:rPr>
          <w:t>6</w:t>
        </w:r>
      </w:fldSimple>
      <w:r>
        <w:t xml:space="preserve">: </w:t>
      </w:r>
      <w:r w:rsidRPr="00862212">
        <w:t>Geomechanical risks associated with GCS in deep sedimentary rock</w:t>
      </w:r>
      <w:r>
        <w:t xml:space="preserve"> rocks</w:t>
      </w:r>
      <w:bookmarkEnd w:id="37"/>
      <w:r w:rsidR="001052D1">
        <w:t xml:space="preserve">. Modified from </w:t>
      </w:r>
      <w:sdt>
        <w:sdtPr>
          <w:id w:val="624590524"/>
          <w:citation/>
        </w:sdtPr>
        <w:sdtContent>
          <w:r w:rsidR="001052D1">
            <w:fldChar w:fldCharType="begin"/>
          </w:r>
          <w:r w:rsidR="00C84822">
            <w:instrText xml:space="preserve">CITATION Rin19 \l 1033 </w:instrText>
          </w:r>
          <w:r w:rsidR="001052D1">
            <w:fldChar w:fldCharType="separate"/>
          </w:r>
          <w:r w:rsidR="00C84822">
            <w:rPr>
              <w:noProof/>
            </w:rPr>
            <w:t>(Ringrose, et al., 2013)</w:t>
          </w:r>
          <w:r w:rsidR="001052D1">
            <w:fldChar w:fldCharType="end"/>
          </w:r>
        </w:sdtContent>
      </w:sdt>
      <w:bookmarkEnd w:id="38"/>
    </w:p>
    <w:p w14:paraId="2111E18E" w14:textId="47313993" w:rsidR="00536395" w:rsidRPr="00276172" w:rsidRDefault="001E13CC" w:rsidP="00460750">
      <w:pPr>
        <w:pStyle w:val="Heading2"/>
        <w:rPr>
          <w:rFonts w:eastAsia="SimSun"/>
          <w:sz w:val="24"/>
        </w:rPr>
      </w:pPr>
      <w:bookmarkStart w:id="39" w:name="_Toc121265816"/>
      <w:r>
        <w:rPr>
          <w:rFonts w:eastAsia="SimSun"/>
        </w:rPr>
        <w:t>2.3</w:t>
      </w:r>
      <w:r w:rsidR="00536395">
        <w:rPr>
          <w:rFonts w:eastAsia="SimSun"/>
        </w:rPr>
        <w:t xml:space="preserve"> </w:t>
      </w:r>
      <w:r w:rsidR="00536395" w:rsidRPr="00276172">
        <w:rPr>
          <w:rFonts w:eastAsia="SimSun"/>
        </w:rPr>
        <w:t xml:space="preserve">Methods </w:t>
      </w:r>
      <w:r w:rsidR="00536395">
        <w:rPr>
          <w:rFonts w:eastAsia="SimSun"/>
        </w:rPr>
        <w:t>f</w:t>
      </w:r>
      <w:r w:rsidR="00536395" w:rsidRPr="00276172">
        <w:rPr>
          <w:rFonts w:eastAsia="SimSun"/>
        </w:rPr>
        <w:t xml:space="preserve">or Determining </w:t>
      </w:r>
      <w:r w:rsidR="006E7B7C">
        <w:rPr>
          <w:rFonts w:eastAsia="SimSun"/>
        </w:rPr>
        <w:t>Geomechanical Risk</w:t>
      </w:r>
      <w:bookmarkEnd w:id="39"/>
    </w:p>
    <w:p w14:paraId="664E4512" w14:textId="697E5F4B" w:rsidR="00CC1859" w:rsidRDefault="00CC1859" w:rsidP="00460750">
      <w:pPr>
        <w:suppressAutoHyphens/>
        <w:overflowPunct w:val="0"/>
        <w:autoSpaceDE w:val="0"/>
        <w:autoSpaceDN w:val="0"/>
        <w:adjustRightInd w:val="0"/>
        <w:spacing w:after="0"/>
        <w:textAlignment w:val="baseline"/>
        <w:rPr>
          <w:rFonts w:eastAsia="SimSun" w:cs="Times New Roman"/>
          <w:szCs w:val="20"/>
        </w:rPr>
      </w:pPr>
      <w:r>
        <w:rPr>
          <w:rFonts w:eastAsia="SimSun" w:cs="Times New Roman"/>
          <w:szCs w:val="20"/>
        </w:rPr>
        <w:t xml:space="preserve">There are several methods available to </w:t>
      </w:r>
      <w:r w:rsidR="004E6DF0">
        <w:rPr>
          <w:rFonts w:eastAsia="SimSun" w:cs="Times New Roman"/>
          <w:szCs w:val="20"/>
        </w:rPr>
        <w:t>obtain</w:t>
      </w:r>
      <w:r>
        <w:rPr>
          <w:rFonts w:eastAsia="SimSun" w:cs="Times New Roman"/>
          <w:szCs w:val="20"/>
        </w:rPr>
        <w:t xml:space="preserve"> </w:t>
      </w:r>
      <w:r w:rsidR="005827C2">
        <w:rPr>
          <w:rFonts w:eastAsia="SimSun" w:cs="Times New Roman"/>
          <w:szCs w:val="20"/>
        </w:rPr>
        <w:t xml:space="preserve">the magnitudes and directions of </w:t>
      </w:r>
      <w:r>
        <w:rPr>
          <w:rFonts w:eastAsia="SimSun" w:cs="Times New Roman"/>
          <w:szCs w:val="20"/>
        </w:rPr>
        <w:t xml:space="preserve">geomechanical parameters, </w:t>
      </w:r>
      <w:r w:rsidR="004E6DF0">
        <w:rPr>
          <w:rFonts w:eastAsia="SimSun" w:cs="Times New Roman"/>
          <w:szCs w:val="20"/>
        </w:rPr>
        <w:t>however</w:t>
      </w:r>
      <w:r w:rsidR="00963653">
        <w:rPr>
          <w:rFonts w:eastAsia="SimSun" w:cs="Times New Roman"/>
          <w:szCs w:val="20"/>
        </w:rPr>
        <w:t xml:space="preserve"> when</w:t>
      </w:r>
      <w:r>
        <w:rPr>
          <w:rFonts w:eastAsia="SimSun" w:cs="Times New Roman"/>
          <w:szCs w:val="20"/>
        </w:rPr>
        <w:t xml:space="preserve"> </w:t>
      </w:r>
      <w:r w:rsidR="004E6DF0">
        <w:rPr>
          <w:rFonts w:eastAsia="SimSun" w:cs="Times New Roman"/>
          <w:szCs w:val="20"/>
        </w:rPr>
        <w:t>utilizing these parameters to quantify or estimate the geomechanical risk, the scope becomes narrower. Several research</w:t>
      </w:r>
      <w:r w:rsidR="00320F50">
        <w:rPr>
          <w:rFonts w:eastAsia="SimSun" w:cs="Times New Roman"/>
          <w:szCs w:val="20"/>
        </w:rPr>
        <w:t xml:space="preserve"> projects</w:t>
      </w:r>
      <w:r w:rsidR="004E6DF0">
        <w:rPr>
          <w:rFonts w:eastAsia="SimSun" w:cs="Times New Roman"/>
          <w:szCs w:val="20"/>
        </w:rPr>
        <w:t xml:space="preserve"> </w:t>
      </w:r>
      <w:r w:rsidR="0043499B">
        <w:rPr>
          <w:rFonts w:eastAsia="SimSun" w:cs="Times New Roman"/>
          <w:szCs w:val="20"/>
        </w:rPr>
        <w:t>have</w:t>
      </w:r>
      <w:r w:rsidR="004E6DF0">
        <w:rPr>
          <w:rFonts w:eastAsia="SimSun" w:cs="Times New Roman"/>
          <w:szCs w:val="20"/>
        </w:rPr>
        <w:t xml:space="preserve"> been conducted to calculate the geomechanical risk implications of a project, </w:t>
      </w:r>
      <w:r w:rsidR="00963653">
        <w:rPr>
          <w:rFonts w:eastAsia="SimSun" w:cs="Times New Roman"/>
          <w:szCs w:val="20"/>
        </w:rPr>
        <w:t xml:space="preserve">and they are broadly divided into </w:t>
      </w:r>
      <w:r w:rsidR="00CB740B">
        <w:rPr>
          <w:rFonts w:eastAsia="SimSun" w:cs="Times New Roman"/>
          <w:szCs w:val="20"/>
        </w:rPr>
        <w:t>simulation</w:t>
      </w:r>
      <w:r w:rsidR="00963653">
        <w:rPr>
          <w:rFonts w:eastAsia="SimSun" w:cs="Times New Roman"/>
          <w:szCs w:val="20"/>
        </w:rPr>
        <w:t xml:space="preserve"> methods</w:t>
      </w:r>
      <w:r w:rsidR="004E6DF0">
        <w:rPr>
          <w:rFonts w:eastAsia="SimSun" w:cs="Times New Roman"/>
          <w:szCs w:val="20"/>
        </w:rPr>
        <w:t xml:space="preserve"> and analytical methods.</w:t>
      </w:r>
    </w:p>
    <w:p w14:paraId="523E3111" w14:textId="43E39FC8" w:rsidR="004E6DF0" w:rsidRDefault="004E6DF0" w:rsidP="00460750">
      <w:pPr>
        <w:suppressAutoHyphens/>
        <w:overflowPunct w:val="0"/>
        <w:autoSpaceDE w:val="0"/>
        <w:autoSpaceDN w:val="0"/>
        <w:adjustRightInd w:val="0"/>
        <w:spacing w:after="0"/>
        <w:textAlignment w:val="baseline"/>
        <w:rPr>
          <w:rFonts w:eastAsia="SimSun" w:cs="Times New Roman"/>
          <w:szCs w:val="20"/>
        </w:rPr>
      </w:pPr>
      <w:r>
        <w:rPr>
          <w:rFonts w:eastAsia="SimSun" w:cs="Times New Roman"/>
          <w:szCs w:val="20"/>
        </w:rPr>
        <w:lastRenderedPageBreak/>
        <w:t xml:space="preserve">In the </w:t>
      </w:r>
      <w:r w:rsidR="004E29BD">
        <w:rPr>
          <w:rFonts w:eastAsia="SimSun" w:cs="Times New Roman"/>
          <w:szCs w:val="20"/>
        </w:rPr>
        <w:t>empirical</w:t>
      </w:r>
      <w:r>
        <w:rPr>
          <w:rFonts w:eastAsia="SimSun" w:cs="Times New Roman"/>
          <w:szCs w:val="20"/>
        </w:rPr>
        <w:t xml:space="preserve"> method, </w:t>
      </w:r>
      <w:r w:rsidR="004E29BD">
        <w:rPr>
          <w:rFonts w:eastAsia="SimSun" w:cs="Times New Roman"/>
          <w:szCs w:val="20"/>
        </w:rPr>
        <w:t>i</w:t>
      </w:r>
      <w:r>
        <w:rPr>
          <w:rFonts w:eastAsia="SimSun" w:cs="Times New Roman"/>
          <w:szCs w:val="20"/>
        </w:rPr>
        <w:t>t entails obtaining a document known as a risk register, estimating the risks involved in executing the project, and then determining the expected impact of the risk</w:t>
      </w:r>
      <w:r w:rsidR="00963653">
        <w:rPr>
          <w:rFonts w:eastAsia="SimSun" w:cs="Times New Roman"/>
          <w:szCs w:val="20"/>
        </w:rPr>
        <w:t xml:space="preserve">. The challenge with this technique is that it requires the knowledge of the subject matter experts, and the success of the project is heavily dependent on their capacity. The value obtained from this technique is </w:t>
      </w:r>
      <w:r w:rsidR="004E29BD">
        <w:rPr>
          <w:rFonts w:eastAsia="SimSun" w:cs="Times New Roman"/>
          <w:szCs w:val="20"/>
        </w:rPr>
        <w:t xml:space="preserve">dependent on the sequestration project hence there is still </w:t>
      </w:r>
      <w:r w:rsidR="00D51309">
        <w:rPr>
          <w:rFonts w:eastAsia="SimSun" w:cs="Times New Roman"/>
          <w:szCs w:val="20"/>
        </w:rPr>
        <w:t xml:space="preserve">need </w:t>
      </w:r>
      <w:r w:rsidR="004E29BD">
        <w:rPr>
          <w:rFonts w:eastAsia="SimSun" w:cs="Times New Roman"/>
          <w:szCs w:val="20"/>
        </w:rPr>
        <w:t xml:space="preserve">to capture </w:t>
      </w:r>
      <w:r w:rsidR="00963653">
        <w:rPr>
          <w:rFonts w:eastAsia="SimSun" w:cs="Times New Roman"/>
          <w:szCs w:val="20"/>
        </w:rPr>
        <w:t>uncertainties</w:t>
      </w:r>
      <w:r w:rsidR="004E29BD">
        <w:rPr>
          <w:rFonts w:eastAsia="SimSun" w:cs="Times New Roman"/>
          <w:szCs w:val="20"/>
        </w:rPr>
        <w:t xml:space="preserve"> before the project commences </w:t>
      </w:r>
      <w:sdt>
        <w:sdtPr>
          <w:rPr>
            <w:rFonts w:eastAsia="SimSun" w:cs="Times New Roman"/>
            <w:szCs w:val="20"/>
          </w:rPr>
          <w:id w:val="-87239070"/>
          <w:citation/>
        </w:sdtPr>
        <w:sdtContent>
          <w:r w:rsidR="004E29BD">
            <w:rPr>
              <w:rFonts w:eastAsia="SimSun" w:cs="Times New Roman"/>
              <w:szCs w:val="20"/>
            </w:rPr>
            <w:fldChar w:fldCharType="begin"/>
          </w:r>
          <w:r w:rsidR="004E29BD">
            <w:rPr>
              <w:rFonts w:eastAsia="SimSun" w:cs="Times New Roman"/>
              <w:szCs w:val="20"/>
            </w:rPr>
            <w:instrText xml:space="preserve"> CITATION JAW15 \l 1033 </w:instrText>
          </w:r>
          <w:r w:rsidR="004E29BD">
            <w:rPr>
              <w:rFonts w:eastAsia="SimSun" w:cs="Times New Roman"/>
              <w:szCs w:val="20"/>
            </w:rPr>
            <w:fldChar w:fldCharType="separate"/>
          </w:r>
          <w:r w:rsidR="00C84822" w:rsidRPr="00C84822">
            <w:rPr>
              <w:rFonts w:eastAsia="SimSun" w:cs="Times New Roman"/>
              <w:noProof/>
              <w:szCs w:val="20"/>
            </w:rPr>
            <w:t>(White, Foxall, C. Bachmann, &amp; Daley, 2015)</w:t>
          </w:r>
          <w:r w:rsidR="004E29BD">
            <w:rPr>
              <w:rFonts w:eastAsia="SimSun" w:cs="Times New Roman"/>
              <w:szCs w:val="20"/>
            </w:rPr>
            <w:fldChar w:fldCharType="end"/>
          </w:r>
        </w:sdtContent>
      </w:sdt>
      <w:r w:rsidR="00963653">
        <w:rPr>
          <w:rFonts w:eastAsia="SimSun" w:cs="Times New Roman"/>
          <w:szCs w:val="20"/>
        </w:rPr>
        <w:t>.</w:t>
      </w:r>
    </w:p>
    <w:p w14:paraId="0441A25F" w14:textId="155B43E4" w:rsidR="004E6DF0" w:rsidRDefault="00963653" w:rsidP="00460750">
      <w:pPr>
        <w:suppressAutoHyphens/>
        <w:overflowPunct w:val="0"/>
        <w:autoSpaceDE w:val="0"/>
        <w:autoSpaceDN w:val="0"/>
        <w:adjustRightInd w:val="0"/>
        <w:spacing w:after="0"/>
        <w:textAlignment w:val="baseline"/>
        <w:rPr>
          <w:rFonts w:eastAsia="SimSun" w:cs="Times New Roman"/>
          <w:szCs w:val="20"/>
        </w:rPr>
      </w:pPr>
      <w:r>
        <w:rPr>
          <w:rFonts w:eastAsia="SimSun" w:cs="Times New Roman"/>
          <w:szCs w:val="20"/>
        </w:rPr>
        <w:t xml:space="preserve">In the simulation method, </w:t>
      </w:r>
      <w:r w:rsidR="00D51309">
        <w:rPr>
          <w:rFonts w:eastAsia="SimSun" w:cs="Times New Roman"/>
          <w:szCs w:val="20"/>
        </w:rPr>
        <w:t>hydro-mechanical models are applied to simulate the required pressure to induce seismicity risks</w:t>
      </w:r>
      <w:sdt>
        <w:sdtPr>
          <w:rPr>
            <w:rFonts w:eastAsia="SimSun" w:cs="Times New Roman"/>
            <w:szCs w:val="20"/>
          </w:rPr>
          <w:id w:val="-1304608688"/>
          <w:citation/>
        </w:sdtPr>
        <w:sdtContent>
          <w:r w:rsidR="00D51309">
            <w:rPr>
              <w:rFonts w:eastAsia="SimSun" w:cs="Times New Roman"/>
              <w:szCs w:val="20"/>
            </w:rPr>
            <w:fldChar w:fldCharType="begin"/>
          </w:r>
          <w:r w:rsidR="00D51309">
            <w:rPr>
              <w:rFonts w:eastAsia="SimSun" w:cs="Times New Roman"/>
              <w:szCs w:val="20"/>
            </w:rPr>
            <w:instrText xml:space="preserve"> CITATION JAW15 \l 1033 </w:instrText>
          </w:r>
          <w:r w:rsidR="00D51309">
            <w:rPr>
              <w:rFonts w:eastAsia="SimSun" w:cs="Times New Roman"/>
              <w:szCs w:val="20"/>
            </w:rPr>
            <w:fldChar w:fldCharType="separate"/>
          </w:r>
          <w:r w:rsidR="00C84822">
            <w:rPr>
              <w:rFonts w:eastAsia="SimSun" w:cs="Times New Roman"/>
              <w:noProof/>
              <w:szCs w:val="20"/>
            </w:rPr>
            <w:t xml:space="preserve"> </w:t>
          </w:r>
          <w:r w:rsidR="00C84822" w:rsidRPr="00C84822">
            <w:rPr>
              <w:rFonts w:eastAsia="SimSun" w:cs="Times New Roman"/>
              <w:noProof/>
              <w:szCs w:val="20"/>
            </w:rPr>
            <w:t>(White, Foxall, C. Bachmann, &amp; Daley, 2015)</w:t>
          </w:r>
          <w:r w:rsidR="00D51309">
            <w:rPr>
              <w:rFonts w:eastAsia="SimSun" w:cs="Times New Roman"/>
              <w:szCs w:val="20"/>
            </w:rPr>
            <w:fldChar w:fldCharType="end"/>
          </w:r>
        </w:sdtContent>
      </w:sdt>
      <w:r w:rsidR="00D51309">
        <w:rPr>
          <w:rFonts w:eastAsia="SimSun" w:cs="Times New Roman"/>
          <w:szCs w:val="20"/>
        </w:rPr>
        <w:t>. It is however important to account for the uncertainties in the model. A</w:t>
      </w:r>
      <w:r>
        <w:rPr>
          <w:rFonts w:eastAsia="SimSun" w:cs="Times New Roman"/>
          <w:szCs w:val="20"/>
        </w:rPr>
        <w:t xml:space="preserve"> popular</w:t>
      </w:r>
      <w:r w:rsidR="00320F50">
        <w:rPr>
          <w:rFonts w:eastAsia="SimSun" w:cs="Times New Roman"/>
          <w:szCs w:val="20"/>
        </w:rPr>
        <w:t xml:space="preserve"> </w:t>
      </w:r>
      <w:r>
        <w:rPr>
          <w:rFonts w:eastAsia="SimSun" w:cs="Times New Roman"/>
          <w:szCs w:val="20"/>
        </w:rPr>
        <w:t xml:space="preserve">technique </w:t>
      </w:r>
      <w:r w:rsidR="00CB740B">
        <w:rPr>
          <w:rFonts w:eastAsia="SimSun" w:cs="Times New Roman"/>
          <w:szCs w:val="20"/>
        </w:rPr>
        <w:t xml:space="preserve">known as Monte Carlo simulation </w:t>
      </w:r>
      <w:r w:rsidR="00320F50">
        <w:rPr>
          <w:rFonts w:eastAsia="SimSun" w:cs="Times New Roman"/>
          <w:szCs w:val="20"/>
        </w:rPr>
        <w:t xml:space="preserve">can be </w:t>
      </w:r>
      <w:r w:rsidR="0043499B">
        <w:rPr>
          <w:rFonts w:eastAsia="SimSun" w:cs="Times New Roman"/>
          <w:szCs w:val="20"/>
        </w:rPr>
        <w:t xml:space="preserve">used to determine </w:t>
      </w:r>
      <w:r w:rsidR="00F3474F">
        <w:rPr>
          <w:rFonts w:eastAsia="SimSun" w:cs="Times New Roman"/>
          <w:szCs w:val="20"/>
        </w:rPr>
        <w:t>these uncertainties</w:t>
      </w:r>
      <w:r>
        <w:rPr>
          <w:rFonts w:eastAsia="SimSun" w:cs="Times New Roman"/>
          <w:szCs w:val="20"/>
        </w:rPr>
        <w:t xml:space="preserve">. The Monte Carlo </w:t>
      </w:r>
      <w:r w:rsidR="00CB740B">
        <w:rPr>
          <w:rFonts w:eastAsia="SimSun" w:cs="Times New Roman"/>
          <w:szCs w:val="20"/>
        </w:rPr>
        <w:t>s</w:t>
      </w:r>
      <w:r>
        <w:rPr>
          <w:rFonts w:eastAsia="SimSun" w:cs="Times New Roman"/>
          <w:szCs w:val="20"/>
        </w:rPr>
        <w:t>imulation obtains the likelihood of a range of results using a repeated random sampling.</w:t>
      </w:r>
      <w:r w:rsidR="0043499B">
        <w:rPr>
          <w:rFonts w:eastAsia="SimSun" w:cs="Times New Roman"/>
          <w:szCs w:val="20"/>
        </w:rPr>
        <w:t xml:space="preserve"> While this simulation is easy to implement, it also requires that the samples are uncorrelated, </w:t>
      </w:r>
      <w:r w:rsidR="00CB740B">
        <w:rPr>
          <w:rFonts w:eastAsia="SimSun" w:cs="Times New Roman"/>
          <w:szCs w:val="20"/>
        </w:rPr>
        <w:t>random,</w:t>
      </w:r>
      <w:r w:rsidR="0043499B">
        <w:rPr>
          <w:rFonts w:eastAsia="SimSun" w:cs="Times New Roman"/>
          <w:szCs w:val="20"/>
        </w:rPr>
        <w:t xml:space="preserve"> and independent on each other </w:t>
      </w:r>
      <w:sdt>
        <w:sdtPr>
          <w:rPr>
            <w:rFonts w:eastAsia="SimSun" w:cs="Times New Roman"/>
            <w:szCs w:val="20"/>
          </w:rPr>
          <w:id w:val="-920412824"/>
          <w:citation/>
        </w:sdtPr>
        <w:sdtContent>
          <w:r w:rsidR="0043499B">
            <w:rPr>
              <w:rFonts w:eastAsia="SimSun" w:cs="Times New Roman"/>
              <w:szCs w:val="20"/>
            </w:rPr>
            <w:fldChar w:fldCharType="begin"/>
          </w:r>
          <w:r w:rsidR="0043499B">
            <w:rPr>
              <w:rFonts w:eastAsia="SimSun" w:cs="Times New Roman"/>
              <w:szCs w:val="20"/>
            </w:rPr>
            <w:instrText xml:space="preserve"> CITATION Bur21 \l 1033 </w:instrText>
          </w:r>
          <w:r w:rsidR="0043499B">
            <w:rPr>
              <w:rFonts w:eastAsia="SimSun" w:cs="Times New Roman"/>
              <w:szCs w:val="20"/>
            </w:rPr>
            <w:fldChar w:fldCharType="separate"/>
          </w:r>
          <w:r w:rsidR="00C84822" w:rsidRPr="00C84822">
            <w:rPr>
              <w:rFonts w:eastAsia="SimSun" w:cs="Times New Roman"/>
              <w:noProof/>
              <w:szCs w:val="20"/>
            </w:rPr>
            <w:t>(Burghardt &amp; Appriou, State of Stress Uncertainty Quantification and Geomechanical Risk Analysis for Subsurface Engineering, 2021)</w:t>
          </w:r>
          <w:r w:rsidR="0043499B">
            <w:rPr>
              <w:rFonts w:eastAsia="SimSun" w:cs="Times New Roman"/>
              <w:szCs w:val="20"/>
            </w:rPr>
            <w:fldChar w:fldCharType="end"/>
          </w:r>
        </w:sdtContent>
      </w:sdt>
      <w:r w:rsidR="0043499B">
        <w:rPr>
          <w:rFonts w:eastAsia="SimSun" w:cs="Times New Roman"/>
          <w:szCs w:val="20"/>
        </w:rPr>
        <w:t xml:space="preserve">. The limitation with this approach is that </w:t>
      </w:r>
      <w:r w:rsidR="00CB740B">
        <w:rPr>
          <w:rFonts w:eastAsia="SimSun" w:cs="Times New Roman"/>
          <w:szCs w:val="20"/>
        </w:rPr>
        <w:t>if the stress state is being constrained by frictional faults</w:t>
      </w:r>
      <w:r w:rsidR="00545FC8">
        <w:rPr>
          <w:rFonts w:eastAsia="SimSun" w:cs="Times New Roman"/>
          <w:szCs w:val="20"/>
        </w:rPr>
        <w:t>, known as the stress polygon approach</w:t>
      </w:r>
      <w:r w:rsidR="00CB740B">
        <w:rPr>
          <w:rFonts w:eastAsia="SimSun" w:cs="Times New Roman"/>
          <w:szCs w:val="20"/>
        </w:rPr>
        <w:t xml:space="preserve">, it is defined by the </w:t>
      </w:r>
      <w:r w:rsidR="00545FC8">
        <w:rPr>
          <w:rFonts w:eastAsia="SimSun" w:cs="Times New Roman"/>
          <w:szCs w:val="20"/>
        </w:rPr>
        <w:t xml:space="preserve">principal stresses’ </w:t>
      </w:r>
      <w:r w:rsidR="00CB740B">
        <w:rPr>
          <w:rFonts w:eastAsia="SimSun" w:cs="Times New Roman"/>
          <w:szCs w:val="20"/>
        </w:rPr>
        <w:t xml:space="preserve">ratio </w:t>
      </w:r>
      <w:sdt>
        <w:sdtPr>
          <w:rPr>
            <w:rFonts w:eastAsia="SimSun" w:cs="Times New Roman"/>
            <w:szCs w:val="20"/>
          </w:rPr>
          <w:id w:val="110955939"/>
          <w:citation/>
        </w:sdtPr>
        <w:sdtContent>
          <w:r w:rsidR="00CB740B">
            <w:rPr>
              <w:rFonts w:eastAsia="SimSun" w:cs="Times New Roman"/>
              <w:szCs w:val="20"/>
            </w:rPr>
            <w:fldChar w:fldCharType="begin"/>
          </w:r>
          <w:r w:rsidR="00CB740B">
            <w:rPr>
              <w:rFonts w:eastAsia="SimSun" w:cs="Times New Roman"/>
              <w:szCs w:val="20"/>
            </w:rPr>
            <w:instrText xml:space="preserve"> CITATION Bur21 \l 1033 </w:instrText>
          </w:r>
          <w:r w:rsidR="00CB740B">
            <w:rPr>
              <w:rFonts w:eastAsia="SimSun" w:cs="Times New Roman"/>
              <w:szCs w:val="20"/>
            </w:rPr>
            <w:fldChar w:fldCharType="separate"/>
          </w:r>
          <w:r w:rsidR="00C84822" w:rsidRPr="00C84822">
            <w:rPr>
              <w:rFonts w:eastAsia="SimSun" w:cs="Times New Roman"/>
              <w:noProof/>
              <w:szCs w:val="20"/>
            </w:rPr>
            <w:t>(Burghardt &amp; Appriou, State of Stress Uncertainty Quantification and Geomechanical Risk Analysis for Subsurface Engineering, 2021)</w:t>
          </w:r>
          <w:r w:rsidR="00CB740B">
            <w:rPr>
              <w:rFonts w:eastAsia="SimSun" w:cs="Times New Roman"/>
              <w:szCs w:val="20"/>
            </w:rPr>
            <w:fldChar w:fldCharType="end"/>
          </w:r>
        </w:sdtContent>
      </w:sdt>
      <w:r w:rsidR="00CB740B">
        <w:rPr>
          <w:rFonts w:eastAsia="SimSun" w:cs="Times New Roman"/>
          <w:szCs w:val="20"/>
        </w:rPr>
        <w:t xml:space="preserve">. This means that the geomechanical properties such as the </w:t>
      </w:r>
      <w:r w:rsidR="008F4D99">
        <w:rPr>
          <w:rFonts w:eastAsia="SimSun" w:cs="Times New Roman"/>
          <w:szCs w:val="20"/>
        </w:rPr>
        <w:t xml:space="preserve">principal </w:t>
      </w:r>
      <w:r w:rsidR="00CB740B">
        <w:rPr>
          <w:rFonts w:eastAsia="SimSun" w:cs="Times New Roman"/>
          <w:szCs w:val="20"/>
        </w:rPr>
        <w:t xml:space="preserve">minimum horizontal stress and the </w:t>
      </w:r>
      <w:r w:rsidR="008F4D99">
        <w:rPr>
          <w:rFonts w:eastAsia="SimSun" w:cs="Times New Roman"/>
          <w:szCs w:val="20"/>
        </w:rPr>
        <w:t xml:space="preserve">principal </w:t>
      </w:r>
      <w:r w:rsidR="00CB740B">
        <w:rPr>
          <w:rFonts w:eastAsia="SimSun" w:cs="Times New Roman"/>
          <w:szCs w:val="20"/>
        </w:rPr>
        <w:t>maximum horizontal</w:t>
      </w:r>
      <w:r w:rsidR="0094353B">
        <w:rPr>
          <w:rFonts w:eastAsia="SimSun" w:cs="Times New Roman"/>
          <w:szCs w:val="20"/>
        </w:rPr>
        <w:t xml:space="preserve"> stress</w:t>
      </w:r>
      <w:r w:rsidR="00CB740B">
        <w:rPr>
          <w:rFonts w:eastAsia="SimSun" w:cs="Times New Roman"/>
          <w:szCs w:val="20"/>
        </w:rPr>
        <w:t xml:space="preserve"> are related to each other, hence the inherent assumption that the samples in the Monte Carlo simulation </w:t>
      </w:r>
      <w:r w:rsidR="00545FC8">
        <w:rPr>
          <w:rFonts w:eastAsia="SimSun" w:cs="Times New Roman"/>
          <w:szCs w:val="20"/>
        </w:rPr>
        <w:t xml:space="preserve">need to be unrelated and random no longer holds. </w:t>
      </w:r>
    </w:p>
    <w:p w14:paraId="0217F21A" w14:textId="1D858ED1" w:rsidR="00545FC8" w:rsidRDefault="00000000" w:rsidP="00460750">
      <w:pPr>
        <w:suppressAutoHyphens/>
        <w:overflowPunct w:val="0"/>
        <w:autoSpaceDE w:val="0"/>
        <w:autoSpaceDN w:val="0"/>
        <w:adjustRightInd w:val="0"/>
        <w:spacing w:after="0"/>
        <w:textAlignment w:val="baseline"/>
      </w:pPr>
      <w:sdt>
        <w:sdtPr>
          <w:rPr>
            <w:rFonts w:eastAsia="SimSun" w:cs="Times New Roman"/>
            <w:szCs w:val="20"/>
          </w:rPr>
          <w:id w:val="630906710"/>
          <w:citation/>
        </w:sdtPr>
        <w:sdtContent>
          <w:r w:rsidR="00545FC8">
            <w:rPr>
              <w:rFonts w:eastAsia="SimSun" w:cs="Times New Roman"/>
              <w:szCs w:val="20"/>
            </w:rPr>
            <w:fldChar w:fldCharType="begin"/>
          </w:r>
          <w:r w:rsidR="00545FC8">
            <w:rPr>
              <w:rFonts w:eastAsia="SimSun" w:cs="Times New Roman"/>
              <w:szCs w:val="20"/>
            </w:rPr>
            <w:instrText xml:space="preserve"> CITATION Bur21 \l 1033 </w:instrText>
          </w:r>
          <w:r w:rsidR="00545FC8">
            <w:rPr>
              <w:rFonts w:eastAsia="SimSun" w:cs="Times New Roman"/>
              <w:szCs w:val="20"/>
            </w:rPr>
            <w:fldChar w:fldCharType="separate"/>
          </w:r>
          <w:r w:rsidR="00C84822" w:rsidRPr="00C84822">
            <w:rPr>
              <w:rFonts w:eastAsia="SimSun" w:cs="Times New Roman"/>
              <w:noProof/>
              <w:szCs w:val="20"/>
            </w:rPr>
            <w:t>(Burghardt &amp; Appriou, State of Stress Uncertainty Quantification and Geomechanical Risk Analysis for Subsurface Engineering, 2021)</w:t>
          </w:r>
          <w:r w:rsidR="00545FC8">
            <w:rPr>
              <w:rFonts w:eastAsia="SimSun" w:cs="Times New Roman"/>
              <w:szCs w:val="20"/>
            </w:rPr>
            <w:fldChar w:fldCharType="end"/>
          </w:r>
        </w:sdtContent>
      </w:sdt>
      <w:r w:rsidR="00545FC8">
        <w:rPr>
          <w:rFonts w:eastAsia="SimSun" w:cs="Times New Roman"/>
          <w:szCs w:val="20"/>
        </w:rPr>
        <w:t xml:space="preserve"> presented a solution to this limitation by using the </w:t>
      </w:r>
      <w:r w:rsidR="00545FC8">
        <w:rPr>
          <w:rFonts w:eastAsia="SimSun" w:cs="Times New Roman"/>
          <w:szCs w:val="20"/>
        </w:rPr>
        <w:lastRenderedPageBreak/>
        <w:t>Bayesian approach. Here, they were able to represent the samples as a stress polygon approach utilizing a joint probability of the</w:t>
      </w:r>
      <w:r w:rsidR="008F4D99">
        <w:rPr>
          <w:rFonts w:eastAsia="SimSun" w:cs="Times New Roman"/>
          <w:szCs w:val="20"/>
        </w:rPr>
        <w:t xml:space="preserve"> principal</w:t>
      </w:r>
      <w:r w:rsidR="00545FC8">
        <w:rPr>
          <w:rFonts w:eastAsia="SimSun" w:cs="Times New Roman"/>
          <w:szCs w:val="20"/>
        </w:rPr>
        <w:t xml:space="preserve"> minimum horizontal stress and the</w:t>
      </w:r>
      <w:r w:rsidR="008F4D99">
        <w:rPr>
          <w:rFonts w:eastAsia="SimSun" w:cs="Times New Roman"/>
          <w:szCs w:val="20"/>
        </w:rPr>
        <w:t xml:space="preserve"> principal</w:t>
      </w:r>
      <w:r w:rsidR="00545FC8">
        <w:rPr>
          <w:rFonts w:eastAsia="SimSun" w:cs="Times New Roman"/>
          <w:szCs w:val="20"/>
        </w:rPr>
        <w:t xml:space="preserve"> maximum </w:t>
      </w:r>
      <w:r w:rsidR="008F4D99">
        <w:rPr>
          <w:rFonts w:eastAsia="SimSun" w:cs="Times New Roman"/>
          <w:szCs w:val="20"/>
        </w:rPr>
        <w:t>horizontal stress</w:t>
      </w:r>
      <w:r w:rsidR="00545FC8">
        <w:rPr>
          <w:rFonts w:eastAsia="SimSun" w:cs="Times New Roman"/>
          <w:szCs w:val="20"/>
        </w:rPr>
        <w:t xml:space="preserve">. They officially implemented this approach </w:t>
      </w:r>
      <w:r w:rsidR="00006CB2">
        <w:rPr>
          <w:rFonts w:eastAsia="SimSun" w:cs="Times New Roman"/>
          <w:szCs w:val="20"/>
        </w:rPr>
        <w:t xml:space="preserve">in a tool known </w:t>
      </w:r>
      <w:r w:rsidR="00545FC8">
        <w:rPr>
          <w:rFonts w:eastAsia="SimSun" w:cs="Times New Roman"/>
          <w:szCs w:val="20"/>
        </w:rPr>
        <w:t xml:space="preserve">as the </w:t>
      </w:r>
      <w:r w:rsidR="00545FC8" w:rsidRPr="37DBAC1B">
        <w:rPr>
          <w:rFonts w:eastAsia="SimSun" w:cs="Times New Roman"/>
        </w:rPr>
        <w:t>State of Stress Analysis Tool (SOSAT)</w:t>
      </w:r>
      <w:r w:rsidR="00006CB2">
        <w:rPr>
          <w:rFonts w:eastAsia="SimSun" w:cs="Times New Roman"/>
        </w:rPr>
        <w:t xml:space="preserve">. It was implemented as </w:t>
      </w:r>
      <w:r w:rsidR="00320F50">
        <w:rPr>
          <w:rFonts w:eastAsia="SimSun" w:cs="Times New Roman"/>
        </w:rPr>
        <w:t>part</w:t>
      </w:r>
      <w:r w:rsidR="00545FC8" w:rsidRPr="37DBAC1B">
        <w:rPr>
          <w:rFonts w:eastAsia="SimSun" w:cs="Times New Roman"/>
        </w:rPr>
        <w:t xml:space="preserve"> of the National Risk Assessment Partnership (NRAP), a </w:t>
      </w:r>
      <w:r w:rsidR="00006CB2">
        <w:rPr>
          <w:rFonts w:eastAsia="SimSun" w:cs="Times New Roman"/>
        </w:rPr>
        <w:t xml:space="preserve">funded </w:t>
      </w:r>
      <w:r w:rsidR="00545FC8" w:rsidRPr="37DBAC1B">
        <w:rPr>
          <w:rFonts w:eastAsia="SimSun" w:cs="Times New Roman"/>
        </w:rPr>
        <w:t xml:space="preserve">project the </w:t>
      </w:r>
      <w:bookmarkStart w:id="40" w:name="_Int_2G7J0qHl"/>
      <w:r w:rsidR="00545FC8" w:rsidRPr="37DBAC1B">
        <w:rPr>
          <w:rFonts w:eastAsia="SimSun" w:cs="Times New Roman"/>
        </w:rPr>
        <w:t>US (United States)</w:t>
      </w:r>
      <w:bookmarkEnd w:id="40"/>
      <w:r w:rsidR="00006CB2">
        <w:rPr>
          <w:rFonts w:eastAsia="SimSun" w:cs="Times New Roman"/>
        </w:rPr>
        <w:t xml:space="preserve"> </w:t>
      </w:r>
      <w:r w:rsidR="00545FC8" w:rsidRPr="37DBAC1B">
        <w:rPr>
          <w:rFonts w:eastAsia="SimSun" w:cs="Times New Roman"/>
        </w:rPr>
        <w:t xml:space="preserve">Department of Energy’s Office of Fossil </w:t>
      </w:r>
      <w:r w:rsidR="00545FC8">
        <w:t>Energy</w:t>
      </w:r>
      <w:r w:rsidR="00006CB2">
        <w:t>.</w:t>
      </w:r>
    </w:p>
    <w:p w14:paraId="248AC6EF" w14:textId="517A9E72" w:rsidR="005827C2" w:rsidRDefault="005827C2" w:rsidP="009F6F03">
      <w:pPr>
        <w:pStyle w:val="Caption"/>
        <w:keepNext/>
        <w:jc w:val="left"/>
      </w:pPr>
      <w:bookmarkStart w:id="41" w:name="_Toc120839859"/>
      <w:r>
        <w:t xml:space="preserve">Table </w:t>
      </w:r>
      <w:fldSimple w:instr=" SEQ Table \* ARABIC ">
        <w:r w:rsidR="00955725">
          <w:rPr>
            <w:noProof/>
          </w:rPr>
          <w:t>1</w:t>
        </w:r>
      </w:fldSimple>
      <w:r>
        <w:t xml:space="preserve">: </w:t>
      </w:r>
      <w:r w:rsidRPr="00E7514E">
        <w:t>Estimation of</w:t>
      </w:r>
      <w:r>
        <w:t xml:space="preserve"> Seismicity</w:t>
      </w:r>
      <w:r w:rsidRPr="00E7514E">
        <w:t xml:space="preserve"> Risks</w:t>
      </w:r>
      <w:bookmarkEnd w:id="41"/>
    </w:p>
    <w:tbl>
      <w:tblPr>
        <w:tblStyle w:val="TableGrid"/>
        <w:tblW w:w="9342" w:type="dxa"/>
        <w:tblInd w:w="108" w:type="dxa"/>
        <w:tblLook w:val="0420" w:firstRow="1" w:lastRow="0" w:firstColumn="0" w:lastColumn="0" w:noHBand="0" w:noVBand="1"/>
      </w:tblPr>
      <w:tblGrid>
        <w:gridCol w:w="1890"/>
        <w:gridCol w:w="3510"/>
        <w:gridCol w:w="3942"/>
      </w:tblGrid>
      <w:tr w:rsidR="005827C2" w:rsidRPr="005827C2" w14:paraId="340729C1" w14:textId="77777777" w:rsidTr="009F6F03">
        <w:trPr>
          <w:trHeight w:val="740"/>
        </w:trPr>
        <w:tc>
          <w:tcPr>
            <w:tcW w:w="1890" w:type="dxa"/>
            <w:hideMark/>
          </w:tcPr>
          <w:p w14:paraId="551CDD5B" w14:textId="77777777" w:rsidR="005827C2" w:rsidRPr="005827C2" w:rsidRDefault="005827C2" w:rsidP="005827C2">
            <w:pPr>
              <w:suppressAutoHyphens/>
              <w:overflowPunct w:val="0"/>
              <w:autoSpaceDE w:val="0"/>
              <w:autoSpaceDN w:val="0"/>
              <w:adjustRightInd w:val="0"/>
              <w:spacing w:after="0"/>
              <w:textAlignment w:val="baseline"/>
              <w:rPr>
                <w:rFonts w:eastAsia="SimSun" w:cs="Times New Roman"/>
                <w:sz w:val="24"/>
                <w:szCs w:val="24"/>
              </w:rPr>
            </w:pPr>
            <w:r w:rsidRPr="005827C2">
              <w:rPr>
                <w:rFonts w:eastAsia="SimSun" w:cs="Times New Roman"/>
                <w:b/>
                <w:bCs/>
                <w:sz w:val="24"/>
                <w:szCs w:val="24"/>
              </w:rPr>
              <w:t>Method</w:t>
            </w:r>
          </w:p>
        </w:tc>
        <w:tc>
          <w:tcPr>
            <w:tcW w:w="3510" w:type="dxa"/>
            <w:hideMark/>
          </w:tcPr>
          <w:p w14:paraId="4F64E06C" w14:textId="77777777" w:rsidR="005827C2" w:rsidRPr="005827C2" w:rsidRDefault="005827C2" w:rsidP="005827C2">
            <w:pPr>
              <w:suppressAutoHyphens/>
              <w:overflowPunct w:val="0"/>
              <w:autoSpaceDE w:val="0"/>
              <w:autoSpaceDN w:val="0"/>
              <w:adjustRightInd w:val="0"/>
              <w:spacing w:after="0"/>
              <w:textAlignment w:val="baseline"/>
              <w:rPr>
                <w:rFonts w:eastAsia="SimSun" w:cs="Times New Roman"/>
                <w:sz w:val="24"/>
                <w:szCs w:val="24"/>
              </w:rPr>
            </w:pPr>
            <w:r w:rsidRPr="005827C2">
              <w:rPr>
                <w:rFonts w:eastAsia="SimSun" w:cs="Times New Roman"/>
                <w:b/>
                <w:bCs/>
                <w:sz w:val="24"/>
                <w:szCs w:val="24"/>
              </w:rPr>
              <w:t>Approach</w:t>
            </w:r>
          </w:p>
        </w:tc>
        <w:tc>
          <w:tcPr>
            <w:tcW w:w="3942" w:type="dxa"/>
            <w:hideMark/>
          </w:tcPr>
          <w:p w14:paraId="6C026C71" w14:textId="77777777" w:rsidR="005827C2" w:rsidRPr="005827C2" w:rsidRDefault="005827C2" w:rsidP="005827C2">
            <w:pPr>
              <w:suppressAutoHyphens/>
              <w:overflowPunct w:val="0"/>
              <w:autoSpaceDE w:val="0"/>
              <w:autoSpaceDN w:val="0"/>
              <w:adjustRightInd w:val="0"/>
              <w:spacing w:after="0"/>
              <w:textAlignment w:val="baseline"/>
              <w:rPr>
                <w:rFonts w:eastAsia="SimSun" w:cs="Times New Roman"/>
                <w:sz w:val="24"/>
                <w:szCs w:val="24"/>
              </w:rPr>
            </w:pPr>
            <w:r w:rsidRPr="005827C2">
              <w:rPr>
                <w:rFonts w:eastAsia="SimSun" w:cs="Times New Roman"/>
                <w:b/>
                <w:bCs/>
                <w:sz w:val="24"/>
                <w:szCs w:val="24"/>
              </w:rPr>
              <w:t>Limitation</w:t>
            </w:r>
          </w:p>
        </w:tc>
      </w:tr>
      <w:tr w:rsidR="005827C2" w:rsidRPr="005827C2" w14:paraId="1BF14297" w14:textId="77777777" w:rsidTr="009F6F03">
        <w:trPr>
          <w:trHeight w:val="2558"/>
        </w:trPr>
        <w:tc>
          <w:tcPr>
            <w:tcW w:w="1890" w:type="dxa"/>
            <w:hideMark/>
          </w:tcPr>
          <w:p w14:paraId="11D9B0F3" w14:textId="6B225145" w:rsidR="005827C2" w:rsidRPr="005827C2" w:rsidRDefault="002716B2" w:rsidP="005827C2">
            <w:pPr>
              <w:suppressAutoHyphens/>
              <w:overflowPunct w:val="0"/>
              <w:autoSpaceDE w:val="0"/>
              <w:autoSpaceDN w:val="0"/>
              <w:adjustRightInd w:val="0"/>
              <w:spacing w:after="0"/>
              <w:textAlignment w:val="baseline"/>
              <w:rPr>
                <w:rFonts w:eastAsia="SimSun" w:cs="Times New Roman"/>
                <w:sz w:val="24"/>
                <w:szCs w:val="24"/>
              </w:rPr>
            </w:pPr>
            <w:r>
              <w:rPr>
                <w:rFonts w:eastAsia="SimSun" w:cs="Times New Roman"/>
                <w:sz w:val="24"/>
                <w:szCs w:val="24"/>
              </w:rPr>
              <w:t>Empirical Analysis</w:t>
            </w:r>
          </w:p>
        </w:tc>
        <w:tc>
          <w:tcPr>
            <w:tcW w:w="3510" w:type="dxa"/>
            <w:hideMark/>
          </w:tcPr>
          <w:p w14:paraId="676619F7" w14:textId="5FC500BA" w:rsidR="005827C2" w:rsidRPr="005827C2" w:rsidRDefault="005827C2" w:rsidP="005827C2">
            <w:pPr>
              <w:suppressAutoHyphens/>
              <w:overflowPunct w:val="0"/>
              <w:autoSpaceDE w:val="0"/>
              <w:autoSpaceDN w:val="0"/>
              <w:adjustRightInd w:val="0"/>
              <w:spacing w:after="0"/>
              <w:textAlignment w:val="baseline"/>
              <w:rPr>
                <w:rFonts w:eastAsia="SimSun" w:cs="Times New Roman"/>
                <w:sz w:val="24"/>
                <w:szCs w:val="24"/>
              </w:rPr>
            </w:pPr>
            <w:r w:rsidRPr="005827C2">
              <w:rPr>
                <w:rFonts w:eastAsia="SimSun" w:cs="Times New Roman"/>
                <w:sz w:val="24"/>
                <w:szCs w:val="24"/>
              </w:rPr>
              <w:t>It entails estimating the risks involved in executing the project, and then determining the expected impact of the risk by SMEs.</w:t>
            </w:r>
          </w:p>
        </w:tc>
        <w:tc>
          <w:tcPr>
            <w:tcW w:w="3942" w:type="dxa"/>
            <w:hideMark/>
          </w:tcPr>
          <w:p w14:paraId="52FF01B4" w14:textId="7EE5313A" w:rsidR="00D51309" w:rsidRPr="005827C2" w:rsidRDefault="005827C2" w:rsidP="005827C2">
            <w:pPr>
              <w:suppressAutoHyphens/>
              <w:overflowPunct w:val="0"/>
              <w:autoSpaceDE w:val="0"/>
              <w:autoSpaceDN w:val="0"/>
              <w:adjustRightInd w:val="0"/>
              <w:spacing w:after="0"/>
              <w:textAlignment w:val="baseline"/>
              <w:rPr>
                <w:rFonts w:eastAsia="SimSun" w:cs="Times New Roman"/>
                <w:sz w:val="24"/>
                <w:szCs w:val="24"/>
              </w:rPr>
            </w:pPr>
            <w:r w:rsidRPr="005827C2">
              <w:rPr>
                <w:rFonts w:eastAsia="SimSun" w:cs="Times New Roman"/>
                <w:sz w:val="24"/>
                <w:szCs w:val="24"/>
              </w:rPr>
              <w:t xml:space="preserve">The value obtained </w:t>
            </w:r>
            <w:r w:rsidR="004E29BD">
              <w:rPr>
                <w:rFonts w:eastAsia="SimSun" w:cs="Times New Roman"/>
                <w:sz w:val="24"/>
                <w:szCs w:val="24"/>
              </w:rPr>
              <w:t xml:space="preserve">relies on values after and during injection. </w:t>
            </w:r>
            <w:r w:rsidRPr="005827C2">
              <w:rPr>
                <w:rFonts w:eastAsia="SimSun" w:cs="Times New Roman"/>
                <w:sz w:val="24"/>
                <w:szCs w:val="24"/>
              </w:rPr>
              <w:t xml:space="preserve"> </w:t>
            </w:r>
            <w:sdt>
              <w:sdtPr>
                <w:rPr>
                  <w:rFonts w:eastAsia="SimSun" w:cs="Times New Roman"/>
                  <w:szCs w:val="24"/>
                </w:rPr>
                <w:id w:val="-1627234725"/>
                <w:citation/>
              </w:sdtPr>
              <w:sdtContent>
                <w:r w:rsidR="004E29BD">
                  <w:rPr>
                    <w:rFonts w:eastAsia="SimSun" w:cs="Times New Roman"/>
                    <w:szCs w:val="24"/>
                  </w:rPr>
                  <w:fldChar w:fldCharType="begin"/>
                </w:r>
                <w:r w:rsidR="004E29BD">
                  <w:rPr>
                    <w:rFonts w:eastAsia="SimSun" w:cs="Times New Roman"/>
                    <w:sz w:val="24"/>
                    <w:szCs w:val="24"/>
                  </w:rPr>
                  <w:instrText xml:space="preserve"> CITATION JAW15 \l 1033 </w:instrText>
                </w:r>
                <w:r w:rsidR="004E29BD">
                  <w:rPr>
                    <w:rFonts w:eastAsia="SimSun" w:cs="Times New Roman"/>
                    <w:szCs w:val="24"/>
                  </w:rPr>
                  <w:fldChar w:fldCharType="separate"/>
                </w:r>
                <w:r w:rsidR="00C84822" w:rsidRPr="00C84822">
                  <w:rPr>
                    <w:rFonts w:eastAsia="SimSun" w:cs="Times New Roman"/>
                    <w:noProof/>
                    <w:sz w:val="24"/>
                    <w:szCs w:val="24"/>
                  </w:rPr>
                  <w:t>(White, Foxall, C. Bachmann, &amp; Daley, 2015)</w:t>
                </w:r>
                <w:r w:rsidR="004E29BD">
                  <w:rPr>
                    <w:rFonts w:eastAsia="SimSun" w:cs="Times New Roman"/>
                    <w:szCs w:val="24"/>
                  </w:rPr>
                  <w:fldChar w:fldCharType="end"/>
                </w:r>
              </w:sdtContent>
            </w:sdt>
            <w:r w:rsidR="00D51309">
              <w:rPr>
                <w:rFonts w:eastAsia="SimSun" w:cs="Times New Roman"/>
                <w:sz w:val="24"/>
                <w:szCs w:val="24"/>
              </w:rPr>
              <w:t xml:space="preserve"> C</w:t>
            </w:r>
            <w:r w:rsidR="00D51309" w:rsidRPr="00D51309">
              <w:rPr>
                <w:rFonts w:eastAsia="SimSun" w:cs="Times New Roman"/>
                <w:sz w:val="24"/>
                <w:szCs w:val="24"/>
              </w:rPr>
              <w:t>aptur</w:t>
            </w:r>
            <w:r w:rsidR="00D51309">
              <w:rPr>
                <w:rFonts w:eastAsia="SimSun" w:cs="Times New Roman"/>
                <w:sz w:val="24"/>
                <w:szCs w:val="24"/>
              </w:rPr>
              <w:t>ing</w:t>
            </w:r>
            <w:r w:rsidR="00D51309" w:rsidRPr="00D51309">
              <w:rPr>
                <w:rFonts w:eastAsia="SimSun" w:cs="Times New Roman"/>
                <w:sz w:val="24"/>
                <w:szCs w:val="24"/>
              </w:rPr>
              <w:t xml:space="preserve"> uncertainties before the project commences</w:t>
            </w:r>
            <w:r w:rsidR="00D51309">
              <w:rPr>
                <w:rFonts w:eastAsia="SimSun" w:cs="Times New Roman"/>
                <w:sz w:val="24"/>
                <w:szCs w:val="24"/>
              </w:rPr>
              <w:t xml:space="preserve"> still required.</w:t>
            </w:r>
          </w:p>
        </w:tc>
      </w:tr>
      <w:tr w:rsidR="005827C2" w:rsidRPr="005827C2" w14:paraId="7F728945" w14:textId="77777777" w:rsidTr="009F6F03">
        <w:trPr>
          <w:trHeight w:val="530"/>
        </w:trPr>
        <w:tc>
          <w:tcPr>
            <w:tcW w:w="1890" w:type="dxa"/>
            <w:hideMark/>
          </w:tcPr>
          <w:p w14:paraId="1194596C" w14:textId="292A2BD1" w:rsidR="005827C2" w:rsidRPr="005827C2" w:rsidRDefault="005827C2" w:rsidP="005827C2">
            <w:pPr>
              <w:suppressAutoHyphens/>
              <w:overflowPunct w:val="0"/>
              <w:autoSpaceDE w:val="0"/>
              <w:autoSpaceDN w:val="0"/>
              <w:adjustRightInd w:val="0"/>
              <w:spacing w:after="0"/>
              <w:textAlignment w:val="baseline"/>
              <w:rPr>
                <w:rFonts w:eastAsia="SimSun" w:cs="Times New Roman"/>
                <w:sz w:val="24"/>
                <w:szCs w:val="24"/>
              </w:rPr>
            </w:pPr>
            <w:r w:rsidRPr="005827C2">
              <w:rPr>
                <w:rFonts w:eastAsia="SimSun" w:cs="Times New Roman"/>
                <w:sz w:val="24"/>
                <w:szCs w:val="24"/>
              </w:rPr>
              <w:t>Monte Carlo Simulation</w:t>
            </w:r>
          </w:p>
        </w:tc>
        <w:tc>
          <w:tcPr>
            <w:tcW w:w="3510" w:type="dxa"/>
            <w:hideMark/>
          </w:tcPr>
          <w:p w14:paraId="0337516A" w14:textId="77777777" w:rsidR="005827C2" w:rsidRPr="005827C2" w:rsidRDefault="005827C2" w:rsidP="005827C2">
            <w:pPr>
              <w:suppressAutoHyphens/>
              <w:overflowPunct w:val="0"/>
              <w:autoSpaceDE w:val="0"/>
              <w:autoSpaceDN w:val="0"/>
              <w:adjustRightInd w:val="0"/>
              <w:spacing w:after="0"/>
              <w:textAlignment w:val="baseline"/>
              <w:rPr>
                <w:rFonts w:eastAsia="SimSun" w:cs="Times New Roman"/>
                <w:sz w:val="24"/>
                <w:szCs w:val="24"/>
              </w:rPr>
            </w:pPr>
            <w:r w:rsidRPr="005827C2">
              <w:rPr>
                <w:rFonts w:eastAsia="SimSun" w:cs="Times New Roman"/>
                <w:sz w:val="24"/>
                <w:szCs w:val="24"/>
              </w:rPr>
              <w:t>Obtains the likelihood of a range of results using a repeated random sampling. While this simulation is easy to implement, it also requires that the samples are uncorrelated, random, and independent on each other.</w:t>
            </w:r>
          </w:p>
        </w:tc>
        <w:tc>
          <w:tcPr>
            <w:tcW w:w="3942" w:type="dxa"/>
            <w:hideMark/>
          </w:tcPr>
          <w:p w14:paraId="7C3B066D" w14:textId="77777777" w:rsidR="005827C2" w:rsidRPr="005827C2" w:rsidRDefault="005827C2" w:rsidP="005827C2">
            <w:pPr>
              <w:suppressAutoHyphens/>
              <w:overflowPunct w:val="0"/>
              <w:autoSpaceDE w:val="0"/>
              <w:autoSpaceDN w:val="0"/>
              <w:adjustRightInd w:val="0"/>
              <w:spacing w:after="0"/>
              <w:textAlignment w:val="baseline"/>
              <w:rPr>
                <w:rFonts w:eastAsia="SimSun" w:cs="Times New Roman"/>
                <w:sz w:val="24"/>
                <w:szCs w:val="24"/>
              </w:rPr>
            </w:pPr>
            <w:r w:rsidRPr="005827C2">
              <w:rPr>
                <w:rFonts w:eastAsia="SimSun" w:cs="Times New Roman"/>
                <w:sz w:val="24"/>
                <w:szCs w:val="24"/>
              </w:rPr>
              <w:t xml:space="preserve">If stress state is constrained by frictional faults, it is defined by the principal stresses’ ratio (Burghardt &amp; Appriou, 2021), hence, geomechanical properties such as </w:t>
            </w:r>
            <w:r w:rsidRPr="005827C2">
              <w:rPr>
                <w:rFonts w:eastAsia="SimSun" w:cs="Times New Roman"/>
                <w:i/>
                <w:iCs/>
                <w:sz w:val="24"/>
                <w:szCs w:val="24"/>
                <w:lang w:val="el-GR"/>
              </w:rPr>
              <w:t>σ</w:t>
            </w:r>
            <w:r w:rsidRPr="005827C2">
              <w:rPr>
                <w:rFonts w:eastAsia="SimSun" w:cs="Times New Roman"/>
                <w:i/>
                <w:iCs/>
                <w:sz w:val="24"/>
                <w:szCs w:val="24"/>
              </w:rPr>
              <w:t>h</w:t>
            </w:r>
            <w:r w:rsidRPr="005827C2">
              <w:rPr>
                <w:rFonts w:eastAsia="SimSun" w:cs="Times New Roman"/>
                <w:sz w:val="24"/>
                <w:szCs w:val="24"/>
              </w:rPr>
              <w:t xml:space="preserve"> and </w:t>
            </w:r>
            <w:r w:rsidRPr="005827C2">
              <w:rPr>
                <w:rFonts w:eastAsia="SimSun" w:cs="Times New Roman"/>
                <w:i/>
                <w:iCs/>
                <w:sz w:val="24"/>
                <w:szCs w:val="24"/>
                <w:lang w:val="el-GR"/>
              </w:rPr>
              <w:t>σ</w:t>
            </w:r>
            <w:r w:rsidRPr="005827C2">
              <w:rPr>
                <w:rFonts w:eastAsia="SimSun" w:cs="Times New Roman"/>
                <w:i/>
                <w:iCs/>
                <w:sz w:val="24"/>
                <w:szCs w:val="24"/>
              </w:rPr>
              <w:t>H</w:t>
            </w:r>
            <w:r w:rsidRPr="005827C2">
              <w:rPr>
                <w:rFonts w:eastAsia="SimSun" w:cs="Times New Roman"/>
                <w:sz w:val="24"/>
                <w:szCs w:val="24"/>
              </w:rPr>
              <w:t xml:space="preserve"> are related to each other. The inherent assumption that the samples need to be unrelated and random no longer holds. </w:t>
            </w:r>
          </w:p>
        </w:tc>
      </w:tr>
      <w:tr w:rsidR="005827C2" w:rsidRPr="005827C2" w14:paraId="21EDB658" w14:textId="77777777" w:rsidTr="009F6F03">
        <w:trPr>
          <w:trHeight w:val="2075"/>
        </w:trPr>
        <w:tc>
          <w:tcPr>
            <w:tcW w:w="1890" w:type="dxa"/>
            <w:hideMark/>
          </w:tcPr>
          <w:p w14:paraId="68090EC8" w14:textId="77777777" w:rsidR="005827C2" w:rsidRPr="005827C2" w:rsidRDefault="005827C2" w:rsidP="005827C2">
            <w:pPr>
              <w:suppressAutoHyphens/>
              <w:overflowPunct w:val="0"/>
              <w:autoSpaceDE w:val="0"/>
              <w:autoSpaceDN w:val="0"/>
              <w:adjustRightInd w:val="0"/>
              <w:spacing w:after="0"/>
              <w:textAlignment w:val="baseline"/>
              <w:rPr>
                <w:rFonts w:eastAsia="SimSun" w:cs="Times New Roman"/>
                <w:sz w:val="24"/>
                <w:szCs w:val="24"/>
              </w:rPr>
            </w:pPr>
            <w:r w:rsidRPr="005827C2">
              <w:rPr>
                <w:rFonts w:eastAsia="SimSun" w:cs="Times New Roman"/>
                <w:sz w:val="24"/>
                <w:szCs w:val="24"/>
              </w:rPr>
              <w:lastRenderedPageBreak/>
              <w:t>State of Stress Analysis</w:t>
            </w:r>
          </w:p>
        </w:tc>
        <w:tc>
          <w:tcPr>
            <w:tcW w:w="3510" w:type="dxa"/>
            <w:hideMark/>
          </w:tcPr>
          <w:p w14:paraId="3E88EC18" w14:textId="081CE2BC" w:rsidR="005827C2" w:rsidRPr="005827C2" w:rsidRDefault="00000000" w:rsidP="005827C2">
            <w:pPr>
              <w:suppressAutoHyphens/>
              <w:overflowPunct w:val="0"/>
              <w:autoSpaceDE w:val="0"/>
              <w:autoSpaceDN w:val="0"/>
              <w:adjustRightInd w:val="0"/>
              <w:spacing w:after="0"/>
              <w:textAlignment w:val="baseline"/>
              <w:rPr>
                <w:rFonts w:eastAsia="SimSun" w:cs="Times New Roman"/>
                <w:sz w:val="24"/>
                <w:szCs w:val="24"/>
              </w:rPr>
            </w:pPr>
            <w:sdt>
              <w:sdtPr>
                <w:rPr>
                  <w:rFonts w:eastAsia="SimSun" w:cs="Times New Roman"/>
                  <w:szCs w:val="24"/>
                </w:rPr>
                <w:id w:val="644635666"/>
                <w:citation/>
              </w:sdtPr>
              <w:sdtContent>
                <w:r w:rsidR="00850D0F">
                  <w:rPr>
                    <w:rFonts w:eastAsia="SimSun" w:cs="Times New Roman"/>
                    <w:szCs w:val="24"/>
                  </w:rPr>
                  <w:fldChar w:fldCharType="begin"/>
                </w:r>
                <w:r w:rsidR="00850D0F">
                  <w:rPr>
                    <w:rFonts w:eastAsia="SimSun" w:cs="Times New Roman"/>
                    <w:sz w:val="24"/>
                    <w:szCs w:val="24"/>
                  </w:rPr>
                  <w:instrText xml:space="preserve"> CITATION Bur21 \l 1033 </w:instrText>
                </w:r>
                <w:r w:rsidR="00850D0F">
                  <w:rPr>
                    <w:rFonts w:eastAsia="SimSun" w:cs="Times New Roman"/>
                    <w:szCs w:val="24"/>
                  </w:rPr>
                  <w:fldChar w:fldCharType="separate"/>
                </w:r>
                <w:r w:rsidR="00C84822" w:rsidRPr="00C84822">
                  <w:rPr>
                    <w:rFonts w:eastAsia="SimSun" w:cs="Times New Roman"/>
                    <w:noProof/>
                    <w:sz w:val="24"/>
                    <w:szCs w:val="24"/>
                  </w:rPr>
                  <w:t>(Burghardt &amp; Appriou, State of Stress Uncertainty Quantification and Geomechanical Risk Analysis for Subsurface Engineering, 2021)</w:t>
                </w:r>
                <w:r w:rsidR="00850D0F">
                  <w:rPr>
                    <w:rFonts w:eastAsia="SimSun" w:cs="Times New Roman"/>
                    <w:szCs w:val="24"/>
                  </w:rPr>
                  <w:fldChar w:fldCharType="end"/>
                </w:r>
              </w:sdtContent>
            </w:sdt>
            <w:r w:rsidR="00850D0F">
              <w:rPr>
                <w:rFonts w:eastAsia="SimSun" w:cs="Times New Roman"/>
                <w:sz w:val="24"/>
                <w:szCs w:val="24"/>
              </w:rPr>
              <w:t xml:space="preserve"> </w:t>
            </w:r>
            <w:r w:rsidR="005827C2" w:rsidRPr="005827C2">
              <w:rPr>
                <w:rFonts w:eastAsia="SimSun" w:cs="Times New Roman"/>
                <w:sz w:val="24"/>
                <w:szCs w:val="24"/>
              </w:rPr>
              <w:t>presented a solution to this limitation by using the Bayesian approach.</w:t>
            </w:r>
          </w:p>
        </w:tc>
        <w:tc>
          <w:tcPr>
            <w:tcW w:w="3942" w:type="dxa"/>
            <w:hideMark/>
          </w:tcPr>
          <w:p w14:paraId="25D61B9A" w14:textId="77777777" w:rsidR="005827C2" w:rsidRPr="005827C2" w:rsidRDefault="005827C2" w:rsidP="005827C2">
            <w:pPr>
              <w:suppressAutoHyphens/>
              <w:overflowPunct w:val="0"/>
              <w:autoSpaceDE w:val="0"/>
              <w:autoSpaceDN w:val="0"/>
              <w:adjustRightInd w:val="0"/>
              <w:spacing w:after="0"/>
              <w:textAlignment w:val="baseline"/>
              <w:rPr>
                <w:rFonts w:eastAsia="SimSun" w:cs="Times New Roman"/>
                <w:sz w:val="24"/>
                <w:szCs w:val="24"/>
              </w:rPr>
            </w:pPr>
            <w:r w:rsidRPr="005827C2">
              <w:rPr>
                <w:rFonts w:eastAsia="SimSun" w:cs="Times New Roman"/>
                <w:sz w:val="24"/>
                <w:szCs w:val="24"/>
              </w:rPr>
              <w:t>Generates the stress state for a single point.</w:t>
            </w:r>
          </w:p>
        </w:tc>
      </w:tr>
    </w:tbl>
    <w:p w14:paraId="6242D24C" w14:textId="77777777" w:rsidR="00536395" w:rsidRDefault="00536395">
      <w:pPr>
        <w:rPr>
          <w:rFonts w:eastAsiaTheme="majorEastAsia" w:cstheme="majorBidi"/>
          <w:b/>
          <w:sz w:val="26"/>
          <w:szCs w:val="32"/>
        </w:rPr>
      </w:pPr>
      <w:r>
        <w:br w:type="page"/>
      </w:r>
    </w:p>
    <w:p w14:paraId="0E9F6C55" w14:textId="5D5A5544" w:rsidR="00276172" w:rsidRDefault="00276172" w:rsidP="00276172">
      <w:pPr>
        <w:pStyle w:val="Heading1"/>
      </w:pPr>
      <w:bookmarkStart w:id="42" w:name="_Toc121265817"/>
      <w:r>
        <w:lastRenderedPageBreak/>
        <w:t xml:space="preserve">CHAPTER </w:t>
      </w:r>
      <w:r w:rsidR="001E13CC">
        <w:t>3</w:t>
      </w:r>
      <w:r>
        <w:t xml:space="preserve">: </w:t>
      </w:r>
      <w:r w:rsidR="009F2CF1">
        <w:t>Methodology</w:t>
      </w:r>
      <w:bookmarkEnd w:id="42"/>
    </w:p>
    <w:p w14:paraId="497B5932" w14:textId="133BEF80" w:rsidR="005B42C2" w:rsidRPr="009F2CF1" w:rsidRDefault="005B42C2" w:rsidP="005B42C2">
      <w:pPr>
        <w:pStyle w:val="Heading2"/>
      </w:pPr>
      <w:bookmarkStart w:id="43" w:name="_Toc121265818"/>
      <w:r>
        <w:t xml:space="preserve">3.1 </w:t>
      </w:r>
      <w:r w:rsidRPr="009F2CF1">
        <w:rPr>
          <w:szCs w:val="32"/>
        </w:rPr>
        <w:t>State of Stress An</w:t>
      </w:r>
      <w:r>
        <w:rPr>
          <w:szCs w:val="32"/>
        </w:rPr>
        <w:t>alysis</w:t>
      </w:r>
      <w:bookmarkEnd w:id="43"/>
    </w:p>
    <w:p w14:paraId="5CB1C652" w14:textId="29F72653" w:rsidR="005B42C2" w:rsidRDefault="005B42C2" w:rsidP="005B42C2">
      <w:pPr>
        <w:rPr>
          <w:rFonts w:eastAsiaTheme="majorEastAsia" w:cstheme="majorBidi"/>
          <w:szCs w:val="32"/>
        </w:rPr>
      </w:pPr>
      <w:r w:rsidRPr="009F2CF1">
        <w:rPr>
          <w:rFonts w:eastAsiaTheme="majorEastAsia" w:cstheme="majorBidi"/>
          <w:szCs w:val="32"/>
        </w:rPr>
        <w:t>It has been established that the injecti</w:t>
      </w:r>
      <w:r>
        <w:rPr>
          <w:rFonts w:eastAsiaTheme="majorEastAsia" w:cstheme="majorBidi"/>
          <w:szCs w:val="32"/>
        </w:rPr>
        <w:t>ng</w:t>
      </w:r>
      <w:r w:rsidRPr="009F2CF1">
        <w:rPr>
          <w:rFonts w:eastAsiaTheme="majorEastAsia" w:cstheme="majorBidi"/>
          <w:szCs w:val="32"/>
        </w:rPr>
        <w:t xml:space="preserve"> </w:t>
      </w:r>
      <w:r>
        <w:rPr>
          <w:rFonts w:eastAsia="SimSun" w:cs="Times New Roman"/>
        </w:rPr>
        <w:t>CO</w:t>
      </w:r>
      <w:r>
        <w:rPr>
          <w:rFonts w:eastAsia="SimSun" w:cs="Times New Roman"/>
          <w:vertAlign w:val="subscript"/>
        </w:rPr>
        <w:t xml:space="preserve">2 </w:t>
      </w:r>
      <w:r>
        <w:rPr>
          <w:rFonts w:eastAsiaTheme="majorEastAsia" w:cstheme="majorBidi"/>
          <w:szCs w:val="32"/>
        </w:rPr>
        <w:t>in geologic formations is accompanied by an</w:t>
      </w:r>
      <w:r w:rsidRPr="009F2CF1">
        <w:rPr>
          <w:rFonts w:eastAsiaTheme="majorEastAsia" w:cstheme="majorBidi"/>
          <w:szCs w:val="32"/>
        </w:rPr>
        <w:t xml:space="preserve"> </w:t>
      </w:r>
      <w:r w:rsidR="00F3474F">
        <w:rPr>
          <w:rFonts w:eastAsiaTheme="majorEastAsia" w:cstheme="majorBidi"/>
          <w:szCs w:val="32"/>
        </w:rPr>
        <w:t>increase</w:t>
      </w:r>
      <w:r w:rsidRPr="009F2CF1">
        <w:rPr>
          <w:rFonts w:eastAsiaTheme="majorEastAsia" w:cstheme="majorBidi"/>
          <w:szCs w:val="32"/>
        </w:rPr>
        <w:t xml:space="preserve"> in pore pressure</w:t>
      </w:r>
      <w:r>
        <w:rPr>
          <w:rFonts w:eastAsiaTheme="majorEastAsia" w:cstheme="majorBidi"/>
          <w:szCs w:val="32"/>
        </w:rPr>
        <w:t xml:space="preserve"> which would contribute to a change in the </w:t>
      </w:r>
      <w:r w:rsidRPr="009F2CF1">
        <w:rPr>
          <w:rFonts w:eastAsiaTheme="majorEastAsia" w:cstheme="majorBidi"/>
          <w:szCs w:val="32"/>
        </w:rPr>
        <w:t>state of stress</w:t>
      </w:r>
      <w:r>
        <w:rPr>
          <w:rFonts w:eastAsiaTheme="majorEastAsia" w:cstheme="majorBidi"/>
          <w:szCs w:val="32"/>
        </w:rPr>
        <w:t xml:space="preserve">. This could potentially </w:t>
      </w:r>
      <w:r w:rsidRPr="009F2CF1">
        <w:rPr>
          <w:rFonts w:eastAsiaTheme="majorEastAsia" w:cstheme="majorBidi"/>
          <w:szCs w:val="32"/>
        </w:rPr>
        <w:t>influenc</w:t>
      </w:r>
      <w:r>
        <w:rPr>
          <w:rFonts w:eastAsiaTheme="majorEastAsia" w:cstheme="majorBidi"/>
          <w:szCs w:val="32"/>
        </w:rPr>
        <w:t>e the</w:t>
      </w:r>
      <w:r w:rsidRPr="009F2CF1">
        <w:rPr>
          <w:rFonts w:eastAsiaTheme="majorEastAsia" w:cstheme="majorBidi"/>
          <w:szCs w:val="32"/>
        </w:rPr>
        <w:t xml:space="preserve"> </w:t>
      </w:r>
      <w:r>
        <w:rPr>
          <w:rFonts w:eastAsiaTheme="majorEastAsia" w:cstheme="majorBidi"/>
          <w:szCs w:val="32"/>
        </w:rPr>
        <w:t xml:space="preserve">geomechanical risks due to induced seismicity and migration of </w:t>
      </w:r>
      <w:r w:rsidRPr="009F2CF1">
        <w:rPr>
          <w:rFonts w:eastAsiaTheme="majorEastAsia" w:cstheme="majorBidi"/>
          <w:szCs w:val="32"/>
        </w:rPr>
        <w:t xml:space="preserve">fluid. To </w:t>
      </w:r>
      <w:r>
        <w:rPr>
          <w:rFonts w:eastAsiaTheme="majorEastAsia" w:cstheme="majorBidi"/>
          <w:szCs w:val="32"/>
        </w:rPr>
        <w:t>mitigate these</w:t>
      </w:r>
      <w:r w:rsidRPr="009F2CF1">
        <w:rPr>
          <w:rFonts w:eastAsiaTheme="majorEastAsia" w:cstheme="majorBidi"/>
          <w:szCs w:val="32"/>
        </w:rPr>
        <w:t xml:space="preserve"> risks</w:t>
      </w:r>
      <w:r>
        <w:rPr>
          <w:rFonts w:eastAsiaTheme="majorEastAsia" w:cstheme="majorBidi"/>
          <w:szCs w:val="32"/>
        </w:rPr>
        <w:t>, understanding the behavior of in-situ stresses over geologic time is very important.</w:t>
      </w:r>
      <w:r w:rsidRPr="005B42C2">
        <w:rPr>
          <w:rFonts w:eastAsiaTheme="majorEastAsia" w:cstheme="majorBidi"/>
          <w:szCs w:val="32"/>
        </w:rPr>
        <w:t xml:space="preserve"> </w:t>
      </w:r>
    </w:p>
    <w:p w14:paraId="18EB6512" w14:textId="57ADB745" w:rsidR="008C7EF6" w:rsidRDefault="005B42C2" w:rsidP="008C7EF6">
      <w:pPr>
        <w:rPr>
          <w:rFonts w:eastAsiaTheme="majorEastAsia" w:cstheme="majorBidi"/>
          <w:szCs w:val="32"/>
        </w:rPr>
      </w:pPr>
      <w:r>
        <w:rPr>
          <w:rFonts w:eastAsiaTheme="majorEastAsia" w:cstheme="majorBidi"/>
          <w:szCs w:val="32"/>
        </w:rPr>
        <w:t>In the formation, three orthogonal principal stresses which a</w:t>
      </w:r>
      <w:r w:rsidR="00F3474F">
        <w:rPr>
          <w:rFonts w:eastAsiaTheme="majorEastAsia" w:cstheme="majorBidi"/>
          <w:szCs w:val="32"/>
        </w:rPr>
        <w:t>re</w:t>
      </w:r>
      <w:r>
        <w:rPr>
          <w:rFonts w:eastAsiaTheme="majorEastAsia" w:cstheme="majorBidi"/>
          <w:szCs w:val="32"/>
        </w:rPr>
        <w:t xml:space="preserve"> perpendicular to each other are used to define the stresses in the formation. The vertical stress is a function of the </w:t>
      </w:r>
      <w:r w:rsidR="00F3474F">
        <w:rPr>
          <w:rFonts w:eastAsiaTheme="majorEastAsia" w:cstheme="majorBidi"/>
          <w:szCs w:val="32"/>
        </w:rPr>
        <w:t xml:space="preserve">mass density of the </w:t>
      </w:r>
      <w:r>
        <w:rPr>
          <w:rFonts w:eastAsiaTheme="majorEastAsia" w:cstheme="majorBidi"/>
          <w:szCs w:val="32"/>
        </w:rPr>
        <w:t xml:space="preserve">overburden of the formation and its true vertical depth. </w:t>
      </w:r>
      <w:r w:rsidR="00F3474F">
        <w:rPr>
          <w:rFonts w:eastAsiaTheme="majorEastAsia" w:cstheme="majorBidi"/>
          <w:szCs w:val="32"/>
        </w:rPr>
        <w:t xml:space="preserve">It can be a principal stress, but this is not always the case. </w:t>
      </w:r>
      <w:r>
        <w:rPr>
          <w:rFonts w:eastAsiaTheme="majorEastAsia" w:cstheme="majorBidi"/>
          <w:szCs w:val="32"/>
        </w:rPr>
        <w:t xml:space="preserve">Once the vertical stress has been established as a principal stress, the remaining stresses are the minimum horizontal stress and the maximum horizontal stress. </w:t>
      </w:r>
    </w:p>
    <w:p w14:paraId="3E5CB0ED" w14:textId="57DF3807" w:rsidR="00FA7558" w:rsidRDefault="00FA7558" w:rsidP="00FA7558">
      <w:pPr>
        <w:pStyle w:val="Caption"/>
      </w:pPr>
      <w:r>
        <w:rPr>
          <w:noProof/>
        </w:rPr>
        <w:drawing>
          <wp:inline distT="0" distB="0" distL="0" distR="0" wp14:anchorId="6F5299D0" wp14:editId="2088A402">
            <wp:extent cx="6118352" cy="147107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69611" cy="1483394"/>
                    </a:xfrm>
                    <a:prstGeom prst="rect">
                      <a:avLst/>
                    </a:prstGeom>
                    <a:noFill/>
                  </pic:spPr>
                </pic:pic>
              </a:graphicData>
            </a:graphic>
          </wp:inline>
        </w:drawing>
      </w:r>
    </w:p>
    <w:p w14:paraId="28ECCA5B" w14:textId="13550D78" w:rsidR="008C7EF6" w:rsidRPr="00FA7558" w:rsidRDefault="008C7EF6" w:rsidP="00FA7558">
      <w:pPr>
        <w:pStyle w:val="Caption"/>
        <w:rPr>
          <w:rFonts w:eastAsia="SimSun" w:cs="Times New Roman"/>
          <w:szCs w:val="20"/>
        </w:rPr>
      </w:pPr>
      <w:bookmarkStart w:id="44" w:name="_Toc121265850"/>
      <w:r>
        <w:t xml:space="preserve">Figure </w:t>
      </w:r>
      <w:fldSimple w:instr=" SEQ Figure \* ARABIC ">
        <w:r w:rsidR="00955725">
          <w:rPr>
            <w:noProof/>
          </w:rPr>
          <w:t>7</w:t>
        </w:r>
      </w:fldSimple>
      <w:r>
        <w:t xml:space="preserve">: </w:t>
      </w:r>
      <w:r w:rsidRPr="00AE3605">
        <w:t xml:space="preserve">Principal Stresses. </w:t>
      </w:r>
      <w:r w:rsidR="00FA7558">
        <w:t>Modifie</w:t>
      </w:r>
      <w:r w:rsidRPr="00AE3605">
        <w:t>d from</w:t>
      </w:r>
      <w:r>
        <w:t xml:space="preserve"> </w:t>
      </w:r>
      <w:sdt>
        <w:sdtPr>
          <w:id w:val="-1521233532"/>
          <w:citation/>
        </w:sdtPr>
        <w:sdtContent>
          <w:r>
            <w:fldChar w:fldCharType="begin"/>
          </w:r>
          <w:r>
            <w:instrText xml:space="preserve">CITATION Esp \l 1033 </w:instrText>
          </w:r>
          <w:r>
            <w:fldChar w:fldCharType="separate"/>
          </w:r>
          <w:r w:rsidR="00C84822">
            <w:rPr>
              <w:noProof/>
            </w:rPr>
            <w:t>(Espinoza, 2020)</w:t>
          </w:r>
          <w:r>
            <w:fldChar w:fldCharType="end"/>
          </w:r>
        </w:sdtContent>
      </w:sdt>
      <w:bookmarkEnd w:id="44"/>
    </w:p>
    <w:p w14:paraId="6F0FDBE8" w14:textId="4F34AD1E" w:rsidR="008C7EF6" w:rsidRPr="008C7EF6" w:rsidRDefault="008C7EF6" w:rsidP="008C7EF6">
      <w:pPr>
        <w:rPr>
          <w:rFonts w:eastAsiaTheme="majorEastAsia" w:cstheme="majorBidi"/>
          <w:szCs w:val="32"/>
        </w:rPr>
      </w:pPr>
      <w:r w:rsidRPr="008C7EF6">
        <w:rPr>
          <w:rFonts w:eastAsiaTheme="majorEastAsia" w:cstheme="majorBidi"/>
          <w:szCs w:val="32"/>
        </w:rPr>
        <w:t>Depending on the</w:t>
      </w:r>
      <w:r w:rsidR="00F3474F">
        <w:rPr>
          <w:rFonts w:eastAsiaTheme="majorEastAsia" w:cstheme="majorBidi"/>
          <w:szCs w:val="32"/>
        </w:rPr>
        <w:t xml:space="preserve"> relative magnitudes </w:t>
      </w:r>
      <w:r w:rsidRPr="008C7EF6">
        <w:rPr>
          <w:rFonts w:eastAsiaTheme="majorEastAsia" w:cstheme="majorBidi"/>
          <w:szCs w:val="32"/>
        </w:rPr>
        <w:t>of each principal stress, there are three different types of fault regimes which can result</w:t>
      </w:r>
      <w:r>
        <w:rPr>
          <w:rFonts w:eastAsiaTheme="majorEastAsia" w:cstheme="majorBidi"/>
          <w:szCs w:val="32"/>
        </w:rPr>
        <w:t>:</w:t>
      </w:r>
    </w:p>
    <w:p w14:paraId="67CE000D" w14:textId="178F3F64" w:rsidR="008C7EF6" w:rsidRPr="008C7EF6" w:rsidRDefault="008C7EF6" w:rsidP="008C7EF6">
      <w:pPr>
        <w:pStyle w:val="ListParagraph"/>
        <w:numPr>
          <w:ilvl w:val="0"/>
          <w:numId w:val="10"/>
        </w:numPr>
        <w:rPr>
          <w:rFonts w:eastAsiaTheme="majorEastAsia" w:cstheme="majorBidi"/>
          <w:szCs w:val="32"/>
        </w:rPr>
      </w:pPr>
      <w:r>
        <w:rPr>
          <w:rFonts w:eastAsiaTheme="majorEastAsia" w:cstheme="majorBidi"/>
          <w:szCs w:val="32"/>
        </w:rPr>
        <w:lastRenderedPageBreak/>
        <w:t>N</w:t>
      </w:r>
      <w:r w:rsidRPr="008C7EF6">
        <w:rPr>
          <w:rFonts w:eastAsiaTheme="majorEastAsia" w:cstheme="majorBidi"/>
          <w:szCs w:val="32"/>
        </w:rPr>
        <w:t>ormal faulting (NF) is when the largest principal stress is the vertical stress, and the minimum principal stress is horizontal. Normal faulting regimes are common in passive or extensional environments</w:t>
      </w:r>
      <w:r>
        <w:rPr>
          <w:rFonts w:eastAsiaTheme="majorEastAsia" w:cstheme="majorBidi"/>
          <w:szCs w:val="32"/>
        </w:rPr>
        <w:t xml:space="preserve"> </w:t>
      </w:r>
      <w:sdt>
        <w:sdtPr>
          <w:rPr>
            <w:rFonts w:eastAsiaTheme="majorEastAsia" w:cstheme="majorBidi"/>
            <w:szCs w:val="32"/>
          </w:rPr>
          <w:id w:val="-1803988868"/>
          <w:citation/>
        </w:sdtPr>
        <w:sdtContent>
          <w:r>
            <w:rPr>
              <w:rFonts w:eastAsiaTheme="majorEastAsia" w:cstheme="majorBidi"/>
              <w:szCs w:val="32"/>
            </w:rPr>
            <w:fldChar w:fldCharType="begin"/>
          </w:r>
          <w:r>
            <w:rPr>
              <w:rFonts w:eastAsiaTheme="majorEastAsia" w:cstheme="majorBidi"/>
              <w:szCs w:val="32"/>
            </w:rPr>
            <w:instrText xml:space="preserve"> CITATION Esp \l 1033 </w:instrText>
          </w:r>
          <w:r>
            <w:rPr>
              <w:rFonts w:eastAsiaTheme="majorEastAsia" w:cstheme="majorBidi"/>
              <w:szCs w:val="32"/>
            </w:rPr>
            <w:fldChar w:fldCharType="separate"/>
          </w:r>
          <w:r w:rsidR="00C84822" w:rsidRPr="00C84822">
            <w:rPr>
              <w:rFonts w:eastAsiaTheme="majorEastAsia" w:cstheme="majorBidi"/>
              <w:noProof/>
              <w:szCs w:val="32"/>
            </w:rPr>
            <w:t>(Espinoza, 2020)</w:t>
          </w:r>
          <w:r>
            <w:rPr>
              <w:rFonts w:eastAsiaTheme="majorEastAsia" w:cstheme="majorBidi"/>
              <w:szCs w:val="32"/>
            </w:rPr>
            <w:fldChar w:fldCharType="end"/>
          </w:r>
        </w:sdtContent>
      </w:sdt>
      <w:r w:rsidRPr="008C7EF6">
        <w:rPr>
          <w:rFonts w:eastAsiaTheme="majorEastAsia" w:cstheme="majorBidi"/>
          <w:szCs w:val="32"/>
        </w:rPr>
        <w:t xml:space="preserve">. </w:t>
      </w:r>
    </w:p>
    <w:p w14:paraId="64E4E9EE" w14:textId="2235EF60" w:rsidR="008C7EF6" w:rsidRPr="008C7EF6" w:rsidRDefault="008C7EF6" w:rsidP="008C7EF6">
      <w:pPr>
        <w:pStyle w:val="ListParagraph"/>
        <w:numPr>
          <w:ilvl w:val="0"/>
          <w:numId w:val="10"/>
        </w:numPr>
        <w:rPr>
          <w:rFonts w:eastAsiaTheme="majorEastAsia" w:cstheme="majorBidi"/>
          <w:szCs w:val="32"/>
        </w:rPr>
      </w:pPr>
      <w:r w:rsidRPr="008C7EF6">
        <w:rPr>
          <w:rFonts w:eastAsiaTheme="majorEastAsia" w:cstheme="majorBidi"/>
          <w:szCs w:val="32"/>
        </w:rPr>
        <w:t>Strike-slip faulting (SS) faulting is a regime where both the maximum and minimum principal stresses are in the horizontal plane, which is common in regions with tectonic shearing</w:t>
      </w:r>
      <w:r>
        <w:rPr>
          <w:rFonts w:eastAsiaTheme="majorEastAsia" w:cstheme="majorBidi"/>
          <w:szCs w:val="32"/>
        </w:rPr>
        <w:t xml:space="preserve"> </w:t>
      </w:r>
      <w:sdt>
        <w:sdtPr>
          <w:rPr>
            <w:rFonts w:eastAsiaTheme="majorEastAsia" w:cstheme="majorBidi"/>
            <w:szCs w:val="32"/>
          </w:rPr>
          <w:id w:val="-1875458761"/>
          <w:citation/>
        </w:sdtPr>
        <w:sdtContent>
          <w:r>
            <w:rPr>
              <w:rFonts w:eastAsiaTheme="majorEastAsia" w:cstheme="majorBidi"/>
              <w:szCs w:val="32"/>
            </w:rPr>
            <w:fldChar w:fldCharType="begin"/>
          </w:r>
          <w:r>
            <w:rPr>
              <w:rFonts w:eastAsiaTheme="majorEastAsia" w:cstheme="majorBidi"/>
              <w:szCs w:val="32"/>
            </w:rPr>
            <w:instrText xml:space="preserve"> CITATION Esp \l 1033 </w:instrText>
          </w:r>
          <w:r>
            <w:rPr>
              <w:rFonts w:eastAsiaTheme="majorEastAsia" w:cstheme="majorBidi"/>
              <w:szCs w:val="32"/>
            </w:rPr>
            <w:fldChar w:fldCharType="separate"/>
          </w:r>
          <w:r w:rsidR="00C84822" w:rsidRPr="00C84822">
            <w:rPr>
              <w:rFonts w:eastAsiaTheme="majorEastAsia" w:cstheme="majorBidi"/>
              <w:noProof/>
              <w:szCs w:val="32"/>
            </w:rPr>
            <w:t>(Espinoza, 2020)</w:t>
          </w:r>
          <w:r>
            <w:rPr>
              <w:rFonts w:eastAsiaTheme="majorEastAsia" w:cstheme="majorBidi"/>
              <w:szCs w:val="32"/>
            </w:rPr>
            <w:fldChar w:fldCharType="end"/>
          </w:r>
        </w:sdtContent>
      </w:sdt>
      <w:r w:rsidRPr="008C7EF6">
        <w:rPr>
          <w:rFonts w:eastAsiaTheme="majorEastAsia" w:cstheme="majorBidi"/>
          <w:szCs w:val="32"/>
        </w:rPr>
        <w:t>. The max horizontal stress is greater than the vertical stress which is greater than the minimum horizontal stress.</w:t>
      </w:r>
    </w:p>
    <w:p w14:paraId="3CEF4F4A" w14:textId="2D63BAA2" w:rsidR="008C7EF6" w:rsidRDefault="008C7EF6" w:rsidP="008C7EF6">
      <w:pPr>
        <w:pStyle w:val="ListParagraph"/>
        <w:numPr>
          <w:ilvl w:val="0"/>
          <w:numId w:val="10"/>
        </w:numPr>
        <w:rPr>
          <w:rFonts w:eastAsiaTheme="majorEastAsia" w:cstheme="majorBidi"/>
          <w:szCs w:val="32"/>
        </w:rPr>
      </w:pPr>
      <w:r w:rsidRPr="008C7EF6">
        <w:rPr>
          <w:rFonts w:eastAsiaTheme="majorEastAsia" w:cstheme="majorBidi"/>
          <w:szCs w:val="32"/>
        </w:rPr>
        <w:t>Thrust faulting (TF) is the scenario where the maximum principal stress is in the horizontal direction and the minimum principal stress is the vertical stress. This is common in tectonically compressive regions</w:t>
      </w:r>
      <w:r>
        <w:rPr>
          <w:rFonts w:eastAsiaTheme="majorEastAsia" w:cstheme="majorBidi"/>
          <w:szCs w:val="32"/>
        </w:rPr>
        <w:t xml:space="preserve"> </w:t>
      </w:r>
      <w:sdt>
        <w:sdtPr>
          <w:rPr>
            <w:rFonts w:eastAsiaTheme="majorEastAsia" w:cstheme="majorBidi"/>
            <w:szCs w:val="32"/>
          </w:rPr>
          <w:id w:val="1421443751"/>
          <w:citation/>
        </w:sdtPr>
        <w:sdtContent>
          <w:r>
            <w:rPr>
              <w:rFonts w:eastAsiaTheme="majorEastAsia" w:cstheme="majorBidi"/>
              <w:szCs w:val="32"/>
            </w:rPr>
            <w:fldChar w:fldCharType="begin"/>
          </w:r>
          <w:r>
            <w:rPr>
              <w:rFonts w:eastAsiaTheme="majorEastAsia" w:cstheme="majorBidi"/>
              <w:szCs w:val="32"/>
            </w:rPr>
            <w:instrText xml:space="preserve"> CITATION Esp \l 1033 </w:instrText>
          </w:r>
          <w:r>
            <w:rPr>
              <w:rFonts w:eastAsiaTheme="majorEastAsia" w:cstheme="majorBidi"/>
              <w:szCs w:val="32"/>
            </w:rPr>
            <w:fldChar w:fldCharType="separate"/>
          </w:r>
          <w:r w:rsidR="00C84822" w:rsidRPr="00C84822">
            <w:rPr>
              <w:rFonts w:eastAsiaTheme="majorEastAsia" w:cstheme="majorBidi"/>
              <w:noProof/>
              <w:szCs w:val="32"/>
            </w:rPr>
            <w:t>(Espinoza, 2020)</w:t>
          </w:r>
          <w:r>
            <w:rPr>
              <w:rFonts w:eastAsiaTheme="majorEastAsia" w:cstheme="majorBidi"/>
              <w:szCs w:val="32"/>
            </w:rPr>
            <w:fldChar w:fldCharType="end"/>
          </w:r>
        </w:sdtContent>
      </w:sdt>
      <w:r w:rsidRPr="008C7EF6">
        <w:rPr>
          <w:rFonts w:eastAsiaTheme="majorEastAsia" w:cstheme="majorBidi"/>
          <w:szCs w:val="32"/>
        </w:rPr>
        <w:t>.</w:t>
      </w:r>
    </w:p>
    <w:p w14:paraId="0DE8EA37" w14:textId="023DD027" w:rsidR="008C7EF6" w:rsidRPr="00FA7558" w:rsidRDefault="00FA7558" w:rsidP="00FA7558">
      <w:pPr>
        <w:rPr>
          <w:rFonts w:eastAsiaTheme="majorEastAsia" w:cstheme="majorBidi"/>
          <w:szCs w:val="32"/>
        </w:rPr>
      </w:pPr>
      <w:r>
        <w:rPr>
          <w:rFonts w:eastAsiaTheme="majorEastAsia" w:cstheme="majorBidi"/>
          <w:noProof/>
          <w:szCs w:val="32"/>
        </w:rPr>
        <w:drawing>
          <wp:inline distT="0" distB="0" distL="0" distR="0" wp14:anchorId="1131FCCB" wp14:editId="591265B8">
            <wp:extent cx="6187721" cy="1433507"/>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255993" cy="1449323"/>
                    </a:xfrm>
                    <a:prstGeom prst="rect">
                      <a:avLst/>
                    </a:prstGeom>
                    <a:noFill/>
                  </pic:spPr>
                </pic:pic>
              </a:graphicData>
            </a:graphic>
          </wp:inline>
        </w:drawing>
      </w:r>
    </w:p>
    <w:p w14:paraId="76A55357" w14:textId="6507E0E4" w:rsidR="008C7EF6" w:rsidRDefault="008C7EF6" w:rsidP="00FA7558">
      <w:pPr>
        <w:pStyle w:val="Caption"/>
      </w:pPr>
      <w:bookmarkStart w:id="45" w:name="_Toc121265851"/>
      <w:r>
        <w:t xml:space="preserve">Figure </w:t>
      </w:r>
      <w:fldSimple w:instr=" SEQ Figure \* ARABIC ">
        <w:r w:rsidR="00955725">
          <w:rPr>
            <w:noProof/>
          </w:rPr>
          <w:t>8</w:t>
        </w:r>
      </w:fldSimple>
      <w:r>
        <w:t xml:space="preserve">: </w:t>
      </w:r>
      <w:r w:rsidRPr="00F84CE8">
        <w:t xml:space="preserve">Different Stress Regimes. </w:t>
      </w:r>
      <w:r w:rsidR="00FA7558">
        <w:t xml:space="preserve">Modified from </w:t>
      </w:r>
      <w:sdt>
        <w:sdtPr>
          <w:id w:val="-1827746011"/>
          <w:citation/>
        </w:sdtPr>
        <w:sdtContent>
          <w:r>
            <w:fldChar w:fldCharType="begin"/>
          </w:r>
          <w:r>
            <w:instrText xml:space="preserve"> CITATION Jaf18 \l 1033 </w:instrText>
          </w:r>
          <w:r>
            <w:fldChar w:fldCharType="separate"/>
          </w:r>
          <w:r w:rsidR="00C84822">
            <w:rPr>
              <w:noProof/>
            </w:rPr>
            <w:t>(Jaffar &amp; Abdulnaby, 2018)</w:t>
          </w:r>
          <w:r>
            <w:fldChar w:fldCharType="end"/>
          </w:r>
        </w:sdtContent>
      </w:sdt>
      <w:bookmarkEnd w:id="45"/>
    </w:p>
    <w:p w14:paraId="32EA023F" w14:textId="77777777" w:rsidR="00FA7558" w:rsidRPr="00FA7558" w:rsidRDefault="00FA7558" w:rsidP="00FA7558"/>
    <w:p w14:paraId="0096E1F7" w14:textId="7AF8000C" w:rsidR="005B42C2" w:rsidRDefault="005B42C2" w:rsidP="00025474">
      <w:pPr>
        <w:keepNext/>
        <w:rPr>
          <w:rFonts w:eastAsiaTheme="majorEastAsia" w:cstheme="majorBidi"/>
          <w:szCs w:val="32"/>
        </w:rPr>
      </w:pPr>
      <w:r>
        <w:rPr>
          <w:rFonts w:eastAsiaTheme="majorEastAsia" w:cstheme="majorBidi"/>
          <w:szCs w:val="32"/>
        </w:rPr>
        <w:t xml:space="preserve">Recall </w:t>
      </w:r>
      <w:r>
        <w:rPr>
          <w:rFonts w:eastAsia="SimSun" w:cs="Times New Roman"/>
          <w:szCs w:val="20"/>
        </w:rPr>
        <w:t xml:space="preserve">that if the stress state is being constrained by frictional faults, it is defined by the principal stresses’ ratio </w:t>
      </w:r>
      <w:r w:rsidRPr="005B42C2">
        <w:rPr>
          <w:rFonts w:eastAsia="SimSun" w:cs="Times New Roman"/>
          <w:szCs w:val="20"/>
        </w:rPr>
        <w:t xml:space="preserve">hence the minimum horizontal stress and maximum horizontal stress are related and cannot be modelled </w:t>
      </w:r>
      <w:r w:rsidR="00F3474F">
        <w:rPr>
          <w:rFonts w:eastAsia="SimSun" w:cs="Times New Roman"/>
          <w:szCs w:val="20"/>
        </w:rPr>
        <w:t>as statistically independent</w:t>
      </w:r>
      <w:r>
        <w:rPr>
          <w:rFonts w:eastAsia="SimSun" w:cs="Times New Roman"/>
          <w:szCs w:val="20"/>
        </w:rPr>
        <w:t>.</w:t>
      </w:r>
      <w:r w:rsidR="008C7EF6">
        <w:rPr>
          <w:rFonts w:eastAsia="SimSun" w:cs="Times New Roman"/>
          <w:szCs w:val="20"/>
        </w:rPr>
        <w:t xml:space="preserve"> </w:t>
      </w:r>
      <w:r w:rsidR="008C7EF6" w:rsidRPr="005B42C2">
        <w:rPr>
          <w:rFonts w:eastAsiaTheme="majorEastAsia" w:cstheme="majorBidi"/>
          <w:szCs w:val="32"/>
        </w:rPr>
        <w:t>To account for this, the stress polygon approach is used to capture th</w:t>
      </w:r>
      <w:r w:rsidR="008C7EF6">
        <w:rPr>
          <w:rFonts w:eastAsiaTheme="majorEastAsia" w:cstheme="majorBidi"/>
          <w:szCs w:val="32"/>
        </w:rPr>
        <w:t xml:space="preserve">is </w:t>
      </w:r>
      <w:r w:rsidR="008C7EF6" w:rsidRPr="005B42C2">
        <w:rPr>
          <w:rFonts w:eastAsiaTheme="majorEastAsia" w:cstheme="majorBidi"/>
          <w:szCs w:val="32"/>
        </w:rPr>
        <w:t xml:space="preserve">relationship.  </w:t>
      </w:r>
      <w:r w:rsidR="008C7EF6">
        <w:rPr>
          <w:rFonts w:eastAsiaTheme="majorEastAsia" w:cstheme="majorBidi"/>
          <w:szCs w:val="32"/>
        </w:rPr>
        <w:t xml:space="preserve">This approach has an assumption that the state of </w:t>
      </w:r>
      <w:r w:rsidR="008C7EF6">
        <w:rPr>
          <w:rFonts w:eastAsiaTheme="majorEastAsia" w:cstheme="majorBidi"/>
          <w:szCs w:val="32"/>
        </w:rPr>
        <w:lastRenderedPageBreak/>
        <w:t>stress for any pore pressure or true vertical depth has a frictional strength limitation due to the faults with critical orientation to stress field and already existing fractures.</w:t>
      </w:r>
    </w:p>
    <w:p w14:paraId="2A2F1E5C" w14:textId="3B5B5F38" w:rsidR="00DE3D6A" w:rsidRPr="00025474" w:rsidRDefault="00DE3D6A" w:rsidP="00DE3D6A">
      <w:pPr>
        <w:pStyle w:val="Heading2"/>
      </w:pPr>
      <w:bookmarkStart w:id="46" w:name="_Toc121265819"/>
      <w:r>
        <w:t>3.2 Model Formulation</w:t>
      </w:r>
      <w:bookmarkEnd w:id="46"/>
    </w:p>
    <w:p w14:paraId="01A527BC" w14:textId="1265581D" w:rsidR="00850D0F" w:rsidRDefault="008C7EF6" w:rsidP="00025474">
      <w:pPr>
        <w:rPr>
          <w:rFonts w:eastAsiaTheme="majorEastAsia" w:cstheme="majorBidi"/>
          <w:szCs w:val="32"/>
        </w:rPr>
      </w:pPr>
      <w:r>
        <w:rPr>
          <w:rFonts w:eastAsiaTheme="majorEastAsia" w:cstheme="majorBidi"/>
          <w:szCs w:val="32"/>
        </w:rPr>
        <w:t xml:space="preserve">Despite the necessity of </w:t>
      </w:r>
      <w:r w:rsidR="005B42C2">
        <w:rPr>
          <w:rFonts w:eastAsiaTheme="majorEastAsia" w:cstheme="majorBidi"/>
          <w:szCs w:val="32"/>
        </w:rPr>
        <w:t>understanding the behavior of in-situ stresses over geologic time</w:t>
      </w:r>
      <w:r>
        <w:rPr>
          <w:rFonts w:eastAsiaTheme="majorEastAsia" w:cstheme="majorBidi"/>
          <w:szCs w:val="32"/>
        </w:rPr>
        <w:t xml:space="preserve"> to</w:t>
      </w:r>
      <w:r w:rsidRPr="009F2CF1">
        <w:rPr>
          <w:rFonts w:eastAsiaTheme="majorEastAsia" w:cstheme="majorBidi"/>
          <w:szCs w:val="32"/>
        </w:rPr>
        <w:t xml:space="preserve"> </w:t>
      </w:r>
      <w:r>
        <w:rPr>
          <w:rFonts w:eastAsiaTheme="majorEastAsia" w:cstheme="majorBidi"/>
          <w:szCs w:val="32"/>
        </w:rPr>
        <w:t>mitigate these seismicity</w:t>
      </w:r>
      <w:r w:rsidRPr="009F2CF1">
        <w:rPr>
          <w:rFonts w:eastAsiaTheme="majorEastAsia" w:cstheme="majorBidi"/>
          <w:szCs w:val="32"/>
        </w:rPr>
        <w:t xml:space="preserve"> risks</w:t>
      </w:r>
      <w:r>
        <w:rPr>
          <w:rFonts w:eastAsiaTheme="majorEastAsia" w:cstheme="majorBidi"/>
          <w:szCs w:val="32"/>
        </w:rPr>
        <w:t>, it is</w:t>
      </w:r>
      <w:r w:rsidR="005B42C2">
        <w:rPr>
          <w:rFonts w:eastAsiaTheme="majorEastAsia" w:cstheme="majorBidi"/>
          <w:szCs w:val="32"/>
        </w:rPr>
        <w:t xml:space="preserve"> however, </w:t>
      </w:r>
      <w:r>
        <w:rPr>
          <w:rFonts w:eastAsiaTheme="majorEastAsia" w:cstheme="majorBidi"/>
          <w:szCs w:val="32"/>
        </w:rPr>
        <w:t>not a</w:t>
      </w:r>
      <w:r w:rsidR="005B42C2">
        <w:rPr>
          <w:rFonts w:eastAsiaTheme="majorEastAsia" w:cstheme="majorBidi"/>
          <w:szCs w:val="32"/>
        </w:rPr>
        <w:t>lways feasible as si</w:t>
      </w:r>
      <w:r w:rsidR="00025474">
        <w:rPr>
          <w:rFonts w:eastAsiaTheme="majorEastAsia" w:cstheme="majorBidi"/>
          <w:szCs w:val="32"/>
        </w:rPr>
        <w:t>t</w:t>
      </w:r>
      <w:r w:rsidR="005B42C2">
        <w:rPr>
          <w:rFonts w:eastAsiaTheme="majorEastAsia" w:cstheme="majorBidi"/>
          <w:szCs w:val="32"/>
        </w:rPr>
        <w:t xml:space="preserve">e specific stress measurements are not readily available and there is significant uncertainty in the stress state. </w:t>
      </w:r>
      <w:r w:rsidR="00F05657" w:rsidRPr="00025474">
        <w:rPr>
          <w:rFonts w:eastAsiaTheme="majorEastAsia" w:cstheme="majorBidi"/>
          <w:szCs w:val="32"/>
        </w:rPr>
        <w:t>Incorporating the stress polygon approach and</w:t>
      </w:r>
      <w:r w:rsidR="00F05657">
        <w:rPr>
          <w:rFonts w:eastAsiaTheme="majorEastAsia" w:cstheme="majorBidi"/>
          <w:szCs w:val="32"/>
        </w:rPr>
        <w:t xml:space="preserve"> </w:t>
      </w:r>
      <w:r w:rsidR="00F05657" w:rsidRPr="00025474">
        <w:rPr>
          <w:rFonts w:eastAsiaTheme="majorEastAsia" w:cstheme="majorBidi"/>
          <w:szCs w:val="32"/>
        </w:rPr>
        <w:t>of Thiercelin and Plumb</w:t>
      </w:r>
      <w:r w:rsidR="00F05657">
        <w:rPr>
          <w:rFonts w:eastAsiaTheme="majorEastAsia" w:cstheme="majorBidi"/>
          <w:szCs w:val="32"/>
        </w:rPr>
        <w:t xml:space="preserve">’s </w:t>
      </w:r>
      <w:r w:rsidR="00F05657" w:rsidRPr="00025474">
        <w:rPr>
          <w:rFonts w:eastAsiaTheme="majorEastAsia" w:cstheme="majorBidi"/>
          <w:szCs w:val="32"/>
        </w:rPr>
        <w:t xml:space="preserve">1D tectonic-elastic approach, </w:t>
      </w:r>
      <w:sdt>
        <w:sdtPr>
          <w:rPr>
            <w:rFonts w:eastAsiaTheme="majorEastAsia" w:cstheme="majorBidi"/>
            <w:szCs w:val="32"/>
          </w:rPr>
          <w:id w:val="-1792358977"/>
          <w:citation/>
        </w:sdtPr>
        <w:sdtContent>
          <w:r w:rsidR="00F05657">
            <w:rPr>
              <w:rFonts w:eastAsiaTheme="majorEastAsia" w:cstheme="majorBidi"/>
              <w:szCs w:val="32"/>
            </w:rPr>
            <w:fldChar w:fldCharType="begin"/>
          </w:r>
          <w:r w:rsidR="00F05657">
            <w:rPr>
              <w:rFonts w:eastAsiaTheme="majorEastAsia" w:cstheme="majorBidi"/>
              <w:szCs w:val="32"/>
            </w:rPr>
            <w:instrText xml:space="preserve"> CITATION Bur211 \l 1033 </w:instrText>
          </w:r>
          <w:r w:rsidR="00F05657">
            <w:rPr>
              <w:rFonts w:eastAsiaTheme="majorEastAsia" w:cstheme="majorBidi"/>
              <w:szCs w:val="32"/>
            </w:rPr>
            <w:fldChar w:fldCharType="separate"/>
          </w:r>
          <w:r w:rsidR="00C84822" w:rsidRPr="00C84822">
            <w:rPr>
              <w:rFonts w:eastAsiaTheme="majorEastAsia" w:cstheme="majorBidi"/>
              <w:noProof/>
              <w:szCs w:val="32"/>
            </w:rPr>
            <w:t>(Burghardt, SOSAT, 2021)</w:t>
          </w:r>
          <w:r w:rsidR="00F05657">
            <w:rPr>
              <w:rFonts w:eastAsiaTheme="majorEastAsia" w:cstheme="majorBidi"/>
              <w:szCs w:val="32"/>
            </w:rPr>
            <w:fldChar w:fldCharType="end"/>
          </w:r>
        </w:sdtContent>
      </w:sdt>
      <w:r w:rsidR="00F05657">
        <w:rPr>
          <w:rFonts w:eastAsiaTheme="majorEastAsia" w:cstheme="majorBidi"/>
          <w:szCs w:val="32"/>
        </w:rPr>
        <w:t xml:space="preserve"> developed a </w:t>
      </w:r>
      <w:r w:rsidR="00F05657" w:rsidRPr="00025474">
        <w:rPr>
          <w:rFonts w:eastAsiaTheme="majorEastAsia" w:cstheme="majorBidi"/>
          <w:szCs w:val="32"/>
        </w:rPr>
        <w:t xml:space="preserve">method for estimating the </w:t>
      </w:r>
      <w:r w:rsidR="00F05657">
        <w:rPr>
          <w:rFonts w:eastAsiaTheme="majorEastAsia" w:cstheme="majorBidi"/>
          <w:szCs w:val="32"/>
        </w:rPr>
        <w:t xml:space="preserve">state of </w:t>
      </w:r>
      <w:r w:rsidR="00F05657" w:rsidRPr="00025474">
        <w:rPr>
          <w:rFonts w:eastAsiaTheme="majorEastAsia" w:cstheme="majorBidi"/>
          <w:szCs w:val="32"/>
        </w:rPr>
        <w:t xml:space="preserve">stress </w:t>
      </w:r>
      <w:r w:rsidR="00F05657">
        <w:rPr>
          <w:rFonts w:eastAsiaTheme="majorEastAsia" w:cstheme="majorBidi"/>
          <w:szCs w:val="32"/>
        </w:rPr>
        <w:t>for a given location subsurface called t</w:t>
      </w:r>
      <w:r w:rsidR="005B42C2">
        <w:rPr>
          <w:rFonts w:eastAsiaTheme="majorEastAsia" w:cstheme="majorBidi"/>
          <w:szCs w:val="32"/>
        </w:rPr>
        <w:t xml:space="preserve">he </w:t>
      </w:r>
      <w:r w:rsidR="005B42C2" w:rsidRPr="009F2CF1">
        <w:rPr>
          <w:rFonts w:eastAsiaTheme="majorEastAsia" w:cstheme="majorBidi"/>
          <w:szCs w:val="32"/>
        </w:rPr>
        <w:t>State of Stress Analysis Tool (SOSAT</w:t>
      </w:r>
      <w:r w:rsidR="00BD112B">
        <w:rPr>
          <w:rFonts w:eastAsiaTheme="majorEastAsia" w:cstheme="majorBidi"/>
          <w:szCs w:val="32"/>
        </w:rPr>
        <w:t>).</w:t>
      </w:r>
    </w:p>
    <w:p w14:paraId="1501077E" w14:textId="6627E234" w:rsidR="00850D0F" w:rsidRDefault="00850D0F" w:rsidP="00025474">
      <w:pPr>
        <w:rPr>
          <w:rFonts w:eastAsiaTheme="majorEastAsia" w:cstheme="majorBidi"/>
          <w:szCs w:val="32"/>
        </w:rPr>
      </w:pPr>
      <w:r>
        <w:rPr>
          <w:rFonts w:eastAsiaTheme="majorEastAsia" w:cstheme="majorBidi"/>
          <w:szCs w:val="32"/>
        </w:rPr>
        <w:t xml:space="preserve">According to </w:t>
      </w:r>
      <w:sdt>
        <w:sdtPr>
          <w:rPr>
            <w:rFonts w:eastAsiaTheme="majorEastAsia" w:cstheme="majorBidi"/>
            <w:szCs w:val="32"/>
          </w:rPr>
          <w:id w:val="-673184786"/>
          <w:citation/>
        </w:sdtPr>
        <w:sdtContent>
          <w:r>
            <w:rPr>
              <w:rFonts w:eastAsiaTheme="majorEastAsia" w:cstheme="majorBidi"/>
              <w:szCs w:val="32"/>
            </w:rPr>
            <w:fldChar w:fldCharType="begin"/>
          </w:r>
          <w:r>
            <w:rPr>
              <w:rFonts w:eastAsiaTheme="majorEastAsia" w:cstheme="majorBidi"/>
              <w:szCs w:val="32"/>
            </w:rPr>
            <w:instrText xml:space="preserve"> CITATION Bur21 \l 1033 </w:instrText>
          </w:r>
          <w:r>
            <w:rPr>
              <w:rFonts w:eastAsiaTheme="majorEastAsia" w:cstheme="majorBidi"/>
              <w:szCs w:val="32"/>
            </w:rPr>
            <w:fldChar w:fldCharType="separate"/>
          </w:r>
          <w:r w:rsidR="00C84822" w:rsidRPr="00C84822">
            <w:rPr>
              <w:rFonts w:eastAsiaTheme="majorEastAsia" w:cstheme="majorBidi"/>
              <w:noProof/>
              <w:szCs w:val="32"/>
            </w:rPr>
            <w:t>(Burghardt &amp; Appriou, State of Stress Uncertainty Quantification and Geomechanical Risk Analysis for Subsurface Engineering, 2021)</w:t>
          </w:r>
          <w:r>
            <w:rPr>
              <w:rFonts w:eastAsiaTheme="majorEastAsia" w:cstheme="majorBidi"/>
              <w:szCs w:val="32"/>
            </w:rPr>
            <w:fldChar w:fldCharType="end"/>
          </w:r>
        </w:sdtContent>
      </w:sdt>
      <w:r>
        <w:rPr>
          <w:rFonts w:eastAsiaTheme="majorEastAsia" w:cstheme="majorBidi"/>
          <w:szCs w:val="32"/>
        </w:rPr>
        <w:t xml:space="preserve"> described that for slip to occur in a fault, it is defined by </w:t>
      </w:r>
      <w:r w:rsidR="009358E1">
        <w:rPr>
          <w:rFonts w:eastAsiaTheme="majorEastAsia" w:cstheme="majorBidi"/>
          <w:szCs w:val="32"/>
        </w:rPr>
        <w:t>the relation:</w:t>
      </w:r>
    </w:p>
    <w:p w14:paraId="5BD3ED21" w14:textId="6D244547" w:rsidR="009358E1" w:rsidRPr="00431525" w:rsidRDefault="00000000" w:rsidP="00431525">
      <w:pPr>
        <w:pStyle w:val="Caption"/>
        <w:jc w:val="left"/>
        <w:rPr>
          <w:rFonts w:eastAsiaTheme="majorEastAsia" w:cstheme="majorBidi"/>
          <w:szCs w:val="32"/>
        </w:rPr>
      </w:pPr>
      <m:oMathPara>
        <m:oMathParaPr>
          <m:jc m:val="left"/>
        </m:oMathParaPr>
        <m:oMath>
          <m:f>
            <m:fPr>
              <m:ctrlPr>
                <w:rPr>
                  <w:rFonts w:ascii="Cambria Math" w:eastAsiaTheme="majorEastAsia" w:hAnsi="Cambria Math" w:cstheme="majorBidi"/>
                  <w:iCs w:val="0"/>
                  <w:szCs w:val="32"/>
                </w:rPr>
              </m:ctrlPr>
            </m:fPr>
            <m:num>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S</m:t>
                  </m:r>
                </m:e>
                <m:sub>
                  <m:r>
                    <w:rPr>
                      <w:rFonts w:ascii="Cambria Math" w:eastAsiaTheme="majorEastAsia" w:hAnsi="Cambria Math" w:cstheme="majorBidi"/>
                      <w:szCs w:val="32"/>
                    </w:rPr>
                    <m:t>1</m:t>
                  </m:r>
                </m:sub>
              </m:sSub>
              <m:r>
                <w:rPr>
                  <w:rFonts w:ascii="Cambria Math" w:eastAsiaTheme="majorEastAsia" w:hAnsi="Cambria Math" w:cstheme="majorBidi"/>
                  <w:szCs w:val="32"/>
                </w:rPr>
                <m:t xml:space="preserve">- </m:t>
              </m:r>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P</m:t>
                  </m:r>
                </m:e>
                <m:sub>
                  <m:r>
                    <w:rPr>
                      <w:rFonts w:ascii="Cambria Math" w:eastAsiaTheme="majorEastAsia" w:hAnsi="Cambria Math" w:cstheme="majorBidi"/>
                      <w:szCs w:val="32"/>
                    </w:rPr>
                    <m:t>p</m:t>
                  </m:r>
                </m:sub>
              </m:sSub>
            </m:num>
            <m:den>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S</m:t>
                  </m:r>
                </m:e>
                <m:sub>
                  <m:r>
                    <w:rPr>
                      <w:rFonts w:ascii="Cambria Math" w:eastAsiaTheme="majorEastAsia" w:hAnsi="Cambria Math" w:cstheme="majorBidi"/>
                      <w:szCs w:val="32"/>
                    </w:rPr>
                    <m:t>3</m:t>
                  </m:r>
                </m:sub>
              </m:sSub>
              <m:r>
                <w:rPr>
                  <w:rFonts w:ascii="Cambria Math" w:eastAsiaTheme="majorEastAsia" w:hAnsi="Cambria Math" w:cstheme="majorBidi"/>
                  <w:szCs w:val="32"/>
                </w:rPr>
                <m:t xml:space="preserve">- </m:t>
              </m:r>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P</m:t>
                  </m:r>
                </m:e>
                <m:sub>
                  <m:r>
                    <w:rPr>
                      <w:rFonts w:ascii="Cambria Math" w:eastAsiaTheme="majorEastAsia" w:hAnsi="Cambria Math" w:cstheme="majorBidi"/>
                      <w:szCs w:val="32"/>
                    </w:rPr>
                    <m:t>p</m:t>
                  </m:r>
                </m:sub>
              </m:sSub>
            </m:den>
          </m:f>
          <m:r>
            <w:rPr>
              <w:rFonts w:ascii="Cambria Math" w:eastAsiaTheme="majorEastAsia" w:hAnsi="Cambria Math" w:cstheme="majorBidi"/>
              <w:szCs w:val="32"/>
            </w:rPr>
            <m:t>=</m:t>
          </m:r>
          <m:sSup>
            <m:sSupPr>
              <m:ctrlPr>
                <w:rPr>
                  <w:rFonts w:ascii="Cambria Math" w:eastAsiaTheme="majorEastAsia" w:hAnsi="Cambria Math" w:cstheme="majorBidi"/>
                  <w:iCs w:val="0"/>
                  <w:szCs w:val="32"/>
                </w:rPr>
              </m:ctrlPr>
            </m:sSupPr>
            <m:e>
              <m:r>
                <w:rPr>
                  <w:rFonts w:ascii="Cambria Math" w:eastAsiaTheme="majorEastAsia" w:hAnsi="Cambria Math" w:cstheme="majorBidi"/>
                  <w:szCs w:val="32"/>
                </w:rPr>
                <m:t>[</m:t>
              </m:r>
              <m:sSup>
                <m:sSupPr>
                  <m:ctrlPr>
                    <w:rPr>
                      <w:rFonts w:ascii="Cambria Math" w:eastAsiaTheme="majorEastAsia" w:hAnsi="Cambria Math" w:cstheme="majorBidi"/>
                      <w:iCs w:val="0"/>
                      <w:szCs w:val="32"/>
                    </w:rPr>
                  </m:ctrlPr>
                </m:sSupPr>
                <m:e>
                  <m:d>
                    <m:dPr>
                      <m:ctrlPr>
                        <w:rPr>
                          <w:rFonts w:ascii="Cambria Math" w:eastAsiaTheme="majorEastAsia" w:hAnsi="Cambria Math" w:cstheme="majorBidi"/>
                          <w:i w:val="0"/>
                          <w:szCs w:val="32"/>
                        </w:rPr>
                      </m:ctrlPr>
                    </m:dPr>
                    <m:e>
                      <m:sSup>
                        <m:sSupPr>
                          <m:ctrlPr>
                            <w:rPr>
                              <w:rFonts w:ascii="Cambria Math" w:eastAsiaTheme="majorEastAsia" w:hAnsi="Cambria Math" w:cstheme="majorBidi"/>
                              <w:iCs w:val="0"/>
                              <w:szCs w:val="32"/>
                            </w:rPr>
                          </m:ctrlPr>
                        </m:sSupPr>
                        <m:e>
                          <m:r>
                            <w:rPr>
                              <w:rFonts w:ascii="Cambria Math" w:eastAsiaTheme="majorEastAsia" w:hAnsi="Cambria Math" w:cstheme="majorBidi"/>
                              <w:szCs w:val="32"/>
                            </w:rPr>
                            <m:t>μ</m:t>
                          </m:r>
                        </m:e>
                        <m:sup>
                          <m:r>
                            <w:rPr>
                              <w:rFonts w:ascii="Cambria Math" w:eastAsiaTheme="majorEastAsia" w:hAnsi="Cambria Math" w:cstheme="majorBidi"/>
                              <w:szCs w:val="32"/>
                            </w:rPr>
                            <m:t>2</m:t>
                          </m:r>
                        </m:sup>
                      </m:sSup>
                      <m:r>
                        <w:rPr>
                          <w:rFonts w:ascii="Cambria Math" w:eastAsiaTheme="majorEastAsia" w:hAnsi="Cambria Math" w:cstheme="majorBidi"/>
                          <w:szCs w:val="32"/>
                        </w:rPr>
                        <m:t>+1</m:t>
                      </m:r>
                    </m:e>
                  </m:d>
                </m:e>
                <m:sup>
                  <m:f>
                    <m:fPr>
                      <m:ctrlPr>
                        <w:rPr>
                          <w:rFonts w:ascii="Cambria Math" w:eastAsiaTheme="majorEastAsia" w:hAnsi="Cambria Math" w:cstheme="majorBidi"/>
                          <w:i w:val="0"/>
                          <w:szCs w:val="32"/>
                        </w:rPr>
                      </m:ctrlPr>
                    </m:fPr>
                    <m:num>
                      <m:r>
                        <w:rPr>
                          <w:rFonts w:ascii="Cambria Math" w:eastAsiaTheme="majorEastAsia" w:hAnsi="Cambria Math" w:cstheme="majorBidi"/>
                          <w:szCs w:val="32"/>
                        </w:rPr>
                        <m:t>1</m:t>
                      </m:r>
                    </m:num>
                    <m:den>
                      <m:r>
                        <w:rPr>
                          <w:rFonts w:ascii="Cambria Math" w:eastAsiaTheme="majorEastAsia" w:hAnsi="Cambria Math" w:cstheme="majorBidi"/>
                          <w:szCs w:val="32"/>
                        </w:rPr>
                        <m:t>2</m:t>
                      </m:r>
                    </m:den>
                  </m:f>
                </m:sup>
              </m:sSup>
              <m:r>
                <w:rPr>
                  <w:rFonts w:ascii="Cambria Math" w:eastAsiaTheme="majorEastAsia" w:hAnsi="Cambria Math" w:cstheme="majorBidi"/>
                  <w:szCs w:val="32"/>
                </w:rPr>
                <m:t>+ μ]</m:t>
              </m:r>
            </m:e>
            <m:sup>
              <m:r>
                <w:rPr>
                  <w:rFonts w:ascii="Cambria Math" w:eastAsiaTheme="majorEastAsia" w:hAnsi="Cambria Math" w:cstheme="majorBidi"/>
                  <w:szCs w:val="32"/>
                </w:rPr>
                <m:t>2</m:t>
              </m:r>
            </m:sup>
          </m:sSup>
          <m:r>
            <w:rPr>
              <w:rFonts w:ascii="Cambria Math" w:eastAsiaTheme="majorEastAsia" w:hAnsi="Cambria Math" w:cstheme="majorBidi"/>
              <w:szCs w:val="32"/>
            </w:rPr>
            <m:t xml:space="preserve">                                                                                                                     (1)</m:t>
          </m:r>
        </m:oMath>
      </m:oMathPara>
    </w:p>
    <w:p w14:paraId="3611D27C" w14:textId="76DB6ABE" w:rsidR="009358E1" w:rsidRPr="009358E1" w:rsidRDefault="009358E1" w:rsidP="00850D0F">
      <w:pPr>
        <w:rPr>
          <w:rFonts w:eastAsiaTheme="majorEastAsia" w:cstheme="majorBidi"/>
          <w:szCs w:val="32"/>
        </w:rPr>
      </w:pPr>
      <w:r w:rsidRPr="009358E1">
        <w:rPr>
          <w:rFonts w:eastAsiaTheme="majorEastAsia" w:cstheme="majorBidi"/>
          <w:szCs w:val="32"/>
        </w:rPr>
        <w:t>Where:</w:t>
      </w:r>
    </w:p>
    <w:p w14:paraId="5A9AE93E" w14:textId="1A27B7F1" w:rsidR="009358E1" w:rsidRPr="009358E1" w:rsidRDefault="009358E1" w:rsidP="009358E1">
      <w:pPr>
        <w:spacing w:line="240" w:lineRule="auto"/>
        <w:rPr>
          <w:rFonts w:eastAsiaTheme="majorEastAsia" w:cstheme="majorBidi"/>
          <w:szCs w:val="32"/>
        </w:rPr>
      </w:pPr>
      <w:r w:rsidRPr="009358E1">
        <w:rPr>
          <w:rFonts w:eastAsiaTheme="majorEastAsia" w:cstheme="majorBidi"/>
          <w:szCs w:val="32"/>
        </w:rPr>
        <w:t>S</w:t>
      </w:r>
      <w:r w:rsidRPr="009358E1">
        <w:rPr>
          <w:rFonts w:eastAsiaTheme="majorEastAsia" w:cstheme="majorBidi"/>
          <w:szCs w:val="32"/>
          <w:vertAlign w:val="subscript"/>
        </w:rPr>
        <w:t>1</w:t>
      </w:r>
      <w:r w:rsidRPr="009358E1">
        <w:rPr>
          <w:rFonts w:eastAsiaTheme="majorEastAsia" w:cstheme="majorBidi"/>
          <w:szCs w:val="32"/>
        </w:rPr>
        <w:t xml:space="preserve"> = greatest principal stress</w:t>
      </w:r>
    </w:p>
    <w:p w14:paraId="694FE8D5" w14:textId="00C85493" w:rsidR="009358E1" w:rsidRPr="009358E1" w:rsidRDefault="00850D0F" w:rsidP="009358E1">
      <w:pPr>
        <w:spacing w:line="240" w:lineRule="auto"/>
        <w:rPr>
          <w:rFonts w:eastAsiaTheme="majorEastAsia" w:cstheme="majorBidi"/>
          <w:szCs w:val="32"/>
        </w:rPr>
      </w:pPr>
      <w:r w:rsidRPr="009358E1">
        <w:rPr>
          <w:rFonts w:ascii="Cambria Math" w:eastAsiaTheme="majorEastAsia" w:hAnsi="Cambria Math" w:cs="Cambria Math"/>
          <w:szCs w:val="32"/>
        </w:rPr>
        <w:t>𝑃𝑝</w:t>
      </w:r>
      <w:r w:rsidR="009358E1" w:rsidRPr="009358E1">
        <w:rPr>
          <w:rFonts w:ascii="Cambria Math" w:eastAsiaTheme="majorEastAsia" w:hAnsi="Cambria Math" w:cs="Cambria Math"/>
          <w:szCs w:val="32"/>
        </w:rPr>
        <w:t xml:space="preserve"> =</w:t>
      </w:r>
      <w:r w:rsidRPr="009358E1">
        <w:rPr>
          <w:rFonts w:eastAsiaTheme="majorEastAsia" w:cstheme="majorBidi"/>
          <w:szCs w:val="32"/>
        </w:rPr>
        <w:t xml:space="preserve"> is the pore pressure</w:t>
      </w:r>
    </w:p>
    <w:p w14:paraId="20612B79" w14:textId="0B2DAFD4" w:rsidR="009358E1" w:rsidRPr="009358E1" w:rsidRDefault="009358E1" w:rsidP="009358E1">
      <w:pPr>
        <w:spacing w:line="240" w:lineRule="auto"/>
        <w:rPr>
          <w:rFonts w:eastAsiaTheme="majorEastAsia" w:cstheme="majorBidi"/>
          <w:szCs w:val="32"/>
        </w:rPr>
      </w:pPr>
      <w:r w:rsidRPr="009358E1">
        <w:rPr>
          <w:rFonts w:eastAsiaTheme="majorEastAsia" w:cstheme="majorBidi"/>
          <w:szCs w:val="32"/>
        </w:rPr>
        <w:t>S</w:t>
      </w:r>
      <w:r w:rsidRPr="009358E1">
        <w:rPr>
          <w:rFonts w:eastAsiaTheme="majorEastAsia" w:cstheme="majorBidi"/>
          <w:szCs w:val="32"/>
          <w:vertAlign w:val="subscript"/>
        </w:rPr>
        <w:t>2</w:t>
      </w:r>
      <w:r w:rsidRPr="009358E1">
        <w:rPr>
          <w:rFonts w:eastAsiaTheme="majorEastAsia" w:cstheme="majorBidi"/>
          <w:szCs w:val="32"/>
        </w:rPr>
        <w:t xml:space="preserve"> = least principal stress</w:t>
      </w:r>
    </w:p>
    <w:p w14:paraId="6F87F115" w14:textId="4F217884" w:rsidR="00850D0F" w:rsidRDefault="00850D0F" w:rsidP="009358E1">
      <w:pPr>
        <w:spacing w:line="240" w:lineRule="auto"/>
        <w:rPr>
          <w:rFonts w:eastAsiaTheme="majorEastAsia" w:cstheme="majorBidi"/>
          <w:szCs w:val="32"/>
        </w:rPr>
      </w:pPr>
      <w:r w:rsidRPr="009358E1">
        <w:rPr>
          <w:rFonts w:ascii="Cambria Math" w:eastAsiaTheme="majorEastAsia" w:hAnsi="Cambria Math" w:cs="Cambria Math"/>
          <w:szCs w:val="32"/>
        </w:rPr>
        <w:t>𝜇</w:t>
      </w:r>
      <w:r w:rsidRPr="009358E1">
        <w:rPr>
          <w:rFonts w:eastAsiaTheme="majorEastAsia" w:cstheme="majorBidi"/>
          <w:szCs w:val="32"/>
        </w:rPr>
        <w:t xml:space="preserve"> </w:t>
      </w:r>
      <w:r w:rsidR="009358E1" w:rsidRPr="009358E1">
        <w:rPr>
          <w:rFonts w:eastAsiaTheme="majorEastAsia" w:cstheme="majorBidi"/>
          <w:szCs w:val="32"/>
        </w:rPr>
        <w:t>=</w:t>
      </w:r>
      <w:r w:rsidRPr="009358E1">
        <w:rPr>
          <w:rFonts w:eastAsiaTheme="majorEastAsia" w:cstheme="majorBidi"/>
          <w:szCs w:val="32"/>
        </w:rPr>
        <w:t xml:space="preserve"> coefficient of friction</w:t>
      </w:r>
    </w:p>
    <w:p w14:paraId="52194A93" w14:textId="11AE59CB" w:rsidR="008F6F51" w:rsidRDefault="008F6F51" w:rsidP="008F6F51">
      <w:r>
        <w:t xml:space="preserve">For the different stress regimes, this equation assumes the Anderson’s theory of faulting in the limitation on the ratio of stress differences as illustrated in the figure below </w:t>
      </w:r>
      <w:sdt>
        <w:sdtPr>
          <w:id w:val="979344775"/>
          <w:citation/>
        </w:sdtPr>
        <w:sdtContent>
          <w:r>
            <w:fldChar w:fldCharType="begin"/>
          </w:r>
          <w:r>
            <w:instrText xml:space="preserve"> CITATION DAp19 \l 1033 </w:instrText>
          </w:r>
          <w:r>
            <w:fldChar w:fldCharType="separate"/>
          </w:r>
          <w:r w:rsidR="00C84822">
            <w:rPr>
              <w:noProof/>
            </w:rPr>
            <w:t>(Appriou, 2019)</w:t>
          </w:r>
          <w:r>
            <w:fldChar w:fldCharType="end"/>
          </w:r>
        </w:sdtContent>
      </w:sdt>
      <w:r>
        <w:t>.</w:t>
      </w:r>
    </w:p>
    <w:p w14:paraId="67721773" w14:textId="458A0816" w:rsidR="00431525" w:rsidRDefault="00BD112B" w:rsidP="00850D0F">
      <w:pPr>
        <w:rPr>
          <w:rFonts w:eastAsiaTheme="majorEastAsia" w:cstheme="majorBidi"/>
          <w:szCs w:val="32"/>
        </w:rPr>
      </w:pPr>
      <w:r w:rsidRPr="00431525">
        <w:rPr>
          <w:rFonts w:eastAsiaTheme="majorEastAsia" w:cstheme="majorBidi"/>
          <w:szCs w:val="32"/>
        </w:rPr>
        <w:lastRenderedPageBreak/>
        <w:t xml:space="preserve">According to </w:t>
      </w:r>
      <w:sdt>
        <w:sdtPr>
          <w:rPr>
            <w:rFonts w:eastAsiaTheme="majorEastAsia" w:cstheme="majorBidi"/>
            <w:szCs w:val="32"/>
          </w:rPr>
          <w:id w:val="745070932"/>
          <w:citation/>
        </w:sdtPr>
        <w:sdtContent>
          <w:r w:rsidRPr="00431525">
            <w:rPr>
              <w:rFonts w:eastAsiaTheme="majorEastAsia" w:cstheme="majorBidi"/>
              <w:szCs w:val="32"/>
            </w:rPr>
            <w:fldChar w:fldCharType="begin"/>
          </w:r>
          <w:r w:rsidRPr="00431525">
            <w:rPr>
              <w:rFonts w:eastAsiaTheme="majorEastAsia" w:cstheme="majorBidi"/>
              <w:szCs w:val="32"/>
            </w:rPr>
            <w:instrText xml:space="preserve"> CITATION Zob03 \l 1033 </w:instrText>
          </w:r>
          <w:r w:rsidRPr="00431525">
            <w:rPr>
              <w:rFonts w:eastAsiaTheme="majorEastAsia" w:cstheme="majorBidi"/>
              <w:szCs w:val="32"/>
            </w:rPr>
            <w:fldChar w:fldCharType="separate"/>
          </w:r>
          <w:r w:rsidR="00C84822" w:rsidRPr="00C84822">
            <w:rPr>
              <w:rFonts w:eastAsiaTheme="majorEastAsia" w:cstheme="majorBidi"/>
              <w:noProof/>
              <w:szCs w:val="32"/>
            </w:rPr>
            <w:t>(Zoback, et al., 2003)</w:t>
          </w:r>
          <w:r w:rsidRPr="00431525">
            <w:rPr>
              <w:rFonts w:eastAsiaTheme="majorEastAsia" w:cstheme="majorBidi"/>
              <w:szCs w:val="32"/>
            </w:rPr>
            <w:fldChar w:fldCharType="end"/>
          </w:r>
        </w:sdtContent>
      </w:sdt>
      <w:r w:rsidRPr="00431525">
        <w:rPr>
          <w:rFonts w:eastAsiaTheme="majorEastAsia" w:cstheme="majorBidi"/>
          <w:szCs w:val="32"/>
        </w:rPr>
        <w:t>, the stress polygon approach assumes that g</w:t>
      </w:r>
      <w:r w:rsidR="008F6F51" w:rsidRPr="00431525">
        <w:rPr>
          <w:rFonts w:eastAsiaTheme="majorEastAsia" w:cstheme="majorBidi"/>
          <w:szCs w:val="32"/>
        </w:rPr>
        <w:t>iven a specified</w:t>
      </w:r>
      <w:r w:rsidR="00850D0F" w:rsidRPr="00431525">
        <w:rPr>
          <w:rFonts w:eastAsiaTheme="majorEastAsia" w:cstheme="majorBidi"/>
          <w:szCs w:val="32"/>
        </w:rPr>
        <w:t xml:space="preserve"> pore pressure and coefficient of friction</w:t>
      </w:r>
      <w:r w:rsidR="008F6F51" w:rsidRPr="00431525">
        <w:rPr>
          <w:rFonts w:eastAsiaTheme="majorEastAsia" w:cstheme="majorBidi"/>
          <w:szCs w:val="32"/>
        </w:rPr>
        <w:t xml:space="preserve">, the </w:t>
      </w:r>
      <w:r w:rsidRPr="00431525">
        <w:rPr>
          <w:rFonts w:eastAsiaTheme="majorEastAsia" w:cstheme="majorBidi"/>
          <w:szCs w:val="32"/>
        </w:rPr>
        <w:t>stress at which shear failure occurs must be greater than the difference in stress</w:t>
      </w:r>
      <w:r w:rsidR="00850D0F" w:rsidRPr="00431525">
        <w:rPr>
          <w:rFonts w:eastAsiaTheme="majorEastAsia" w:cstheme="majorBidi"/>
          <w:szCs w:val="32"/>
        </w:rPr>
        <w:t xml:space="preserve"> magnitudes</w:t>
      </w:r>
      <w:r w:rsidRPr="00431525">
        <w:rPr>
          <w:rFonts w:eastAsiaTheme="majorEastAsia" w:cstheme="majorBidi"/>
          <w:szCs w:val="32"/>
        </w:rPr>
        <w:t xml:space="preserve"> </w:t>
      </w:r>
      <w:sdt>
        <w:sdtPr>
          <w:rPr>
            <w:rFonts w:eastAsiaTheme="majorEastAsia" w:cstheme="majorBidi"/>
            <w:szCs w:val="32"/>
          </w:rPr>
          <w:id w:val="-299461203"/>
          <w:citation/>
        </w:sdtPr>
        <w:sdtContent>
          <w:r w:rsidRPr="00431525">
            <w:rPr>
              <w:rFonts w:eastAsiaTheme="majorEastAsia" w:cstheme="majorBidi"/>
              <w:szCs w:val="32"/>
            </w:rPr>
            <w:fldChar w:fldCharType="begin"/>
          </w:r>
          <w:r w:rsidRPr="00431525">
            <w:rPr>
              <w:rFonts w:eastAsiaTheme="majorEastAsia" w:cstheme="majorBidi"/>
              <w:szCs w:val="32"/>
            </w:rPr>
            <w:instrText xml:space="preserve"> CITATION DAp19 \l 1033 </w:instrText>
          </w:r>
          <w:r w:rsidRPr="00431525">
            <w:rPr>
              <w:rFonts w:eastAsiaTheme="majorEastAsia" w:cstheme="majorBidi"/>
              <w:szCs w:val="32"/>
            </w:rPr>
            <w:fldChar w:fldCharType="separate"/>
          </w:r>
          <w:r w:rsidR="00C84822" w:rsidRPr="00C84822">
            <w:rPr>
              <w:rFonts w:eastAsiaTheme="majorEastAsia" w:cstheme="majorBidi"/>
              <w:noProof/>
              <w:szCs w:val="32"/>
            </w:rPr>
            <w:t>(Appriou, 2019)</w:t>
          </w:r>
          <w:r w:rsidRPr="00431525">
            <w:rPr>
              <w:rFonts w:eastAsiaTheme="majorEastAsia" w:cstheme="majorBidi"/>
              <w:szCs w:val="32"/>
            </w:rPr>
            <w:fldChar w:fldCharType="end"/>
          </w:r>
        </w:sdtContent>
      </w:sdt>
      <w:r w:rsidRPr="00431525">
        <w:rPr>
          <w:rFonts w:eastAsiaTheme="majorEastAsia" w:cstheme="majorBidi"/>
          <w:szCs w:val="32"/>
        </w:rPr>
        <w:t xml:space="preserve">. </w:t>
      </w:r>
    </w:p>
    <w:p w14:paraId="5ECB306F" w14:textId="77777777" w:rsidR="00BC740A" w:rsidRDefault="00BC740A" w:rsidP="00BC740A">
      <w:pPr>
        <w:pStyle w:val="Caption"/>
      </w:pPr>
      <w:r>
        <w:rPr>
          <w:noProof/>
        </w:rPr>
        <w:drawing>
          <wp:inline distT="0" distB="0" distL="0" distR="0" wp14:anchorId="185FF3F2" wp14:editId="341E4895">
            <wp:extent cx="4583870" cy="3792555"/>
            <wp:effectExtent l="0" t="0" r="0" b="0"/>
            <wp:docPr id="27" name="Picture 27" descr="A picture containing text,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text, businesscard&#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99847" cy="3805773"/>
                    </a:xfrm>
                    <a:prstGeom prst="rect">
                      <a:avLst/>
                    </a:prstGeom>
                    <a:noFill/>
                  </pic:spPr>
                </pic:pic>
              </a:graphicData>
            </a:graphic>
          </wp:inline>
        </w:drawing>
      </w:r>
    </w:p>
    <w:p w14:paraId="4B38D834" w14:textId="572EC61C" w:rsidR="00BC740A" w:rsidRDefault="00BC740A" w:rsidP="00BC740A">
      <w:pPr>
        <w:pStyle w:val="Caption"/>
        <w:rPr>
          <w:rFonts w:eastAsiaTheme="majorEastAsia" w:cstheme="majorBidi"/>
          <w:szCs w:val="32"/>
        </w:rPr>
      </w:pPr>
      <w:bookmarkStart w:id="47" w:name="_Toc121265852"/>
      <w:r>
        <w:t xml:space="preserve">Figure </w:t>
      </w:r>
      <w:fldSimple w:instr=" SEQ Figure \* ARABIC ">
        <w:r w:rsidR="00955725">
          <w:rPr>
            <w:noProof/>
          </w:rPr>
          <w:t>9</w:t>
        </w:r>
      </w:fldSimple>
      <w:r>
        <w:t>: S</w:t>
      </w:r>
      <w:r w:rsidRPr="007C3B4D">
        <w:t>tress polygon approach fo</w:t>
      </w:r>
      <w:r>
        <w:t xml:space="preserve">r </w:t>
      </w:r>
      <w:r w:rsidRPr="007C3B4D">
        <w:t>in situ stress determination in SOSAT</w:t>
      </w:r>
      <w:r w:rsidR="0026453C">
        <w:t>. Modified from</w:t>
      </w:r>
      <w:r>
        <w:t xml:space="preserve"> </w:t>
      </w:r>
      <w:sdt>
        <w:sdtPr>
          <w:id w:val="316775257"/>
          <w:citation/>
        </w:sdtPr>
        <w:sdtContent>
          <w:r>
            <w:fldChar w:fldCharType="begin"/>
          </w:r>
          <w:r>
            <w:instrText xml:space="preserve"> CITATION DAp19 \l 1033 </w:instrText>
          </w:r>
          <w:r>
            <w:fldChar w:fldCharType="separate"/>
          </w:r>
          <w:r w:rsidR="00C84822">
            <w:rPr>
              <w:noProof/>
            </w:rPr>
            <w:t>(Appriou, 2019)</w:t>
          </w:r>
          <w:r>
            <w:fldChar w:fldCharType="end"/>
          </w:r>
        </w:sdtContent>
      </w:sdt>
      <w:bookmarkEnd w:id="47"/>
    </w:p>
    <w:p w14:paraId="7E7DE980" w14:textId="77777777" w:rsidR="00C5454E" w:rsidRDefault="00BD112B" w:rsidP="00850D0F">
      <w:pPr>
        <w:pStyle w:val="ListParagraph"/>
        <w:numPr>
          <w:ilvl w:val="0"/>
          <w:numId w:val="12"/>
        </w:numPr>
        <w:rPr>
          <w:rFonts w:eastAsiaTheme="majorEastAsia" w:cstheme="majorBidi"/>
          <w:szCs w:val="32"/>
        </w:rPr>
      </w:pPr>
      <w:r w:rsidRPr="0026453C">
        <w:rPr>
          <w:rFonts w:eastAsiaTheme="majorEastAsia" w:cstheme="majorBidi"/>
          <w:szCs w:val="32"/>
        </w:rPr>
        <w:t>If Sv i</w:t>
      </w:r>
      <w:r w:rsidR="00431525" w:rsidRPr="0026453C">
        <w:rPr>
          <w:rFonts w:eastAsiaTheme="majorEastAsia" w:cstheme="majorBidi"/>
          <w:szCs w:val="32"/>
        </w:rPr>
        <w:t>s</w:t>
      </w:r>
      <w:r w:rsidRPr="0026453C">
        <w:rPr>
          <w:rFonts w:eastAsiaTheme="majorEastAsia" w:cstheme="majorBidi"/>
          <w:szCs w:val="32"/>
        </w:rPr>
        <w:t xml:space="preserve"> the greatest stress and Sh is the least stress,</w:t>
      </w:r>
      <w:r w:rsidR="00DF7ACD" w:rsidRPr="0026453C">
        <w:rPr>
          <w:rFonts w:eastAsiaTheme="majorEastAsia" w:cstheme="majorBidi"/>
          <w:szCs w:val="32"/>
        </w:rPr>
        <w:t xml:space="preserve"> </w:t>
      </w:r>
      <w:r w:rsidR="00DF7ACD" w:rsidRPr="0026453C">
        <w:rPr>
          <w:rFonts w:eastAsiaTheme="majorEastAsia" w:cstheme="majorBidi"/>
          <w:i/>
          <w:iCs/>
          <w:szCs w:val="32"/>
        </w:rPr>
        <w:t xml:space="preserve">Sv &gt; Shmax &gt; Shmin, </w:t>
      </w:r>
      <w:r w:rsidRPr="0026453C">
        <w:rPr>
          <w:rFonts w:eastAsiaTheme="majorEastAsia" w:cstheme="majorBidi"/>
          <w:szCs w:val="32"/>
        </w:rPr>
        <w:t xml:space="preserve">then the differential stress magnitude is affected by </w:t>
      </w:r>
      <w:r w:rsidR="00850D0F" w:rsidRPr="0026453C">
        <w:rPr>
          <w:rFonts w:eastAsiaTheme="majorEastAsia" w:cstheme="majorBidi"/>
          <w:szCs w:val="32"/>
        </w:rPr>
        <w:t>the normal faulting regim</w:t>
      </w:r>
      <w:r w:rsidR="00431525" w:rsidRPr="0026453C">
        <w:rPr>
          <w:rFonts w:eastAsiaTheme="majorEastAsia" w:cstheme="majorBidi"/>
          <w:szCs w:val="32"/>
        </w:rPr>
        <w:t>e.</w:t>
      </w:r>
    </w:p>
    <w:p w14:paraId="55EF6DFD" w14:textId="19F24641" w:rsidR="00431525" w:rsidRPr="00C5454E" w:rsidRDefault="00431525" w:rsidP="00C5454E">
      <w:pPr>
        <w:pStyle w:val="ListParagraph"/>
        <w:rPr>
          <w:rFonts w:eastAsiaTheme="majorEastAsia" w:cstheme="majorBidi"/>
          <w:szCs w:val="32"/>
        </w:rPr>
      </w:pPr>
      <w:r w:rsidRPr="00C5454E">
        <w:rPr>
          <w:rFonts w:eastAsiaTheme="majorEastAsia" w:cstheme="majorBidi"/>
          <w:szCs w:val="32"/>
        </w:rPr>
        <w:t>Equation 1 becomes modified to,</w:t>
      </w:r>
    </w:p>
    <w:p w14:paraId="4C34205C" w14:textId="2B15B806" w:rsidR="00DF7ACD" w:rsidRPr="00431525" w:rsidRDefault="00000000" w:rsidP="00C5454E">
      <w:pPr>
        <w:pStyle w:val="Caption"/>
        <w:ind w:left="720"/>
        <w:jc w:val="left"/>
        <w:rPr>
          <w:rFonts w:eastAsiaTheme="majorEastAsia" w:cstheme="majorBidi"/>
          <w:szCs w:val="32"/>
        </w:rPr>
      </w:pPr>
      <m:oMathPara>
        <m:oMathParaPr>
          <m:jc m:val="left"/>
        </m:oMathParaPr>
        <m:oMath>
          <m:f>
            <m:fPr>
              <m:ctrlPr>
                <w:rPr>
                  <w:rFonts w:ascii="Cambria Math" w:eastAsiaTheme="majorEastAsia" w:hAnsi="Cambria Math" w:cstheme="majorBidi"/>
                  <w:iCs w:val="0"/>
                  <w:szCs w:val="32"/>
                </w:rPr>
              </m:ctrlPr>
            </m:fPr>
            <m:num>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σ</m:t>
                  </m:r>
                </m:e>
                <m:sub>
                  <m:r>
                    <w:rPr>
                      <w:rFonts w:ascii="Cambria Math" w:eastAsiaTheme="majorEastAsia" w:hAnsi="Cambria Math" w:cstheme="majorBidi"/>
                      <w:szCs w:val="32"/>
                    </w:rPr>
                    <m:t>1</m:t>
                  </m:r>
                </m:sub>
              </m:sSub>
            </m:num>
            <m:den>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σ</m:t>
                  </m:r>
                </m:e>
                <m:sub>
                  <m:r>
                    <w:rPr>
                      <w:rFonts w:ascii="Cambria Math" w:eastAsiaTheme="majorEastAsia" w:hAnsi="Cambria Math" w:cstheme="majorBidi"/>
                      <w:szCs w:val="32"/>
                    </w:rPr>
                    <m:t>3</m:t>
                  </m:r>
                </m:sub>
              </m:sSub>
            </m:den>
          </m:f>
          <m:r>
            <w:rPr>
              <w:rFonts w:ascii="Cambria Math" w:eastAsiaTheme="majorEastAsia" w:hAnsi="Cambria Math" w:cstheme="majorBidi"/>
              <w:szCs w:val="32"/>
            </w:rPr>
            <m:t xml:space="preserve">= </m:t>
          </m:r>
          <m:f>
            <m:fPr>
              <m:ctrlPr>
                <w:rPr>
                  <w:rFonts w:ascii="Cambria Math" w:eastAsiaTheme="majorEastAsia" w:hAnsi="Cambria Math" w:cstheme="majorBidi"/>
                  <w:iCs w:val="0"/>
                  <w:szCs w:val="32"/>
                </w:rPr>
              </m:ctrlPr>
            </m:fPr>
            <m:num>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S</m:t>
                  </m:r>
                </m:e>
                <m:sub>
                  <m:r>
                    <w:rPr>
                      <w:rFonts w:ascii="Cambria Math" w:eastAsiaTheme="majorEastAsia" w:hAnsi="Cambria Math" w:cstheme="majorBidi"/>
                      <w:szCs w:val="32"/>
                    </w:rPr>
                    <m:t>v</m:t>
                  </m:r>
                </m:sub>
              </m:sSub>
              <m:r>
                <w:rPr>
                  <w:rFonts w:ascii="Cambria Math" w:eastAsiaTheme="majorEastAsia" w:hAnsi="Cambria Math" w:cstheme="majorBidi"/>
                  <w:szCs w:val="32"/>
                </w:rPr>
                <m:t xml:space="preserve">- </m:t>
              </m:r>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P</m:t>
                  </m:r>
                </m:e>
                <m:sub>
                  <m:r>
                    <w:rPr>
                      <w:rFonts w:ascii="Cambria Math" w:eastAsiaTheme="majorEastAsia" w:hAnsi="Cambria Math" w:cstheme="majorBidi"/>
                      <w:szCs w:val="32"/>
                    </w:rPr>
                    <m:t>p</m:t>
                  </m:r>
                </m:sub>
              </m:sSub>
            </m:num>
            <m:den>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S</m:t>
                  </m:r>
                </m:e>
                <m:sub>
                  <m:r>
                    <w:rPr>
                      <w:rFonts w:ascii="Cambria Math" w:eastAsiaTheme="majorEastAsia" w:hAnsi="Cambria Math" w:cstheme="majorBidi"/>
                      <w:szCs w:val="32"/>
                    </w:rPr>
                    <m:t>hmin</m:t>
                  </m:r>
                </m:sub>
              </m:sSub>
              <m:r>
                <w:rPr>
                  <w:rFonts w:ascii="Cambria Math" w:eastAsiaTheme="majorEastAsia" w:hAnsi="Cambria Math" w:cstheme="majorBidi"/>
                  <w:szCs w:val="32"/>
                </w:rPr>
                <m:t xml:space="preserve">- </m:t>
              </m:r>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P</m:t>
                  </m:r>
                </m:e>
                <m:sub>
                  <m:r>
                    <w:rPr>
                      <w:rFonts w:ascii="Cambria Math" w:eastAsiaTheme="majorEastAsia" w:hAnsi="Cambria Math" w:cstheme="majorBidi"/>
                      <w:szCs w:val="32"/>
                    </w:rPr>
                    <m:t>p</m:t>
                  </m:r>
                </m:sub>
              </m:sSub>
            </m:den>
          </m:f>
          <m:r>
            <w:rPr>
              <w:rFonts w:ascii="Cambria Math" w:eastAsiaTheme="majorEastAsia" w:hAnsi="Cambria Math" w:cstheme="majorBidi"/>
              <w:szCs w:val="32"/>
            </w:rPr>
            <m:t>≤</m:t>
          </m:r>
          <m:sSup>
            <m:sSupPr>
              <m:ctrlPr>
                <w:rPr>
                  <w:rFonts w:ascii="Cambria Math" w:eastAsiaTheme="majorEastAsia" w:hAnsi="Cambria Math" w:cstheme="majorBidi"/>
                  <w:iCs w:val="0"/>
                  <w:szCs w:val="32"/>
                </w:rPr>
              </m:ctrlPr>
            </m:sSupPr>
            <m:e>
              <m:r>
                <w:rPr>
                  <w:rFonts w:ascii="Cambria Math" w:eastAsiaTheme="majorEastAsia" w:hAnsi="Cambria Math" w:cstheme="majorBidi"/>
                  <w:szCs w:val="32"/>
                </w:rPr>
                <m:t>[</m:t>
              </m:r>
              <m:sSup>
                <m:sSupPr>
                  <m:ctrlPr>
                    <w:rPr>
                      <w:rFonts w:ascii="Cambria Math" w:eastAsiaTheme="majorEastAsia" w:hAnsi="Cambria Math" w:cstheme="majorBidi"/>
                      <w:iCs w:val="0"/>
                      <w:szCs w:val="32"/>
                    </w:rPr>
                  </m:ctrlPr>
                </m:sSupPr>
                <m:e>
                  <m:d>
                    <m:dPr>
                      <m:ctrlPr>
                        <w:rPr>
                          <w:rFonts w:ascii="Cambria Math" w:eastAsiaTheme="majorEastAsia" w:hAnsi="Cambria Math" w:cstheme="majorBidi"/>
                          <w:iCs w:val="0"/>
                          <w:szCs w:val="32"/>
                        </w:rPr>
                      </m:ctrlPr>
                    </m:dPr>
                    <m:e>
                      <m:sSup>
                        <m:sSupPr>
                          <m:ctrlPr>
                            <w:rPr>
                              <w:rFonts w:ascii="Cambria Math" w:eastAsiaTheme="majorEastAsia" w:hAnsi="Cambria Math" w:cstheme="majorBidi"/>
                              <w:iCs w:val="0"/>
                              <w:szCs w:val="32"/>
                            </w:rPr>
                          </m:ctrlPr>
                        </m:sSupPr>
                        <m:e>
                          <m:r>
                            <w:rPr>
                              <w:rFonts w:ascii="Cambria Math" w:eastAsiaTheme="majorEastAsia" w:hAnsi="Cambria Math" w:cstheme="majorBidi"/>
                              <w:szCs w:val="32"/>
                            </w:rPr>
                            <m:t>μ</m:t>
                          </m:r>
                        </m:e>
                        <m:sup>
                          <m:r>
                            <w:rPr>
                              <w:rFonts w:ascii="Cambria Math" w:eastAsiaTheme="majorEastAsia" w:hAnsi="Cambria Math" w:cstheme="majorBidi"/>
                              <w:szCs w:val="32"/>
                            </w:rPr>
                            <m:t>2</m:t>
                          </m:r>
                        </m:sup>
                      </m:sSup>
                      <m:r>
                        <w:rPr>
                          <w:rFonts w:ascii="Cambria Math" w:eastAsiaTheme="majorEastAsia" w:hAnsi="Cambria Math" w:cstheme="majorBidi"/>
                          <w:szCs w:val="32"/>
                        </w:rPr>
                        <m:t>+1</m:t>
                      </m:r>
                    </m:e>
                  </m:d>
                </m:e>
                <m:sup>
                  <m:f>
                    <m:fPr>
                      <m:ctrlPr>
                        <w:rPr>
                          <w:rFonts w:ascii="Cambria Math" w:eastAsiaTheme="majorEastAsia" w:hAnsi="Cambria Math" w:cstheme="majorBidi"/>
                          <w:iCs w:val="0"/>
                          <w:szCs w:val="32"/>
                        </w:rPr>
                      </m:ctrlPr>
                    </m:fPr>
                    <m:num>
                      <m:r>
                        <w:rPr>
                          <w:rFonts w:ascii="Cambria Math" w:eastAsiaTheme="majorEastAsia" w:hAnsi="Cambria Math" w:cstheme="majorBidi"/>
                          <w:szCs w:val="32"/>
                        </w:rPr>
                        <m:t>1</m:t>
                      </m:r>
                    </m:num>
                    <m:den>
                      <m:r>
                        <w:rPr>
                          <w:rFonts w:ascii="Cambria Math" w:eastAsiaTheme="majorEastAsia" w:hAnsi="Cambria Math" w:cstheme="majorBidi"/>
                          <w:szCs w:val="32"/>
                        </w:rPr>
                        <m:t>2</m:t>
                      </m:r>
                    </m:den>
                  </m:f>
                </m:sup>
              </m:sSup>
              <m:r>
                <w:rPr>
                  <w:rFonts w:ascii="Cambria Math" w:eastAsiaTheme="majorEastAsia" w:hAnsi="Cambria Math" w:cstheme="majorBidi"/>
                  <w:szCs w:val="32"/>
                </w:rPr>
                <m:t>+ μ]</m:t>
              </m:r>
            </m:e>
            <m:sup>
              <m:r>
                <w:rPr>
                  <w:rFonts w:ascii="Cambria Math" w:eastAsiaTheme="majorEastAsia" w:hAnsi="Cambria Math" w:cstheme="majorBidi"/>
                  <w:szCs w:val="32"/>
                </w:rPr>
                <m:t>2</m:t>
              </m:r>
            </m:sup>
          </m:sSup>
          <m:r>
            <w:rPr>
              <w:rFonts w:ascii="Cambria Math" w:eastAsiaTheme="majorEastAsia" w:hAnsi="Cambria Math" w:cstheme="majorBidi"/>
              <w:szCs w:val="32"/>
            </w:rPr>
            <m:t xml:space="preserve">                                                                                     (2)</m:t>
          </m:r>
        </m:oMath>
      </m:oMathPara>
    </w:p>
    <w:p w14:paraId="5B4A334B" w14:textId="77777777" w:rsidR="00431525" w:rsidRDefault="00431525" w:rsidP="00850D0F">
      <w:pPr>
        <w:rPr>
          <w:rFonts w:eastAsiaTheme="majorEastAsia" w:cstheme="majorBidi"/>
          <w:szCs w:val="32"/>
        </w:rPr>
      </w:pPr>
    </w:p>
    <w:p w14:paraId="67BF3E06" w14:textId="77777777" w:rsidR="00C5454E" w:rsidRDefault="00BD112B" w:rsidP="00DF7ACD">
      <w:pPr>
        <w:pStyle w:val="ListParagraph"/>
        <w:numPr>
          <w:ilvl w:val="0"/>
          <w:numId w:val="12"/>
        </w:numPr>
        <w:rPr>
          <w:rFonts w:eastAsiaTheme="majorEastAsia" w:cstheme="majorBidi"/>
          <w:szCs w:val="32"/>
        </w:rPr>
      </w:pPr>
      <w:r w:rsidRPr="0026453C">
        <w:rPr>
          <w:rFonts w:eastAsiaTheme="majorEastAsia" w:cstheme="majorBidi"/>
          <w:szCs w:val="32"/>
        </w:rPr>
        <w:lastRenderedPageBreak/>
        <w:t>If Shmax i</w:t>
      </w:r>
      <w:r w:rsidR="00431525" w:rsidRPr="0026453C">
        <w:rPr>
          <w:rFonts w:eastAsiaTheme="majorEastAsia" w:cstheme="majorBidi"/>
          <w:szCs w:val="32"/>
        </w:rPr>
        <w:t>s</w:t>
      </w:r>
      <w:r w:rsidRPr="0026453C">
        <w:rPr>
          <w:rFonts w:eastAsiaTheme="majorEastAsia" w:cstheme="majorBidi"/>
          <w:szCs w:val="32"/>
        </w:rPr>
        <w:t xml:space="preserve"> the greatest stress and Shmin is the least stress, </w:t>
      </w:r>
      <w:r w:rsidR="00DF7ACD" w:rsidRPr="0026453C">
        <w:rPr>
          <w:rFonts w:eastAsiaTheme="majorEastAsia" w:cstheme="majorBidi"/>
          <w:i/>
          <w:iCs/>
          <w:szCs w:val="32"/>
        </w:rPr>
        <w:t xml:space="preserve">Shmax &gt; Sv &gt; Shmin, </w:t>
      </w:r>
      <w:r w:rsidRPr="0026453C">
        <w:rPr>
          <w:rFonts w:eastAsiaTheme="majorEastAsia" w:cstheme="majorBidi"/>
          <w:szCs w:val="32"/>
        </w:rPr>
        <w:t xml:space="preserve">then the differential stress magnitude is affected by the </w:t>
      </w:r>
      <w:r w:rsidR="00850D0F" w:rsidRPr="0026453C">
        <w:rPr>
          <w:rFonts w:eastAsiaTheme="majorEastAsia" w:cstheme="majorBidi"/>
          <w:szCs w:val="32"/>
        </w:rPr>
        <w:t>strike-slip faulting regime</w:t>
      </w:r>
      <w:r w:rsidRPr="0026453C">
        <w:rPr>
          <w:rFonts w:eastAsiaTheme="majorEastAsia" w:cstheme="majorBidi"/>
          <w:szCs w:val="32"/>
        </w:rPr>
        <w:t xml:space="preserve">. </w:t>
      </w:r>
    </w:p>
    <w:p w14:paraId="799153A4" w14:textId="30F951AE" w:rsidR="00DF7ACD" w:rsidRPr="00C5454E" w:rsidRDefault="00DF7ACD" w:rsidP="00C5454E">
      <w:pPr>
        <w:pStyle w:val="ListParagraph"/>
        <w:rPr>
          <w:rFonts w:eastAsiaTheme="majorEastAsia" w:cstheme="majorBidi"/>
          <w:szCs w:val="32"/>
        </w:rPr>
      </w:pPr>
      <w:r w:rsidRPr="00C5454E">
        <w:rPr>
          <w:rFonts w:eastAsiaTheme="majorEastAsia" w:cstheme="majorBidi"/>
          <w:szCs w:val="32"/>
        </w:rPr>
        <w:t>Equation 1 becomes modified to,</w:t>
      </w:r>
    </w:p>
    <w:p w14:paraId="41C339E8" w14:textId="73C1C7BD" w:rsidR="00DF7ACD" w:rsidRDefault="00000000" w:rsidP="00C5454E">
      <w:pPr>
        <w:pStyle w:val="Caption"/>
        <w:ind w:left="630" w:hanging="180"/>
        <w:jc w:val="left"/>
        <w:rPr>
          <w:rFonts w:eastAsiaTheme="majorEastAsia" w:cstheme="majorBidi"/>
          <w:szCs w:val="32"/>
        </w:rPr>
      </w:pPr>
      <m:oMathPara>
        <m:oMath>
          <m:f>
            <m:fPr>
              <m:ctrlPr>
                <w:rPr>
                  <w:rFonts w:ascii="Cambria Math" w:eastAsiaTheme="majorEastAsia" w:hAnsi="Cambria Math" w:cstheme="majorBidi"/>
                  <w:iCs w:val="0"/>
                  <w:szCs w:val="32"/>
                </w:rPr>
              </m:ctrlPr>
            </m:fPr>
            <m:num>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σ</m:t>
                  </m:r>
                </m:e>
                <m:sub>
                  <m:r>
                    <w:rPr>
                      <w:rFonts w:ascii="Cambria Math" w:eastAsiaTheme="majorEastAsia" w:hAnsi="Cambria Math" w:cstheme="majorBidi"/>
                      <w:szCs w:val="32"/>
                    </w:rPr>
                    <m:t>1</m:t>
                  </m:r>
                </m:sub>
              </m:sSub>
            </m:num>
            <m:den>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σ</m:t>
                  </m:r>
                </m:e>
                <m:sub>
                  <m:r>
                    <w:rPr>
                      <w:rFonts w:ascii="Cambria Math" w:eastAsiaTheme="majorEastAsia" w:hAnsi="Cambria Math" w:cstheme="majorBidi"/>
                      <w:szCs w:val="32"/>
                    </w:rPr>
                    <m:t>3</m:t>
                  </m:r>
                </m:sub>
              </m:sSub>
            </m:den>
          </m:f>
          <m:r>
            <w:rPr>
              <w:rFonts w:ascii="Cambria Math" w:eastAsiaTheme="majorEastAsia" w:hAnsi="Cambria Math" w:cstheme="majorBidi"/>
              <w:szCs w:val="32"/>
            </w:rPr>
            <m:t xml:space="preserve">= </m:t>
          </m:r>
          <m:f>
            <m:fPr>
              <m:ctrlPr>
                <w:rPr>
                  <w:rFonts w:ascii="Cambria Math" w:eastAsiaTheme="majorEastAsia" w:hAnsi="Cambria Math" w:cstheme="majorBidi"/>
                  <w:iCs w:val="0"/>
                  <w:szCs w:val="32"/>
                </w:rPr>
              </m:ctrlPr>
            </m:fPr>
            <m:num>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S</m:t>
                  </m:r>
                </m:e>
                <m:sub>
                  <m:r>
                    <w:rPr>
                      <w:rFonts w:ascii="Cambria Math" w:eastAsiaTheme="majorEastAsia" w:hAnsi="Cambria Math" w:cstheme="majorBidi"/>
                      <w:szCs w:val="32"/>
                    </w:rPr>
                    <m:t>hmax</m:t>
                  </m:r>
                </m:sub>
              </m:sSub>
              <m:r>
                <w:rPr>
                  <w:rFonts w:ascii="Cambria Math" w:eastAsiaTheme="majorEastAsia" w:hAnsi="Cambria Math" w:cstheme="majorBidi"/>
                  <w:szCs w:val="32"/>
                </w:rPr>
                <m:t xml:space="preserve">- </m:t>
              </m:r>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P</m:t>
                  </m:r>
                </m:e>
                <m:sub>
                  <m:r>
                    <w:rPr>
                      <w:rFonts w:ascii="Cambria Math" w:eastAsiaTheme="majorEastAsia" w:hAnsi="Cambria Math" w:cstheme="majorBidi"/>
                      <w:szCs w:val="32"/>
                    </w:rPr>
                    <m:t>p</m:t>
                  </m:r>
                </m:sub>
              </m:sSub>
            </m:num>
            <m:den>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S</m:t>
                  </m:r>
                </m:e>
                <m:sub>
                  <m:r>
                    <w:rPr>
                      <w:rFonts w:ascii="Cambria Math" w:eastAsiaTheme="majorEastAsia" w:hAnsi="Cambria Math" w:cstheme="majorBidi"/>
                      <w:szCs w:val="32"/>
                    </w:rPr>
                    <m:t>hmin</m:t>
                  </m:r>
                </m:sub>
              </m:sSub>
              <m:r>
                <w:rPr>
                  <w:rFonts w:ascii="Cambria Math" w:eastAsiaTheme="majorEastAsia" w:hAnsi="Cambria Math" w:cstheme="majorBidi"/>
                  <w:szCs w:val="32"/>
                </w:rPr>
                <m:t xml:space="preserve">- </m:t>
              </m:r>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P</m:t>
                  </m:r>
                </m:e>
                <m:sub>
                  <m:r>
                    <w:rPr>
                      <w:rFonts w:ascii="Cambria Math" w:eastAsiaTheme="majorEastAsia" w:hAnsi="Cambria Math" w:cstheme="majorBidi"/>
                      <w:szCs w:val="32"/>
                    </w:rPr>
                    <m:t>p</m:t>
                  </m:r>
                </m:sub>
              </m:sSub>
            </m:den>
          </m:f>
          <m:r>
            <w:rPr>
              <w:rFonts w:ascii="Cambria Math" w:eastAsiaTheme="majorEastAsia" w:hAnsi="Cambria Math" w:cstheme="majorBidi"/>
              <w:szCs w:val="32"/>
            </w:rPr>
            <m:t>≤</m:t>
          </m:r>
          <m:sSup>
            <m:sSupPr>
              <m:ctrlPr>
                <w:rPr>
                  <w:rFonts w:ascii="Cambria Math" w:eastAsiaTheme="majorEastAsia" w:hAnsi="Cambria Math" w:cstheme="majorBidi"/>
                  <w:iCs w:val="0"/>
                  <w:szCs w:val="32"/>
                </w:rPr>
              </m:ctrlPr>
            </m:sSupPr>
            <m:e>
              <m:r>
                <w:rPr>
                  <w:rFonts w:ascii="Cambria Math" w:eastAsiaTheme="majorEastAsia" w:hAnsi="Cambria Math" w:cstheme="majorBidi"/>
                  <w:szCs w:val="32"/>
                </w:rPr>
                <m:t>[</m:t>
              </m:r>
              <m:sSup>
                <m:sSupPr>
                  <m:ctrlPr>
                    <w:rPr>
                      <w:rFonts w:ascii="Cambria Math" w:eastAsiaTheme="majorEastAsia" w:hAnsi="Cambria Math" w:cstheme="majorBidi"/>
                      <w:iCs w:val="0"/>
                      <w:szCs w:val="32"/>
                    </w:rPr>
                  </m:ctrlPr>
                </m:sSupPr>
                <m:e>
                  <m:d>
                    <m:dPr>
                      <m:ctrlPr>
                        <w:rPr>
                          <w:rFonts w:ascii="Cambria Math" w:eastAsiaTheme="majorEastAsia" w:hAnsi="Cambria Math" w:cstheme="majorBidi"/>
                          <w:iCs w:val="0"/>
                          <w:szCs w:val="32"/>
                        </w:rPr>
                      </m:ctrlPr>
                    </m:dPr>
                    <m:e>
                      <m:sSup>
                        <m:sSupPr>
                          <m:ctrlPr>
                            <w:rPr>
                              <w:rFonts w:ascii="Cambria Math" w:eastAsiaTheme="majorEastAsia" w:hAnsi="Cambria Math" w:cstheme="majorBidi"/>
                              <w:iCs w:val="0"/>
                              <w:szCs w:val="32"/>
                            </w:rPr>
                          </m:ctrlPr>
                        </m:sSupPr>
                        <m:e>
                          <m:r>
                            <w:rPr>
                              <w:rFonts w:ascii="Cambria Math" w:eastAsiaTheme="majorEastAsia" w:hAnsi="Cambria Math" w:cstheme="majorBidi"/>
                              <w:szCs w:val="32"/>
                            </w:rPr>
                            <m:t>μ</m:t>
                          </m:r>
                        </m:e>
                        <m:sup>
                          <m:r>
                            <w:rPr>
                              <w:rFonts w:ascii="Cambria Math" w:eastAsiaTheme="majorEastAsia" w:hAnsi="Cambria Math" w:cstheme="majorBidi"/>
                              <w:szCs w:val="32"/>
                            </w:rPr>
                            <m:t>2</m:t>
                          </m:r>
                        </m:sup>
                      </m:sSup>
                      <m:r>
                        <w:rPr>
                          <w:rFonts w:ascii="Cambria Math" w:eastAsiaTheme="majorEastAsia" w:hAnsi="Cambria Math" w:cstheme="majorBidi"/>
                          <w:szCs w:val="32"/>
                        </w:rPr>
                        <m:t>+1</m:t>
                      </m:r>
                    </m:e>
                  </m:d>
                </m:e>
                <m:sup>
                  <m:f>
                    <m:fPr>
                      <m:ctrlPr>
                        <w:rPr>
                          <w:rFonts w:ascii="Cambria Math" w:eastAsiaTheme="majorEastAsia" w:hAnsi="Cambria Math" w:cstheme="majorBidi"/>
                          <w:iCs w:val="0"/>
                          <w:szCs w:val="32"/>
                        </w:rPr>
                      </m:ctrlPr>
                    </m:fPr>
                    <m:num>
                      <m:r>
                        <w:rPr>
                          <w:rFonts w:ascii="Cambria Math" w:eastAsiaTheme="majorEastAsia" w:hAnsi="Cambria Math" w:cstheme="majorBidi"/>
                          <w:szCs w:val="32"/>
                        </w:rPr>
                        <m:t>1</m:t>
                      </m:r>
                    </m:num>
                    <m:den>
                      <m:r>
                        <w:rPr>
                          <w:rFonts w:ascii="Cambria Math" w:eastAsiaTheme="majorEastAsia" w:hAnsi="Cambria Math" w:cstheme="majorBidi"/>
                          <w:szCs w:val="32"/>
                        </w:rPr>
                        <m:t>2</m:t>
                      </m:r>
                    </m:den>
                  </m:f>
                </m:sup>
              </m:sSup>
              <m:r>
                <w:rPr>
                  <w:rFonts w:ascii="Cambria Math" w:eastAsiaTheme="majorEastAsia" w:hAnsi="Cambria Math" w:cstheme="majorBidi"/>
                  <w:szCs w:val="32"/>
                </w:rPr>
                <m:t>+ μ]</m:t>
              </m:r>
            </m:e>
            <m:sup>
              <m:r>
                <w:rPr>
                  <w:rFonts w:ascii="Cambria Math" w:eastAsiaTheme="majorEastAsia" w:hAnsi="Cambria Math" w:cstheme="majorBidi"/>
                  <w:szCs w:val="32"/>
                </w:rPr>
                <m:t>2</m:t>
              </m:r>
            </m:sup>
          </m:sSup>
          <m:r>
            <w:rPr>
              <w:rFonts w:ascii="Cambria Math" w:eastAsiaTheme="majorEastAsia" w:hAnsi="Cambria Math" w:cstheme="majorBidi"/>
              <w:szCs w:val="32"/>
            </w:rPr>
            <m:t xml:space="preserve">                                                                                   (3)</m:t>
          </m:r>
        </m:oMath>
      </m:oMathPara>
    </w:p>
    <w:p w14:paraId="7DDF628B" w14:textId="77777777" w:rsidR="00C5454E" w:rsidRDefault="00BD112B" w:rsidP="00DF7ACD">
      <w:pPr>
        <w:pStyle w:val="ListParagraph"/>
        <w:numPr>
          <w:ilvl w:val="0"/>
          <w:numId w:val="12"/>
        </w:numPr>
        <w:rPr>
          <w:rFonts w:eastAsiaTheme="majorEastAsia" w:cstheme="majorBidi"/>
          <w:szCs w:val="32"/>
        </w:rPr>
      </w:pPr>
      <w:r w:rsidRPr="0026453C">
        <w:rPr>
          <w:rFonts w:eastAsiaTheme="majorEastAsia" w:cstheme="majorBidi"/>
          <w:szCs w:val="32"/>
        </w:rPr>
        <w:t>If Sv is the least stress,</w:t>
      </w:r>
      <w:r w:rsidR="00DF7ACD" w:rsidRPr="0026453C">
        <w:rPr>
          <w:rFonts w:eastAsiaTheme="majorEastAsia" w:cstheme="majorBidi"/>
          <w:szCs w:val="32"/>
        </w:rPr>
        <w:t xml:space="preserve"> </w:t>
      </w:r>
      <w:r w:rsidR="00DF7ACD" w:rsidRPr="0026453C">
        <w:rPr>
          <w:rFonts w:eastAsiaTheme="majorEastAsia" w:cstheme="majorBidi"/>
          <w:i/>
          <w:iCs/>
          <w:szCs w:val="32"/>
        </w:rPr>
        <w:t xml:space="preserve">Shmax &gt; Shmin &gt; Sv, </w:t>
      </w:r>
      <w:r w:rsidRPr="0026453C">
        <w:rPr>
          <w:rFonts w:eastAsiaTheme="majorEastAsia" w:cstheme="majorBidi"/>
          <w:szCs w:val="32"/>
        </w:rPr>
        <w:t xml:space="preserve">then then the differential stress magnitude is affected by the thrust faulting regime. </w:t>
      </w:r>
    </w:p>
    <w:p w14:paraId="0A2947AF" w14:textId="3EA5E8C3" w:rsidR="00DF7ACD" w:rsidRPr="00C5454E" w:rsidRDefault="00DF7ACD" w:rsidP="00C5454E">
      <w:pPr>
        <w:pStyle w:val="ListParagraph"/>
        <w:rPr>
          <w:rFonts w:eastAsiaTheme="majorEastAsia" w:cstheme="majorBidi"/>
          <w:szCs w:val="32"/>
        </w:rPr>
      </w:pPr>
      <w:r w:rsidRPr="00C5454E">
        <w:rPr>
          <w:rFonts w:eastAsiaTheme="majorEastAsia" w:cstheme="majorBidi"/>
          <w:szCs w:val="32"/>
        </w:rPr>
        <w:t>Equation 1 becomes modified to,</w:t>
      </w:r>
    </w:p>
    <w:p w14:paraId="6CAFB679" w14:textId="7DD4694D" w:rsidR="00DF7ACD" w:rsidRDefault="00000000" w:rsidP="00C5454E">
      <w:pPr>
        <w:pStyle w:val="Caption"/>
        <w:ind w:left="720"/>
        <w:jc w:val="left"/>
        <w:rPr>
          <w:rFonts w:eastAsiaTheme="majorEastAsia" w:cstheme="majorBidi"/>
          <w:szCs w:val="32"/>
        </w:rPr>
      </w:pPr>
      <m:oMathPara>
        <m:oMath>
          <m:f>
            <m:fPr>
              <m:ctrlPr>
                <w:rPr>
                  <w:rFonts w:ascii="Cambria Math" w:eastAsiaTheme="majorEastAsia" w:hAnsi="Cambria Math" w:cstheme="majorBidi"/>
                  <w:iCs w:val="0"/>
                  <w:szCs w:val="32"/>
                </w:rPr>
              </m:ctrlPr>
            </m:fPr>
            <m:num>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σ</m:t>
                  </m:r>
                </m:e>
                <m:sub>
                  <m:r>
                    <w:rPr>
                      <w:rFonts w:ascii="Cambria Math" w:eastAsiaTheme="majorEastAsia" w:hAnsi="Cambria Math" w:cstheme="majorBidi"/>
                      <w:szCs w:val="32"/>
                    </w:rPr>
                    <m:t>1</m:t>
                  </m:r>
                </m:sub>
              </m:sSub>
            </m:num>
            <m:den>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σ</m:t>
                  </m:r>
                </m:e>
                <m:sub>
                  <m:r>
                    <w:rPr>
                      <w:rFonts w:ascii="Cambria Math" w:eastAsiaTheme="majorEastAsia" w:hAnsi="Cambria Math" w:cstheme="majorBidi"/>
                      <w:szCs w:val="32"/>
                    </w:rPr>
                    <m:t>3</m:t>
                  </m:r>
                </m:sub>
              </m:sSub>
            </m:den>
          </m:f>
          <m:r>
            <w:rPr>
              <w:rFonts w:ascii="Cambria Math" w:eastAsiaTheme="majorEastAsia" w:hAnsi="Cambria Math" w:cstheme="majorBidi"/>
              <w:szCs w:val="32"/>
            </w:rPr>
            <m:t xml:space="preserve">= </m:t>
          </m:r>
          <m:f>
            <m:fPr>
              <m:ctrlPr>
                <w:rPr>
                  <w:rFonts w:ascii="Cambria Math" w:eastAsiaTheme="majorEastAsia" w:hAnsi="Cambria Math" w:cstheme="majorBidi"/>
                  <w:iCs w:val="0"/>
                  <w:szCs w:val="32"/>
                </w:rPr>
              </m:ctrlPr>
            </m:fPr>
            <m:num>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S</m:t>
                  </m:r>
                </m:e>
                <m:sub>
                  <m:r>
                    <w:rPr>
                      <w:rFonts w:ascii="Cambria Math" w:eastAsiaTheme="majorEastAsia" w:hAnsi="Cambria Math" w:cstheme="majorBidi"/>
                      <w:szCs w:val="32"/>
                    </w:rPr>
                    <m:t>hmax</m:t>
                  </m:r>
                </m:sub>
              </m:sSub>
              <m:r>
                <w:rPr>
                  <w:rFonts w:ascii="Cambria Math" w:eastAsiaTheme="majorEastAsia" w:hAnsi="Cambria Math" w:cstheme="majorBidi"/>
                  <w:szCs w:val="32"/>
                </w:rPr>
                <m:t xml:space="preserve">- </m:t>
              </m:r>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P</m:t>
                  </m:r>
                </m:e>
                <m:sub>
                  <m:r>
                    <w:rPr>
                      <w:rFonts w:ascii="Cambria Math" w:eastAsiaTheme="majorEastAsia" w:hAnsi="Cambria Math" w:cstheme="majorBidi"/>
                      <w:szCs w:val="32"/>
                    </w:rPr>
                    <m:t>p</m:t>
                  </m:r>
                </m:sub>
              </m:sSub>
            </m:num>
            <m:den>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S</m:t>
                  </m:r>
                </m:e>
                <m:sub>
                  <m:r>
                    <w:rPr>
                      <w:rFonts w:ascii="Cambria Math" w:eastAsiaTheme="majorEastAsia" w:hAnsi="Cambria Math" w:cstheme="majorBidi"/>
                      <w:szCs w:val="32"/>
                    </w:rPr>
                    <m:t>v</m:t>
                  </m:r>
                </m:sub>
              </m:sSub>
              <m:r>
                <w:rPr>
                  <w:rFonts w:ascii="Cambria Math" w:eastAsiaTheme="majorEastAsia" w:hAnsi="Cambria Math" w:cstheme="majorBidi"/>
                  <w:szCs w:val="32"/>
                </w:rPr>
                <m:t xml:space="preserve">- </m:t>
              </m:r>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P</m:t>
                  </m:r>
                </m:e>
                <m:sub>
                  <m:r>
                    <w:rPr>
                      <w:rFonts w:ascii="Cambria Math" w:eastAsiaTheme="majorEastAsia" w:hAnsi="Cambria Math" w:cstheme="majorBidi"/>
                      <w:szCs w:val="32"/>
                    </w:rPr>
                    <m:t>p</m:t>
                  </m:r>
                </m:sub>
              </m:sSub>
            </m:den>
          </m:f>
          <m:r>
            <w:rPr>
              <w:rFonts w:ascii="Cambria Math" w:eastAsiaTheme="majorEastAsia" w:hAnsi="Cambria Math" w:cstheme="majorBidi"/>
              <w:szCs w:val="32"/>
            </w:rPr>
            <m:t>≤</m:t>
          </m:r>
          <m:sSup>
            <m:sSupPr>
              <m:ctrlPr>
                <w:rPr>
                  <w:rFonts w:ascii="Cambria Math" w:eastAsiaTheme="majorEastAsia" w:hAnsi="Cambria Math" w:cstheme="majorBidi"/>
                  <w:iCs w:val="0"/>
                  <w:szCs w:val="32"/>
                </w:rPr>
              </m:ctrlPr>
            </m:sSupPr>
            <m:e>
              <m:r>
                <w:rPr>
                  <w:rFonts w:ascii="Cambria Math" w:eastAsiaTheme="majorEastAsia" w:hAnsi="Cambria Math" w:cstheme="majorBidi"/>
                  <w:szCs w:val="32"/>
                </w:rPr>
                <m:t>[</m:t>
              </m:r>
              <m:sSup>
                <m:sSupPr>
                  <m:ctrlPr>
                    <w:rPr>
                      <w:rFonts w:ascii="Cambria Math" w:eastAsiaTheme="majorEastAsia" w:hAnsi="Cambria Math" w:cstheme="majorBidi"/>
                      <w:iCs w:val="0"/>
                      <w:szCs w:val="32"/>
                    </w:rPr>
                  </m:ctrlPr>
                </m:sSupPr>
                <m:e>
                  <m:d>
                    <m:dPr>
                      <m:ctrlPr>
                        <w:rPr>
                          <w:rFonts w:ascii="Cambria Math" w:eastAsiaTheme="majorEastAsia" w:hAnsi="Cambria Math" w:cstheme="majorBidi"/>
                          <w:iCs w:val="0"/>
                          <w:szCs w:val="32"/>
                        </w:rPr>
                      </m:ctrlPr>
                    </m:dPr>
                    <m:e>
                      <m:sSup>
                        <m:sSupPr>
                          <m:ctrlPr>
                            <w:rPr>
                              <w:rFonts w:ascii="Cambria Math" w:eastAsiaTheme="majorEastAsia" w:hAnsi="Cambria Math" w:cstheme="majorBidi"/>
                              <w:iCs w:val="0"/>
                              <w:szCs w:val="32"/>
                            </w:rPr>
                          </m:ctrlPr>
                        </m:sSupPr>
                        <m:e>
                          <m:r>
                            <w:rPr>
                              <w:rFonts w:ascii="Cambria Math" w:eastAsiaTheme="majorEastAsia" w:hAnsi="Cambria Math" w:cstheme="majorBidi"/>
                              <w:szCs w:val="32"/>
                            </w:rPr>
                            <m:t>μ</m:t>
                          </m:r>
                        </m:e>
                        <m:sup>
                          <m:r>
                            <w:rPr>
                              <w:rFonts w:ascii="Cambria Math" w:eastAsiaTheme="majorEastAsia" w:hAnsi="Cambria Math" w:cstheme="majorBidi"/>
                              <w:szCs w:val="32"/>
                            </w:rPr>
                            <m:t>2</m:t>
                          </m:r>
                        </m:sup>
                      </m:sSup>
                      <m:r>
                        <w:rPr>
                          <w:rFonts w:ascii="Cambria Math" w:eastAsiaTheme="majorEastAsia" w:hAnsi="Cambria Math" w:cstheme="majorBidi"/>
                          <w:szCs w:val="32"/>
                        </w:rPr>
                        <m:t>+1</m:t>
                      </m:r>
                    </m:e>
                  </m:d>
                </m:e>
                <m:sup>
                  <m:f>
                    <m:fPr>
                      <m:ctrlPr>
                        <w:rPr>
                          <w:rFonts w:ascii="Cambria Math" w:eastAsiaTheme="majorEastAsia" w:hAnsi="Cambria Math" w:cstheme="majorBidi"/>
                          <w:iCs w:val="0"/>
                          <w:szCs w:val="32"/>
                        </w:rPr>
                      </m:ctrlPr>
                    </m:fPr>
                    <m:num>
                      <m:r>
                        <w:rPr>
                          <w:rFonts w:ascii="Cambria Math" w:eastAsiaTheme="majorEastAsia" w:hAnsi="Cambria Math" w:cstheme="majorBidi"/>
                          <w:szCs w:val="32"/>
                        </w:rPr>
                        <m:t>1</m:t>
                      </m:r>
                    </m:num>
                    <m:den>
                      <m:r>
                        <w:rPr>
                          <w:rFonts w:ascii="Cambria Math" w:eastAsiaTheme="majorEastAsia" w:hAnsi="Cambria Math" w:cstheme="majorBidi"/>
                          <w:szCs w:val="32"/>
                        </w:rPr>
                        <m:t>2</m:t>
                      </m:r>
                    </m:den>
                  </m:f>
                </m:sup>
              </m:sSup>
              <m:r>
                <w:rPr>
                  <w:rFonts w:ascii="Cambria Math" w:eastAsiaTheme="majorEastAsia" w:hAnsi="Cambria Math" w:cstheme="majorBidi"/>
                  <w:szCs w:val="32"/>
                </w:rPr>
                <m:t>+ μ]</m:t>
              </m:r>
            </m:e>
            <m:sup>
              <m:r>
                <w:rPr>
                  <w:rFonts w:ascii="Cambria Math" w:eastAsiaTheme="majorEastAsia" w:hAnsi="Cambria Math" w:cstheme="majorBidi"/>
                  <w:szCs w:val="32"/>
                </w:rPr>
                <m:t>2</m:t>
              </m:r>
            </m:sup>
          </m:sSup>
          <m:r>
            <w:rPr>
              <w:rFonts w:ascii="Cambria Math" w:eastAsiaTheme="majorEastAsia" w:hAnsi="Cambria Math" w:cstheme="majorBidi"/>
              <w:szCs w:val="32"/>
            </w:rPr>
            <m:t xml:space="preserve">                                                                                 (4)</m:t>
          </m:r>
        </m:oMath>
      </m:oMathPara>
    </w:p>
    <w:p w14:paraId="198D831C" w14:textId="7849AB9F" w:rsidR="00F86E88" w:rsidRDefault="00850D0F" w:rsidP="00850D0F">
      <w:pPr>
        <w:rPr>
          <w:rFonts w:eastAsiaTheme="majorEastAsia" w:cstheme="majorBidi"/>
          <w:szCs w:val="32"/>
        </w:rPr>
      </w:pPr>
      <w:r w:rsidRPr="00F86E88">
        <w:rPr>
          <w:rFonts w:eastAsiaTheme="majorEastAsia" w:cstheme="majorBidi"/>
          <w:szCs w:val="32"/>
        </w:rPr>
        <w:t>The</w:t>
      </w:r>
      <w:r w:rsidR="00DF7ACD" w:rsidRPr="00F86E88">
        <w:rPr>
          <w:rFonts w:eastAsiaTheme="majorEastAsia" w:cstheme="majorBidi"/>
          <w:szCs w:val="32"/>
        </w:rPr>
        <w:t xml:space="preserve"> next portion of the model development is the </w:t>
      </w:r>
      <w:r w:rsidRPr="00F86E88">
        <w:rPr>
          <w:rFonts w:eastAsiaTheme="majorEastAsia" w:cstheme="majorBidi"/>
          <w:szCs w:val="32"/>
        </w:rPr>
        <w:t xml:space="preserve">1D tectonic-elastic model proposed by Thiercelin and Plumb </w:t>
      </w:r>
      <w:r w:rsidR="00DF7ACD" w:rsidRPr="00F86E88">
        <w:rPr>
          <w:rFonts w:eastAsiaTheme="majorEastAsia" w:cstheme="majorBidi"/>
          <w:szCs w:val="32"/>
        </w:rPr>
        <w:t xml:space="preserve">in </w:t>
      </w:r>
      <w:r w:rsidRPr="00F86E88">
        <w:rPr>
          <w:rFonts w:eastAsiaTheme="majorEastAsia" w:cstheme="majorBidi"/>
          <w:szCs w:val="32"/>
        </w:rPr>
        <w:t>1994</w:t>
      </w:r>
      <w:r w:rsidR="00DF7ACD" w:rsidRPr="00F86E88">
        <w:rPr>
          <w:rFonts w:eastAsiaTheme="majorEastAsia" w:cstheme="majorBidi"/>
          <w:szCs w:val="32"/>
        </w:rPr>
        <w:t xml:space="preserve"> </w:t>
      </w:r>
      <w:sdt>
        <w:sdtPr>
          <w:rPr>
            <w:rFonts w:eastAsiaTheme="majorEastAsia" w:cstheme="majorBidi"/>
            <w:szCs w:val="32"/>
          </w:rPr>
          <w:id w:val="72708421"/>
          <w:citation/>
        </w:sdtPr>
        <w:sdtContent>
          <w:r w:rsidR="00DF7ACD" w:rsidRPr="00F86E88">
            <w:rPr>
              <w:rFonts w:eastAsiaTheme="majorEastAsia" w:cstheme="majorBidi"/>
              <w:szCs w:val="32"/>
            </w:rPr>
            <w:fldChar w:fldCharType="begin"/>
          </w:r>
          <w:r w:rsidR="00DF7ACD" w:rsidRPr="00F86E88">
            <w:rPr>
              <w:rFonts w:eastAsiaTheme="majorEastAsia" w:cstheme="majorBidi"/>
              <w:szCs w:val="32"/>
            </w:rPr>
            <w:instrText xml:space="preserve"> CITATION DAp19 \l 1033 </w:instrText>
          </w:r>
          <w:r w:rsidR="00DF7ACD" w:rsidRPr="00F86E88">
            <w:rPr>
              <w:rFonts w:eastAsiaTheme="majorEastAsia" w:cstheme="majorBidi"/>
              <w:szCs w:val="32"/>
            </w:rPr>
            <w:fldChar w:fldCharType="separate"/>
          </w:r>
          <w:r w:rsidR="00C84822" w:rsidRPr="00C84822">
            <w:rPr>
              <w:rFonts w:eastAsiaTheme="majorEastAsia" w:cstheme="majorBidi"/>
              <w:noProof/>
              <w:szCs w:val="32"/>
            </w:rPr>
            <w:t>(Appriou, 2019)</w:t>
          </w:r>
          <w:r w:rsidR="00DF7ACD" w:rsidRPr="00F86E88">
            <w:rPr>
              <w:rFonts w:eastAsiaTheme="majorEastAsia" w:cstheme="majorBidi"/>
              <w:szCs w:val="32"/>
            </w:rPr>
            <w:fldChar w:fldCharType="end"/>
          </w:r>
        </w:sdtContent>
      </w:sdt>
      <w:r w:rsidRPr="00F86E88">
        <w:rPr>
          <w:rFonts w:eastAsiaTheme="majorEastAsia" w:cstheme="majorBidi"/>
          <w:szCs w:val="32"/>
        </w:rPr>
        <w:t>. Th</w:t>
      </w:r>
      <w:r w:rsidR="00DF7ACD" w:rsidRPr="00F86E88">
        <w:rPr>
          <w:rFonts w:eastAsiaTheme="majorEastAsia" w:cstheme="majorBidi"/>
          <w:szCs w:val="32"/>
        </w:rPr>
        <w:t>e approach assumes the of the three principal stresses, one is vertical</w:t>
      </w:r>
      <w:r w:rsidR="00F86E88" w:rsidRPr="00F86E88">
        <w:rPr>
          <w:rFonts w:eastAsiaTheme="majorEastAsia" w:cstheme="majorBidi"/>
          <w:szCs w:val="32"/>
        </w:rPr>
        <w:t>, occurring at a particular true vertical depth and with a specific overburden weight, represented by the equation below</w:t>
      </w:r>
      <w:r w:rsidR="00F86E88">
        <w:rPr>
          <w:rFonts w:eastAsiaTheme="majorEastAsia" w:cstheme="majorBidi"/>
          <w:szCs w:val="32"/>
        </w:rPr>
        <w:t>,</w:t>
      </w:r>
    </w:p>
    <w:p w14:paraId="7B5A217A" w14:textId="31603EF3" w:rsidR="00F86E88" w:rsidRDefault="00000000" w:rsidP="00F86E88">
      <w:pPr>
        <w:pStyle w:val="Caption"/>
        <w:jc w:val="left"/>
        <w:rPr>
          <w:rFonts w:eastAsiaTheme="majorEastAsia" w:cstheme="majorBidi"/>
          <w:szCs w:val="32"/>
        </w:rPr>
      </w:pPr>
      <m:oMathPara>
        <m:oMath>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S</m:t>
              </m:r>
            </m:e>
            <m:sub>
              <m:r>
                <w:rPr>
                  <w:rFonts w:ascii="Cambria Math" w:eastAsiaTheme="majorEastAsia" w:hAnsi="Cambria Math" w:cstheme="majorBidi"/>
                  <w:szCs w:val="32"/>
                </w:rPr>
                <m:t>v</m:t>
              </m:r>
            </m:sub>
          </m:sSub>
          <m:r>
            <w:rPr>
              <w:rFonts w:ascii="Cambria Math" w:eastAsiaTheme="majorEastAsia" w:hAnsi="Cambria Math" w:cstheme="majorBidi"/>
              <w:szCs w:val="32"/>
            </w:rPr>
            <m:t xml:space="preserve">= </m:t>
          </m:r>
          <m:nary>
            <m:naryPr>
              <m:limLoc m:val="subSup"/>
              <m:ctrlPr>
                <w:rPr>
                  <w:rFonts w:ascii="Cambria Math" w:eastAsiaTheme="majorEastAsia" w:hAnsi="Cambria Math" w:cstheme="majorBidi"/>
                  <w:iCs w:val="0"/>
                  <w:szCs w:val="32"/>
                </w:rPr>
              </m:ctrlPr>
            </m:naryPr>
            <m:sub>
              <m:r>
                <w:rPr>
                  <w:rFonts w:ascii="Cambria Math" w:eastAsiaTheme="majorEastAsia" w:hAnsi="Cambria Math" w:cstheme="majorBidi"/>
                  <w:szCs w:val="32"/>
                </w:rPr>
                <m:t>0</m:t>
              </m:r>
            </m:sub>
            <m:sup>
              <m:r>
                <w:rPr>
                  <w:rFonts w:ascii="Cambria Math" w:eastAsiaTheme="majorEastAsia" w:hAnsi="Cambria Math" w:cstheme="majorBidi"/>
                  <w:szCs w:val="32"/>
                </w:rPr>
                <m:t>z</m:t>
              </m:r>
            </m:sup>
            <m:e>
              <m:r>
                <w:rPr>
                  <w:rFonts w:ascii="Cambria Math" w:eastAsiaTheme="majorEastAsia" w:hAnsi="Cambria Math" w:cstheme="majorBidi"/>
                  <w:szCs w:val="32"/>
                </w:rPr>
                <m:t>ρ</m:t>
              </m:r>
              <m:d>
                <m:dPr>
                  <m:ctrlPr>
                    <w:rPr>
                      <w:rFonts w:ascii="Cambria Math" w:eastAsiaTheme="majorEastAsia" w:hAnsi="Cambria Math" w:cstheme="majorBidi"/>
                      <w:iCs w:val="0"/>
                      <w:szCs w:val="32"/>
                    </w:rPr>
                  </m:ctrlPr>
                </m:dPr>
                <m:e>
                  <m:r>
                    <w:rPr>
                      <w:rFonts w:ascii="Cambria Math" w:eastAsiaTheme="majorEastAsia" w:hAnsi="Cambria Math" w:cstheme="majorBidi"/>
                      <w:szCs w:val="32"/>
                    </w:rPr>
                    <m:t>z</m:t>
                  </m:r>
                </m:e>
              </m:d>
              <m:r>
                <w:rPr>
                  <w:rFonts w:ascii="Cambria Math" w:eastAsiaTheme="majorEastAsia" w:hAnsi="Cambria Math" w:cstheme="majorBidi"/>
                  <w:szCs w:val="32"/>
                </w:rPr>
                <m:t xml:space="preserve">gdz                                               </m:t>
              </m:r>
            </m:e>
          </m:nary>
          <m:r>
            <w:rPr>
              <w:rFonts w:ascii="Cambria Math" w:eastAsiaTheme="majorEastAsia" w:hAnsi="Cambria Math" w:cstheme="majorBidi"/>
              <w:szCs w:val="32"/>
            </w:rPr>
            <m:t xml:space="preserve">                                                                                      </m:t>
          </m:r>
          <m:d>
            <m:dPr>
              <m:ctrlPr>
                <w:rPr>
                  <w:rFonts w:ascii="Cambria Math" w:eastAsiaTheme="majorEastAsia" w:hAnsi="Cambria Math" w:cstheme="majorBidi"/>
                  <w:iCs w:val="0"/>
                  <w:szCs w:val="32"/>
                </w:rPr>
              </m:ctrlPr>
            </m:dPr>
            <m:e>
              <m:r>
                <w:rPr>
                  <w:rFonts w:ascii="Cambria Math" w:eastAsiaTheme="majorEastAsia" w:hAnsi="Cambria Math" w:cstheme="majorBidi"/>
                  <w:szCs w:val="32"/>
                </w:rPr>
                <m:t>5</m:t>
              </m:r>
            </m:e>
          </m:d>
        </m:oMath>
      </m:oMathPara>
    </w:p>
    <w:p w14:paraId="6BCC9062" w14:textId="3FCB54E4" w:rsidR="00850D0F" w:rsidRPr="00F86E88" w:rsidRDefault="00850D0F" w:rsidP="00850D0F">
      <w:pPr>
        <w:rPr>
          <w:rFonts w:eastAsiaTheme="majorEastAsia" w:cstheme="majorBidi"/>
          <w:szCs w:val="32"/>
        </w:rPr>
      </w:pPr>
      <w:r w:rsidRPr="00F86E88">
        <w:rPr>
          <w:rFonts w:eastAsiaTheme="majorEastAsia" w:cstheme="majorBidi"/>
          <w:szCs w:val="32"/>
        </w:rPr>
        <w:t xml:space="preserve">The horizontal principal stresses </w:t>
      </w:r>
      <w:r w:rsidR="00F86E88" w:rsidRPr="00F86E88">
        <w:rPr>
          <w:rFonts w:ascii="Cambria Math" w:eastAsiaTheme="majorEastAsia" w:hAnsi="Cambria Math" w:cs="Cambria Math"/>
          <w:szCs w:val="32"/>
        </w:rPr>
        <w:t>can then be calculated using the l</w:t>
      </w:r>
      <w:r w:rsidRPr="00F86E88">
        <w:rPr>
          <w:rFonts w:eastAsiaTheme="majorEastAsia" w:cstheme="majorBidi"/>
          <w:szCs w:val="32"/>
        </w:rPr>
        <w:t>inear poroelasticity equations for horizontal stresses</w:t>
      </w:r>
      <w:r w:rsidR="00F86E88" w:rsidRPr="00F86E88">
        <w:rPr>
          <w:rFonts w:eastAsiaTheme="majorEastAsia" w:cstheme="majorBidi"/>
          <w:szCs w:val="32"/>
        </w:rPr>
        <w:t xml:space="preserve"> as shown below,</w:t>
      </w:r>
    </w:p>
    <w:p w14:paraId="0634846D" w14:textId="60A8EC24" w:rsidR="00F86E88" w:rsidRPr="00A33AD9" w:rsidRDefault="00000000" w:rsidP="00F86E88">
      <w:pPr>
        <w:pStyle w:val="Caption"/>
        <w:jc w:val="left"/>
        <w:rPr>
          <w:rFonts w:eastAsiaTheme="majorEastAsia" w:cstheme="majorBidi"/>
          <w:iCs w:val="0"/>
          <w:szCs w:val="32"/>
        </w:rPr>
      </w:pPr>
      <m:oMathPara>
        <m:oMath>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S</m:t>
              </m:r>
            </m:e>
            <m:sub>
              <m:r>
                <w:rPr>
                  <w:rFonts w:ascii="Cambria Math" w:eastAsiaTheme="majorEastAsia" w:hAnsi="Cambria Math" w:cstheme="majorBidi"/>
                  <w:szCs w:val="32"/>
                </w:rPr>
                <m:t>hmin</m:t>
              </m:r>
            </m:sub>
          </m:sSub>
          <m:r>
            <w:rPr>
              <w:rFonts w:ascii="Cambria Math" w:eastAsiaTheme="majorEastAsia" w:hAnsi="Cambria Math" w:cstheme="majorBidi"/>
              <w:szCs w:val="32"/>
            </w:rPr>
            <m:t xml:space="preserve">=  </m:t>
          </m:r>
          <m:f>
            <m:fPr>
              <m:ctrlPr>
                <w:rPr>
                  <w:rFonts w:ascii="Cambria Math" w:eastAsiaTheme="majorEastAsia" w:hAnsi="Cambria Math" w:cstheme="majorBidi"/>
                  <w:iCs w:val="0"/>
                  <w:szCs w:val="32"/>
                </w:rPr>
              </m:ctrlPr>
            </m:fPr>
            <m:num>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E</m:t>
                  </m:r>
                </m:e>
                <m:sub>
                  <m:r>
                    <w:rPr>
                      <w:rFonts w:ascii="Cambria Math" w:eastAsiaTheme="majorEastAsia" w:hAnsi="Cambria Math" w:cstheme="majorBidi"/>
                      <w:szCs w:val="32"/>
                    </w:rPr>
                    <m:t>h</m:t>
                  </m:r>
                </m:sub>
              </m:sSub>
            </m:num>
            <m:den>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E</m:t>
                  </m:r>
                </m:e>
                <m:sub>
                  <m:r>
                    <w:rPr>
                      <w:rFonts w:ascii="Cambria Math" w:eastAsiaTheme="majorEastAsia" w:hAnsi="Cambria Math" w:cstheme="majorBidi"/>
                      <w:szCs w:val="32"/>
                    </w:rPr>
                    <m:t>v</m:t>
                  </m:r>
                </m:sub>
              </m:sSub>
            </m:den>
          </m:f>
          <m:r>
            <w:rPr>
              <w:rFonts w:ascii="Cambria Math" w:eastAsiaTheme="majorEastAsia" w:hAnsi="Cambria Math" w:cstheme="majorBidi"/>
              <w:szCs w:val="32"/>
            </w:rPr>
            <m:t xml:space="preserve"> </m:t>
          </m:r>
          <m:f>
            <m:fPr>
              <m:ctrlPr>
                <w:rPr>
                  <w:rFonts w:ascii="Cambria Math" w:eastAsiaTheme="majorEastAsia" w:hAnsi="Cambria Math" w:cstheme="majorBidi"/>
                  <w:iCs w:val="0"/>
                  <w:szCs w:val="32"/>
                </w:rPr>
              </m:ctrlPr>
            </m:fPr>
            <m:num>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v</m:t>
                  </m:r>
                </m:e>
                <m:sub>
                  <m:r>
                    <w:rPr>
                      <w:rFonts w:ascii="Cambria Math" w:eastAsiaTheme="majorEastAsia" w:hAnsi="Cambria Math" w:cstheme="majorBidi"/>
                      <w:szCs w:val="32"/>
                    </w:rPr>
                    <m:t>hh</m:t>
                  </m:r>
                </m:sub>
              </m:sSub>
            </m:num>
            <m:den>
              <m:r>
                <w:rPr>
                  <w:rFonts w:ascii="Cambria Math" w:eastAsiaTheme="majorEastAsia" w:hAnsi="Cambria Math" w:cstheme="majorBidi"/>
                  <w:szCs w:val="32"/>
                </w:rPr>
                <m:t xml:space="preserve">1- </m:t>
              </m:r>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v</m:t>
                  </m:r>
                </m:e>
                <m:sub>
                  <m:r>
                    <w:rPr>
                      <w:rFonts w:ascii="Cambria Math" w:eastAsiaTheme="majorEastAsia" w:hAnsi="Cambria Math" w:cstheme="majorBidi"/>
                      <w:szCs w:val="32"/>
                    </w:rPr>
                    <m:t>vh</m:t>
                  </m:r>
                </m:sub>
              </m:sSub>
            </m:den>
          </m:f>
          <m:d>
            <m:dPr>
              <m:ctrlPr>
                <w:rPr>
                  <w:rFonts w:ascii="Cambria Math" w:eastAsiaTheme="majorEastAsia" w:hAnsi="Cambria Math" w:cstheme="majorBidi"/>
                  <w:iCs w:val="0"/>
                  <w:szCs w:val="32"/>
                </w:rPr>
              </m:ctrlPr>
            </m:dPr>
            <m:e>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S</m:t>
                  </m:r>
                </m:e>
                <m:sub>
                  <m:r>
                    <w:rPr>
                      <w:rFonts w:ascii="Cambria Math" w:eastAsiaTheme="majorEastAsia" w:hAnsi="Cambria Math" w:cstheme="majorBidi"/>
                      <w:szCs w:val="32"/>
                    </w:rPr>
                    <m:t>v</m:t>
                  </m:r>
                </m:sub>
              </m:sSub>
              <m:r>
                <w:rPr>
                  <w:rFonts w:ascii="Cambria Math" w:eastAsiaTheme="majorEastAsia" w:hAnsi="Cambria Math" w:cstheme="majorBidi"/>
                  <w:szCs w:val="32"/>
                </w:rPr>
                <m:t xml:space="preserve">- </m:t>
              </m:r>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α</m:t>
                  </m:r>
                </m:e>
                <m:sub>
                  <m:r>
                    <w:rPr>
                      <w:rFonts w:ascii="Cambria Math" w:eastAsiaTheme="majorEastAsia" w:hAnsi="Cambria Math" w:cstheme="majorBidi"/>
                      <w:szCs w:val="32"/>
                    </w:rPr>
                    <m:t>v</m:t>
                  </m:r>
                </m:sub>
              </m:sSub>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P</m:t>
                  </m:r>
                </m:e>
                <m:sub>
                  <m:r>
                    <w:rPr>
                      <w:rFonts w:ascii="Cambria Math" w:eastAsiaTheme="majorEastAsia" w:hAnsi="Cambria Math" w:cstheme="majorBidi"/>
                      <w:szCs w:val="32"/>
                    </w:rPr>
                    <m:t>p</m:t>
                  </m:r>
                </m:sub>
              </m:sSub>
            </m:e>
          </m:d>
          <m:r>
            <w:rPr>
              <w:rFonts w:ascii="Cambria Math" w:eastAsiaTheme="majorEastAsia" w:hAnsi="Cambria Math" w:cstheme="majorBidi"/>
              <w:szCs w:val="32"/>
            </w:rPr>
            <m:t xml:space="preserve">+ </m:t>
          </m:r>
          <m:f>
            <m:fPr>
              <m:ctrlPr>
                <w:rPr>
                  <w:rFonts w:ascii="Cambria Math" w:eastAsiaTheme="majorEastAsia" w:hAnsi="Cambria Math" w:cstheme="majorBidi"/>
                  <w:iCs w:val="0"/>
                  <w:szCs w:val="32"/>
                </w:rPr>
              </m:ctrlPr>
            </m:fPr>
            <m:num>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E</m:t>
                  </m:r>
                </m:e>
                <m:sub>
                  <m:r>
                    <w:rPr>
                      <w:rFonts w:ascii="Cambria Math" w:eastAsiaTheme="majorEastAsia" w:hAnsi="Cambria Math" w:cstheme="majorBidi"/>
                      <w:szCs w:val="32"/>
                    </w:rPr>
                    <m:t>h</m:t>
                  </m:r>
                </m:sub>
              </m:sSub>
            </m:num>
            <m:den>
              <m:r>
                <w:rPr>
                  <w:rFonts w:ascii="Cambria Math" w:eastAsiaTheme="majorEastAsia" w:hAnsi="Cambria Math" w:cstheme="majorBidi"/>
                  <w:szCs w:val="32"/>
                </w:rPr>
                <m:t xml:space="preserve">1- </m:t>
              </m:r>
              <m:sSup>
                <m:sSupPr>
                  <m:ctrlPr>
                    <w:rPr>
                      <w:rFonts w:ascii="Cambria Math" w:eastAsiaTheme="majorEastAsia" w:hAnsi="Cambria Math" w:cstheme="majorBidi"/>
                      <w:iCs w:val="0"/>
                      <w:szCs w:val="32"/>
                    </w:rPr>
                  </m:ctrlPr>
                </m:sSupPr>
                <m:e>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v</m:t>
                      </m:r>
                    </m:e>
                    <m:sub>
                      <m:r>
                        <w:rPr>
                          <w:rFonts w:ascii="Cambria Math" w:eastAsiaTheme="majorEastAsia" w:hAnsi="Cambria Math" w:cstheme="majorBidi"/>
                          <w:szCs w:val="32"/>
                        </w:rPr>
                        <m:t>hh</m:t>
                      </m:r>
                    </m:sub>
                  </m:sSub>
                </m:e>
                <m:sup>
                  <m:r>
                    <w:rPr>
                      <w:rFonts w:ascii="Cambria Math" w:eastAsiaTheme="majorEastAsia" w:hAnsi="Cambria Math" w:cstheme="majorBidi"/>
                      <w:szCs w:val="32"/>
                    </w:rPr>
                    <m:t>2</m:t>
                  </m:r>
                </m:sup>
              </m:sSup>
            </m:den>
          </m:f>
          <m:d>
            <m:dPr>
              <m:ctrlPr>
                <w:rPr>
                  <w:rFonts w:ascii="Cambria Math" w:eastAsiaTheme="majorEastAsia" w:hAnsi="Cambria Math" w:cstheme="majorBidi"/>
                  <w:iCs w:val="0"/>
                  <w:szCs w:val="32"/>
                </w:rPr>
              </m:ctrlPr>
            </m:dPr>
            <m:e>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ε</m:t>
                  </m:r>
                </m:e>
                <m:sub>
                  <m:r>
                    <w:rPr>
                      <w:rFonts w:ascii="Cambria Math" w:eastAsiaTheme="majorEastAsia" w:hAnsi="Cambria Math" w:cstheme="majorBidi"/>
                      <w:szCs w:val="32"/>
                    </w:rPr>
                    <m:t>H</m:t>
                  </m:r>
                </m:sub>
              </m:sSub>
              <m:r>
                <w:rPr>
                  <w:rFonts w:ascii="Cambria Math" w:eastAsiaTheme="majorEastAsia" w:hAnsi="Cambria Math" w:cstheme="majorBidi"/>
                  <w:szCs w:val="32"/>
                </w:rPr>
                <m:t>+</m:t>
              </m:r>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v</m:t>
                  </m:r>
                </m:e>
                <m:sub>
                  <m:r>
                    <w:rPr>
                      <w:rFonts w:ascii="Cambria Math" w:eastAsiaTheme="majorEastAsia" w:hAnsi="Cambria Math" w:cstheme="majorBidi"/>
                      <w:szCs w:val="32"/>
                    </w:rPr>
                    <m:t>hh</m:t>
                  </m:r>
                </m:sub>
              </m:sSub>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ε</m:t>
                  </m:r>
                </m:e>
                <m:sub>
                  <m:r>
                    <w:rPr>
                      <w:rFonts w:ascii="Cambria Math" w:eastAsiaTheme="majorEastAsia" w:hAnsi="Cambria Math" w:cstheme="majorBidi"/>
                      <w:szCs w:val="32"/>
                    </w:rPr>
                    <m:t>H</m:t>
                  </m:r>
                </m:sub>
              </m:sSub>
            </m:e>
          </m:d>
          <m:r>
            <w:rPr>
              <w:rFonts w:ascii="Cambria Math" w:eastAsiaTheme="majorEastAsia" w:hAnsi="Cambria Math" w:cstheme="majorBidi"/>
              <w:szCs w:val="32"/>
            </w:rPr>
            <m:t xml:space="preserve">+ </m:t>
          </m:r>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α</m:t>
              </m:r>
            </m:e>
            <m:sub>
              <m:r>
                <w:rPr>
                  <w:rFonts w:ascii="Cambria Math" w:eastAsiaTheme="majorEastAsia" w:hAnsi="Cambria Math" w:cstheme="majorBidi"/>
                  <w:szCs w:val="32"/>
                </w:rPr>
                <m:t>h</m:t>
              </m:r>
            </m:sub>
          </m:sSub>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P</m:t>
              </m:r>
            </m:e>
            <m:sub>
              <m:r>
                <w:rPr>
                  <w:rFonts w:ascii="Cambria Math" w:eastAsiaTheme="majorEastAsia" w:hAnsi="Cambria Math" w:cstheme="majorBidi"/>
                  <w:szCs w:val="32"/>
                </w:rPr>
                <m:t>p</m:t>
              </m:r>
            </m:sub>
          </m:sSub>
          <m:r>
            <w:rPr>
              <w:rFonts w:ascii="Cambria Math" w:eastAsiaTheme="majorEastAsia" w:hAnsi="Cambria Math" w:cstheme="majorBidi"/>
              <w:szCs w:val="32"/>
            </w:rPr>
            <m:t xml:space="preserve">                                     </m:t>
          </m:r>
          <m:d>
            <m:dPr>
              <m:ctrlPr>
                <w:rPr>
                  <w:rFonts w:ascii="Cambria Math" w:eastAsiaTheme="majorEastAsia" w:hAnsi="Cambria Math" w:cstheme="majorBidi"/>
                  <w:iCs w:val="0"/>
                  <w:szCs w:val="32"/>
                </w:rPr>
              </m:ctrlPr>
            </m:dPr>
            <m:e>
              <m:r>
                <w:rPr>
                  <w:rFonts w:ascii="Cambria Math" w:eastAsiaTheme="majorEastAsia" w:hAnsi="Cambria Math" w:cstheme="majorBidi"/>
                  <w:szCs w:val="32"/>
                </w:rPr>
                <m:t>6</m:t>
              </m:r>
            </m:e>
          </m:d>
        </m:oMath>
      </m:oMathPara>
    </w:p>
    <w:p w14:paraId="79A5B3CD" w14:textId="77777777" w:rsidR="00A33AD9" w:rsidRPr="00A33AD9" w:rsidRDefault="00A33AD9" w:rsidP="00A33AD9"/>
    <w:p w14:paraId="57EE3644" w14:textId="5A0C1F8D" w:rsidR="00A33AD9" w:rsidRDefault="00000000" w:rsidP="00A33AD9">
      <w:pPr>
        <w:pStyle w:val="Caption"/>
        <w:jc w:val="left"/>
        <w:rPr>
          <w:rFonts w:eastAsiaTheme="majorEastAsia" w:cstheme="majorBidi"/>
          <w:szCs w:val="32"/>
        </w:rPr>
      </w:pPr>
      <m:oMathPara>
        <m:oMath>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S</m:t>
              </m:r>
            </m:e>
            <m:sub>
              <m:r>
                <w:rPr>
                  <w:rFonts w:ascii="Cambria Math" w:eastAsiaTheme="majorEastAsia" w:hAnsi="Cambria Math" w:cstheme="majorBidi"/>
                  <w:szCs w:val="32"/>
                </w:rPr>
                <m:t>hmax</m:t>
              </m:r>
            </m:sub>
          </m:sSub>
          <m:r>
            <w:rPr>
              <w:rFonts w:ascii="Cambria Math" w:eastAsiaTheme="majorEastAsia" w:hAnsi="Cambria Math" w:cstheme="majorBidi"/>
              <w:szCs w:val="32"/>
            </w:rPr>
            <m:t xml:space="preserve">=  </m:t>
          </m:r>
          <m:f>
            <m:fPr>
              <m:ctrlPr>
                <w:rPr>
                  <w:rFonts w:ascii="Cambria Math" w:eastAsiaTheme="majorEastAsia" w:hAnsi="Cambria Math" w:cstheme="majorBidi"/>
                  <w:iCs w:val="0"/>
                  <w:szCs w:val="32"/>
                </w:rPr>
              </m:ctrlPr>
            </m:fPr>
            <m:num>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E</m:t>
                  </m:r>
                </m:e>
                <m:sub>
                  <m:r>
                    <w:rPr>
                      <w:rFonts w:ascii="Cambria Math" w:eastAsiaTheme="majorEastAsia" w:hAnsi="Cambria Math" w:cstheme="majorBidi"/>
                      <w:szCs w:val="32"/>
                    </w:rPr>
                    <m:t>h</m:t>
                  </m:r>
                </m:sub>
              </m:sSub>
            </m:num>
            <m:den>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E</m:t>
                  </m:r>
                </m:e>
                <m:sub>
                  <m:r>
                    <w:rPr>
                      <w:rFonts w:ascii="Cambria Math" w:eastAsiaTheme="majorEastAsia" w:hAnsi="Cambria Math" w:cstheme="majorBidi"/>
                      <w:szCs w:val="32"/>
                    </w:rPr>
                    <m:t>v</m:t>
                  </m:r>
                </m:sub>
              </m:sSub>
            </m:den>
          </m:f>
          <m:r>
            <w:rPr>
              <w:rFonts w:ascii="Cambria Math" w:eastAsiaTheme="majorEastAsia" w:hAnsi="Cambria Math" w:cstheme="majorBidi"/>
              <w:szCs w:val="32"/>
            </w:rPr>
            <m:t xml:space="preserve"> </m:t>
          </m:r>
          <m:f>
            <m:fPr>
              <m:ctrlPr>
                <w:rPr>
                  <w:rFonts w:ascii="Cambria Math" w:eastAsiaTheme="majorEastAsia" w:hAnsi="Cambria Math" w:cstheme="majorBidi"/>
                  <w:iCs w:val="0"/>
                  <w:szCs w:val="32"/>
                </w:rPr>
              </m:ctrlPr>
            </m:fPr>
            <m:num>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v</m:t>
                  </m:r>
                </m:e>
                <m:sub>
                  <m:r>
                    <w:rPr>
                      <w:rFonts w:ascii="Cambria Math" w:eastAsiaTheme="majorEastAsia" w:hAnsi="Cambria Math" w:cstheme="majorBidi"/>
                      <w:szCs w:val="32"/>
                    </w:rPr>
                    <m:t>hh</m:t>
                  </m:r>
                </m:sub>
              </m:sSub>
            </m:num>
            <m:den>
              <m:r>
                <w:rPr>
                  <w:rFonts w:ascii="Cambria Math" w:eastAsiaTheme="majorEastAsia" w:hAnsi="Cambria Math" w:cstheme="majorBidi"/>
                  <w:szCs w:val="32"/>
                </w:rPr>
                <m:t xml:space="preserve">1- </m:t>
              </m:r>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v</m:t>
                  </m:r>
                </m:e>
                <m:sub>
                  <m:r>
                    <w:rPr>
                      <w:rFonts w:ascii="Cambria Math" w:eastAsiaTheme="majorEastAsia" w:hAnsi="Cambria Math" w:cstheme="majorBidi"/>
                      <w:szCs w:val="32"/>
                    </w:rPr>
                    <m:t>vh</m:t>
                  </m:r>
                </m:sub>
              </m:sSub>
            </m:den>
          </m:f>
          <m:d>
            <m:dPr>
              <m:ctrlPr>
                <w:rPr>
                  <w:rFonts w:ascii="Cambria Math" w:eastAsiaTheme="majorEastAsia" w:hAnsi="Cambria Math" w:cstheme="majorBidi"/>
                  <w:iCs w:val="0"/>
                  <w:szCs w:val="32"/>
                </w:rPr>
              </m:ctrlPr>
            </m:dPr>
            <m:e>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S</m:t>
                  </m:r>
                </m:e>
                <m:sub>
                  <m:r>
                    <w:rPr>
                      <w:rFonts w:ascii="Cambria Math" w:eastAsiaTheme="majorEastAsia" w:hAnsi="Cambria Math" w:cstheme="majorBidi"/>
                      <w:szCs w:val="32"/>
                    </w:rPr>
                    <m:t>v</m:t>
                  </m:r>
                </m:sub>
              </m:sSub>
              <m:r>
                <w:rPr>
                  <w:rFonts w:ascii="Cambria Math" w:eastAsiaTheme="majorEastAsia" w:hAnsi="Cambria Math" w:cstheme="majorBidi"/>
                  <w:szCs w:val="32"/>
                </w:rPr>
                <m:t xml:space="preserve">- </m:t>
              </m:r>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α</m:t>
                  </m:r>
                </m:e>
                <m:sub>
                  <m:r>
                    <w:rPr>
                      <w:rFonts w:ascii="Cambria Math" w:eastAsiaTheme="majorEastAsia" w:hAnsi="Cambria Math" w:cstheme="majorBidi"/>
                      <w:szCs w:val="32"/>
                    </w:rPr>
                    <m:t>v</m:t>
                  </m:r>
                </m:sub>
              </m:sSub>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P</m:t>
                  </m:r>
                </m:e>
                <m:sub>
                  <m:r>
                    <w:rPr>
                      <w:rFonts w:ascii="Cambria Math" w:eastAsiaTheme="majorEastAsia" w:hAnsi="Cambria Math" w:cstheme="majorBidi"/>
                      <w:szCs w:val="32"/>
                    </w:rPr>
                    <m:t>p</m:t>
                  </m:r>
                </m:sub>
              </m:sSub>
            </m:e>
          </m:d>
          <m:r>
            <w:rPr>
              <w:rFonts w:ascii="Cambria Math" w:eastAsiaTheme="majorEastAsia" w:hAnsi="Cambria Math" w:cstheme="majorBidi"/>
              <w:szCs w:val="32"/>
            </w:rPr>
            <m:t xml:space="preserve">+ </m:t>
          </m:r>
          <m:f>
            <m:fPr>
              <m:ctrlPr>
                <w:rPr>
                  <w:rFonts w:ascii="Cambria Math" w:eastAsiaTheme="majorEastAsia" w:hAnsi="Cambria Math" w:cstheme="majorBidi"/>
                  <w:iCs w:val="0"/>
                  <w:szCs w:val="32"/>
                </w:rPr>
              </m:ctrlPr>
            </m:fPr>
            <m:num>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E</m:t>
                  </m:r>
                </m:e>
                <m:sub>
                  <m:r>
                    <w:rPr>
                      <w:rFonts w:ascii="Cambria Math" w:eastAsiaTheme="majorEastAsia" w:hAnsi="Cambria Math" w:cstheme="majorBidi"/>
                      <w:szCs w:val="32"/>
                    </w:rPr>
                    <m:t>h</m:t>
                  </m:r>
                </m:sub>
              </m:sSub>
            </m:num>
            <m:den>
              <m:r>
                <w:rPr>
                  <w:rFonts w:ascii="Cambria Math" w:eastAsiaTheme="majorEastAsia" w:hAnsi="Cambria Math" w:cstheme="majorBidi"/>
                  <w:szCs w:val="32"/>
                </w:rPr>
                <m:t xml:space="preserve">1- </m:t>
              </m:r>
              <m:sSup>
                <m:sSupPr>
                  <m:ctrlPr>
                    <w:rPr>
                      <w:rFonts w:ascii="Cambria Math" w:eastAsiaTheme="majorEastAsia" w:hAnsi="Cambria Math" w:cstheme="majorBidi"/>
                      <w:iCs w:val="0"/>
                      <w:szCs w:val="32"/>
                    </w:rPr>
                  </m:ctrlPr>
                </m:sSupPr>
                <m:e>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v</m:t>
                      </m:r>
                    </m:e>
                    <m:sub>
                      <m:r>
                        <w:rPr>
                          <w:rFonts w:ascii="Cambria Math" w:eastAsiaTheme="majorEastAsia" w:hAnsi="Cambria Math" w:cstheme="majorBidi"/>
                          <w:szCs w:val="32"/>
                        </w:rPr>
                        <m:t>hh</m:t>
                      </m:r>
                    </m:sub>
                  </m:sSub>
                </m:e>
                <m:sup>
                  <m:r>
                    <w:rPr>
                      <w:rFonts w:ascii="Cambria Math" w:eastAsiaTheme="majorEastAsia" w:hAnsi="Cambria Math" w:cstheme="majorBidi"/>
                      <w:szCs w:val="32"/>
                    </w:rPr>
                    <m:t>2</m:t>
                  </m:r>
                </m:sup>
              </m:sSup>
            </m:den>
          </m:f>
          <m:d>
            <m:dPr>
              <m:ctrlPr>
                <w:rPr>
                  <w:rFonts w:ascii="Cambria Math" w:eastAsiaTheme="majorEastAsia" w:hAnsi="Cambria Math" w:cstheme="majorBidi"/>
                  <w:iCs w:val="0"/>
                  <w:szCs w:val="32"/>
                </w:rPr>
              </m:ctrlPr>
            </m:dPr>
            <m:e>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ε</m:t>
                  </m:r>
                </m:e>
                <m:sub>
                  <m:r>
                    <w:rPr>
                      <w:rFonts w:ascii="Cambria Math" w:eastAsiaTheme="majorEastAsia" w:hAnsi="Cambria Math" w:cstheme="majorBidi"/>
                      <w:szCs w:val="32"/>
                    </w:rPr>
                    <m:t>H</m:t>
                  </m:r>
                </m:sub>
              </m:sSub>
              <m:r>
                <w:rPr>
                  <w:rFonts w:ascii="Cambria Math" w:eastAsiaTheme="majorEastAsia" w:hAnsi="Cambria Math" w:cstheme="majorBidi"/>
                  <w:szCs w:val="32"/>
                </w:rPr>
                <m:t>+</m:t>
              </m:r>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v</m:t>
                  </m:r>
                </m:e>
                <m:sub>
                  <m:r>
                    <w:rPr>
                      <w:rFonts w:ascii="Cambria Math" w:eastAsiaTheme="majorEastAsia" w:hAnsi="Cambria Math" w:cstheme="majorBidi"/>
                      <w:szCs w:val="32"/>
                    </w:rPr>
                    <m:t>hh</m:t>
                  </m:r>
                </m:sub>
              </m:sSub>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ε</m:t>
                  </m:r>
                </m:e>
                <m:sub>
                  <m:r>
                    <w:rPr>
                      <w:rFonts w:ascii="Cambria Math" w:eastAsiaTheme="majorEastAsia" w:hAnsi="Cambria Math" w:cstheme="majorBidi"/>
                      <w:szCs w:val="32"/>
                    </w:rPr>
                    <m:t>H</m:t>
                  </m:r>
                </m:sub>
              </m:sSub>
            </m:e>
          </m:d>
          <m:r>
            <w:rPr>
              <w:rFonts w:ascii="Cambria Math" w:eastAsiaTheme="majorEastAsia" w:hAnsi="Cambria Math" w:cstheme="majorBidi"/>
              <w:szCs w:val="32"/>
            </w:rPr>
            <m:t xml:space="preserve">+ </m:t>
          </m:r>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α</m:t>
              </m:r>
            </m:e>
            <m:sub>
              <m:r>
                <w:rPr>
                  <w:rFonts w:ascii="Cambria Math" w:eastAsiaTheme="majorEastAsia" w:hAnsi="Cambria Math" w:cstheme="majorBidi"/>
                  <w:szCs w:val="32"/>
                </w:rPr>
                <m:t>h</m:t>
              </m:r>
            </m:sub>
          </m:sSub>
          <m:sSub>
            <m:sSubPr>
              <m:ctrlPr>
                <w:rPr>
                  <w:rFonts w:ascii="Cambria Math" w:eastAsiaTheme="majorEastAsia" w:hAnsi="Cambria Math" w:cstheme="majorBidi"/>
                  <w:iCs w:val="0"/>
                  <w:szCs w:val="32"/>
                </w:rPr>
              </m:ctrlPr>
            </m:sSubPr>
            <m:e>
              <m:r>
                <w:rPr>
                  <w:rFonts w:ascii="Cambria Math" w:eastAsiaTheme="majorEastAsia" w:hAnsi="Cambria Math" w:cstheme="majorBidi"/>
                  <w:szCs w:val="32"/>
                </w:rPr>
                <m:t>P</m:t>
              </m:r>
            </m:e>
            <m:sub>
              <m:r>
                <w:rPr>
                  <w:rFonts w:ascii="Cambria Math" w:eastAsiaTheme="majorEastAsia" w:hAnsi="Cambria Math" w:cstheme="majorBidi"/>
                  <w:szCs w:val="32"/>
                </w:rPr>
                <m:t>p</m:t>
              </m:r>
            </m:sub>
          </m:sSub>
          <m:r>
            <w:rPr>
              <w:rFonts w:ascii="Cambria Math" w:eastAsiaTheme="majorEastAsia" w:hAnsi="Cambria Math" w:cstheme="majorBidi"/>
              <w:szCs w:val="32"/>
            </w:rPr>
            <m:t xml:space="preserve">                                     </m:t>
          </m:r>
          <m:d>
            <m:dPr>
              <m:ctrlPr>
                <w:rPr>
                  <w:rFonts w:ascii="Cambria Math" w:eastAsiaTheme="majorEastAsia" w:hAnsi="Cambria Math" w:cstheme="majorBidi"/>
                  <w:iCs w:val="0"/>
                  <w:szCs w:val="32"/>
                </w:rPr>
              </m:ctrlPr>
            </m:dPr>
            <m:e>
              <m:r>
                <w:rPr>
                  <w:rFonts w:ascii="Cambria Math" w:eastAsiaTheme="majorEastAsia" w:hAnsi="Cambria Math" w:cstheme="majorBidi"/>
                  <w:szCs w:val="32"/>
                </w:rPr>
                <m:t>7</m:t>
              </m:r>
            </m:e>
          </m:d>
        </m:oMath>
      </m:oMathPara>
    </w:p>
    <w:p w14:paraId="30E1D635" w14:textId="262E0D87" w:rsidR="00850D0F" w:rsidRPr="00A33AD9" w:rsidRDefault="00A33AD9" w:rsidP="00850D0F">
      <w:pPr>
        <w:rPr>
          <w:rFonts w:eastAsiaTheme="majorEastAsia" w:cstheme="majorBidi"/>
          <w:szCs w:val="32"/>
        </w:rPr>
      </w:pPr>
      <w:r w:rsidRPr="00A33AD9">
        <w:rPr>
          <w:rFonts w:eastAsiaTheme="majorEastAsia" w:cstheme="majorBidi"/>
          <w:szCs w:val="32"/>
        </w:rPr>
        <w:lastRenderedPageBreak/>
        <w:t>W</w:t>
      </w:r>
      <w:r w:rsidR="00850D0F" w:rsidRPr="00A33AD9">
        <w:rPr>
          <w:rFonts w:eastAsiaTheme="majorEastAsia" w:cstheme="majorBidi"/>
          <w:szCs w:val="32"/>
        </w:rPr>
        <w:t>here</w:t>
      </w:r>
      <w:r w:rsidRPr="00A33AD9">
        <w:rPr>
          <w:rFonts w:eastAsiaTheme="majorEastAsia" w:cstheme="majorBidi"/>
          <w:szCs w:val="32"/>
        </w:rPr>
        <w:t xml:space="preserve">: </w:t>
      </w:r>
    </w:p>
    <w:p w14:paraId="62E36A12" w14:textId="4FC9C03F" w:rsidR="00850D0F" w:rsidRPr="00166792" w:rsidRDefault="00850D0F" w:rsidP="00166792">
      <w:pPr>
        <w:spacing w:line="240" w:lineRule="auto"/>
        <w:rPr>
          <w:rFonts w:eastAsiaTheme="majorEastAsia" w:cstheme="majorBidi"/>
          <w:szCs w:val="32"/>
        </w:rPr>
      </w:pPr>
      <w:r w:rsidRPr="00166792">
        <w:rPr>
          <w:rFonts w:ascii="Cambria Math" w:eastAsiaTheme="majorEastAsia" w:hAnsi="Cambria Math" w:cs="Cambria Math"/>
          <w:szCs w:val="32"/>
        </w:rPr>
        <w:t>𝐸</w:t>
      </w:r>
      <w:r w:rsidRPr="00166792">
        <w:rPr>
          <w:rFonts w:eastAsiaTheme="majorEastAsia" w:cstheme="majorBidi"/>
          <w:szCs w:val="32"/>
          <w:vertAlign w:val="subscript"/>
        </w:rPr>
        <w:t>ℎ</w:t>
      </w:r>
      <w:r w:rsidRPr="00166792">
        <w:rPr>
          <w:rFonts w:eastAsiaTheme="majorEastAsia" w:cstheme="majorBidi"/>
          <w:szCs w:val="32"/>
        </w:rPr>
        <w:t xml:space="preserve"> = horizontal Young’s modulus</w:t>
      </w:r>
    </w:p>
    <w:p w14:paraId="496924EE" w14:textId="09E10050" w:rsidR="00850D0F" w:rsidRPr="00166792" w:rsidRDefault="00850D0F" w:rsidP="00166792">
      <w:pPr>
        <w:spacing w:line="240" w:lineRule="auto"/>
        <w:rPr>
          <w:rFonts w:eastAsiaTheme="majorEastAsia" w:cstheme="majorBidi"/>
          <w:szCs w:val="32"/>
        </w:rPr>
      </w:pPr>
      <w:r w:rsidRPr="00166792">
        <w:rPr>
          <w:rFonts w:ascii="Cambria Math" w:eastAsiaTheme="majorEastAsia" w:hAnsi="Cambria Math" w:cs="Cambria Math"/>
          <w:szCs w:val="32"/>
        </w:rPr>
        <w:t>𝐸</w:t>
      </w:r>
      <w:r w:rsidRPr="00166792">
        <w:rPr>
          <w:rFonts w:ascii="Cambria Math" w:eastAsiaTheme="majorEastAsia" w:hAnsi="Cambria Math" w:cs="Cambria Math"/>
          <w:szCs w:val="32"/>
          <w:vertAlign w:val="subscript"/>
        </w:rPr>
        <w:t>𝑣</w:t>
      </w:r>
      <w:r w:rsidRPr="00166792">
        <w:rPr>
          <w:rFonts w:eastAsiaTheme="majorEastAsia" w:cstheme="majorBidi"/>
          <w:szCs w:val="32"/>
        </w:rPr>
        <w:t xml:space="preserve"> = vertical Young’s modulus</w:t>
      </w:r>
    </w:p>
    <w:p w14:paraId="61BAA9FB" w14:textId="17D5C539" w:rsidR="00850D0F" w:rsidRPr="00166792" w:rsidRDefault="00850D0F" w:rsidP="00166792">
      <w:pPr>
        <w:spacing w:line="240" w:lineRule="auto"/>
        <w:rPr>
          <w:rFonts w:eastAsiaTheme="majorEastAsia" w:cstheme="majorBidi"/>
          <w:szCs w:val="32"/>
        </w:rPr>
      </w:pPr>
      <w:r w:rsidRPr="00166792">
        <w:rPr>
          <w:rFonts w:ascii="Cambria Math" w:eastAsiaTheme="majorEastAsia" w:hAnsi="Cambria Math" w:cs="Cambria Math"/>
          <w:szCs w:val="32"/>
        </w:rPr>
        <w:t>𝑣</w:t>
      </w:r>
      <w:r w:rsidRPr="00166792">
        <w:rPr>
          <w:rFonts w:eastAsiaTheme="majorEastAsia" w:cstheme="majorBidi"/>
          <w:szCs w:val="32"/>
          <w:vertAlign w:val="subscript"/>
        </w:rPr>
        <w:t>ℎℎ</w:t>
      </w:r>
      <w:r w:rsidRPr="00166792">
        <w:rPr>
          <w:rFonts w:eastAsiaTheme="majorEastAsia" w:cstheme="majorBidi"/>
          <w:szCs w:val="32"/>
        </w:rPr>
        <w:t xml:space="preserve"> = horizontal-horizontal Poisson’s ratio</w:t>
      </w:r>
    </w:p>
    <w:p w14:paraId="5117F51F" w14:textId="7EFBCC1B" w:rsidR="00850D0F" w:rsidRPr="00166792" w:rsidRDefault="00850D0F" w:rsidP="00166792">
      <w:pPr>
        <w:spacing w:line="240" w:lineRule="auto"/>
        <w:rPr>
          <w:rFonts w:eastAsiaTheme="majorEastAsia" w:cstheme="majorBidi"/>
          <w:szCs w:val="32"/>
        </w:rPr>
      </w:pPr>
      <w:r w:rsidRPr="00166792">
        <w:rPr>
          <w:rFonts w:ascii="Cambria Math" w:eastAsiaTheme="majorEastAsia" w:hAnsi="Cambria Math" w:cs="Cambria Math"/>
          <w:szCs w:val="32"/>
        </w:rPr>
        <w:t>𝑣</w:t>
      </w:r>
      <w:r w:rsidRPr="00166792">
        <w:rPr>
          <w:rFonts w:ascii="Cambria Math" w:eastAsiaTheme="majorEastAsia" w:hAnsi="Cambria Math" w:cs="Cambria Math"/>
          <w:szCs w:val="32"/>
          <w:vertAlign w:val="subscript"/>
        </w:rPr>
        <w:t>𝑣</w:t>
      </w:r>
      <w:r w:rsidRPr="00166792">
        <w:rPr>
          <w:rFonts w:eastAsiaTheme="majorEastAsia" w:cstheme="majorBidi"/>
          <w:szCs w:val="32"/>
          <w:vertAlign w:val="subscript"/>
        </w:rPr>
        <w:t>ℎ</w:t>
      </w:r>
      <w:r w:rsidRPr="00166792">
        <w:rPr>
          <w:rFonts w:eastAsiaTheme="majorEastAsia" w:cstheme="majorBidi"/>
          <w:szCs w:val="32"/>
        </w:rPr>
        <w:t xml:space="preserve"> = vertical-horizontal Poisson’s ratio</w:t>
      </w:r>
    </w:p>
    <w:p w14:paraId="1F239888" w14:textId="123ECD82" w:rsidR="00850D0F" w:rsidRPr="00166792" w:rsidRDefault="00850D0F" w:rsidP="00166792">
      <w:pPr>
        <w:spacing w:line="240" w:lineRule="auto"/>
        <w:rPr>
          <w:rFonts w:eastAsiaTheme="majorEastAsia" w:cstheme="majorBidi"/>
          <w:szCs w:val="32"/>
        </w:rPr>
      </w:pPr>
      <w:r w:rsidRPr="00166792">
        <w:rPr>
          <w:rFonts w:ascii="Cambria Math" w:eastAsiaTheme="majorEastAsia" w:hAnsi="Cambria Math" w:cs="Cambria Math"/>
          <w:szCs w:val="32"/>
        </w:rPr>
        <w:t>𝛼</w:t>
      </w:r>
      <w:r w:rsidRPr="00166792">
        <w:rPr>
          <w:rFonts w:eastAsiaTheme="majorEastAsia" w:cstheme="majorBidi"/>
          <w:szCs w:val="32"/>
          <w:vertAlign w:val="subscript"/>
        </w:rPr>
        <w:t>ℎ</w:t>
      </w:r>
      <w:r w:rsidRPr="00166792">
        <w:rPr>
          <w:rFonts w:eastAsiaTheme="majorEastAsia" w:cstheme="majorBidi"/>
          <w:szCs w:val="32"/>
        </w:rPr>
        <w:t xml:space="preserve"> = horizontal component of the Biot coefficient tensor</w:t>
      </w:r>
    </w:p>
    <w:p w14:paraId="339F4CF5" w14:textId="262646A2" w:rsidR="00850D0F" w:rsidRPr="00166792" w:rsidRDefault="00850D0F" w:rsidP="00166792">
      <w:pPr>
        <w:spacing w:line="240" w:lineRule="auto"/>
        <w:rPr>
          <w:rFonts w:eastAsiaTheme="majorEastAsia" w:cstheme="majorBidi"/>
          <w:szCs w:val="32"/>
        </w:rPr>
      </w:pPr>
      <w:r w:rsidRPr="00166792">
        <w:rPr>
          <w:rFonts w:ascii="Cambria Math" w:eastAsiaTheme="majorEastAsia" w:hAnsi="Cambria Math" w:cs="Cambria Math"/>
          <w:szCs w:val="32"/>
        </w:rPr>
        <w:t>𝛼</w:t>
      </w:r>
      <w:r w:rsidRPr="00166792">
        <w:rPr>
          <w:rFonts w:ascii="Cambria Math" w:eastAsiaTheme="majorEastAsia" w:hAnsi="Cambria Math" w:cs="Cambria Math"/>
          <w:szCs w:val="32"/>
          <w:vertAlign w:val="subscript"/>
        </w:rPr>
        <w:t>𝑣</w:t>
      </w:r>
      <w:r w:rsidRPr="00166792">
        <w:rPr>
          <w:rFonts w:eastAsiaTheme="majorEastAsia" w:cstheme="majorBidi"/>
          <w:szCs w:val="32"/>
        </w:rPr>
        <w:t xml:space="preserve"> = vertical component of the Biot coefficient tensor</w:t>
      </w:r>
    </w:p>
    <w:p w14:paraId="01582BA6" w14:textId="68C8DD5C" w:rsidR="00850D0F" w:rsidRPr="00166792" w:rsidRDefault="00850D0F" w:rsidP="00166792">
      <w:pPr>
        <w:spacing w:line="240" w:lineRule="auto"/>
        <w:rPr>
          <w:rFonts w:eastAsiaTheme="majorEastAsia" w:cstheme="majorBidi"/>
          <w:szCs w:val="32"/>
        </w:rPr>
      </w:pPr>
      <w:r w:rsidRPr="00166792">
        <w:rPr>
          <w:rFonts w:ascii="Cambria Math" w:eastAsiaTheme="majorEastAsia" w:hAnsi="Cambria Math" w:cs="Cambria Math"/>
          <w:szCs w:val="32"/>
        </w:rPr>
        <w:t>𝜀</w:t>
      </w:r>
      <w:r w:rsidRPr="00166792">
        <w:rPr>
          <w:rFonts w:ascii="Cambria Math" w:eastAsiaTheme="majorEastAsia" w:hAnsi="Cambria Math" w:cs="Cambria Math"/>
          <w:szCs w:val="32"/>
          <w:vertAlign w:val="subscript"/>
        </w:rPr>
        <w:t>𝐻</w:t>
      </w:r>
      <w:r w:rsidRPr="00166792">
        <w:rPr>
          <w:rFonts w:eastAsiaTheme="majorEastAsia" w:cstheme="majorBidi"/>
          <w:szCs w:val="32"/>
        </w:rPr>
        <w:t xml:space="preserve"> = maximum horizontal strain</w:t>
      </w:r>
    </w:p>
    <w:p w14:paraId="2E8F2E36" w14:textId="7CE109DB" w:rsidR="00850D0F" w:rsidRPr="00166792" w:rsidRDefault="00850D0F" w:rsidP="00166792">
      <w:pPr>
        <w:spacing w:line="240" w:lineRule="auto"/>
        <w:rPr>
          <w:rFonts w:eastAsiaTheme="majorEastAsia" w:cstheme="majorBidi"/>
          <w:szCs w:val="32"/>
        </w:rPr>
      </w:pPr>
      <w:r w:rsidRPr="00166792">
        <w:rPr>
          <w:rFonts w:ascii="Cambria Math" w:eastAsiaTheme="majorEastAsia" w:hAnsi="Cambria Math" w:cs="Cambria Math"/>
          <w:szCs w:val="32"/>
        </w:rPr>
        <w:t>𝜀</w:t>
      </w:r>
      <w:r w:rsidRPr="00166792">
        <w:rPr>
          <w:rFonts w:eastAsiaTheme="majorEastAsia" w:cstheme="majorBidi"/>
          <w:szCs w:val="32"/>
          <w:vertAlign w:val="subscript"/>
        </w:rPr>
        <w:t>ℎ</w:t>
      </w:r>
      <w:r w:rsidRPr="00166792">
        <w:rPr>
          <w:rFonts w:eastAsiaTheme="majorEastAsia" w:cstheme="majorBidi"/>
          <w:szCs w:val="32"/>
        </w:rPr>
        <w:t xml:space="preserve"> = minimum horizontal strain.</w:t>
      </w:r>
    </w:p>
    <w:p w14:paraId="328285A5" w14:textId="47B67244" w:rsidR="00BD112B" w:rsidRDefault="00DC6C25" w:rsidP="00BD112B">
      <w:pPr>
        <w:rPr>
          <w:rFonts w:eastAsiaTheme="majorEastAsia" w:cstheme="majorBidi"/>
          <w:szCs w:val="32"/>
        </w:rPr>
      </w:pPr>
      <w:r w:rsidRPr="00DC6C25">
        <w:rPr>
          <w:rFonts w:eastAsiaTheme="majorEastAsia" w:cstheme="majorBidi"/>
          <w:szCs w:val="32"/>
        </w:rPr>
        <w:t xml:space="preserve">Based on these highlighted equations, </w:t>
      </w:r>
      <w:r w:rsidR="00850D0F" w:rsidRPr="00DC6C25">
        <w:rPr>
          <w:rFonts w:eastAsiaTheme="majorEastAsia" w:cstheme="majorBidi"/>
          <w:szCs w:val="32"/>
        </w:rPr>
        <w:t xml:space="preserve">the </w:t>
      </w:r>
      <w:r w:rsidRPr="00DC6C25">
        <w:rPr>
          <w:rFonts w:eastAsiaTheme="majorEastAsia" w:cstheme="majorBidi"/>
          <w:szCs w:val="32"/>
        </w:rPr>
        <w:t>stress state</w:t>
      </w:r>
      <w:r w:rsidR="00850D0F" w:rsidRPr="00DC6C25">
        <w:rPr>
          <w:rFonts w:eastAsiaTheme="majorEastAsia" w:cstheme="majorBidi"/>
          <w:szCs w:val="32"/>
        </w:rPr>
        <w:t xml:space="preserve"> is </w:t>
      </w:r>
      <w:r w:rsidRPr="00DC6C25">
        <w:rPr>
          <w:rFonts w:eastAsiaTheme="majorEastAsia" w:cstheme="majorBidi"/>
          <w:szCs w:val="32"/>
        </w:rPr>
        <w:t>dependent on t</w:t>
      </w:r>
      <w:r w:rsidR="00850D0F" w:rsidRPr="00DC6C25">
        <w:rPr>
          <w:rFonts w:eastAsiaTheme="majorEastAsia" w:cstheme="majorBidi"/>
          <w:szCs w:val="32"/>
        </w:rPr>
        <w:t xml:space="preserve">he </w:t>
      </w:r>
      <w:r w:rsidRPr="00DC6C25">
        <w:rPr>
          <w:rFonts w:eastAsiaTheme="majorEastAsia" w:cstheme="majorBidi"/>
          <w:szCs w:val="32"/>
        </w:rPr>
        <w:t>o</w:t>
      </w:r>
      <w:r w:rsidR="00850D0F" w:rsidRPr="00DC6C25">
        <w:rPr>
          <w:rFonts w:eastAsiaTheme="majorEastAsia" w:cstheme="majorBidi"/>
          <w:szCs w:val="32"/>
        </w:rPr>
        <w:t>verburden</w:t>
      </w:r>
      <w:r w:rsidRPr="00DC6C25">
        <w:rPr>
          <w:rFonts w:eastAsiaTheme="majorEastAsia" w:cstheme="majorBidi"/>
          <w:szCs w:val="32"/>
        </w:rPr>
        <w:t xml:space="preserve"> weight</w:t>
      </w:r>
      <w:r w:rsidR="00850D0F" w:rsidRPr="00DC6C25">
        <w:rPr>
          <w:rFonts w:eastAsiaTheme="majorEastAsia" w:cstheme="majorBidi"/>
          <w:szCs w:val="32"/>
        </w:rPr>
        <w:t>, the poroelastic properties, and the horizontal strain</w:t>
      </w:r>
      <w:r w:rsidRPr="00DC6C25">
        <w:rPr>
          <w:rFonts w:eastAsiaTheme="majorEastAsia" w:cstheme="majorBidi"/>
          <w:szCs w:val="32"/>
        </w:rPr>
        <w:t xml:space="preserve"> </w:t>
      </w:r>
      <w:sdt>
        <w:sdtPr>
          <w:rPr>
            <w:rFonts w:eastAsiaTheme="majorEastAsia" w:cstheme="majorBidi"/>
            <w:szCs w:val="32"/>
          </w:rPr>
          <w:id w:val="883986085"/>
          <w:citation/>
        </w:sdtPr>
        <w:sdtContent>
          <w:r w:rsidRPr="00DC6C25">
            <w:rPr>
              <w:rFonts w:eastAsiaTheme="majorEastAsia" w:cstheme="majorBidi"/>
              <w:szCs w:val="32"/>
            </w:rPr>
            <w:fldChar w:fldCharType="begin"/>
          </w:r>
          <w:r w:rsidRPr="00DC6C25">
            <w:rPr>
              <w:rFonts w:eastAsiaTheme="majorEastAsia" w:cstheme="majorBidi"/>
              <w:szCs w:val="32"/>
            </w:rPr>
            <w:instrText xml:space="preserve"> CITATION DAp19 \l 1033 </w:instrText>
          </w:r>
          <w:r w:rsidRPr="00DC6C25">
            <w:rPr>
              <w:rFonts w:eastAsiaTheme="majorEastAsia" w:cstheme="majorBidi"/>
              <w:szCs w:val="32"/>
            </w:rPr>
            <w:fldChar w:fldCharType="separate"/>
          </w:r>
          <w:r w:rsidR="00C84822" w:rsidRPr="00C84822">
            <w:rPr>
              <w:rFonts w:eastAsiaTheme="majorEastAsia" w:cstheme="majorBidi"/>
              <w:noProof/>
              <w:szCs w:val="32"/>
            </w:rPr>
            <w:t>(Appriou, 2019)</w:t>
          </w:r>
          <w:r w:rsidRPr="00DC6C25">
            <w:rPr>
              <w:rFonts w:eastAsiaTheme="majorEastAsia" w:cstheme="majorBidi"/>
              <w:szCs w:val="32"/>
            </w:rPr>
            <w:fldChar w:fldCharType="end"/>
          </w:r>
        </w:sdtContent>
      </w:sdt>
      <w:r w:rsidR="00850D0F" w:rsidRPr="00DC6C25">
        <w:rPr>
          <w:rFonts w:eastAsiaTheme="majorEastAsia" w:cstheme="majorBidi"/>
          <w:szCs w:val="32"/>
        </w:rPr>
        <w:t>.</w:t>
      </w:r>
      <w:r>
        <w:rPr>
          <w:rFonts w:eastAsiaTheme="majorEastAsia" w:cstheme="majorBidi"/>
          <w:szCs w:val="32"/>
        </w:rPr>
        <w:t xml:space="preserve"> Incorporating this with the stress </w:t>
      </w:r>
      <w:r w:rsidR="00F3474F">
        <w:rPr>
          <w:rFonts w:eastAsiaTheme="majorEastAsia" w:cstheme="majorBidi"/>
          <w:szCs w:val="32"/>
        </w:rPr>
        <w:t>polygon</w:t>
      </w:r>
      <w:r>
        <w:rPr>
          <w:rFonts w:eastAsiaTheme="majorEastAsia" w:cstheme="majorBidi"/>
          <w:szCs w:val="32"/>
        </w:rPr>
        <w:t xml:space="preserve"> and Bayesian approach to account for uncertainty, SOSAT was developed. </w:t>
      </w:r>
      <w:r w:rsidR="00BD112B">
        <w:rPr>
          <w:rFonts w:eastAsiaTheme="majorEastAsia" w:cstheme="majorBidi"/>
          <w:szCs w:val="32"/>
        </w:rPr>
        <w:t>It</w:t>
      </w:r>
      <w:r w:rsidR="00BD112B" w:rsidRPr="009F2CF1">
        <w:rPr>
          <w:rFonts w:eastAsiaTheme="majorEastAsia" w:cstheme="majorBidi"/>
          <w:szCs w:val="32"/>
        </w:rPr>
        <w:t xml:space="preserve"> is</w:t>
      </w:r>
      <w:r w:rsidR="00BD112B">
        <w:rPr>
          <w:rFonts w:eastAsiaTheme="majorEastAsia" w:cstheme="majorBidi"/>
          <w:szCs w:val="32"/>
        </w:rPr>
        <w:t xml:space="preserve"> a</w:t>
      </w:r>
      <w:r w:rsidR="00BD112B" w:rsidRPr="009F2CF1">
        <w:rPr>
          <w:rFonts w:eastAsiaTheme="majorEastAsia" w:cstheme="majorBidi"/>
          <w:szCs w:val="32"/>
        </w:rPr>
        <w:t xml:space="preserve"> publicly available, open-source tool </w:t>
      </w:r>
      <w:r w:rsidR="00BD112B">
        <w:rPr>
          <w:rFonts w:eastAsiaTheme="majorEastAsia" w:cstheme="majorBidi"/>
          <w:szCs w:val="32"/>
        </w:rPr>
        <w:t xml:space="preserve">created as </w:t>
      </w:r>
      <w:r w:rsidR="00F3474F">
        <w:rPr>
          <w:rFonts w:eastAsiaTheme="majorEastAsia" w:cstheme="majorBidi"/>
          <w:szCs w:val="32"/>
        </w:rPr>
        <w:t>part</w:t>
      </w:r>
      <w:r w:rsidR="00BD112B">
        <w:rPr>
          <w:rFonts w:eastAsiaTheme="majorEastAsia" w:cstheme="majorBidi"/>
          <w:szCs w:val="32"/>
        </w:rPr>
        <w:t xml:space="preserve"> of the NRAP </w:t>
      </w:r>
      <w:r w:rsidR="00F3474F">
        <w:rPr>
          <w:rFonts w:eastAsiaTheme="majorEastAsia" w:cstheme="majorBidi"/>
          <w:szCs w:val="32"/>
        </w:rPr>
        <w:t>project</w:t>
      </w:r>
      <w:r w:rsidR="00BD112B">
        <w:rPr>
          <w:rFonts w:eastAsiaTheme="majorEastAsia" w:cstheme="majorBidi"/>
          <w:szCs w:val="32"/>
        </w:rPr>
        <w:t xml:space="preserve"> to assist with </w:t>
      </w:r>
      <w:r w:rsidR="00BD112B" w:rsidRPr="009F2CF1">
        <w:rPr>
          <w:rFonts w:eastAsiaTheme="majorEastAsia" w:cstheme="majorBidi"/>
          <w:szCs w:val="32"/>
        </w:rPr>
        <w:t xml:space="preserve">performing geomechanical risk analysis using the Bayesian </w:t>
      </w:r>
      <w:r w:rsidR="00BD112B">
        <w:rPr>
          <w:rFonts w:eastAsiaTheme="majorEastAsia" w:cstheme="majorBidi"/>
          <w:szCs w:val="32"/>
        </w:rPr>
        <w:t xml:space="preserve">model and </w:t>
      </w:r>
      <w:r w:rsidR="00BD112B" w:rsidRPr="009F2CF1">
        <w:rPr>
          <w:rFonts w:eastAsiaTheme="majorEastAsia" w:cstheme="majorBidi"/>
          <w:szCs w:val="32"/>
        </w:rPr>
        <w:t xml:space="preserve">commonly available data. </w:t>
      </w:r>
      <w:r w:rsidR="00BD112B">
        <w:rPr>
          <w:rFonts w:eastAsia="SimSun" w:cs="Times New Roman"/>
          <w:szCs w:val="20"/>
        </w:rPr>
        <w:t>The tool presented the stress polygon approach utilizing a joint probability of the principal minimum horizontal stress and the principal maximum horizontal stress.</w:t>
      </w:r>
      <w:r w:rsidR="00BD112B">
        <w:rPr>
          <w:rFonts w:eastAsiaTheme="majorEastAsia" w:cstheme="majorBidi"/>
          <w:szCs w:val="32"/>
        </w:rPr>
        <w:t xml:space="preserve"> </w:t>
      </w:r>
      <w:r w:rsidR="00BD112B" w:rsidRPr="009F2CF1">
        <w:rPr>
          <w:rFonts w:eastAsiaTheme="majorEastAsia" w:cstheme="majorBidi"/>
          <w:szCs w:val="32"/>
        </w:rPr>
        <w:t>The tool allow</w:t>
      </w:r>
      <w:r w:rsidR="00BD112B">
        <w:rPr>
          <w:rFonts w:eastAsiaTheme="majorEastAsia" w:cstheme="majorBidi"/>
          <w:szCs w:val="32"/>
        </w:rPr>
        <w:t xml:space="preserve">s </w:t>
      </w:r>
      <w:r w:rsidR="00BD112B" w:rsidRPr="009F2CF1">
        <w:rPr>
          <w:rFonts w:eastAsiaTheme="majorEastAsia" w:cstheme="majorBidi"/>
          <w:szCs w:val="32"/>
        </w:rPr>
        <w:t xml:space="preserve">the user to specify </w:t>
      </w:r>
      <w:r w:rsidR="00BD112B">
        <w:rPr>
          <w:rFonts w:eastAsiaTheme="majorEastAsia" w:cstheme="majorBidi"/>
          <w:szCs w:val="32"/>
        </w:rPr>
        <w:t xml:space="preserve">the </w:t>
      </w:r>
      <w:r w:rsidR="00BD112B" w:rsidRPr="009F2CF1">
        <w:rPr>
          <w:rFonts w:eastAsiaTheme="majorEastAsia" w:cstheme="majorBidi"/>
          <w:szCs w:val="32"/>
        </w:rPr>
        <w:t xml:space="preserve">probability distributions for relevant parameters </w:t>
      </w:r>
      <w:sdt>
        <w:sdtPr>
          <w:id w:val="912356204"/>
          <w:citation/>
        </w:sdtPr>
        <w:sdtContent>
          <w:r w:rsidR="00BD112B">
            <w:fldChar w:fldCharType="begin"/>
          </w:r>
          <w:r w:rsidR="00BD112B">
            <w:instrText xml:space="preserve"> CITATION Bur21 \l 1033 </w:instrText>
          </w:r>
          <w:r w:rsidR="00BD112B">
            <w:fldChar w:fldCharType="separate"/>
          </w:r>
          <w:r w:rsidR="00C84822">
            <w:rPr>
              <w:noProof/>
            </w:rPr>
            <w:t>(Burghardt &amp; Appriou, State of Stress Uncertainty Quantification and Geomechanical Risk Analysis for Subsurface Engineering, 2021)</w:t>
          </w:r>
          <w:r w:rsidR="00BD112B">
            <w:fldChar w:fldCharType="end"/>
          </w:r>
        </w:sdtContent>
      </w:sdt>
      <w:r w:rsidR="00BD112B">
        <w:t xml:space="preserve"> in assessing seismicity risks</w:t>
      </w:r>
      <w:r w:rsidR="00BD112B" w:rsidRPr="009F2CF1">
        <w:rPr>
          <w:rFonts w:eastAsiaTheme="majorEastAsia" w:cstheme="majorBidi"/>
          <w:szCs w:val="32"/>
        </w:rPr>
        <w:t xml:space="preserve">. </w:t>
      </w:r>
    </w:p>
    <w:p w14:paraId="79C5595E" w14:textId="6A9EA946" w:rsidR="00F05657" w:rsidRDefault="005B42C2" w:rsidP="00025474">
      <w:pPr>
        <w:rPr>
          <w:rFonts w:eastAsiaTheme="majorEastAsia" w:cstheme="majorBidi"/>
          <w:szCs w:val="32"/>
        </w:rPr>
      </w:pPr>
      <w:r>
        <w:rPr>
          <w:rFonts w:eastAsiaTheme="majorEastAsia" w:cstheme="majorBidi"/>
          <w:szCs w:val="32"/>
        </w:rPr>
        <w:t xml:space="preserve">During site screening for Geologic Carbon Sequestration projects, the tool can add value by identifying the additional data required that would better define or constrain the uncertainties in the geomechanical risk quantification, enabling operators to </w:t>
      </w:r>
      <w:r w:rsidRPr="009F2CF1">
        <w:rPr>
          <w:rFonts w:eastAsiaTheme="majorEastAsia" w:cstheme="majorBidi"/>
          <w:szCs w:val="32"/>
        </w:rPr>
        <w:t xml:space="preserve">make </w:t>
      </w:r>
      <w:r>
        <w:rPr>
          <w:rFonts w:eastAsiaTheme="majorEastAsia" w:cstheme="majorBidi"/>
          <w:szCs w:val="32"/>
        </w:rPr>
        <w:t xml:space="preserve">appraised operational </w:t>
      </w:r>
      <w:r>
        <w:rPr>
          <w:rFonts w:eastAsiaTheme="majorEastAsia" w:cstheme="majorBidi"/>
          <w:szCs w:val="32"/>
        </w:rPr>
        <w:lastRenderedPageBreak/>
        <w:t xml:space="preserve">decisions, build stakeholder engagement and confidence, and understand and manage geomechanical risks better </w:t>
      </w:r>
      <w:sdt>
        <w:sdtPr>
          <w:rPr>
            <w:rFonts w:eastAsiaTheme="majorEastAsia" w:cstheme="majorBidi"/>
            <w:szCs w:val="32"/>
          </w:rPr>
          <w:id w:val="-1158988038"/>
          <w:citation/>
        </w:sdtPr>
        <w:sdtContent>
          <w:r>
            <w:rPr>
              <w:rFonts w:eastAsiaTheme="majorEastAsia" w:cstheme="majorBidi"/>
              <w:szCs w:val="32"/>
            </w:rPr>
            <w:fldChar w:fldCharType="begin"/>
          </w:r>
          <w:r>
            <w:rPr>
              <w:rFonts w:eastAsiaTheme="majorEastAsia" w:cstheme="majorBidi"/>
              <w:szCs w:val="32"/>
            </w:rPr>
            <w:instrText xml:space="preserve"> CITATION Bur21 \l 1033 </w:instrText>
          </w:r>
          <w:r>
            <w:rPr>
              <w:rFonts w:eastAsiaTheme="majorEastAsia" w:cstheme="majorBidi"/>
              <w:szCs w:val="32"/>
            </w:rPr>
            <w:fldChar w:fldCharType="separate"/>
          </w:r>
          <w:r w:rsidR="00C84822" w:rsidRPr="00C84822">
            <w:rPr>
              <w:rFonts w:eastAsiaTheme="majorEastAsia" w:cstheme="majorBidi"/>
              <w:noProof/>
              <w:szCs w:val="32"/>
            </w:rPr>
            <w:t>(Burghardt &amp; Appriou, State of Stress Uncertainty Quantification and Geomechanical Risk Analysis for Subsurface Engineering, 2021)</w:t>
          </w:r>
          <w:r>
            <w:rPr>
              <w:rFonts w:eastAsiaTheme="majorEastAsia" w:cstheme="majorBidi"/>
              <w:szCs w:val="32"/>
            </w:rPr>
            <w:fldChar w:fldCharType="end"/>
          </w:r>
        </w:sdtContent>
      </w:sdt>
      <w:r w:rsidRPr="009F2CF1">
        <w:rPr>
          <w:rFonts w:eastAsiaTheme="majorEastAsia" w:cstheme="majorBidi"/>
          <w:szCs w:val="32"/>
        </w:rPr>
        <w:t xml:space="preserve">. </w:t>
      </w:r>
    </w:p>
    <w:p w14:paraId="540FD89D" w14:textId="1F5A5C99" w:rsidR="00025474" w:rsidRPr="00025474" w:rsidRDefault="00025474" w:rsidP="00025474">
      <w:pPr>
        <w:rPr>
          <w:rFonts w:eastAsiaTheme="majorEastAsia" w:cstheme="majorBidi"/>
        </w:rPr>
      </w:pPr>
      <w:r w:rsidRPr="00025474">
        <w:rPr>
          <w:rFonts w:eastAsiaTheme="majorEastAsia" w:cstheme="majorBidi"/>
        </w:rPr>
        <w:t xml:space="preserve">To address the challenge of the analytical method, a Bayesian method is </w:t>
      </w:r>
      <w:r w:rsidR="00F3474F">
        <w:rPr>
          <w:rFonts w:eastAsiaTheme="majorEastAsia" w:cstheme="majorBidi"/>
        </w:rPr>
        <w:t>used</w:t>
      </w:r>
      <w:r w:rsidRPr="00025474">
        <w:rPr>
          <w:rFonts w:eastAsiaTheme="majorEastAsia" w:cstheme="majorBidi"/>
        </w:rPr>
        <w:t xml:space="preserve"> to account for the uncertainty in the input parameters and to generate the probability of activating a critically oriented fault over a range of input parameters.</w:t>
      </w:r>
    </w:p>
    <w:p w14:paraId="75A5B625" w14:textId="4CB27981" w:rsidR="009F2CF1" w:rsidRPr="009E3406" w:rsidRDefault="001E13CC" w:rsidP="009E3406">
      <w:pPr>
        <w:pStyle w:val="Heading2"/>
      </w:pPr>
      <w:bookmarkStart w:id="48" w:name="_Toc121265820"/>
      <w:r>
        <w:t>3</w:t>
      </w:r>
      <w:r w:rsidR="009E3406">
        <w:t>.</w:t>
      </w:r>
      <w:r w:rsidR="00DE3D6A">
        <w:t>3</w:t>
      </w:r>
      <w:r w:rsidR="009E3406">
        <w:t xml:space="preserve"> </w:t>
      </w:r>
      <w:r w:rsidR="009F2CF1" w:rsidRPr="009F2CF1">
        <w:t>Bayesian Model</w:t>
      </w:r>
      <w:bookmarkEnd w:id="48"/>
    </w:p>
    <w:p w14:paraId="7149A7EB" w14:textId="56722B52" w:rsidR="009F2CF1" w:rsidRDefault="009F2CF1" w:rsidP="00B07616">
      <w:pPr>
        <w:rPr>
          <w:rFonts w:eastAsiaTheme="majorEastAsia" w:cstheme="majorBidi"/>
        </w:rPr>
      </w:pPr>
      <w:r w:rsidRPr="37DBAC1B">
        <w:rPr>
          <w:rFonts w:eastAsiaTheme="majorEastAsia" w:cstheme="majorBidi"/>
        </w:rPr>
        <w:t xml:space="preserve">The Bayesian approach is a statistical model </w:t>
      </w:r>
      <w:r w:rsidR="008F4D99">
        <w:rPr>
          <w:rFonts w:eastAsiaTheme="majorEastAsia" w:cstheme="majorBidi"/>
        </w:rPr>
        <w:t>which uses a</w:t>
      </w:r>
      <w:r w:rsidRPr="37DBAC1B">
        <w:rPr>
          <w:rFonts w:eastAsiaTheme="majorEastAsia" w:cstheme="majorBidi"/>
        </w:rPr>
        <w:t xml:space="preserve"> random probability distribution to represent</w:t>
      </w:r>
      <w:r w:rsidR="008F4D99">
        <w:rPr>
          <w:rFonts w:eastAsiaTheme="majorEastAsia" w:cstheme="majorBidi"/>
        </w:rPr>
        <w:t xml:space="preserve"> the </w:t>
      </w:r>
      <w:r w:rsidRPr="37DBAC1B">
        <w:rPr>
          <w:rFonts w:eastAsiaTheme="majorEastAsia" w:cstheme="majorBidi"/>
        </w:rPr>
        <w:t>uncertainties in the model</w:t>
      </w:r>
      <w:r w:rsidR="008F4D99">
        <w:rPr>
          <w:rFonts w:eastAsiaTheme="majorEastAsia" w:cstheme="majorBidi"/>
        </w:rPr>
        <w:t xml:space="preserve">. This </w:t>
      </w:r>
      <w:r w:rsidRPr="37DBAC1B">
        <w:rPr>
          <w:rFonts w:eastAsiaTheme="majorEastAsia" w:cstheme="majorBidi"/>
        </w:rPr>
        <w:t>includ</w:t>
      </w:r>
      <w:r w:rsidR="008F4D99">
        <w:rPr>
          <w:rFonts w:eastAsiaTheme="majorEastAsia" w:cstheme="majorBidi"/>
        </w:rPr>
        <w:t>es</w:t>
      </w:r>
      <w:r w:rsidRPr="37DBAC1B">
        <w:rPr>
          <w:rFonts w:eastAsiaTheme="majorEastAsia" w:cstheme="majorBidi"/>
        </w:rPr>
        <w:t xml:space="preserve"> both input/output </w:t>
      </w:r>
      <w:r w:rsidR="00C54B0A" w:rsidRPr="37DBAC1B">
        <w:rPr>
          <w:rFonts w:eastAsiaTheme="majorEastAsia" w:cstheme="majorBidi"/>
        </w:rPr>
        <w:t>parameters and</w:t>
      </w:r>
      <w:r w:rsidRPr="37DBAC1B">
        <w:rPr>
          <w:rFonts w:eastAsiaTheme="majorEastAsia" w:cstheme="majorBidi"/>
        </w:rPr>
        <w:t xml:space="preserve"> is used for risk evaluation in </w:t>
      </w:r>
      <w:r w:rsidR="008F4D99">
        <w:rPr>
          <w:rFonts w:eastAsiaTheme="majorEastAsia" w:cstheme="majorBidi"/>
        </w:rPr>
        <w:t>this</w:t>
      </w:r>
      <w:r w:rsidRPr="37DBAC1B">
        <w:rPr>
          <w:rFonts w:eastAsiaTheme="majorEastAsia" w:cstheme="majorBidi"/>
        </w:rPr>
        <w:t xml:space="preserve"> work. It is based on the Bayes’ theorem which is a data analysis approach where the information in observed data is used to update the available knowledge about parameters in a statistical model. In the Bayesian workflow, there are three main steps shown </w:t>
      </w:r>
      <w:r w:rsidRPr="00A31AF7">
        <w:rPr>
          <w:rFonts w:eastAsiaTheme="majorEastAsia" w:cstheme="majorBidi"/>
        </w:rPr>
        <w:t xml:space="preserve">in </w:t>
      </w:r>
      <w:r w:rsidR="00EF1B54" w:rsidRPr="00A31AF7">
        <w:rPr>
          <w:rFonts w:eastAsiaTheme="majorEastAsia" w:cstheme="majorBidi"/>
        </w:rPr>
        <w:t>f</w:t>
      </w:r>
      <w:r w:rsidRPr="00A31AF7">
        <w:rPr>
          <w:rFonts w:eastAsiaTheme="majorEastAsia" w:cstheme="majorBidi"/>
        </w:rPr>
        <w:t xml:space="preserve">igure </w:t>
      </w:r>
      <w:r w:rsidR="00C84822">
        <w:rPr>
          <w:rFonts w:eastAsiaTheme="majorEastAsia" w:cstheme="majorBidi"/>
        </w:rPr>
        <w:t>10</w:t>
      </w:r>
      <w:r w:rsidRPr="00A31AF7">
        <w:rPr>
          <w:rFonts w:eastAsiaTheme="majorEastAsia" w:cstheme="majorBidi"/>
        </w:rPr>
        <w:t>.</w:t>
      </w:r>
      <w:r w:rsidRPr="37DBAC1B">
        <w:rPr>
          <w:rFonts w:eastAsiaTheme="majorEastAsia" w:cstheme="majorBidi"/>
        </w:rPr>
        <w:t xml:space="preserve"> The first is obtaining accessible prior knowledge of the statistical model parameter. This is done through the prior distribution and can be from physical models, expert belief, or previous empirical data. The next is then determining the probability function using the newly observed data. The last step involves merging these two steps to create a posterior distribution, which shows the updated knowledge, which balances the prior knowledge with new data, and can then be used for inferences and making predictions. </w:t>
      </w:r>
    </w:p>
    <w:p w14:paraId="6EA94B1B" w14:textId="04F40A5B" w:rsidR="00E075AF" w:rsidRDefault="00E075AF" w:rsidP="00FA7558">
      <w:pPr>
        <w:pStyle w:val="Caption"/>
      </w:pPr>
      <w:r>
        <w:rPr>
          <w:noProof/>
        </w:rPr>
        <w:lastRenderedPageBreak/>
        <w:drawing>
          <wp:inline distT="0" distB="0" distL="0" distR="0" wp14:anchorId="770C61F6" wp14:editId="1F5F271C">
            <wp:extent cx="5934173" cy="297878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50675" cy="2987067"/>
                    </a:xfrm>
                    <a:prstGeom prst="rect">
                      <a:avLst/>
                    </a:prstGeom>
                    <a:noFill/>
                  </pic:spPr>
                </pic:pic>
              </a:graphicData>
            </a:graphic>
          </wp:inline>
        </w:drawing>
      </w:r>
    </w:p>
    <w:p w14:paraId="04E26E92" w14:textId="28E4B821" w:rsidR="00B60750" w:rsidRDefault="00136C8D" w:rsidP="00FA7558">
      <w:pPr>
        <w:pStyle w:val="Caption"/>
      </w:pPr>
      <w:bookmarkStart w:id="49" w:name="_Toc121265853"/>
      <w:r>
        <w:t xml:space="preserve">Figure </w:t>
      </w:r>
      <w:fldSimple w:instr=" SEQ Figure \* ARABIC ">
        <w:r w:rsidR="00955725">
          <w:rPr>
            <w:noProof/>
          </w:rPr>
          <w:t>10</w:t>
        </w:r>
      </w:fldSimple>
      <w:r>
        <w:t>:</w:t>
      </w:r>
      <w:r w:rsidRPr="005A1019">
        <w:t>An example of inputs and outputs of a Bayesian network</w:t>
      </w:r>
      <w:bookmarkEnd w:id="49"/>
    </w:p>
    <w:p w14:paraId="7E98DBF4" w14:textId="7EA6F316" w:rsidR="00B60750" w:rsidRDefault="001E13CC" w:rsidP="00B60750">
      <w:pPr>
        <w:pStyle w:val="Heading3"/>
      </w:pPr>
      <w:bookmarkStart w:id="50" w:name="_Toc121265821"/>
      <w:r>
        <w:t>3</w:t>
      </w:r>
      <w:r w:rsidR="00B60750" w:rsidRPr="00E17015">
        <w:t>.</w:t>
      </w:r>
      <w:r w:rsidR="00DE3D6A">
        <w:t>3</w:t>
      </w:r>
      <w:r w:rsidR="00B60750" w:rsidRPr="00E17015">
        <w:t>.1 Applications of Bayesian Model</w:t>
      </w:r>
      <w:bookmarkEnd w:id="50"/>
    </w:p>
    <w:p w14:paraId="13477F06" w14:textId="53D65D12" w:rsidR="00584F0D" w:rsidRPr="00E17015" w:rsidRDefault="00584F0D" w:rsidP="008443FC">
      <w:r w:rsidRPr="00E17015">
        <w:t>Bayesian inference performs well with sparse data, and the</w:t>
      </w:r>
      <w:r w:rsidR="00E17015">
        <w:t xml:space="preserve"> results of the</w:t>
      </w:r>
      <w:r w:rsidRPr="00E17015">
        <w:t xml:space="preserve"> model </w:t>
      </w:r>
      <w:r w:rsidR="00F832C7" w:rsidRPr="00E17015">
        <w:t>can be</w:t>
      </w:r>
      <w:r w:rsidR="00E17015">
        <w:t xml:space="preserve"> easily i</w:t>
      </w:r>
      <w:r w:rsidRPr="00E17015">
        <w:t>nterpret</w:t>
      </w:r>
      <w:r w:rsidR="00E17015">
        <w:t xml:space="preserve">ed </w:t>
      </w:r>
      <w:r w:rsidRPr="00E17015">
        <w:t>and</w:t>
      </w:r>
      <w:r w:rsidR="00E17015">
        <w:t xml:space="preserve"> is</w:t>
      </w:r>
      <w:r w:rsidRPr="00E17015">
        <w:t xml:space="preserve"> </w:t>
      </w:r>
      <w:r w:rsidR="00E17015" w:rsidRPr="00E17015">
        <w:t>easi</w:t>
      </w:r>
      <w:r w:rsidR="00E17015">
        <w:t>ly</w:t>
      </w:r>
      <w:r w:rsidRPr="00E17015">
        <w:t xml:space="preserve"> understand</w:t>
      </w:r>
      <w:r w:rsidR="00E17015">
        <w:t>able</w:t>
      </w:r>
      <w:r w:rsidRPr="00E17015">
        <w:t xml:space="preserve">. </w:t>
      </w:r>
      <w:r w:rsidR="00F832C7">
        <w:t>This makes it a preferred method because it</w:t>
      </w:r>
      <w:r w:rsidRPr="00E17015">
        <w:t xml:space="preserve"> is simple to use </w:t>
      </w:r>
      <w:r w:rsidR="00C63186">
        <w:t xml:space="preserve">the </w:t>
      </w:r>
      <w:r w:rsidR="00F832C7">
        <w:t>current knowledge of</w:t>
      </w:r>
      <w:r w:rsidRPr="00E17015">
        <w:t xml:space="preserve"> the world with a relatively small or </w:t>
      </w:r>
      <w:r w:rsidR="00F3474F">
        <w:t>unclean</w:t>
      </w:r>
      <w:r w:rsidRPr="00E17015">
        <w:t xml:space="preserve"> data set to predict </w:t>
      </w:r>
      <w:r w:rsidR="00F832C7">
        <w:t xml:space="preserve">the outlook of </w:t>
      </w:r>
      <w:r w:rsidRPr="00E17015">
        <w:t xml:space="preserve">the </w:t>
      </w:r>
      <w:r w:rsidR="00F832C7">
        <w:t>world</w:t>
      </w:r>
      <w:r w:rsidRPr="00E17015">
        <w:t>.</w:t>
      </w:r>
      <w:r w:rsidR="00F832C7">
        <w:t xml:space="preserve"> Based on this, there have been several applications of the Bayesian Model.</w:t>
      </w:r>
    </w:p>
    <w:p w14:paraId="66BD84BA" w14:textId="25E76D17" w:rsidR="00F832C7" w:rsidRDefault="00F832C7" w:rsidP="008443FC">
      <w:r w:rsidRPr="00F832C7">
        <w:t xml:space="preserve">In </w:t>
      </w:r>
      <w:r>
        <w:t>b</w:t>
      </w:r>
      <w:r w:rsidRPr="00F832C7">
        <w:t xml:space="preserve">usiness and </w:t>
      </w:r>
      <w:r>
        <w:t>c</w:t>
      </w:r>
      <w:r w:rsidRPr="00F832C7">
        <w:t>ommerce</w:t>
      </w:r>
      <w:r>
        <w:t xml:space="preserve">, </w:t>
      </w:r>
      <w:r w:rsidRPr="00F832C7">
        <w:t xml:space="preserve">Bayesian </w:t>
      </w:r>
      <w:r>
        <w:t>Models are commonly used for pricing decisions and in new product development</w:t>
      </w:r>
      <w:r w:rsidR="00C63186">
        <w:t xml:space="preserve"> </w:t>
      </w:r>
      <w:sdt>
        <w:sdtPr>
          <w:id w:val="-1138793104"/>
          <w:citation/>
        </w:sdtPr>
        <w:sdtContent>
          <w:r w:rsidR="00C63186">
            <w:fldChar w:fldCharType="begin"/>
          </w:r>
          <w:r w:rsidR="00C63186">
            <w:instrText xml:space="preserve"> CITATION Ope21 \l 1033 </w:instrText>
          </w:r>
          <w:r w:rsidR="00C63186">
            <w:fldChar w:fldCharType="separate"/>
          </w:r>
          <w:r w:rsidR="00C84822">
            <w:rPr>
              <w:noProof/>
            </w:rPr>
            <w:t>(Open Data Science, 2021)</w:t>
          </w:r>
          <w:r w:rsidR="00C63186">
            <w:fldChar w:fldCharType="end"/>
          </w:r>
        </w:sdtContent>
      </w:sdt>
      <w:r>
        <w:t xml:space="preserve">. It can be used to determine prices of goods based on </w:t>
      </w:r>
      <w:r w:rsidR="008443FC">
        <w:t>the mark</w:t>
      </w:r>
      <w:r w:rsidR="00CB2AFF">
        <w:t>et size and share, and wholesale and retail prices – field data. It can also be used to evaluate the risk of a project based on the uncertainties involved</w:t>
      </w:r>
      <w:r w:rsidR="00C63186">
        <w:t xml:space="preserve"> </w:t>
      </w:r>
      <w:sdt>
        <w:sdtPr>
          <w:id w:val="671692397"/>
          <w:citation/>
        </w:sdtPr>
        <w:sdtContent>
          <w:r w:rsidR="00C63186">
            <w:fldChar w:fldCharType="begin"/>
          </w:r>
          <w:r w:rsidR="00C63186">
            <w:instrText xml:space="preserve"> CITATION Pea18 \l 1033 </w:instrText>
          </w:r>
          <w:r w:rsidR="00C63186">
            <w:fldChar w:fldCharType="separate"/>
          </w:r>
          <w:r w:rsidR="00C84822">
            <w:rPr>
              <w:noProof/>
            </w:rPr>
            <w:t>(Coyle, 2018)</w:t>
          </w:r>
          <w:r w:rsidR="00C63186">
            <w:fldChar w:fldCharType="end"/>
          </w:r>
        </w:sdtContent>
      </w:sdt>
      <w:r w:rsidR="00CB2AFF">
        <w:t>. It can also be used for product ranking and customized user experience in online shopping.</w:t>
      </w:r>
    </w:p>
    <w:p w14:paraId="20D14F35" w14:textId="7FEB6618" w:rsidR="00F832C7" w:rsidRDefault="00CB2AFF" w:rsidP="00F832C7">
      <w:r>
        <w:t xml:space="preserve">In the marketing sector, organizations use past marketing campaigns and data to improve existing ones and create new ones. They also use it for targeted marketing like customized emails </w:t>
      </w:r>
      <w:r>
        <w:lastRenderedPageBreak/>
        <w:t>and website and graphic designs based on user engagement</w:t>
      </w:r>
      <w:sdt>
        <w:sdtPr>
          <w:id w:val="1907798644"/>
          <w:citation/>
        </w:sdtPr>
        <w:sdtContent>
          <w:r w:rsidR="00C63186">
            <w:fldChar w:fldCharType="begin"/>
          </w:r>
          <w:r w:rsidR="00C63186">
            <w:instrText xml:space="preserve"> CITATION Ope21 \l 1033 </w:instrText>
          </w:r>
          <w:r w:rsidR="00C63186">
            <w:fldChar w:fldCharType="separate"/>
          </w:r>
          <w:r w:rsidR="00C84822">
            <w:rPr>
              <w:noProof/>
            </w:rPr>
            <w:t xml:space="preserve"> (Open Data Science, 2021)</w:t>
          </w:r>
          <w:r w:rsidR="00C63186">
            <w:fldChar w:fldCharType="end"/>
          </w:r>
        </w:sdtContent>
      </w:sdt>
      <w:r>
        <w:t xml:space="preserve">. </w:t>
      </w:r>
      <w:r w:rsidRPr="00CB2AFF">
        <w:t xml:space="preserve">The </w:t>
      </w:r>
      <w:r>
        <w:t>stock markets also use Bayesian networks to forecast future stock trends based on current and previous trends.</w:t>
      </w:r>
    </w:p>
    <w:p w14:paraId="6ADDAEC3" w14:textId="46035830" w:rsidR="00CB2AFF" w:rsidRPr="00CB2AFF" w:rsidRDefault="00CB2AFF" w:rsidP="00F832C7">
      <w:pPr>
        <w:rPr>
          <w:highlight w:val="yellow"/>
        </w:rPr>
      </w:pPr>
      <w:r>
        <w:t xml:space="preserve">In the field of science, Bayesian deep learning can be used for weather forecasting, however, this is still recent research. Researchers have also used it to </w:t>
      </w:r>
      <w:r w:rsidR="00C63186">
        <w:t xml:space="preserve">identify the underlying risk of diseases. They use it to consider group and individual risk factors, and variables that enhance disease spread </w:t>
      </w:r>
      <w:sdt>
        <w:sdtPr>
          <w:id w:val="-1931891375"/>
          <w:citation/>
        </w:sdtPr>
        <w:sdtContent>
          <w:r w:rsidR="00C63186">
            <w:fldChar w:fldCharType="begin"/>
          </w:r>
          <w:r w:rsidR="00C63186">
            <w:instrText xml:space="preserve"> CITATION Ope21 \l 1033 </w:instrText>
          </w:r>
          <w:r w:rsidR="00C63186">
            <w:fldChar w:fldCharType="separate"/>
          </w:r>
          <w:r w:rsidR="00C84822">
            <w:rPr>
              <w:noProof/>
            </w:rPr>
            <w:t>(Open Data Science, 2021)</w:t>
          </w:r>
          <w:r w:rsidR="00C63186">
            <w:fldChar w:fldCharType="end"/>
          </w:r>
        </w:sdtContent>
      </w:sdt>
      <w:r w:rsidR="00C63186">
        <w:t>. Doctors also use this approach in diagnosing patients by looking at their medical history, family history, lifestyle and so on.</w:t>
      </w:r>
    </w:p>
    <w:p w14:paraId="33C62083" w14:textId="73EF9255" w:rsidR="00C63186" w:rsidRPr="00C63186" w:rsidRDefault="00C63186" w:rsidP="00C63186">
      <w:r w:rsidRPr="00C63186">
        <w:t>In summary, Bayesian models are best applied where there is noisy and hete</w:t>
      </w:r>
      <w:r w:rsidR="00584F0D" w:rsidRPr="00C63186">
        <w:t>rogeneous</w:t>
      </w:r>
      <w:r w:rsidRPr="00C63186">
        <w:t xml:space="preserve"> </w:t>
      </w:r>
      <w:r w:rsidR="00584F0D" w:rsidRPr="00C63186">
        <w:t>data</w:t>
      </w:r>
      <w:r w:rsidRPr="00C63186">
        <w:t xml:space="preserve">. It can be applied where better understanding of the </w:t>
      </w:r>
      <w:r w:rsidR="00584F0D" w:rsidRPr="00C63186">
        <w:t>uncertaint</w:t>
      </w:r>
      <w:r w:rsidRPr="00C63186">
        <w:t>ies is required</w:t>
      </w:r>
      <w:r>
        <w:t xml:space="preserve"> </w:t>
      </w:r>
      <w:sdt>
        <w:sdtPr>
          <w:id w:val="-1534495561"/>
          <w:citation/>
        </w:sdtPr>
        <w:sdtContent>
          <w:r>
            <w:fldChar w:fldCharType="begin"/>
          </w:r>
          <w:r>
            <w:instrText xml:space="preserve"> CITATION Pea18 \l 1033 </w:instrText>
          </w:r>
          <w:r>
            <w:fldChar w:fldCharType="separate"/>
          </w:r>
          <w:r w:rsidR="00C84822">
            <w:rPr>
              <w:noProof/>
            </w:rPr>
            <w:t>(Coyle, 2018)</w:t>
          </w:r>
          <w:r>
            <w:fldChar w:fldCharType="end"/>
          </w:r>
        </w:sdtContent>
      </w:sdt>
      <w:r w:rsidRPr="00C63186">
        <w:t>.</w:t>
      </w:r>
    </w:p>
    <w:p w14:paraId="70E9B6D7" w14:textId="2AB66CD1" w:rsidR="00136C8D" w:rsidRDefault="00B60750" w:rsidP="00DE3D6A">
      <w:pPr>
        <w:pStyle w:val="Heading3"/>
        <w:numPr>
          <w:ilvl w:val="2"/>
          <w:numId w:val="11"/>
        </w:numPr>
      </w:pPr>
      <w:bookmarkStart w:id="51" w:name="_Toc121265822"/>
      <w:r>
        <w:t>Bayesian Model in Stress Determination</w:t>
      </w:r>
      <w:bookmarkEnd w:id="51"/>
    </w:p>
    <w:p w14:paraId="4189B263" w14:textId="27056B84" w:rsidR="00025474" w:rsidRPr="00F05657" w:rsidRDefault="00025474" w:rsidP="00025474">
      <w:pPr>
        <w:rPr>
          <w:rFonts w:eastAsiaTheme="majorEastAsia" w:cstheme="majorBidi"/>
        </w:rPr>
      </w:pPr>
      <w:r w:rsidRPr="00025474">
        <w:rPr>
          <w:rFonts w:eastAsiaTheme="majorEastAsia" w:cstheme="majorBidi"/>
        </w:rPr>
        <w:t>In-situ stress uncertainty can be classified as either parametric uncertainty or model form uncertainty. Parametric uncertainty is due to the uncertainty in the model parameters while model form is due to the approach of modeling for describing the physics of the system that causes stress</w:t>
      </w:r>
      <w:bookmarkStart w:id="52" w:name="_Int_7aek0i3W"/>
      <w:r w:rsidRPr="00025474">
        <w:rPr>
          <w:rFonts w:eastAsiaTheme="majorEastAsia" w:cstheme="majorBidi"/>
        </w:rPr>
        <w:t xml:space="preserve">. </w:t>
      </w:r>
      <w:bookmarkEnd w:id="52"/>
      <w:r w:rsidRPr="00025474">
        <w:rPr>
          <w:rFonts w:eastAsiaTheme="majorEastAsia" w:cstheme="majorBidi"/>
        </w:rPr>
        <w:t xml:space="preserve">Both are </w:t>
      </w:r>
      <w:bookmarkStart w:id="53" w:name="_Int_xKTergdX"/>
      <w:r w:rsidRPr="00025474">
        <w:rPr>
          <w:rFonts w:eastAsiaTheme="majorEastAsia" w:cstheme="majorBidi"/>
        </w:rPr>
        <w:t>important</w:t>
      </w:r>
      <w:bookmarkEnd w:id="53"/>
      <w:r w:rsidRPr="00025474">
        <w:rPr>
          <w:rFonts w:eastAsiaTheme="majorEastAsia" w:cstheme="majorBidi"/>
        </w:rPr>
        <w:t xml:space="preserve"> and make up the total uncertainty, which is a risk analysis input</w:t>
      </w:r>
      <w:r w:rsidR="00E24D31">
        <w:rPr>
          <w:rFonts w:eastAsiaTheme="majorEastAsia" w:cstheme="majorBidi"/>
        </w:rPr>
        <w:t>. T</w:t>
      </w:r>
      <w:r w:rsidRPr="00025474">
        <w:rPr>
          <w:rFonts w:eastAsiaTheme="majorEastAsia" w:cstheme="majorBidi"/>
        </w:rPr>
        <w:t>o minimize model form uncertainty, the parametric uncertainty should</w:t>
      </w:r>
      <w:r w:rsidR="00E24D31">
        <w:rPr>
          <w:rFonts w:eastAsiaTheme="majorEastAsia" w:cstheme="majorBidi"/>
        </w:rPr>
        <w:t xml:space="preserve"> however</w:t>
      </w:r>
      <w:r w:rsidRPr="00025474">
        <w:rPr>
          <w:rFonts w:eastAsiaTheme="majorEastAsia" w:cstheme="majorBidi"/>
        </w:rPr>
        <w:t xml:space="preserve"> be quantified. This is because determining which model best fits the data is the only way to address the model form uncertainty. The shortcoming with this technique is that choosing a model that fits the data best would benefit models with the highest parameter count, regardless of the physics behind the data. Also, the statistical difference between the different models is not considered. Using a Bayesian model addresses these limitations as each model selection and </w:t>
      </w:r>
      <w:r w:rsidRPr="00025474">
        <w:rPr>
          <w:rFonts w:eastAsiaTheme="majorEastAsia" w:cstheme="majorBidi"/>
        </w:rPr>
        <w:lastRenderedPageBreak/>
        <w:t xml:space="preserve">associated assumptions are considered as competing hypotheses for testing. Since model selections with unbound parameters will have larger uncertainties, this technique clearly benefits simpler model selections unlike the deterministic approach, which benefits more complicated models. </w:t>
      </w:r>
    </w:p>
    <w:p w14:paraId="618819CE" w14:textId="03E97369" w:rsidR="00FE07D0" w:rsidRDefault="009F2CF1" w:rsidP="00B07616">
      <w:pPr>
        <w:rPr>
          <w:rFonts w:eastAsiaTheme="majorEastAsia" w:cstheme="majorBidi"/>
        </w:rPr>
      </w:pPr>
      <w:r w:rsidRPr="009F2CF1">
        <w:rPr>
          <w:rFonts w:eastAsiaTheme="majorEastAsia" w:cstheme="majorBidi"/>
          <w:szCs w:val="32"/>
        </w:rPr>
        <w:t>Oftentimes, there is a correlation between the two horizontal principal stresses. This means that treating them as independent properties is not representative, hence, they should statistically be considered a joint probability distribution (of magnitude and direction)</w:t>
      </w:r>
      <w:r w:rsidR="008F4D99">
        <w:rPr>
          <w:rFonts w:eastAsiaTheme="majorEastAsia" w:cstheme="majorBidi"/>
          <w:szCs w:val="32"/>
        </w:rPr>
        <w:t>,</w:t>
      </w:r>
      <w:r w:rsidRPr="009F2CF1">
        <w:rPr>
          <w:rFonts w:eastAsiaTheme="majorEastAsia" w:cstheme="majorBidi"/>
          <w:szCs w:val="32"/>
        </w:rPr>
        <w:t xml:space="preserve"> shown in the figure below. </w:t>
      </w:r>
      <w:r w:rsidR="00FE07D0">
        <w:rPr>
          <w:rFonts w:eastAsiaTheme="majorEastAsia" w:cstheme="majorBidi"/>
        </w:rPr>
        <w:t>The Bayesian relationship is represented in equation 1 below:</w:t>
      </w:r>
    </w:p>
    <w:p w14:paraId="2D099FB1" w14:textId="0A69ADCD" w:rsidR="00FE07D0" w:rsidRDefault="00000000" w:rsidP="00B07616">
      <w:pPr>
        <w:rPr>
          <w:rFonts w:eastAsiaTheme="majorEastAsia" w:cstheme="majorBidi"/>
        </w:rPr>
      </w:pPr>
      <w:r>
        <w:rPr>
          <w:noProof/>
        </w:rPr>
        <w:pict w14:anchorId="7152A3FA">
          <v:shapetype id="_x0000_t202" coordsize="21600,21600" o:spt="202" path="m,l,21600r21600,l21600,xe">
            <v:stroke joinstyle="miter"/>
            <v:path gradientshapeok="t" o:connecttype="rect"/>
          </v:shapetype>
          <v:shape id="Text Box 36" o:spid="_x0000_s2055" type="#_x0000_t202" style="position:absolute;left:0;text-align:left;margin-left:347.15pt;margin-top:12.35pt;width:149.4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" stroked="f">
            <v:textbox style="mso-next-textbox:#Text Box 36" inset="0,0,0,0">
              <w:txbxContent>
                <w:p w14:paraId="55401FA9" w14:textId="7458EE60" w:rsidR="00FE07D0" w:rsidRPr="00FE07D0" w:rsidRDefault="00DA1C17" w:rsidP="00FE07D0">
                  <w:pPr>
                    <w:pStyle w:val="Caption"/>
                    <w:rPr>
                      <w:rFonts w:eastAsiaTheme="majorEastAsia" w:cstheme="majorBidi"/>
                      <w:i w:val="0"/>
                      <w:iCs w:val="0"/>
                    </w:rPr>
                  </w:pPr>
                  <w:r>
                    <w:rPr>
                      <w:i w:val="0"/>
                      <w:iCs w:val="0"/>
                    </w:rPr>
                    <w:t xml:space="preserve">                           (1)</w:t>
                  </w:r>
                  <w:r w:rsidR="00FE07D0" w:rsidRPr="00FE07D0">
                    <w:rPr>
                      <w:i w:val="0"/>
                      <w:iCs w:val="0"/>
                    </w:rPr>
                    <w:t xml:space="preserve"> </w:t>
                  </w:r>
                </w:p>
              </w:txbxContent>
            </v:textbox>
          </v:shape>
        </w:pict>
      </w:r>
      <w:r>
        <w:rPr>
          <w:noProof/>
        </w:rPr>
        <w:pict w14:anchorId="69375FD5">
          <v:shape id="TextBox 52" o:spid="_x0000_s2054" type="#_x0000_t202" style="position:absolute;left:0;text-align:left;margin-left:0;margin-top:.15pt;width:496.7pt;height:5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" filled="f" stroked="f">
            <v:textbox style="mso-next-textbox:#TextBox 52" inset="0,0,0,0">
              <w:txbxContent>
                <w:p w14:paraId="626413E9" w14:textId="3E9EDAAC" w:rsidR="00FE07D0" w:rsidRPr="00FE07D0" w:rsidRDefault="00FE07D0" w:rsidP="00FE07D0">
                  <w:pPr>
                    <w:rPr>
                      <w:rFonts w:ascii="Cambria Math" w:hAnsi="Cambria Math"/>
                      <w:color w:val="000000" w:themeColor="text1"/>
                      <w:kern w:val="24"/>
                      <w:szCs w:val="24"/>
                    </w:rPr>
                  </w:pPr>
                  <m:oMath>
                    <m:r>
                      <w:rPr>
                        <w:rFonts w:ascii="Cambria Math" w:hAnsi="Cambria Math"/>
                        <w:color w:val="000000" w:themeColor="text1"/>
                        <w:kern w:val="24"/>
                        <w:sz w:val="32"/>
                        <w:szCs w:val="32"/>
                      </w:rPr>
                      <m:t>P</m:t>
                    </m:r>
                    <m:d>
                      <m:dPr>
                        <m:ctrlPr>
                          <w:rPr>
                            <w:rFonts w:ascii="Cambria Math" w:eastAsiaTheme="minorEastAsia" w:hAnsi="Cambria Math"/>
                            <w:i/>
                            <w:iCs/>
                            <w:color w:val="000000" w:themeColor="text1"/>
                            <w:kern w:val="24"/>
                            <w:sz w:val="32"/>
                            <w:szCs w:val="32"/>
                          </w:rPr>
                        </m:ctrlPr>
                      </m:dPr>
                      <m:e>
                        <m:sSub>
                          <m:sSubPr>
                            <m:ctrlPr>
                              <w:rPr>
                                <w:rFonts w:ascii="Cambria Math" w:eastAsiaTheme="minorEastAsia" w:hAnsi="Cambria Math"/>
                                <w:i/>
                                <w:iCs/>
                                <w:color w:val="000000" w:themeColor="text1"/>
                                <w:kern w:val="24"/>
                                <w:sz w:val="32"/>
                                <w:szCs w:val="32"/>
                              </w:rPr>
                            </m:ctrlPr>
                          </m:sSubPr>
                          <m:e>
                            <m:r>
                              <w:rPr>
                                <w:rFonts w:ascii="Cambria Math" w:hAnsi="Cambria Math"/>
                                <w:color w:val="000000" w:themeColor="text1"/>
                                <w:kern w:val="24"/>
                                <w:sz w:val="32"/>
                                <w:szCs w:val="32"/>
                              </w:rPr>
                              <m:t>σ</m:t>
                            </m:r>
                          </m:e>
                          <m:sub>
                            <m:r>
                              <w:rPr>
                                <w:rFonts w:ascii="Cambria Math" w:hAnsi="Cambria Math"/>
                                <w:color w:val="000000" w:themeColor="text1"/>
                                <w:kern w:val="24"/>
                                <w:sz w:val="32"/>
                                <w:szCs w:val="32"/>
                              </w:rPr>
                              <m:t>H</m:t>
                            </m:r>
                          </m:sub>
                        </m:sSub>
                        <m:r>
                          <w:rPr>
                            <w:rFonts w:ascii="Cambria Math" w:hAnsi="Cambria Math"/>
                            <w:color w:val="000000" w:themeColor="text1"/>
                            <w:kern w:val="24"/>
                            <w:sz w:val="32"/>
                            <w:szCs w:val="32"/>
                          </w:rPr>
                          <m:t>,</m:t>
                        </m:r>
                        <m:sSub>
                          <m:sSubPr>
                            <m:ctrlPr>
                              <w:rPr>
                                <w:rFonts w:ascii="Cambria Math" w:eastAsiaTheme="minorEastAsia" w:hAnsi="Cambria Math"/>
                                <w:i/>
                                <w:iCs/>
                                <w:color w:val="000000" w:themeColor="text1"/>
                                <w:kern w:val="24"/>
                                <w:sz w:val="32"/>
                                <w:szCs w:val="32"/>
                              </w:rPr>
                            </m:ctrlPr>
                          </m:sSubPr>
                          <m:e>
                            <m:r>
                              <w:rPr>
                                <w:rFonts w:ascii="Cambria Math" w:hAnsi="Cambria Math"/>
                                <w:color w:val="000000" w:themeColor="text1"/>
                                <w:kern w:val="24"/>
                                <w:sz w:val="32"/>
                                <w:szCs w:val="32"/>
                              </w:rPr>
                              <m:t>σ</m:t>
                            </m:r>
                          </m:e>
                          <m:sub>
                            <m:r>
                              <w:rPr>
                                <w:rFonts w:ascii="Cambria Math" w:hAnsi="Cambria Math"/>
                                <w:color w:val="000000" w:themeColor="text1"/>
                                <w:kern w:val="24"/>
                                <w:sz w:val="32"/>
                                <w:szCs w:val="32"/>
                              </w:rPr>
                              <m:t>h</m:t>
                            </m:r>
                          </m:sub>
                        </m:sSub>
                      </m:e>
                      <m:e>
                        <m:r>
                          <w:rPr>
                            <w:rFonts w:ascii="Cambria Math" w:hAnsi="Cambria Math"/>
                            <w:color w:val="000000" w:themeColor="text1"/>
                            <w:kern w:val="24"/>
                            <w:sz w:val="32"/>
                            <w:szCs w:val="32"/>
                          </w:rPr>
                          <m:t>D</m:t>
                        </m:r>
                      </m:e>
                    </m:d>
                    <m:r>
                      <w:rPr>
                        <w:rFonts w:ascii="Cambria Math" w:hAnsi="Cambria Math"/>
                        <w:color w:val="000000" w:themeColor="text1"/>
                        <w:kern w:val="24"/>
                        <w:sz w:val="32"/>
                        <w:szCs w:val="32"/>
                      </w:rPr>
                      <m:t>=</m:t>
                    </m:r>
                    <m:f>
                      <m:fPr>
                        <m:ctrlPr>
                          <w:rPr>
                            <w:rFonts w:ascii="Cambria Math" w:eastAsiaTheme="minorEastAsia" w:hAnsi="Cambria Math"/>
                            <w:i/>
                            <w:iCs/>
                            <w:color w:val="000000" w:themeColor="text1"/>
                            <w:kern w:val="24"/>
                            <w:sz w:val="32"/>
                            <w:szCs w:val="32"/>
                          </w:rPr>
                        </m:ctrlPr>
                      </m:fPr>
                      <m:num>
                        <m:r>
                          <w:rPr>
                            <w:rFonts w:ascii="Cambria Math" w:hAnsi="Cambria Math"/>
                            <w:color w:val="000000" w:themeColor="text1"/>
                            <w:kern w:val="24"/>
                            <w:sz w:val="32"/>
                            <w:szCs w:val="32"/>
                          </w:rPr>
                          <m:t>P</m:t>
                        </m:r>
                        <m:d>
                          <m:dPr>
                            <m:ctrlPr>
                              <w:rPr>
                                <w:rFonts w:ascii="Cambria Math" w:eastAsiaTheme="minorEastAsia" w:hAnsi="Cambria Math"/>
                                <w:i/>
                                <w:iCs/>
                                <w:color w:val="000000" w:themeColor="text1"/>
                                <w:kern w:val="24"/>
                                <w:sz w:val="32"/>
                                <w:szCs w:val="32"/>
                              </w:rPr>
                            </m:ctrlPr>
                          </m:dPr>
                          <m:e>
                            <m:r>
                              <w:rPr>
                                <w:rFonts w:ascii="Cambria Math" w:hAnsi="Cambria Math"/>
                                <w:color w:val="000000" w:themeColor="text1"/>
                                <w:kern w:val="24"/>
                                <w:sz w:val="32"/>
                                <w:szCs w:val="32"/>
                              </w:rPr>
                              <m:t>D</m:t>
                            </m:r>
                          </m:e>
                          <m:e>
                            <m:sSub>
                              <m:sSubPr>
                                <m:ctrlPr>
                                  <w:rPr>
                                    <w:rFonts w:ascii="Cambria Math" w:eastAsiaTheme="minorEastAsia" w:hAnsi="Cambria Math"/>
                                    <w:i/>
                                    <w:iCs/>
                                    <w:color w:val="000000" w:themeColor="text1"/>
                                    <w:kern w:val="24"/>
                                    <w:sz w:val="32"/>
                                    <w:szCs w:val="32"/>
                                  </w:rPr>
                                </m:ctrlPr>
                              </m:sSubPr>
                              <m:e>
                                <m:r>
                                  <w:rPr>
                                    <w:rFonts w:ascii="Cambria Math" w:hAnsi="Cambria Math"/>
                                    <w:color w:val="000000" w:themeColor="text1"/>
                                    <w:kern w:val="24"/>
                                    <w:sz w:val="32"/>
                                    <w:szCs w:val="32"/>
                                  </w:rPr>
                                  <m:t>σ</m:t>
                                </m:r>
                              </m:e>
                              <m:sub>
                                <m:r>
                                  <w:rPr>
                                    <w:rFonts w:ascii="Cambria Math" w:hAnsi="Cambria Math"/>
                                    <w:color w:val="000000" w:themeColor="text1"/>
                                    <w:kern w:val="24"/>
                                    <w:sz w:val="32"/>
                                    <w:szCs w:val="32"/>
                                  </w:rPr>
                                  <m:t>H</m:t>
                                </m:r>
                              </m:sub>
                            </m:sSub>
                            <m:r>
                              <w:rPr>
                                <w:rFonts w:ascii="Cambria Math" w:hAnsi="Cambria Math"/>
                                <w:color w:val="000000" w:themeColor="text1"/>
                                <w:kern w:val="24"/>
                                <w:sz w:val="32"/>
                                <w:szCs w:val="32"/>
                              </w:rPr>
                              <m:t>,</m:t>
                            </m:r>
                            <m:sSub>
                              <m:sSubPr>
                                <m:ctrlPr>
                                  <w:rPr>
                                    <w:rFonts w:ascii="Cambria Math" w:eastAsiaTheme="minorEastAsia" w:hAnsi="Cambria Math"/>
                                    <w:i/>
                                    <w:iCs/>
                                    <w:color w:val="000000" w:themeColor="text1"/>
                                    <w:kern w:val="24"/>
                                    <w:sz w:val="32"/>
                                    <w:szCs w:val="32"/>
                                  </w:rPr>
                                </m:ctrlPr>
                              </m:sSubPr>
                              <m:e>
                                <m:r>
                                  <w:rPr>
                                    <w:rFonts w:ascii="Cambria Math" w:hAnsi="Cambria Math"/>
                                    <w:color w:val="000000" w:themeColor="text1"/>
                                    <w:kern w:val="24"/>
                                    <w:sz w:val="32"/>
                                    <w:szCs w:val="32"/>
                                  </w:rPr>
                                  <m:t>σ</m:t>
                                </m:r>
                              </m:e>
                              <m:sub>
                                <m:r>
                                  <w:rPr>
                                    <w:rFonts w:ascii="Cambria Math" w:hAnsi="Cambria Math"/>
                                    <w:color w:val="000000" w:themeColor="text1"/>
                                    <w:kern w:val="24"/>
                                    <w:sz w:val="32"/>
                                    <w:szCs w:val="32"/>
                                  </w:rPr>
                                  <m:t>h</m:t>
                                </m:r>
                              </m:sub>
                            </m:sSub>
                          </m:e>
                        </m:d>
                        <m:r>
                          <w:rPr>
                            <w:rFonts w:ascii="Cambria Math" w:hAnsi="Cambria Math"/>
                            <w:color w:val="000000" w:themeColor="text1"/>
                            <w:kern w:val="24"/>
                            <w:sz w:val="32"/>
                            <w:szCs w:val="32"/>
                          </w:rPr>
                          <m:t>P(</m:t>
                        </m:r>
                        <m:sSub>
                          <m:sSubPr>
                            <m:ctrlPr>
                              <w:rPr>
                                <w:rFonts w:ascii="Cambria Math" w:eastAsiaTheme="minorEastAsia" w:hAnsi="Cambria Math"/>
                                <w:i/>
                                <w:iCs/>
                                <w:color w:val="000000" w:themeColor="text1"/>
                                <w:kern w:val="24"/>
                                <w:sz w:val="32"/>
                                <w:szCs w:val="32"/>
                              </w:rPr>
                            </m:ctrlPr>
                          </m:sSubPr>
                          <m:e>
                            <m:r>
                              <w:rPr>
                                <w:rFonts w:ascii="Cambria Math" w:hAnsi="Cambria Math"/>
                                <w:color w:val="000000" w:themeColor="text1"/>
                                <w:kern w:val="24"/>
                                <w:sz w:val="32"/>
                                <w:szCs w:val="32"/>
                              </w:rPr>
                              <m:t>σ</m:t>
                            </m:r>
                          </m:e>
                          <m:sub>
                            <m:r>
                              <w:rPr>
                                <w:rFonts w:ascii="Cambria Math" w:hAnsi="Cambria Math"/>
                                <w:color w:val="000000" w:themeColor="text1"/>
                                <w:kern w:val="24"/>
                                <w:sz w:val="32"/>
                                <w:szCs w:val="32"/>
                              </w:rPr>
                              <m:t>H</m:t>
                            </m:r>
                          </m:sub>
                        </m:sSub>
                        <m:r>
                          <w:rPr>
                            <w:rFonts w:ascii="Cambria Math" w:hAnsi="Cambria Math"/>
                            <w:color w:val="000000" w:themeColor="text1"/>
                            <w:kern w:val="24"/>
                            <w:sz w:val="32"/>
                            <w:szCs w:val="32"/>
                          </w:rPr>
                          <m:t>,</m:t>
                        </m:r>
                        <m:sSub>
                          <m:sSubPr>
                            <m:ctrlPr>
                              <w:rPr>
                                <w:rFonts w:ascii="Cambria Math" w:eastAsiaTheme="minorEastAsia" w:hAnsi="Cambria Math"/>
                                <w:i/>
                                <w:iCs/>
                                <w:color w:val="000000" w:themeColor="text1"/>
                                <w:kern w:val="24"/>
                                <w:sz w:val="32"/>
                                <w:szCs w:val="32"/>
                              </w:rPr>
                            </m:ctrlPr>
                          </m:sSubPr>
                          <m:e>
                            <m:r>
                              <w:rPr>
                                <w:rFonts w:ascii="Cambria Math" w:hAnsi="Cambria Math"/>
                                <w:color w:val="000000" w:themeColor="text1"/>
                                <w:kern w:val="24"/>
                                <w:sz w:val="32"/>
                                <w:szCs w:val="32"/>
                              </w:rPr>
                              <m:t>σ</m:t>
                            </m:r>
                          </m:e>
                          <m:sub>
                            <m:r>
                              <w:rPr>
                                <w:rFonts w:ascii="Cambria Math" w:hAnsi="Cambria Math"/>
                                <w:color w:val="000000" w:themeColor="text1"/>
                                <w:kern w:val="24"/>
                                <w:sz w:val="32"/>
                                <w:szCs w:val="32"/>
                              </w:rPr>
                              <m:t>h</m:t>
                            </m:r>
                          </m:sub>
                        </m:sSub>
                        <m:r>
                          <w:rPr>
                            <w:rFonts w:ascii="Cambria Math" w:hAnsi="Cambria Math"/>
                            <w:color w:val="000000" w:themeColor="text1"/>
                            <w:kern w:val="24"/>
                            <w:sz w:val="32"/>
                            <w:szCs w:val="32"/>
                          </w:rPr>
                          <m:t>)</m:t>
                        </m:r>
                      </m:num>
                      <m:den>
                        <m:r>
                          <w:rPr>
                            <w:rFonts w:ascii="Cambria Math" w:hAnsi="Cambria Math"/>
                            <w:color w:val="000000" w:themeColor="text1"/>
                            <w:kern w:val="24"/>
                            <w:sz w:val="32"/>
                            <w:szCs w:val="32"/>
                          </w:rPr>
                          <m:t>P(D)</m:t>
                        </m:r>
                      </m:den>
                    </m:f>
                  </m:oMath>
                  <w:r>
                    <w:rPr>
                      <w:rFonts w:ascii="Cambria Math" w:eastAsiaTheme="minorEastAsia" w:hAnsi="Cambria Math"/>
                      <w:iCs/>
                      <w:color w:val="000000" w:themeColor="text1"/>
                      <w:kern w:val="24"/>
                      <w:sz w:val="32"/>
                      <w:szCs w:val="32"/>
                    </w:rPr>
                    <w:t xml:space="preserve">    </w:t>
                  </w:r>
                </w:p>
              </w:txbxContent>
            </v:textbox>
          </v:shape>
        </w:pict>
      </w:r>
    </w:p>
    <w:p w14:paraId="12CCAA47" w14:textId="77777777" w:rsidR="00FE07D0" w:rsidRDefault="00FE07D0" w:rsidP="00B07616">
      <w:pPr>
        <w:rPr>
          <w:rFonts w:eastAsiaTheme="majorEastAsia" w:cstheme="majorBidi"/>
          <w:szCs w:val="32"/>
        </w:rPr>
      </w:pPr>
    </w:p>
    <w:p w14:paraId="2392B29E" w14:textId="41162016" w:rsidR="00FE07D0" w:rsidRDefault="00FE07D0" w:rsidP="00B07616">
      <w:pPr>
        <w:rPr>
          <w:rFonts w:eastAsiaTheme="majorEastAsia" w:cstheme="majorBidi"/>
          <w:szCs w:val="32"/>
        </w:rPr>
      </w:pPr>
      <w:r>
        <w:rPr>
          <w:rFonts w:eastAsiaTheme="majorEastAsia" w:cstheme="majorBidi"/>
          <w:szCs w:val="32"/>
        </w:rPr>
        <w:t>Where:</w:t>
      </w:r>
    </w:p>
    <w:p w14:paraId="25760ED4" w14:textId="4627CB87" w:rsidR="00FE07D0" w:rsidRPr="00536395" w:rsidRDefault="00FE07D0" w:rsidP="00DA1C17">
      <w:pPr>
        <w:rPr>
          <w:rFonts w:eastAsiaTheme="minorEastAsia" w:cs="Times New Roman"/>
          <w:color w:val="000000" w:themeColor="text1"/>
          <w:kern w:val="24"/>
          <w:szCs w:val="24"/>
        </w:rPr>
      </w:pPr>
      <m:oMath>
        <m:r>
          <w:rPr>
            <w:rFonts w:ascii="Cambria Math" w:hAnsi="Cambria Math" w:cs="Times New Roman"/>
            <w:color w:val="000000" w:themeColor="text1"/>
            <w:kern w:val="24"/>
            <w:sz w:val="28"/>
            <w:szCs w:val="28"/>
          </w:rPr>
          <m:t>P</m:t>
        </m:r>
        <m:d>
          <m:dPr>
            <m:ctrlPr>
              <w:rPr>
                <w:rFonts w:ascii="Cambria Math" w:eastAsiaTheme="minorEastAsia" w:hAnsi="Cambria Math" w:cs="Times New Roman"/>
                <w:i/>
                <w:iCs/>
                <w:color w:val="000000" w:themeColor="text1"/>
                <w:kern w:val="24"/>
                <w:sz w:val="28"/>
                <w:szCs w:val="28"/>
              </w:rPr>
            </m:ctrlPr>
          </m:dPr>
          <m:e>
            <m:sSub>
              <m:sSubPr>
                <m:ctrlPr>
                  <w:rPr>
                    <w:rFonts w:ascii="Cambria Math" w:eastAsiaTheme="minorEastAsia" w:hAnsi="Cambria Math" w:cs="Times New Roman"/>
                    <w:i/>
                    <w:iCs/>
                    <w:color w:val="000000" w:themeColor="text1"/>
                    <w:kern w:val="24"/>
                    <w:sz w:val="28"/>
                    <w:szCs w:val="28"/>
                  </w:rPr>
                </m:ctrlPr>
              </m:sSubPr>
              <m:e>
                <m:r>
                  <w:rPr>
                    <w:rFonts w:ascii="Cambria Math" w:hAnsi="Cambria Math" w:cs="Times New Roman"/>
                    <w:color w:val="000000" w:themeColor="text1"/>
                    <w:kern w:val="24"/>
                    <w:sz w:val="28"/>
                    <w:szCs w:val="28"/>
                  </w:rPr>
                  <m:t>σ</m:t>
                </m:r>
              </m:e>
              <m:sub>
                <m:r>
                  <w:rPr>
                    <w:rFonts w:ascii="Cambria Math" w:hAnsi="Cambria Math" w:cs="Times New Roman"/>
                    <w:color w:val="000000" w:themeColor="text1"/>
                    <w:kern w:val="24"/>
                    <w:sz w:val="28"/>
                    <w:szCs w:val="28"/>
                  </w:rPr>
                  <m:t>H</m:t>
                </m:r>
              </m:sub>
            </m:sSub>
            <m:r>
              <w:rPr>
                <w:rFonts w:ascii="Cambria Math" w:hAnsi="Cambria Math" w:cs="Times New Roman"/>
                <w:color w:val="000000" w:themeColor="text1"/>
                <w:kern w:val="24"/>
                <w:sz w:val="28"/>
                <w:szCs w:val="28"/>
              </w:rPr>
              <m:t>,</m:t>
            </m:r>
            <m:sSub>
              <m:sSubPr>
                <m:ctrlPr>
                  <w:rPr>
                    <w:rFonts w:ascii="Cambria Math" w:eastAsiaTheme="minorEastAsia" w:hAnsi="Cambria Math" w:cs="Times New Roman"/>
                    <w:i/>
                    <w:iCs/>
                    <w:color w:val="000000" w:themeColor="text1"/>
                    <w:kern w:val="24"/>
                    <w:sz w:val="28"/>
                    <w:szCs w:val="28"/>
                  </w:rPr>
                </m:ctrlPr>
              </m:sSubPr>
              <m:e>
                <m:r>
                  <w:rPr>
                    <w:rFonts w:ascii="Cambria Math" w:hAnsi="Cambria Math" w:cs="Times New Roman"/>
                    <w:color w:val="000000" w:themeColor="text1"/>
                    <w:kern w:val="24"/>
                    <w:sz w:val="28"/>
                    <w:szCs w:val="28"/>
                  </w:rPr>
                  <m:t>σ</m:t>
                </m:r>
              </m:e>
              <m:sub>
                <m:r>
                  <w:rPr>
                    <w:rFonts w:ascii="Cambria Math" w:hAnsi="Cambria Math" w:cs="Times New Roman"/>
                    <w:color w:val="000000" w:themeColor="text1"/>
                    <w:kern w:val="24"/>
                    <w:sz w:val="28"/>
                    <w:szCs w:val="28"/>
                  </w:rPr>
                  <m:t>h</m:t>
                </m:r>
              </m:sub>
            </m:sSub>
          </m:e>
          <m:e>
            <m:r>
              <w:rPr>
                <w:rFonts w:ascii="Cambria Math" w:hAnsi="Cambria Math" w:cs="Times New Roman"/>
                <w:color w:val="000000" w:themeColor="text1"/>
                <w:kern w:val="24"/>
                <w:sz w:val="28"/>
                <w:szCs w:val="28"/>
              </w:rPr>
              <m:t>D</m:t>
            </m:r>
          </m:e>
        </m:d>
        <m:r>
          <w:rPr>
            <w:rFonts w:ascii="Cambria Math" w:hAnsi="Cambria Math" w:cs="Times New Roman"/>
            <w:color w:val="000000" w:themeColor="text1"/>
            <w:kern w:val="24"/>
            <w:sz w:val="28"/>
            <w:szCs w:val="28"/>
          </w:rPr>
          <m:t>=</m:t>
        </m:r>
      </m:oMath>
      <w:r w:rsidRPr="00536395">
        <w:rPr>
          <w:rFonts w:eastAsiaTheme="minorEastAsia" w:cs="Times New Roman"/>
          <w:i/>
          <w:iCs/>
          <w:color w:val="000000" w:themeColor="text1"/>
          <w:kern w:val="24"/>
          <w:sz w:val="28"/>
          <w:szCs w:val="28"/>
        </w:rPr>
        <w:t xml:space="preserve"> </w:t>
      </w:r>
      <w:r w:rsidR="00E24D31" w:rsidRPr="00536395">
        <w:rPr>
          <w:rFonts w:cs="Times New Roman"/>
          <w:b/>
          <w:bCs/>
          <w:color w:val="000000" w:themeColor="text1"/>
          <w:kern w:val="24"/>
          <w:szCs w:val="24"/>
        </w:rPr>
        <w:t xml:space="preserve">Posterior distribution: </w:t>
      </w:r>
      <w:r w:rsidR="00E24D31" w:rsidRPr="00536395">
        <w:rPr>
          <w:rFonts w:cs="Times New Roman"/>
          <w:color w:val="000000" w:themeColor="text1"/>
          <w:kern w:val="24"/>
          <w:szCs w:val="24"/>
        </w:rPr>
        <w:t>the probability of (</w:t>
      </w:r>
      <m:oMath>
        <m:sSub>
          <m:sSubPr>
            <m:ctrlPr>
              <w:rPr>
                <w:rFonts w:ascii="Cambria Math" w:eastAsiaTheme="minorEastAsia" w:hAnsi="Cambria Math" w:cs="Times New Roman"/>
                <w:color w:val="000000" w:themeColor="text1"/>
                <w:kern w:val="24"/>
                <w:szCs w:val="24"/>
              </w:rPr>
            </m:ctrlPr>
          </m:sSubPr>
          <m:e>
            <m:r>
              <m:rPr>
                <m:sty m:val="p"/>
              </m:rPr>
              <w:rPr>
                <w:rFonts w:ascii="Cambria Math" w:hAnsi="Cambria Math" w:cs="Times New Roman"/>
                <w:color w:val="000000" w:themeColor="text1"/>
                <w:kern w:val="24"/>
                <w:szCs w:val="24"/>
              </w:rPr>
              <m:t>σ</m:t>
            </m:r>
          </m:e>
          <m:sub>
            <m:r>
              <m:rPr>
                <m:sty m:val="p"/>
              </m:rPr>
              <w:rPr>
                <w:rFonts w:ascii="Cambria Math" w:hAnsi="Cambria Math" w:cs="Times New Roman"/>
                <w:color w:val="000000" w:themeColor="text1"/>
                <w:kern w:val="24"/>
                <w:szCs w:val="24"/>
              </w:rPr>
              <m:t>H</m:t>
            </m:r>
          </m:sub>
        </m:sSub>
      </m:oMath>
      <w:r w:rsidR="00E24D31" w:rsidRPr="00536395">
        <w:rPr>
          <w:rFonts w:cs="Times New Roman"/>
          <w:color w:val="000000" w:themeColor="text1"/>
          <w:kern w:val="24"/>
          <w:szCs w:val="24"/>
        </w:rPr>
        <w:t>,</w:t>
      </w:r>
      <m:oMath>
        <m:sSub>
          <m:sSubPr>
            <m:ctrlPr>
              <w:rPr>
                <w:rFonts w:ascii="Cambria Math" w:eastAsiaTheme="minorEastAsia" w:hAnsi="Cambria Math" w:cs="Times New Roman"/>
                <w:color w:val="000000" w:themeColor="text1"/>
                <w:kern w:val="24"/>
                <w:szCs w:val="24"/>
              </w:rPr>
            </m:ctrlPr>
          </m:sSubPr>
          <m:e>
            <m:r>
              <m:rPr>
                <m:sty m:val="p"/>
              </m:rPr>
              <w:rPr>
                <w:rFonts w:ascii="Cambria Math" w:hAnsi="Cambria Math" w:cs="Times New Roman"/>
                <w:color w:val="000000" w:themeColor="text1"/>
                <w:kern w:val="24"/>
                <w:szCs w:val="24"/>
              </w:rPr>
              <m:t>σ</m:t>
            </m:r>
          </m:e>
          <m:sub>
            <m:r>
              <m:rPr>
                <m:sty m:val="p"/>
              </m:rPr>
              <w:rPr>
                <w:rFonts w:ascii="Cambria Math" w:hAnsi="Cambria Math" w:cs="Times New Roman"/>
                <w:color w:val="000000" w:themeColor="text1"/>
                <w:kern w:val="24"/>
                <w:szCs w:val="24"/>
              </w:rPr>
              <m:t>h</m:t>
            </m:r>
          </m:sub>
        </m:sSub>
      </m:oMath>
      <w:r w:rsidR="00E24D31" w:rsidRPr="00536395">
        <w:rPr>
          <w:rFonts w:cs="Times New Roman"/>
          <w:color w:val="000000" w:themeColor="text1"/>
          <w:kern w:val="24"/>
          <w:szCs w:val="24"/>
        </w:rPr>
        <w:t>) after the observation</w:t>
      </w:r>
      <w:r w:rsidR="00E24D31" w:rsidRPr="00536395">
        <w:rPr>
          <w:rFonts w:cs="Times New Roman"/>
          <w:b/>
          <w:bCs/>
          <w:color w:val="000000" w:themeColor="text1"/>
          <w:kern w:val="24"/>
          <w:szCs w:val="24"/>
        </w:rPr>
        <w:t xml:space="preserve"> </w:t>
      </w:r>
    </w:p>
    <w:p w14:paraId="0302882B" w14:textId="76940671" w:rsidR="00FE07D0" w:rsidRPr="00536395" w:rsidRDefault="00DA1C17" w:rsidP="00DA1C17">
      <w:pPr>
        <w:rPr>
          <w:rFonts w:eastAsiaTheme="minorEastAsia" w:cs="Times New Roman"/>
          <w:color w:val="000000" w:themeColor="text1"/>
          <w:kern w:val="24"/>
          <w:szCs w:val="24"/>
        </w:rPr>
      </w:pPr>
      <m:oMath>
        <m:r>
          <m:rPr>
            <m:sty m:val="p"/>
          </m:rPr>
          <w:rPr>
            <w:rFonts w:ascii="Cambria Math" w:hAnsi="Cambria Math" w:cs="Times New Roman"/>
            <w:color w:val="000000" w:themeColor="text1"/>
            <w:kern w:val="24"/>
            <w:sz w:val="28"/>
            <w:szCs w:val="28"/>
          </w:rPr>
          <m:t>P</m:t>
        </m:r>
        <m:d>
          <m:dPr>
            <m:ctrlPr>
              <w:rPr>
                <w:rFonts w:ascii="Cambria Math" w:eastAsiaTheme="minorEastAsia" w:hAnsi="Cambria Math" w:cs="Times New Roman"/>
                <w:color w:val="000000" w:themeColor="text1"/>
                <w:kern w:val="24"/>
                <w:sz w:val="28"/>
                <w:szCs w:val="28"/>
              </w:rPr>
            </m:ctrlPr>
          </m:dPr>
          <m:e>
            <m:r>
              <m:rPr>
                <m:sty m:val="p"/>
              </m:rPr>
              <w:rPr>
                <w:rFonts w:ascii="Cambria Math" w:hAnsi="Cambria Math" w:cs="Times New Roman"/>
                <w:color w:val="000000" w:themeColor="text1"/>
                <w:kern w:val="24"/>
                <w:sz w:val="28"/>
                <w:szCs w:val="28"/>
              </w:rPr>
              <m:t>D</m:t>
            </m:r>
          </m:e>
          <m:e>
            <m:sSub>
              <m:sSubPr>
                <m:ctrlPr>
                  <w:rPr>
                    <w:rFonts w:ascii="Cambria Math" w:eastAsiaTheme="minorEastAsia" w:hAnsi="Cambria Math" w:cs="Times New Roman"/>
                    <w:color w:val="000000" w:themeColor="text1"/>
                    <w:kern w:val="24"/>
                    <w:sz w:val="28"/>
                    <w:szCs w:val="28"/>
                  </w:rPr>
                </m:ctrlPr>
              </m:sSubPr>
              <m:e>
                <m:r>
                  <m:rPr>
                    <m:sty m:val="p"/>
                  </m:rPr>
                  <w:rPr>
                    <w:rFonts w:ascii="Cambria Math" w:hAnsi="Cambria Math" w:cs="Times New Roman"/>
                    <w:color w:val="000000" w:themeColor="text1"/>
                    <w:kern w:val="24"/>
                    <w:sz w:val="28"/>
                    <w:szCs w:val="28"/>
                  </w:rPr>
                  <m:t>σ</m:t>
                </m:r>
              </m:e>
              <m:sub>
                <m:r>
                  <m:rPr>
                    <m:sty m:val="p"/>
                  </m:rPr>
                  <w:rPr>
                    <w:rFonts w:ascii="Cambria Math" w:hAnsi="Cambria Math" w:cs="Times New Roman"/>
                    <w:color w:val="000000" w:themeColor="text1"/>
                    <w:kern w:val="24"/>
                    <w:sz w:val="28"/>
                    <w:szCs w:val="28"/>
                  </w:rPr>
                  <m:t>H</m:t>
                </m:r>
              </m:sub>
            </m:sSub>
            <m:r>
              <m:rPr>
                <m:sty m:val="p"/>
              </m:rPr>
              <w:rPr>
                <w:rFonts w:ascii="Cambria Math" w:hAnsi="Cambria Math" w:cs="Times New Roman"/>
                <w:color w:val="000000" w:themeColor="text1"/>
                <w:kern w:val="24"/>
                <w:sz w:val="28"/>
                <w:szCs w:val="28"/>
              </w:rPr>
              <m:t>,</m:t>
            </m:r>
            <m:sSub>
              <m:sSubPr>
                <m:ctrlPr>
                  <w:rPr>
                    <w:rFonts w:ascii="Cambria Math" w:eastAsiaTheme="minorEastAsia" w:hAnsi="Cambria Math" w:cs="Times New Roman"/>
                    <w:color w:val="000000" w:themeColor="text1"/>
                    <w:kern w:val="24"/>
                    <w:sz w:val="28"/>
                    <w:szCs w:val="28"/>
                  </w:rPr>
                </m:ctrlPr>
              </m:sSubPr>
              <m:e>
                <m:r>
                  <m:rPr>
                    <m:sty m:val="p"/>
                  </m:rPr>
                  <w:rPr>
                    <w:rFonts w:ascii="Cambria Math" w:hAnsi="Cambria Math" w:cs="Times New Roman"/>
                    <w:color w:val="000000" w:themeColor="text1"/>
                    <w:kern w:val="24"/>
                    <w:sz w:val="28"/>
                    <w:szCs w:val="28"/>
                  </w:rPr>
                  <m:t>σ</m:t>
                </m:r>
              </m:e>
              <m:sub>
                <m:r>
                  <m:rPr>
                    <m:sty m:val="p"/>
                  </m:rPr>
                  <w:rPr>
                    <w:rFonts w:ascii="Cambria Math" w:hAnsi="Cambria Math" w:cs="Times New Roman"/>
                    <w:color w:val="000000" w:themeColor="text1"/>
                    <w:kern w:val="24"/>
                    <w:sz w:val="28"/>
                    <w:szCs w:val="28"/>
                  </w:rPr>
                  <m:t>h</m:t>
                </m:r>
              </m:sub>
            </m:sSub>
          </m:e>
        </m:d>
        <m:r>
          <m:rPr>
            <m:sty m:val="p"/>
          </m:rPr>
          <w:rPr>
            <w:rFonts w:ascii="Cambria Math" w:eastAsiaTheme="minorEastAsia" w:hAnsi="Cambria Math" w:cs="Times New Roman"/>
            <w:color w:val="000000" w:themeColor="text1"/>
            <w:kern w:val="24"/>
            <w:sz w:val="28"/>
            <w:szCs w:val="28"/>
          </w:rPr>
          <m:t xml:space="preserve">= </m:t>
        </m:r>
      </m:oMath>
      <w:r w:rsidR="00E24D31" w:rsidRPr="00536395">
        <w:rPr>
          <w:rFonts w:cs="Times New Roman"/>
          <w:b/>
          <w:bCs/>
          <w:color w:val="000000" w:themeColor="text1"/>
          <w:kern w:val="24"/>
          <w:szCs w:val="24"/>
        </w:rPr>
        <w:t xml:space="preserve">Likelihood: </w:t>
      </w:r>
      <w:r w:rsidR="00E24D31" w:rsidRPr="00536395">
        <w:rPr>
          <w:rFonts w:cs="Times New Roman"/>
          <w:color w:val="000000" w:themeColor="text1"/>
          <w:kern w:val="24"/>
          <w:szCs w:val="24"/>
        </w:rPr>
        <w:t>how likely would the observation be for a given value of (</w:t>
      </w:r>
      <m:oMath>
        <m:sSub>
          <m:sSubPr>
            <m:ctrlPr>
              <w:rPr>
                <w:rFonts w:ascii="Cambria Math" w:eastAsiaTheme="minorEastAsia" w:hAnsi="Cambria Math" w:cs="Times New Roman"/>
                <w:color w:val="000000" w:themeColor="text1"/>
                <w:kern w:val="24"/>
                <w:szCs w:val="24"/>
              </w:rPr>
            </m:ctrlPr>
          </m:sSubPr>
          <m:e>
            <m:r>
              <m:rPr>
                <m:sty m:val="p"/>
              </m:rPr>
              <w:rPr>
                <w:rFonts w:ascii="Cambria Math" w:hAnsi="Cambria Math" w:cs="Times New Roman"/>
                <w:color w:val="000000" w:themeColor="text1"/>
                <w:kern w:val="24"/>
                <w:szCs w:val="24"/>
              </w:rPr>
              <m:t>σ</m:t>
            </m:r>
          </m:e>
          <m:sub>
            <m:r>
              <m:rPr>
                <m:sty m:val="p"/>
              </m:rPr>
              <w:rPr>
                <w:rFonts w:ascii="Cambria Math" w:hAnsi="Cambria Math" w:cs="Times New Roman"/>
                <w:color w:val="000000" w:themeColor="text1"/>
                <w:kern w:val="24"/>
                <w:szCs w:val="24"/>
              </w:rPr>
              <m:t>H</m:t>
            </m:r>
          </m:sub>
        </m:sSub>
      </m:oMath>
      <w:r w:rsidR="00E24D31" w:rsidRPr="00536395">
        <w:rPr>
          <w:rFonts w:cs="Times New Roman"/>
          <w:color w:val="000000" w:themeColor="text1"/>
          <w:kern w:val="24"/>
          <w:szCs w:val="24"/>
        </w:rPr>
        <w:t>,</w:t>
      </w:r>
      <m:oMath>
        <m:sSub>
          <m:sSubPr>
            <m:ctrlPr>
              <w:rPr>
                <w:rFonts w:ascii="Cambria Math" w:eastAsiaTheme="minorEastAsia" w:hAnsi="Cambria Math" w:cs="Times New Roman"/>
                <w:color w:val="000000" w:themeColor="text1"/>
                <w:kern w:val="24"/>
                <w:szCs w:val="24"/>
              </w:rPr>
            </m:ctrlPr>
          </m:sSubPr>
          <m:e>
            <m:r>
              <m:rPr>
                <m:sty m:val="p"/>
              </m:rPr>
              <w:rPr>
                <w:rFonts w:ascii="Cambria Math" w:hAnsi="Cambria Math" w:cs="Times New Roman"/>
                <w:color w:val="000000" w:themeColor="text1"/>
                <w:kern w:val="24"/>
                <w:szCs w:val="24"/>
              </w:rPr>
              <m:t>σ</m:t>
            </m:r>
          </m:e>
          <m:sub>
            <m:r>
              <m:rPr>
                <m:sty m:val="p"/>
              </m:rPr>
              <w:rPr>
                <w:rFonts w:ascii="Cambria Math" w:hAnsi="Cambria Math" w:cs="Times New Roman"/>
                <w:color w:val="000000" w:themeColor="text1"/>
                <w:kern w:val="24"/>
                <w:szCs w:val="24"/>
              </w:rPr>
              <m:t>h</m:t>
            </m:r>
          </m:sub>
        </m:sSub>
      </m:oMath>
      <w:r w:rsidR="00E24D31" w:rsidRPr="00536395">
        <w:rPr>
          <w:rFonts w:cs="Times New Roman"/>
          <w:color w:val="000000" w:themeColor="text1"/>
          <w:kern w:val="24"/>
          <w:szCs w:val="24"/>
        </w:rPr>
        <w:t>)</w:t>
      </w:r>
    </w:p>
    <w:p w14:paraId="08D9C563" w14:textId="27C81EFA" w:rsidR="00FE07D0" w:rsidRDefault="00DA1C17" w:rsidP="00B07616">
      <w:pPr>
        <w:rPr>
          <w:rFonts w:cs="Times New Roman"/>
          <w:color w:val="000000" w:themeColor="text1"/>
          <w:kern w:val="24"/>
          <w:szCs w:val="24"/>
        </w:rPr>
      </w:pPr>
      <m:oMath>
        <m:r>
          <m:rPr>
            <m:sty m:val="p"/>
          </m:rPr>
          <w:rPr>
            <w:rFonts w:ascii="Cambria Math" w:hAnsi="Cambria Math" w:cs="Times New Roman"/>
            <w:color w:val="000000" w:themeColor="text1"/>
            <w:kern w:val="24"/>
            <w:sz w:val="28"/>
            <w:szCs w:val="28"/>
          </w:rPr>
          <m:t>P</m:t>
        </m:r>
        <m:d>
          <m:dPr>
            <m:ctrlPr>
              <w:rPr>
                <w:rFonts w:ascii="Cambria Math" w:hAnsi="Cambria Math" w:cs="Times New Roman"/>
                <w:color w:val="000000" w:themeColor="text1"/>
                <w:kern w:val="24"/>
                <w:sz w:val="28"/>
                <w:szCs w:val="28"/>
              </w:rPr>
            </m:ctrlPr>
          </m:dPr>
          <m:e>
            <m:sSub>
              <m:sSubPr>
                <m:ctrlPr>
                  <w:rPr>
                    <w:rFonts w:ascii="Cambria Math" w:eastAsiaTheme="minorEastAsia" w:hAnsi="Cambria Math" w:cs="Times New Roman"/>
                    <w:color w:val="000000" w:themeColor="text1"/>
                    <w:kern w:val="24"/>
                    <w:sz w:val="28"/>
                    <w:szCs w:val="28"/>
                  </w:rPr>
                </m:ctrlPr>
              </m:sSubPr>
              <m:e>
                <m:r>
                  <m:rPr>
                    <m:sty m:val="p"/>
                  </m:rPr>
                  <w:rPr>
                    <w:rFonts w:ascii="Cambria Math" w:hAnsi="Cambria Math" w:cs="Times New Roman"/>
                    <w:color w:val="000000" w:themeColor="text1"/>
                    <w:kern w:val="24"/>
                    <w:sz w:val="28"/>
                    <w:szCs w:val="28"/>
                  </w:rPr>
                  <m:t>σ</m:t>
                </m:r>
              </m:e>
              <m:sub>
                <m:r>
                  <m:rPr>
                    <m:sty m:val="p"/>
                  </m:rPr>
                  <w:rPr>
                    <w:rFonts w:ascii="Cambria Math" w:hAnsi="Cambria Math" w:cs="Times New Roman"/>
                    <w:color w:val="000000" w:themeColor="text1"/>
                    <w:kern w:val="24"/>
                    <w:sz w:val="28"/>
                    <w:szCs w:val="28"/>
                  </w:rPr>
                  <m:t>H</m:t>
                </m:r>
              </m:sub>
            </m:sSub>
            <m:r>
              <m:rPr>
                <m:sty m:val="p"/>
              </m:rPr>
              <w:rPr>
                <w:rFonts w:ascii="Cambria Math" w:hAnsi="Cambria Math" w:cs="Times New Roman"/>
                <w:color w:val="000000" w:themeColor="text1"/>
                <w:kern w:val="24"/>
                <w:sz w:val="28"/>
                <w:szCs w:val="28"/>
              </w:rPr>
              <m:t>,</m:t>
            </m:r>
            <m:sSub>
              <m:sSubPr>
                <m:ctrlPr>
                  <w:rPr>
                    <w:rFonts w:ascii="Cambria Math" w:eastAsiaTheme="minorEastAsia" w:hAnsi="Cambria Math" w:cs="Times New Roman"/>
                    <w:color w:val="000000" w:themeColor="text1"/>
                    <w:kern w:val="24"/>
                    <w:sz w:val="28"/>
                    <w:szCs w:val="28"/>
                  </w:rPr>
                </m:ctrlPr>
              </m:sSubPr>
              <m:e>
                <m:r>
                  <m:rPr>
                    <m:sty m:val="p"/>
                  </m:rPr>
                  <w:rPr>
                    <w:rFonts w:ascii="Cambria Math" w:hAnsi="Cambria Math" w:cs="Times New Roman"/>
                    <w:color w:val="000000" w:themeColor="text1"/>
                    <w:kern w:val="24"/>
                    <w:sz w:val="28"/>
                    <w:szCs w:val="28"/>
                  </w:rPr>
                  <m:t>σ</m:t>
                </m:r>
              </m:e>
              <m:sub>
                <m:r>
                  <m:rPr>
                    <m:sty m:val="p"/>
                  </m:rPr>
                  <w:rPr>
                    <w:rFonts w:ascii="Cambria Math" w:hAnsi="Cambria Math" w:cs="Times New Roman"/>
                    <w:color w:val="000000" w:themeColor="text1"/>
                    <w:kern w:val="24"/>
                    <w:sz w:val="28"/>
                    <w:szCs w:val="28"/>
                  </w:rPr>
                  <m:t>h</m:t>
                </m:r>
              </m:sub>
            </m:sSub>
          </m:e>
        </m:d>
        <m:r>
          <m:rPr>
            <m:sty m:val="p"/>
          </m:rPr>
          <w:rPr>
            <w:rFonts w:ascii="Cambria Math" w:hAnsi="Cambria Math" w:cs="Times New Roman"/>
            <w:color w:val="000000" w:themeColor="text1"/>
            <w:kern w:val="24"/>
            <w:sz w:val="28"/>
            <w:szCs w:val="28"/>
          </w:rPr>
          <m:t xml:space="preserve">= </m:t>
        </m:r>
      </m:oMath>
      <w:r w:rsidR="00FE07D0" w:rsidRPr="00536395">
        <w:rPr>
          <w:rFonts w:cs="Times New Roman"/>
          <w:b/>
          <w:bCs/>
          <w:color w:val="000000" w:themeColor="text1"/>
          <w:kern w:val="24"/>
          <w:szCs w:val="24"/>
        </w:rPr>
        <w:t xml:space="preserve">Prior distribution: </w:t>
      </w:r>
      <w:r w:rsidR="00FE07D0" w:rsidRPr="00536395">
        <w:rPr>
          <w:rFonts w:cs="Times New Roman"/>
          <w:color w:val="000000" w:themeColor="text1"/>
          <w:kern w:val="24"/>
          <w:szCs w:val="24"/>
        </w:rPr>
        <w:t>probability of a given value (</w:t>
      </w:r>
      <m:oMath>
        <m:sSub>
          <m:sSubPr>
            <m:ctrlPr>
              <w:rPr>
                <w:rFonts w:ascii="Cambria Math" w:hAnsi="Cambria Math" w:cs="Times New Roman"/>
                <w:color w:val="000000" w:themeColor="text1"/>
                <w:kern w:val="24"/>
                <w:szCs w:val="24"/>
              </w:rPr>
            </m:ctrlPr>
          </m:sSubPr>
          <m:e>
            <m:r>
              <m:rPr>
                <m:sty m:val="p"/>
              </m:rPr>
              <w:rPr>
                <w:rFonts w:ascii="Cambria Math" w:hAnsi="Cambria Math" w:cs="Times New Roman"/>
                <w:color w:val="000000" w:themeColor="text1"/>
                <w:kern w:val="24"/>
                <w:szCs w:val="24"/>
              </w:rPr>
              <m:t>σ</m:t>
            </m:r>
          </m:e>
          <m:sub>
            <m:r>
              <m:rPr>
                <m:sty m:val="p"/>
              </m:rPr>
              <w:rPr>
                <w:rFonts w:ascii="Cambria Math" w:hAnsi="Cambria Math" w:cs="Times New Roman"/>
                <w:color w:val="000000" w:themeColor="text1"/>
                <w:kern w:val="24"/>
                <w:szCs w:val="24"/>
              </w:rPr>
              <m:t>H</m:t>
            </m:r>
          </m:sub>
        </m:sSub>
      </m:oMath>
      <w:r w:rsidR="00FE07D0" w:rsidRPr="00536395">
        <w:rPr>
          <w:rFonts w:cs="Times New Roman"/>
          <w:color w:val="000000" w:themeColor="text1"/>
          <w:kern w:val="24"/>
          <w:szCs w:val="24"/>
        </w:rPr>
        <w:t>,</w:t>
      </w:r>
      <m:oMath>
        <m:sSub>
          <m:sSubPr>
            <m:ctrlPr>
              <w:rPr>
                <w:rFonts w:ascii="Cambria Math" w:hAnsi="Cambria Math" w:cs="Times New Roman"/>
                <w:color w:val="000000" w:themeColor="text1"/>
                <w:kern w:val="24"/>
                <w:szCs w:val="24"/>
              </w:rPr>
            </m:ctrlPr>
          </m:sSubPr>
          <m:e>
            <m:r>
              <m:rPr>
                <m:sty m:val="p"/>
              </m:rPr>
              <w:rPr>
                <w:rFonts w:ascii="Cambria Math" w:hAnsi="Cambria Math" w:cs="Times New Roman"/>
                <w:color w:val="000000" w:themeColor="text1"/>
                <w:kern w:val="24"/>
                <w:szCs w:val="24"/>
              </w:rPr>
              <m:t>σ</m:t>
            </m:r>
          </m:e>
          <m:sub>
            <m:r>
              <m:rPr>
                <m:sty m:val="p"/>
              </m:rPr>
              <w:rPr>
                <w:rFonts w:ascii="Cambria Math" w:hAnsi="Cambria Math" w:cs="Times New Roman"/>
                <w:color w:val="000000" w:themeColor="text1"/>
                <w:kern w:val="24"/>
                <w:szCs w:val="24"/>
              </w:rPr>
              <m:t>h</m:t>
            </m:r>
          </m:sub>
        </m:sSub>
      </m:oMath>
      <w:r w:rsidR="00FE07D0" w:rsidRPr="00536395">
        <w:rPr>
          <w:rFonts w:cs="Times New Roman"/>
          <w:color w:val="000000" w:themeColor="text1"/>
          <w:kern w:val="24"/>
          <w:szCs w:val="24"/>
        </w:rPr>
        <w:t>) given everything else we knew before the observation</w:t>
      </w:r>
    </w:p>
    <w:p w14:paraId="0C657C1E" w14:textId="50B287D7" w:rsidR="009F2CF1" w:rsidRDefault="009F2CF1" w:rsidP="00B07616">
      <w:pPr>
        <w:rPr>
          <w:rFonts w:eastAsiaTheme="majorEastAsia" w:cstheme="majorBidi"/>
          <w:szCs w:val="32"/>
        </w:rPr>
      </w:pPr>
      <w:r w:rsidRPr="009F2CF1">
        <w:rPr>
          <w:rFonts w:eastAsiaTheme="majorEastAsia" w:cstheme="majorBidi"/>
          <w:szCs w:val="32"/>
        </w:rPr>
        <w:t xml:space="preserve">Applying the Bayesian model, the posterior joint probability distribution of the </w:t>
      </w:r>
      <w:r w:rsidR="00E24D31">
        <w:rPr>
          <w:rFonts w:eastAsiaTheme="majorEastAsia" w:cstheme="majorBidi"/>
          <w:szCs w:val="32"/>
        </w:rPr>
        <w:t xml:space="preserve">current stress state </w:t>
      </w:r>
      <w:r w:rsidRPr="009F2CF1">
        <w:rPr>
          <w:rFonts w:eastAsiaTheme="majorEastAsia" w:cstheme="majorBidi"/>
          <w:szCs w:val="32"/>
        </w:rPr>
        <w:t>is first computed. Using random samples from this posterior distribution, the probability for a critically oriented fault to be activated is then computed in a neighborhood of different pore pressures</w:t>
      </w:r>
      <w:r w:rsidR="00E24D31">
        <w:rPr>
          <w:rFonts w:eastAsiaTheme="majorEastAsia" w:cstheme="majorBidi"/>
          <w:szCs w:val="32"/>
        </w:rPr>
        <w:t>, to</w:t>
      </w:r>
      <w:r w:rsidR="00E24D31" w:rsidRPr="00E24D31">
        <w:t xml:space="preserve"> </w:t>
      </w:r>
      <w:r w:rsidR="00E24D31" w:rsidRPr="00E24D31">
        <w:rPr>
          <w:rFonts w:eastAsiaTheme="majorEastAsia" w:cstheme="majorBidi"/>
          <w:szCs w:val="32"/>
        </w:rPr>
        <w:t>evaluate how the stress is expected to change with pore pressure</w:t>
      </w:r>
      <w:r w:rsidRPr="009F2CF1">
        <w:rPr>
          <w:rFonts w:eastAsiaTheme="majorEastAsia" w:cstheme="majorBidi"/>
          <w:szCs w:val="32"/>
        </w:rPr>
        <w:t xml:space="preserve">. The next step is to </w:t>
      </w:r>
      <w:r w:rsidRPr="009F2CF1">
        <w:rPr>
          <w:rFonts w:eastAsiaTheme="majorEastAsia" w:cstheme="majorBidi"/>
          <w:szCs w:val="32"/>
        </w:rPr>
        <w:lastRenderedPageBreak/>
        <w:t>quantify the certainty of current stress state</w:t>
      </w:r>
      <w:r w:rsidR="00E24D31">
        <w:rPr>
          <w:rFonts w:eastAsiaTheme="majorEastAsia" w:cstheme="majorBidi"/>
          <w:szCs w:val="32"/>
        </w:rPr>
        <w:t xml:space="preserve"> by evaluating t</w:t>
      </w:r>
      <w:r w:rsidRPr="009F2CF1">
        <w:rPr>
          <w:rFonts w:eastAsiaTheme="majorEastAsia" w:cstheme="majorBidi"/>
          <w:szCs w:val="32"/>
        </w:rPr>
        <w:t>he probability for a critically oriented fault to be activated is then estimated for a neighborhood of different pore pressures using the pre-determined state of stress probability distributions as an input.</w:t>
      </w:r>
    </w:p>
    <w:p w14:paraId="6C122483" w14:textId="318BDCE7" w:rsidR="0016006C" w:rsidRDefault="0016006C" w:rsidP="00FA7558">
      <w:pPr>
        <w:pStyle w:val="Caption"/>
      </w:pPr>
      <w:r>
        <w:rPr>
          <w:noProof/>
        </w:rPr>
        <w:drawing>
          <wp:inline distT="0" distB="0" distL="0" distR="0" wp14:anchorId="138CE688" wp14:editId="0C7CD814">
            <wp:extent cx="6281860" cy="176961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18775" cy="1780009"/>
                    </a:xfrm>
                    <a:prstGeom prst="rect">
                      <a:avLst/>
                    </a:prstGeom>
                    <a:noFill/>
                  </pic:spPr>
                </pic:pic>
              </a:graphicData>
            </a:graphic>
          </wp:inline>
        </w:drawing>
      </w:r>
    </w:p>
    <w:p w14:paraId="48029061" w14:textId="4B6E7194" w:rsidR="00F05657" w:rsidRPr="00F05657" w:rsidRDefault="009E3406" w:rsidP="00FA7558">
      <w:pPr>
        <w:pStyle w:val="Caption"/>
      </w:pPr>
      <w:bookmarkStart w:id="54" w:name="_Toc112856556"/>
      <w:bookmarkStart w:id="55" w:name="_Toc121265854"/>
      <w:r>
        <w:t xml:space="preserve">Figure </w:t>
      </w:r>
      <w:fldSimple w:instr=" SEQ Figure \* ARABIC ">
        <w:r w:rsidR="00955725">
          <w:rPr>
            <w:noProof/>
          </w:rPr>
          <w:t>11</w:t>
        </w:r>
      </w:fldSimple>
      <w:r>
        <w:t xml:space="preserve">: </w:t>
      </w:r>
      <w:r w:rsidRPr="002303AD">
        <w:t>Stress as Joint Probabilities</w:t>
      </w:r>
      <w:r w:rsidR="0016006C">
        <w:t xml:space="preserve">. Modified from </w:t>
      </w:r>
      <w:sdt>
        <w:sdtPr>
          <w:id w:val="281924724"/>
          <w:citation/>
        </w:sdtPr>
        <w:sdtContent>
          <w:r>
            <w:fldChar w:fldCharType="begin"/>
          </w:r>
          <w:r>
            <w:instrText xml:space="preserve"> CITATION Bur211 \l 1033 </w:instrText>
          </w:r>
          <w:r>
            <w:fldChar w:fldCharType="separate"/>
          </w:r>
          <w:r w:rsidR="00C84822">
            <w:rPr>
              <w:noProof/>
            </w:rPr>
            <w:t>(Burghardt, SOSAT, 2021)</w:t>
          </w:r>
          <w:r>
            <w:fldChar w:fldCharType="end"/>
          </w:r>
        </w:sdtContent>
      </w:sdt>
      <w:bookmarkEnd w:id="54"/>
      <w:bookmarkEnd w:id="55"/>
    </w:p>
    <w:p w14:paraId="7AAD3C3D" w14:textId="11E70C80" w:rsidR="00136C8D" w:rsidRDefault="001E13CC" w:rsidP="00536395">
      <w:pPr>
        <w:pStyle w:val="Heading2"/>
      </w:pPr>
      <w:bookmarkStart w:id="56" w:name="_Toc121265823"/>
      <w:r>
        <w:t>3</w:t>
      </w:r>
      <w:r w:rsidR="00136C8D">
        <w:t>.</w:t>
      </w:r>
      <w:r w:rsidR="00DE3D6A">
        <w:t>4</w:t>
      </w:r>
      <w:r w:rsidR="00136C8D">
        <w:t xml:space="preserve"> Data Requirement</w:t>
      </w:r>
      <w:r w:rsidR="00A6152D">
        <w:t>s</w:t>
      </w:r>
      <w:bookmarkEnd w:id="56"/>
    </w:p>
    <w:p w14:paraId="7ECC8FA4" w14:textId="5054EAFC" w:rsidR="00136C8D" w:rsidRDefault="00223AFC" w:rsidP="00136C8D">
      <w:pPr>
        <w:rPr>
          <w:rFonts w:eastAsiaTheme="majorEastAsia" w:cstheme="majorBidi"/>
          <w:szCs w:val="32"/>
        </w:rPr>
      </w:pPr>
      <w:r>
        <w:rPr>
          <w:rFonts w:eastAsiaTheme="majorEastAsia" w:cstheme="majorBidi"/>
          <w:szCs w:val="32"/>
        </w:rPr>
        <w:t>The main</w:t>
      </w:r>
      <w:r w:rsidR="00873B5F">
        <w:rPr>
          <w:rFonts w:eastAsiaTheme="majorEastAsia" w:cstheme="majorBidi"/>
          <w:szCs w:val="32"/>
        </w:rPr>
        <w:t xml:space="preserve"> parameters required are the </w:t>
      </w:r>
      <w:r w:rsidR="00873B5F" w:rsidRPr="00136C8D">
        <w:rPr>
          <w:rFonts w:eastAsiaTheme="majorEastAsia" w:cstheme="majorBidi"/>
          <w:szCs w:val="32"/>
        </w:rPr>
        <w:t>reservoir properties</w:t>
      </w:r>
      <w:r w:rsidR="00873B5F">
        <w:rPr>
          <w:rFonts w:eastAsiaTheme="majorEastAsia" w:cstheme="majorBidi"/>
          <w:szCs w:val="32"/>
        </w:rPr>
        <w:t xml:space="preserve">, the regional stress </w:t>
      </w:r>
      <w:r w:rsidR="00A75E00">
        <w:rPr>
          <w:rFonts w:eastAsiaTheme="majorEastAsia" w:cstheme="majorBidi"/>
          <w:szCs w:val="32"/>
        </w:rPr>
        <w:t>information,</w:t>
      </w:r>
      <w:r w:rsidR="00873B5F">
        <w:rPr>
          <w:rFonts w:eastAsiaTheme="majorEastAsia" w:cstheme="majorBidi"/>
          <w:szCs w:val="32"/>
        </w:rPr>
        <w:t xml:space="preserve"> and the stress measurement parameters.</w:t>
      </w:r>
    </w:p>
    <w:p w14:paraId="673E13CC" w14:textId="45D943DB" w:rsidR="007B75FE" w:rsidRDefault="001E13CC" w:rsidP="007B75FE">
      <w:pPr>
        <w:pStyle w:val="Heading3"/>
      </w:pPr>
      <w:bookmarkStart w:id="57" w:name="_Toc121265824"/>
      <w:r>
        <w:t>3</w:t>
      </w:r>
      <w:r w:rsidR="007B75FE">
        <w:t>.</w:t>
      </w:r>
      <w:r w:rsidR="00DE3D6A">
        <w:t>4</w:t>
      </w:r>
      <w:r w:rsidR="007B75FE">
        <w:t>.1 Reservoir properties</w:t>
      </w:r>
      <w:bookmarkEnd w:id="57"/>
    </w:p>
    <w:p w14:paraId="2E1C6F49" w14:textId="3EE34C26" w:rsidR="007B75FE" w:rsidRPr="00C12097" w:rsidRDefault="007B75FE" w:rsidP="007B75FE">
      <w:pPr>
        <w:rPr>
          <w:rFonts w:eastAsia="Times New Roman"/>
        </w:rPr>
      </w:pPr>
      <w:r w:rsidRPr="00C12097">
        <w:rPr>
          <w:rFonts w:eastAsia="Times New Roman"/>
          <w:b/>
          <w:bCs/>
        </w:rPr>
        <w:t>Reservoir Depth</w:t>
      </w:r>
      <w:r>
        <w:rPr>
          <w:rFonts w:eastAsia="Times New Roman"/>
          <w:b/>
          <w:bCs/>
        </w:rPr>
        <w:t xml:space="preserve">: </w:t>
      </w:r>
      <w:r w:rsidR="00F05657">
        <w:rPr>
          <w:rFonts w:eastAsia="Times New Roman"/>
        </w:rPr>
        <w:t>this p</w:t>
      </w:r>
      <w:r w:rsidRPr="00C12097">
        <w:rPr>
          <w:rFonts w:eastAsia="Times New Roman"/>
        </w:rPr>
        <w:t>arameter is the true vertical depth (TVD) of this location.</w:t>
      </w:r>
    </w:p>
    <w:p w14:paraId="13E61305" w14:textId="632B29FA" w:rsidR="007B75FE" w:rsidRPr="00A42A29" w:rsidRDefault="007B75FE" w:rsidP="007B75FE">
      <w:pPr>
        <w:rPr>
          <w:rFonts w:eastAsia="Times New Roman"/>
        </w:rPr>
      </w:pPr>
      <w:r w:rsidRPr="00C12097">
        <w:rPr>
          <w:rFonts w:eastAsia="Times New Roman"/>
          <w:b/>
          <w:bCs/>
        </w:rPr>
        <w:t>Pore pressure gradient</w:t>
      </w:r>
      <w:r>
        <w:rPr>
          <w:rFonts w:eastAsia="Times New Roman"/>
          <w:b/>
          <w:bCs/>
        </w:rPr>
        <w:t xml:space="preserve">: </w:t>
      </w:r>
      <w:r w:rsidRPr="00A42A29">
        <w:rPr>
          <w:rFonts w:eastAsia="Times New Roman"/>
        </w:rPr>
        <w:t>the expected pore pressure at this depth, divided by the TVD</w:t>
      </w:r>
      <w:r w:rsidR="00A6152D">
        <w:rPr>
          <w:rFonts w:eastAsia="Times New Roman"/>
        </w:rPr>
        <w:t>.</w:t>
      </w:r>
    </w:p>
    <w:p w14:paraId="7C7475F0" w14:textId="3894DECD" w:rsidR="007B75FE" w:rsidRDefault="007B75FE" w:rsidP="007B75FE">
      <w:pPr>
        <w:rPr>
          <w:rFonts w:eastAsia="Times New Roman"/>
        </w:rPr>
      </w:pPr>
      <w:r w:rsidRPr="00C12097">
        <w:rPr>
          <w:rFonts w:eastAsia="Times New Roman"/>
          <w:b/>
          <w:bCs/>
        </w:rPr>
        <w:t>Average overburden density</w:t>
      </w:r>
      <w:r>
        <w:rPr>
          <w:rFonts w:eastAsia="Times New Roman"/>
        </w:rPr>
        <w:t xml:space="preserve">: it </w:t>
      </w:r>
      <w:r w:rsidRPr="00C12097">
        <w:rPr>
          <w:rFonts w:eastAsia="Times New Roman"/>
        </w:rPr>
        <w:t>is the average density of the formations overlying the</w:t>
      </w:r>
      <w:r>
        <w:rPr>
          <w:rFonts w:eastAsia="Times New Roman"/>
        </w:rPr>
        <w:t xml:space="preserve"> </w:t>
      </w:r>
      <w:r w:rsidRPr="00C12097">
        <w:rPr>
          <w:rFonts w:eastAsia="Times New Roman"/>
        </w:rPr>
        <w:t>depth of interest.</w:t>
      </w:r>
      <w:r>
        <w:rPr>
          <w:rFonts w:eastAsia="Times New Roman"/>
        </w:rPr>
        <w:t xml:space="preserve"> </w:t>
      </w:r>
      <w:r w:rsidRPr="00C12097">
        <w:rPr>
          <w:rFonts w:eastAsia="Times New Roman"/>
        </w:rPr>
        <w:t>Ideally this</w:t>
      </w:r>
      <w:r>
        <w:rPr>
          <w:rFonts w:eastAsia="Times New Roman"/>
        </w:rPr>
        <w:t xml:space="preserve"> </w:t>
      </w:r>
      <w:r w:rsidRPr="00C12097">
        <w:rPr>
          <w:rFonts w:eastAsia="Times New Roman"/>
        </w:rPr>
        <w:t>would be calculated using density logs all the way to the surface. In cases where density logs are</w:t>
      </w:r>
      <w:r>
        <w:rPr>
          <w:rFonts w:eastAsia="Times New Roman"/>
        </w:rPr>
        <w:t xml:space="preserve"> </w:t>
      </w:r>
      <w:r w:rsidRPr="00C12097">
        <w:rPr>
          <w:rFonts w:eastAsia="Times New Roman"/>
        </w:rPr>
        <w:t>available, but do not extend to the surface, there are methods for extrapolating it in a reasonable</w:t>
      </w:r>
      <w:r>
        <w:rPr>
          <w:rFonts w:eastAsia="Times New Roman"/>
        </w:rPr>
        <w:t xml:space="preserve"> </w:t>
      </w:r>
      <w:r w:rsidRPr="00C12097">
        <w:rPr>
          <w:rFonts w:eastAsia="Times New Roman"/>
        </w:rPr>
        <w:t xml:space="preserve">way. In cases where density logs are not available, then a </w:t>
      </w:r>
      <w:r w:rsidRPr="00C12097">
        <w:rPr>
          <w:rFonts w:eastAsia="Times New Roman"/>
        </w:rPr>
        <w:lastRenderedPageBreak/>
        <w:t>reasonable average value can be used</w:t>
      </w:r>
      <w:r>
        <w:rPr>
          <w:rFonts w:eastAsia="Times New Roman"/>
        </w:rPr>
        <w:t xml:space="preserve"> </w:t>
      </w:r>
      <w:r w:rsidRPr="00C12097">
        <w:rPr>
          <w:rFonts w:eastAsia="Times New Roman"/>
        </w:rPr>
        <w:t>with knowledge of the lithology of the overlying formations, or from nearby wells where density</w:t>
      </w:r>
      <w:r>
        <w:rPr>
          <w:rFonts w:eastAsia="Times New Roman"/>
        </w:rPr>
        <w:t xml:space="preserve"> </w:t>
      </w:r>
      <w:r w:rsidRPr="00C12097">
        <w:rPr>
          <w:rFonts w:eastAsia="Times New Roman"/>
        </w:rPr>
        <w:t>logs are available.</w:t>
      </w:r>
    </w:p>
    <w:p w14:paraId="1ADD7133" w14:textId="122008B0" w:rsidR="007B75FE" w:rsidRDefault="007B75FE" w:rsidP="007B75FE">
      <w:pPr>
        <w:rPr>
          <w:rFonts w:eastAsia="Times New Roman"/>
        </w:rPr>
      </w:pPr>
      <w:r w:rsidRPr="00C12097">
        <w:rPr>
          <w:rFonts w:eastAsia="Times New Roman"/>
          <w:b/>
          <w:bCs/>
        </w:rPr>
        <w:t>Maximum injection pressure</w:t>
      </w:r>
      <w:r>
        <w:rPr>
          <w:rFonts w:eastAsia="Times New Roman"/>
        </w:rPr>
        <w:t xml:space="preserve">: this </w:t>
      </w:r>
      <w:r w:rsidRPr="00C12097">
        <w:rPr>
          <w:rFonts w:eastAsia="Times New Roman"/>
        </w:rPr>
        <w:t>is the maximum pore pressure that will be</w:t>
      </w:r>
      <w:r>
        <w:rPr>
          <w:rFonts w:eastAsia="Times New Roman"/>
        </w:rPr>
        <w:t xml:space="preserve"> </w:t>
      </w:r>
      <w:r w:rsidRPr="00C12097">
        <w:rPr>
          <w:rFonts w:eastAsia="Times New Roman"/>
        </w:rPr>
        <w:t>used in the fault activation probability calculations. This parameter is expressed in terms of the</w:t>
      </w:r>
      <w:r>
        <w:rPr>
          <w:rFonts w:eastAsia="Times New Roman"/>
        </w:rPr>
        <w:t xml:space="preserve"> </w:t>
      </w:r>
      <w:r w:rsidRPr="00C12097">
        <w:rPr>
          <w:rFonts w:eastAsia="Times New Roman"/>
        </w:rPr>
        <w:t>total gauge pressure, not as an overpressure relative to the initial formation pressure</w:t>
      </w:r>
      <w:r>
        <w:rPr>
          <w:rFonts w:eastAsia="Times New Roman"/>
        </w:rPr>
        <w:t>.</w:t>
      </w:r>
    </w:p>
    <w:p w14:paraId="1A811499" w14:textId="40FFC747" w:rsidR="00BF0A0E" w:rsidRDefault="00BF0A0E" w:rsidP="00BF0A0E">
      <w:r w:rsidRPr="007B75FE">
        <w:rPr>
          <w:b/>
          <w:bCs/>
        </w:rPr>
        <w:t>Median friction coefficient and Standard Deviation of logarithm of fault friction coefficient</w:t>
      </w:r>
      <w:r>
        <w:t>: frictional properties of specific faults and fractures existing at a given site is generally not feasible to collect</w:t>
      </w:r>
      <w:r w:rsidR="007A399A">
        <w:t>,</w:t>
      </w:r>
      <w:r>
        <w:t xml:space="preserve"> hence significant uncertainty remains in which frictional properties should be used. </w:t>
      </w:r>
      <w:r w:rsidR="00E24D31" w:rsidRPr="00E24D31">
        <w:t>SOSAT uses a lognormal distribution for the friction coefficient</w:t>
      </w:r>
      <w:r w:rsidR="00E24D31">
        <w:t xml:space="preserve">. </w:t>
      </w:r>
      <w:r>
        <w:t>Fictional properties have been measured in the laboratory, and inferred from field data, for a wide variety of rock and interface types. These data show that a typical value of the friction coefficient is 0.6–0.7, but occasionally values much lower or greater than this have been measured. The default values in the SOSAT are 0.7 for the median of the friction coefficient, and 0.15 for the standard deviation of the logarithm of the friction coefficient.</w:t>
      </w:r>
    </w:p>
    <w:p w14:paraId="71FA0D2B" w14:textId="68A62959" w:rsidR="00BF0A0E" w:rsidRPr="00BF0A0E" w:rsidRDefault="00BF0A0E" w:rsidP="00BF0A0E">
      <w:r w:rsidRPr="007B75FE">
        <w:rPr>
          <w:b/>
          <w:bCs/>
        </w:rPr>
        <w:t>Maximum possible friction coefficient</w:t>
      </w:r>
      <w:r>
        <w:t xml:space="preserve">: </w:t>
      </w:r>
      <w:r w:rsidR="007A399A">
        <w:t>according t</w:t>
      </w:r>
      <w:r>
        <w:t xml:space="preserve">o the </w:t>
      </w:r>
      <w:sdt>
        <w:sdtPr>
          <w:id w:val="308980183"/>
          <w:citation/>
        </w:sdtPr>
        <w:sdtContent>
          <w:r w:rsidR="00E21D36">
            <w:fldChar w:fldCharType="begin"/>
          </w:r>
          <w:r w:rsidR="00E21D36">
            <w:instrText xml:space="preserve"> CITATION Bur18 \l 1033 </w:instrText>
          </w:r>
          <w:r w:rsidR="00E21D36">
            <w:fldChar w:fldCharType="separate"/>
          </w:r>
          <w:r w:rsidR="00C84822">
            <w:rPr>
              <w:noProof/>
            </w:rPr>
            <w:t>(Burghardt, Geomechanical Risk Assessment for, 2018)</w:t>
          </w:r>
          <w:r w:rsidR="00E21D36">
            <w:fldChar w:fldCharType="end"/>
          </w:r>
        </w:sdtContent>
      </w:sdt>
      <w:r>
        <w:t>’s knowledge friction coefficients in excess of about 1.5 have not been observed with any rock types.</w:t>
      </w:r>
    </w:p>
    <w:p w14:paraId="04EE0D0C" w14:textId="7E8644B0" w:rsidR="00136C8D" w:rsidRDefault="001E13CC" w:rsidP="007B75FE">
      <w:pPr>
        <w:pStyle w:val="Heading3"/>
      </w:pPr>
      <w:bookmarkStart w:id="58" w:name="_Toc121265825"/>
      <w:r>
        <w:t>3</w:t>
      </w:r>
      <w:r w:rsidR="007B75FE">
        <w:t>.</w:t>
      </w:r>
      <w:r w:rsidR="00DE3D6A">
        <w:t>4</w:t>
      </w:r>
      <w:r w:rsidR="007B75FE">
        <w:t xml:space="preserve">.2 </w:t>
      </w:r>
      <w:r w:rsidR="007B75FE" w:rsidRPr="00136C8D">
        <w:t>Regional Stress Info Parameters</w:t>
      </w:r>
      <w:bookmarkEnd w:id="58"/>
    </w:p>
    <w:p w14:paraId="4217BB2A" w14:textId="2F8CD7EB" w:rsidR="007B75FE" w:rsidRDefault="007B75FE" w:rsidP="007B75FE">
      <w:r w:rsidRPr="007B75FE">
        <w:rPr>
          <w:b/>
          <w:bCs/>
        </w:rPr>
        <w:t>Normal faulting weight, Strike-slip faulting weight and Thrust faulting weight</w:t>
      </w:r>
      <w:r>
        <w:t xml:space="preserve">: The three weights are relative in the sense that their absolute magnitude does not matter, only their relative magnitudes. </w:t>
      </w:r>
    </w:p>
    <w:p w14:paraId="72CA0539" w14:textId="5D7D9BD3" w:rsidR="007B75FE" w:rsidRPr="007B75FE" w:rsidRDefault="007B75FE" w:rsidP="007B75FE">
      <w:r w:rsidRPr="007B75FE">
        <w:rPr>
          <w:b/>
          <w:bCs/>
        </w:rPr>
        <w:lastRenderedPageBreak/>
        <w:t>K-thrust and K-SS</w:t>
      </w:r>
      <w:r>
        <w:t xml:space="preserve">: </w:t>
      </w:r>
      <w:r w:rsidR="00E24D31" w:rsidRPr="00E24D31">
        <w:t>these are logistic function</w:t>
      </w:r>
      <w:r w:rsidR="00E24D31">
        <w:t xml:space="preserve"> p</w:t>
      </w:r>
      <w:r>
        <w:t xml:space="preserve">arameters </w:t>
      </w:r>
      <w:r w:rsidR="00E24D31">
        <w:t>that control</w:t>
      </w:r>
      <w:r>
        <w:t xml:space="preserve"> the shape of the transition between the different faulting regimes.</w:t>
      </w:r>
      <w:r w:rsidR="00E24D31">
        <w:t xml:space="preserve"> A larger value means the regime would transition abruptly.</w:t>
      </w:r>
    </w:p>
    <w:p w14:paraId="350AB7CF" w14:textId="0256D0D0" w:rsidR="00136C8D" w:rsidRDefault="001E13CC" w:rsidP="007B75FE">
      <w:pPr>
        <w:pStyle w:val="Heading3"/>
        <w:rPr>
          <w:szCs w:val="32"/>
        </w:rPr>
      </w:pPr>
      <w:bookmarkStart w:id="59" w:name="_Toc121265826"/>
      <w:r>
        <w:t>3</w:t>
      </w:r>
      <w:r w:rsidR="007B75FE">
        <w:t>.</w:t>
      </w:r>
      <w:r w:rsidR="00DE3D6A">
        <w:t>4</w:t>
      </w:r>
      <w:r w:rsidR="007B75FE">
        <w:t xml:space="preserve">.3 </w:t>
      </w:r>
      <w:r w:rsidR="007B75FE" w:rsidRPr="00136C8D">
        <w:rPr>
          <w:szCs w:val="32"/>
        </w:rPr>
        <w:t>Stress Measurement Parameters</w:t>
      </w:r>
      <w:bookmarkEnd w:id="59"/>
    </w:p>
    <w:p w14:paraId="4DFA5B43" w14:textId="4686C412" w:rsidR="00BF0A0E" w:rsidRDefault="00BF0A0E" w:rsidP="00BF0A0E">
      <w:r w:rsidRPr="00BF0A0E">
        <w:rPr>
          <w:b/>
          <w:bCs/>
        </w:rPr>
        <w:t>Mean of the minimum principal stress measurement and Standard deviation of the</w:t>
      </w:r>
      <w:r w:rsidR="00F55DBA">
        <w:rPr>
          <w:b/>
          <w:bCs/>
        </w:rPr>
        <w:t xml:space="preserve"> </w:t>
      </w:r>
      <w:r w:rsidRPr="00BF0A0E">
        <w:rPr>
          <w:b/>
          <w:bCs/>
        </w:rPr>
        <w:t>minimum principal stress measurement</w:t>
      </w:r>
      <w:r>
        <w:t xml:space="preserve">: Stress measurements based on mini-frac or </w:t>
      </w:r>
      <w:r w:rsidR="00F16E22">
        <w:t>extended leak-off (</w:t>
      </w:r>
      <w:r>
        <w:t>XLOT</w:t>
      </w:r>
      <w:r w:rsidR="00F16E22">
        <w:t>)</w:t>
      </w:r>
      <w:r>
        <w:t xml:space="preserve"> tests typically use a set of assumptions about the induced fracture geometry and behavior. Most commonly, it is assumed that the fracture is planar and opens under pure tensile opening and that </w:t>
      </w:r>
      <w:r w:rsidR="00F16E22">
        <w:t>leaks</w:t>
      </w:r>
      <w:r>
        <w:t xml:space="preserve"> off into the formation follows a relatively simple functional relationship that is independent of pressure.</w:t>
      </w:r>
      <w:r w:rsidR="00E5691D">
        <w:t xml:space="preserve"> A normal distribution is used to represent the mean and standard deviation.</w:t>
      </w:r>
    </w:p>
    <w:p w14:paraId="1D1F0BD1" w14:textId="1D4CF562" w:rsidR="00B07616" w:rsidRDefault="001E13CC" w:rsidP="004F11A5">
      <w:pPr>
        <w:pStyle w:val="Heading2"/>
      </w:pPr>
      <w:bookmarkStart w:id="60" w:name="_Toc121265827"/>
      <w:r>
        <w:t>3</w:t>
      </w:r>
      <w:r w:rsidR="004F11A5">
        <w:t>.</w:t>
      </w:r>
      <w:r w:rsidR="00DE3D6A">
        <w:t>5</w:t>
      </w:r>
      <w:r w:rsidR="004F11A5">
        <w:t xml:space="preserve"> </w:t>
      </w:r>
      <w:r w:rsidR="008A4360">
        <w:t xml:space="preserve">Introduction to </w:t>
      </w:r>
      <w:r w:rsidR="00B07616">
        <w:t>Area of Study</w:t>
      </w:r>
      <w:bookmarkEnd w:id="60"/>
    </w:p>
    <w:p w14:paraId="4B150154" w14:textId="4378B43D" w:rsidR="00B07616" w:rsidRDefault="00B07616" w:rsidP="00CB7660">
      <w:r>
        <w:t xml:space="preserve">The </w:t>
      </w:r>
      <w:r w:rsidRPr="001E577D">
        <w:t>Arbuckle</w:t>
      </w:r>
      <w:r>
        <w:t xml:space="preserve"> </w:t>
      </w:r>
      <w:r w:rsidR="00547D7E">
        <w:t>Group</w:t>
      </w:r>
      <w:r w:rsidR="00F55DBA">
        <w:t xml:space="preserve"> </w:t>
      </w:r>
      <w:r w:rsidR="00F55DBA" w:rsidRPr="00A06B2C">
        <w:t>underlay</w:t>
      </w:r>
      <w:r w:rsidR="00F55DBA">
        <w:t>s</w:t>
      </w:r>
      <w:r w:rsidR="00F55DBA" w:rsidRPr="00A06B2C">
        <w:t xml:space="preserve"> most of Oklahoma</w:t>
      </w:r>
      <w:r w:rsidR="00F55DBA">
        <w:t xml:space="preserve">, Kansas, </w:t>
      </w:r>
      <w:r w:rsidR="00F55DBA" w:rsidRPr="00A06B2C">
        <w:t>and adjacent states</w:t>
      </w:r>
      <w:r w:rsidR="00F55DBA">
        <w:t xml:space="preserve"> and</w:t>
      </w:r>
      <w:r>
        <w:t xml:space="preserve"> was</w:t>
      </w:r>
      <w:r w:rsidRPr="00A06B2C">
        <w:t xml:space="preserve"> deposited during</w:t>
      </w:r>
      <w:r>
        <w:t xml:space="preserve"> </w:t>
      </w:r>
      <w:r w:rsidRPr="00A06B2C">
        <w:t xml:space="preserve">the Middle Cambrian to Late Ordovician </w:t>
      </w:r>
      <w:r>
        <w:t>period</w:t>
      </w:r>
      <w:r w:rsidRPr="00A06B2C">
        <w:t xml:space="preserve"> </w:t>
      </w:r>
      <w:sdt>
        <w:sdtPr>
          <w:id w:val="579638693"/>
          <w:lock w:val="contentLocked"/>
          <w:placeholder>
            <w:docPart w:val="79E789B27C2E4306AB9ADD6F950171DB"/>
          </w:placeholder>
          <w:citation/>
        </w:sdtPr>
        <w:sdtContent>
          <w:r>
            <w:fldChar w:fldCharType="begin"/>
          </w:r>
          <w:r>
            <w:instrText xml:space="preserve">CITATION Chi \l 1033 </w:instrText>
          </w:r>
          <w:r>
            <w:fldChar w:fldCharType="separate"/>
          </w:r>
          <w:r w:rsidR="00C84822">
            <w:rPr>
              <w:noProof/>
            </w:rPr>
            <w:t>(Ching &amp; Friedman, 2000)</w:t>
          </w:r>
          <w:r>
            <w:fldChar w:fldCharType="end"/>
          </w:r>
        </w:sdtContent>
      </w:sdt>
      <w:r>
        <w:t xml:space="preserve">. </w:t>
      </w:r>
      <w:r w:rsidR="00F55DBA">
        <w:t xml:space="preserve"> T</w:t>
      </w:r>
      <w:r>
        <w:t xml:space="preserve">he lithology is mostly sandstone, </w:t>
      </w:r>
      <w:bookmarkStart w:id="61" w:name="_Int_722KAd8g"/>
      <w:r>
        <w:t>limestone</w:t>
      </w:r>
      <w:r w:rsidR="0243A666">
        <w:t>,</w:t>
      </w:r>
      <w:bookmarkEnd w:id="61"/>
      <w:r>
        <w:t xml:space="preserve"> and </w:t>
      </w:r>
      <w:r w:rsidRPr="00A06B2C">
        <w:t>dolomite with dolomitic shale</w:t>
      </w:r>
      <w:r>
        <w:t xml:space="preserve"> </w:t>
      </w:r>
      <w:sdt>
        <w:sdtPr>
          <w:id w:val="70322969"/>
          <w:lock w:val="contentLocked"/>
          <w:placeholder>
            <w:docPart w:val="79E789B27C2E4306AB9ADD6F950171DB"/>
          </w:placeholder>
          <w:citation/>
        </w:sdtPr>
        <w:sdtContent>
          <w:r>
            <w:fldChar w:fldCharType="begin"/>
          </w:r>
          <w:r>
            <w:instrText xml:space="preserve"> CITATION Rot18 \l 1033 </w:instrText>
          </w:r>
          <w:r>
            <w:fldChar w:fldCharType="separate"/>
          </w:r>
          <w:r w:rsidR="00C84822">
            <w:rPr>
              <w:noProof/>
            </w:rPr>
            <w:t>(Rottmann, 2018)</w:t>
          </w:r>
          <w:r>
            <w:fldChar w:fldCharType="end"/>
          </w:r>
        </w:sdtContent>
      </w:sdt>
      <w:r w:rsidRPr="00A06B2C">
        <w:t>.</w:t>
      </w:r>
      <w:r>
        <w:t xml:space="preserve"> The Oklahoma Geological Survey provided access to cores from the </w:t>
      </w:r>
      <w:r w:rsidR="00F56A3A">
        <w:t>g</w:t>
      </w:r>
      <w:r w:rsidR="00214C54">
        <w:t xml:space="preserve">roup and </w:t>
      </w:r>
      <w:r w:rsidR="00F56A3A">
        <w:t xml:space="preserve">when </w:t>
      </w:r>
      <w:r w:rsidR="00304577">
        <w:t>o</w:t>
      </w:r>
      <w:r>
        <w:t>ne core</w:t>
      </w:r>
      <w:r w:rsidR="00F56A3A">
        <w:t xml:space="preserve"> with its in-situ location located near many of the </w:t>
      </w:r>
      <w:r>
        <w:t xml:space="preserve">disposal wells was </w:t>
      </w:r>
      <w:r w:rsidR="00F56A3A">
        <w:t>studie</w:t>
      </w:r>
      <w:r>
        <w:t xml:space="preserve">d by </w:t>
      </w:r>
      <w:sdt>
        <w:sdtPr>
          <w:id w:val="-1348487078"/>
          <w:lock w:val="contentLocked"/>
          <w:placeholder>
            <w:docPart w:val="79E789B27C2E4306AB9ADD6F950171DB"/>
          </w:placeholder>
          <w:citation/>
        </w:sdtPr>
        <w:sdtContent>
          <w:r>
            <w:fldChar w:fldCharType="begin"/>
          </w:r>
          <w:r>
            <w:instrText xml:space="preserve"> CITATION Dan09 \l 1033 </w:instrText>
          </w:r>
          <w:r>
            <w:fldChar w:fldCharType="separate"/>
          </w:r>
          <w:r w:rsidR="00C84822">
            <w:rPr>
              <w:noProof/>
            </w:rPr>
            <w:t>(Daneshfar, Hughes, &amp; Civan, 2009)</w:t>
          </w:r>
          <w:r>
            <w:fldChar w:fldCharType="end"/>
          </w:r>
        </w:sdtContent>
      </w:sdt>
      <w:r>
        <w:t xml:space="preserve"> at the University of Oklahoma</w:t>
      </w:r>
      <w:r w:rsidR="00293F13">
        <w:t xml:space="preserve"> to analyze its composition</w:t>
      </w:r>
      <w:r>
        <w:t>. About 90% of the core was dolomite with the remaining indicating calcite, illite, quartz, and pyrite as listed in Table 1 below.</w:t>
      </w:r>
    </w:p>
    <w:p w14:paraId="70F0D339" w14:textId="42DD01A9" w:rsidR="00F16E22" w:rsidRDefault="00F16E22" w:rsidP="00CA62CF">
      <w:pPr>
        <w:pStyle w:val="Caption"/>
      </w:pPr>
      <w:r>
        <w:rPr>
          <w:noProof/>
        </w:rPr>
        <w:lastRenderedPageBreak/>
        <w:drawing>
          <wp:inline distT="0" distB="0" distL="0" distR="0" wp14:anchorId="2D349856" wp14:editId="2B1F9F82">
            <wp:extent cx="4864865" cy="3076763"/>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73320" cy="3082110"/>
                    </a:xfrm>
                    <a:prstGeom prst="rect">
                      <a:avLst/>
                    </a:prstGeom>
                    <a:noFill/>
                  </pic:spPr>
                </pic:pic>
              </a:graphicData>
            </a:graphic>
          </wp:inline>
        </w:drawing>
      </w:r>
    </w:p>
    <w:p w14:paraId="09F51979" w14:textId="343F7EB9" w:rsidR="00CA62CF" w:rsidRDefault="00B07616" w:rsidP="00CA62CF">
      <w:pPr>
        <w:pStyle w:val="Caption"/>
      </w:pPr>
      <w:bookmarkStart w:id="62" w:name="_Toc112856557"/>
      <w:bookmarkStart w:id="63" w:name="_Toc121265855"/>
      <w:r>
        <w:t xml:space="preserve">Figure </w:t>
      </w:r>
      <w:fldSimple w:instr=" SEQ Figure \* ARABIC ">
        <w:r w:rsidR="00955725">
          <w:rPr>
            <w:noProof/>
          </w:rPr>
          <w:t>12</w:t>
        </w:r>
      </w:fldSimple>
      <w:bookmarkEnd w:id="62"/>
      <w:r w:rsidR="00813908">
        <w:rPr>
          <w:noProof/>
        </w:rPr>
        <w:t>:</w:t>
      </w:r>
      <w:r w:rsidR="00C21C6B" w:rsidRPr="00C21C6B">
        <w:t xml:space="preserve"> </w:t>
      </w:r>
      <w:r w:rsidR="00C21C6B" w:rsidRPr="00ED01ED">
        <w:t xml:space="preserve">Map of Arbuckle Group. </w:t>
      </w:r>
      <w:r w:rsidR="008F09D6">
        <w:t xml:space="preserve">Modified </w:t>
      </w:r>
      <w:r w:rsidR="0010061D">
        <w:t>from</w:t>
      </w:r>
      <w:sdt>
        <w:sdtPr>
          <w:id w:val="-199857967"/>
          <w:citation/>
        </w:sdtPr>
        <w:sdtContent>
          <w:r w:rsidR="00C21C6B">
            <w:fldChar w:fldCharType="begin"/>
          </w:r>
          <w:r w:rsidR="00C21C6B">
            <w:instrText xml:space="preserve"> CITATION Bir22 \l 1033 </w:instrText>
          </w:r>
          <w:r w:rsidR="00C21C6B">
            <w:fldChar w:fldCharType="separate"/>
          </w:r>
          <w:r w:rsidR="00C84822">
            <w:rPr>
              <w:noProof/>
            </w:rPr>
            <w:t xml:space="preserve"> (Birdie, et al., Assessing Induced Seismicity Risk at the Wellington Geologic Sequestration Site, 2022)</w:t>
          </w:r>
          <w:r w:rsidR="00C21C6B">
            <w:fldChar w:fldCharType="end"/>
          </w:r>
        </w:sdtContent>
      </w:sdt>
      <w:bookmarkEnd w:id="63"/>
    </w:p>
    <w:p w14:paraId="2E2970DF" w14:textId="77777777" w:rsidR="00CA62CF" w:rsidRPr="00CA62CF" w:rsidRDefault="00CA62CF" w:rsidP="00CA62CF"/>
    <w:p w14:paraId="5BB0D511" w14:textId="1D5C0670" w:rsidR="00B07616" w:rsidRPr="00CA62CF" w:rsidRDefault="00813908" w:rsidP="009F6F03">
      <w:pPr>
        <w:pStyle w:val="Caption"/>
        <w:jc w:val="left"/>
      </w:pPr>
      <w:bookmarkStart w:id="64" w:name="_Toc120839860"/>
      <w:r>
        <w:t xml:space="preserve">Table </w:t>
      </w:r>
      <w:fldSimple w:instr=" SEQ Table \* ARABIC ">
        <w:r w:rsidR="00955725">
          <w:rPr>
            <w:noProof/>
          </w:rPr>
          <w:t>2</w:t>
        </w:r>
      </w:fldSimple>
      <w:r w:rsidR="00B07616">
        <w:t xml:space="preserve">: </w:t>
      </w:r>
      <w:r w:rsidR="00B07616" w:rsidRPr="00CA62CF">
        <w:t xml:space="preserve">Arbuckle core results </w:t>
      </w:r>
      <w:sdt>
        <w:sdtPr>
          <w:id w:val="1920365293"/>
          <w:citation/>
        </w:sdtPr>
        <w:sdtContent>
          <w:r w:rsidR="00B07616" w:rsidRPr="00CA62CF">
            <w:fldChar w:fldCharType="begin"/>
          </w:r>
          <w:r w:rsidR="00B07616" w:rsidRPr="00CA62CF">
            <w:instrText xml:space="preserve"> CITATION Dan09 \l 1033 </w:instrText>
          </w:r>
          <w:r w:rsidR="00B07616" w:rsidRPr="00CA62CF">
            <w:fldChar w:fldCharType="separate"/>
          </w:r>
          <w:r w:rsidR="00C84822">
            <w:rPr>
              <w:noProof/>
            </w:rPr>
            <w:t>(Daneshfar, Hughes, &amp; Civan, 2009)</w:t>
          </w:r>
          <w:r w:rsidR="00B07616" w:rsidRPr="00CA62CF">
            <w:fldChar w:fldCharType="end"/>
          </w:r>
        </w:sdtContent>
      </w:sdt>
      <w:bookmarkEnd w:id="64"/>
    </w:p>
    <w:p w14:paraId="29EAC9DD" w14:textId="77777777" w:rsidR="00B07616" w:rsidRPr="003B22AB" w:rsidRDefault="00B07616" w:rsidP="009F6F03">
      <w:pPr>
        <w:ind w:hanging="90"/>
      </w:pPr>
      <w:r>
        <w:rPr>
          <w:noProof/>
        </w:rPr>
        <w:drawing>
          <wp:inline distT="0" distB="0" distL="0" distR="0" wp14:anchorId="5D96062E" wp14:editId="40230C46">
            <wp:extent cx="6045200" cy="1168400"/>
            <wp:effectExtent l="0" t="0" r="0" b="0"/>
            <wp:docPr id="25" name="Picture 2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able&#10;&#10;Description automatically generated"/>
                    <pic:cNvPicPr>
                      <a:picLocks noChangeAspect="1"/>
                    </pic:cNvPicPr>
                  </pic:nvPicPr>
                  <pic:blipFill>
                    <a:blip r:embed="rId27"/>
                    <a:stretch>
                      <a:fillRect/>
                    </a:stretch>
                  </pic:blipFill>
                  <pic:spPr>
                    <a:xfrm>
                      <a:off x="0" y="0"/>
                      <a:ext cx="6087223" cy="1176522"/>
                    </a:xfrm>
                    <a:prstGeom prst="rect">
                      <a:avLst/>
                    </a:prstGeom>
                  </pic:spPr>
                </pic:pic>
              </a:graphicData>
            </a:graphic>
          </wp:inline>
        </w:drawing>
      </w:r>
    </w:p>
    <w:p w14:paraId="1510B0C3" w14:textId="0302BF30" w:rsidR="00F5662C" w:rsidRDefault="00B07616" w:rsidP="009A20F8">
      <w:r>
        <w:t>Considering existing disposal wells for this analysis, the data was used to simulate CO</w:t>
      </w:r>
      <w:r w:rsidRPr="004C2A0D">
        <w:rPr>
          <w:vertAlign w:val="subscript"/>
        </w:rPr>
        <w:t>2</w:t>
      </w:r>
      <w:r>
        <w:t xml:space="preserve"> </w:t>
      </w:r>
      <w:r w:rsidRPr="00FD1F8E">
        <w:t>sequestration</w:t>
      </w:r>
      <w:r>
        <w:t xml:space="preserve"> into the Arbuckle </w:t>
      </w:r>
      <w:r w:rsidR="0073478A">
        <w:t>Group</w:t>
      </w:r>
      <w:r>
        <w:t>. Most</w:t>
      </w:r>
      <w:r w:rsidRPr="001E6F32">
        <w:t xml:space="preserve"> of these wells </w:t>
      </w:r>
      <w:r>
        <w:t>were close to</w:t>
      </w:r>
      <w:r w:rsidRPr="001E6F32">
        <w:t xml:space="preserve"> power plants</w:t>
      </w:r>
      <w:r>
        <w:t xml:space="preserve">, </w:t>
      </w:r>
      <w:r w:rsidRPr="001E6F32">
        <w:t>provid</w:t>
      </w:r>
      <w:r>
        <w:t xml:space="preserve">ing a room to minimize </w:t>
      </w:r>
      <w:r w:rsidRPr="001E6F32">
        <w:t>transportation</w:t>
      </w:r>
      <w:r>
        <w:t xml:space="preserve"> </w:t>
      </w:r>
      <w:r w:rsidRPr="001E6F32">
        <w:t>costs</w:t>
      </w:r>
      <w:r>
        <w:t xml:space="preserve"> during </w:t>
      </w:r>
      <w:r w:rsidRPr="00FD1F8E">
        <w:t>sequestration</w:t>
      </w:r>
      <w:r>
        <w:t xml:space="preserve">. </w:t>
      </w:r>
      <w:r w:rsidRPr="001E6F32">
        <w:t>The</w:t>
      </w:r>
      <w:r>
        <w:t xml:space="preserve"> </w:t>
      </w:r>
      <w:r w:rsidR="00B33F4F">
        <w:t xml:space="preserve">location of these wells </w:t>
      </w:r>
      <w:r w:rsidR="00F56A3A">
        <w:t>is</w:t>
      </w:r>
      <w:r w:rsidR="00B33F4F">
        <w:t xml:space="preserve"> shown below and the summary</w:t>
      </w:r>
      <w:r>
        <w:t xml:space="preserve"> data for these wells are shown in Table 2 below. </w:t>
      </w:r>
      <w:r w:rsidR="00F56A3A">
        <w:t>The depth of c</w:t>
      </w:r>
      <w:r w:rsidRPr="001E6F32">
        <w:t xml:space="preserve">ompletion </w:t>
      </w:r>
      <w:r w:rsidR="00F56A3A">
        <w:t>for the wells was in the range of</w:t>
      </w:r>
      <w:r>
        <w:t xml:space="preserve"> </w:t>
      </w:r>
      <w:r w:rsidRPr="001E6F32">
        <w:t>1</w:t>
      </w:r>
      <w:r>
        <w:t>33</w:t>
      </w:r>
      <w:r w:rsidRPr="001E6F32">
        <w:t xml:space="preserve">5 ft </w:t>
      </w:r>
      <w:r w:rsidR="00F56A3A">
        <w:t>–</w:t>
      </w:r>
      <w:r w:rsidRPr="001E6F32">
        <w:t xml:space="preserve"> 7</w:t>
      </w:r>
      <w:r>
        <w:t>570</w:t>
      </w:r>
      <w:r w:rsidRPr="001E6F32">
        <w:t xml:space="preserve"> ft</w:t>
      </w:r>
      <w:r>
        <w:t>. Permeability and</w:t>
      </w:r>
      <w:r w:rsidRPr="001E6F32">
        <w:t xml:space="preserve"> average</w:t>
      </w:r>
      <w:r>
        <w:t xml:space="preserve"> </w:t>
      </w:r>
      <w:r w:rsidRPr="001E6F32">
        <w:t>porosity</w:t>
      </w:r>
      <w:r>
        <w:t xml:space="preserve"> </w:t>
      </w:r>
      <w:r w:rsidR="00F56A3A">
        <w:t xml:space="preserve">in the range of </w:t>
      </w:r>
      <w:r w:rsidRPr="001E6F32">
        <w:t>10</w:t>
      </w:r>
      <w:r w:rsidR="00F56A3A">
        <w:t xml:space="preserve"> – </w:t>
      </w:r>
      <w:r w:rsidRPr="001E6F32">
        <w:t>60 m</w:t>
      </w:r>
      <w:r>
        <w:t>illidarcy</w:t>
      </w:r>
      <w:r w:rsidR="00F56A3A">
        <w:t>,</w:t>
      </w:r>
      <w:r>
        <w:t xml:space="preserve"> and</w:t>
      </w:r>
      <w:r w:rsidRPr="001E6F32">
        <w:t xml:space="preserve"> between </w:t>
      </w:r>
      <w:r>
        <w:t xml:space="preserve">7% </w:t>
      </w:r>
      <w:r w:rsidR="00F56A3A">
        <w:t>–</w:t>
      </w:r>
      <w:r w:rsidRPr="001E6F32">
        <w:t xml:space="preserve"> 18% </w:t>
      </w:r>
      <w:r>
        <w:t>respectively</w:t>
      </w:r>
      <w:r w:rsidRPr="001E6F32">
        <w:t>.</w:t>
      </w:r>
      <w:r>
        <w:t xml:space="preserve"> The average property for </w:t>
      </w:r>
      <w:r w:rsidRPr="001E577D">
        <w:lastRenderedPageBreak/>
        <w:t>CO</w:t>
      </w:r>
      <w:r w:rsidRPr="004C2A0D">
        <w:rPr>
          <w:vertAlign w:val="subscript"/>
        </w:rPr>
        <w:t xml:space="preserve">2 </w:t>
      </w:r>
      <w:r w:rsidRPr="001E577D">
        <w:t xml:space="preserve">sequestration </w:t>
      </w:r>
      <w:r>
        <w:t xml:space="preserve">across the Arbuckle </w:t>
      </w:r>
      <w:r w:rsidR="0073478A">
        <w:t>Group</w:t>
      </w:r>
      <w:r>
        <w:t xml:space="preserve"> is then presented in Table 3 below and this was used as the base case for modelling.</w:t>
      </w:r>
    </w:p>
    <w:p w14:paraId="6A500237" w14:textId="77777777" w:rsidR="00B60750" w:rsidRDefault="00B60750" w:rsidP="00CA62CF">
      <w:pPr>
        <w:pStyle w:val="Caption"/>
      </w:pPr>
      <w:r>
        <w:rPr>
          <w:noProof/>
        </w:rPr>
        <w:drawing>
          <wp:inline distT="0" distB="0" distL="0" distR="0" wp14:anchorId="51CF60A8" wp14:editId="203FEE25">
            <wp:extent cx="6040342" cy="5730949"/>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8">
                      <a:extLst>
                        <a:ext uri="{28A0092B-C50C-407E-A947-70E740481C1C}">
                          <a14:useLocalDpi xmlns:a14="http://schemas.microsoft.com/office/drawing/2010/main" val="0"/>
                        </a:ext>
                      </a:extLst>
                    </a:blip>
                    <a:srcRect b="6987"/>
                    <a:stretch/>
                  </pic:blipFill>
                  <pic:spPr bwMode="auto">
                    <a:xfrm>
                      <a:off x="0" y="0"/>
                      <a:ext cx="6104455" cy="5791778"/>
                    </a:xfrm>
                    <a:prstGeom prst="rect">
                      <a:avLst/>
                    </a:prstGeom>
                    <a:noFill/>
                    <a:ln>
                      <a:noFill/>
                    </a:ln>
                    <a:extLst>
                      <a:ext uri="{53640926-AAD7-44D8-BBD7-CCE9431645EC}">
                        <a14:shadowObscured xmlns:a14="http://schemas.microsoft.com/office/drawing/2010/main"/>
                      </a:ext>
                    </a:extLst>
                  </pic:spPr>
                </pic:pic>
              </a:graphicData>
            </a:graphic>
          </wp:inline>
        </w:drawing>
      </w:r>
    </w:p>
    <w:p w14:paraId="4127B7BA" w14:textId="169DCF62" w:rsidR="0005536C" w:rsidRDefault="00B60750" w:rsidP="00CA62CF">
      <w:pPr>
        <w:pStyle w:val="Caption"/>
      </w:pPr>
      <w:bookmarkStart w:id="65" w:name="_Toc121265856"/>
      <w:r>
        <w:t xml:space="preserve">Figure </w:t>
      </w:r>
      <w:fldSimple w:instr=" SEQ Figure \* ARABIC ">
        <w:r w:rsidR="00955725">
          <w:rPr>
            <w:noProof/>
          </w:rPr>
          <w:t>13</w:t>
        </w:r>
      </w:fldSimple>
      <w:r>
        <w:t>:</w:t>
      </w:r>
      <w:r w:rsidRPr="0056097A">
        <w:t xml:space="preserve"> Location of Disposal Wells</w:t>
      </w:r>
      <w:bookmarkEnd w:id="65"/>
    </w:p>
    <w:p w14:paraId="33393815" w14:textId="14AA3014" w:rsidR="00800C86" w:rsidRPr="00800C86" w:rsidRDefault="00782142" w:rsidP="00782142">
      <w:pPr>
        <w:pStyle w:val="Caption"/>
        <w:ind w:left="-1440" w:firstLine="630"/>
      </w:pPr>
      <w:bookmarkStart w:id="66" w:name="_Toc120839861"/>
      <w:r>
        <w:lastRenderedPageBreak/>
        <w:t xml:space="preserve">Table </w:t>
      </w:r>
      <w:fldSimple w:instr=" SEQ Table \* ARABIC ">
        <w:r w:rsidR="00955725">
          <w:rPr>
            <w:noProof/>
          </w:rPr>
          <w:t>3</w:t>
        </w:r>
      </w:fldSimple>
      <w:r w:rsidR="00800C86">
        <w:t xml:space="preserve">: </w:t>
      </w:r>
      <w:r w:rsidR="00800C86" w:rsidRPr="00ED51BA">
        <w:t xml:space="preserve">Disposal Wells </w:t>
      </w:r>
      <w:r w:rsidR="00F56A3A" w:rsidRPr="00ED51BA">
        <w:t xml:space="preserve">Completion Data </w:t>
      </w:r>
      <w:r w:rsidR="00800C86" w:rsidRPr="00ED51BA">
        <w:t>(Daneshfar, Hughes, &amp; Civan, 2009)</w:t>
      </w:r>
      <w:r w:rsidR="00800C86" w:rsidRPr="00C16E6C">
        <w:rPr>
          <w:noProof/>
        </w:rPr>
        <w:drawing>
          <wp:inline distT="0" distB="0" distL="0" distR="0" wp14:anchorId="500B7331" wp14:editId="0760F5C8">
            <wp:extent cx="7859990" cy="5755640"/>
            <wp:effectExtent l="0" t="1047750" r="0" b="102616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4819" t="3258" r="5351"/>
                    <a:stretch/>
                  </pic:blipFill>
                  <pic:spPr bwMode="auto">
                    <a:xfrm rot="16200000">
                      <a:off x="0" y="0"/>
                      <a:ext cx="7863328" cy="5758085"/>
                    </a:xfrm>
                    <a:prstGeom prst="rect">
                      <a:avLst/>
                    </a:prstGeom>
                    <a:noFill/>
                    <a:ln>
                      <a:noFill/>
                    </a:ln>
                    <a:extLst>
                      <a:ext uri="{53640926-AAD7-44D8-BBD7-CCE9431645EC}">
                        <a14:shadowObscured xmlns:a14="http://schemas.microsoft.com/office/drawing/2010/main"/>
                      </a:ext>
                    </a:extLst>
                  </pic:spPr>
                </pic:pic>
              </a:graphicData>
            </a:graphic>
          </wp:inline>
        </w:drawing>
      </w:r>
      <w:bookmarkEnd w:id="66"/>
    </w:p>
    <w:p w14:paraId="3B909E90" w14:textId="677FECD0" w:rsidR="006A410E" w:rsidRDefault="006A410E" w:rsidP="006A410E">
      <w:pPr>
        <w:pStyle w:val="Caption"/>
        <w:jc w:val="both"/>
      </w:pPr>
      <w:bookmarkStart w:id="67" w:name="_Toc120839862"/>
      <w:r>
        <w:lastRenderedPageBreak/>
        <w:t xml:space="preserve">Table </w:t>
      </w:r>
      <w:fldSimple w:instr=" SEQ Table \* ARABIC ">
        <w:r w:rsidR="00955725">
          <w:rPr>
            <w:noProof/>
          </w:rPr>
          <w:t>4</w:t>
        </w:r>
      </w:fldSimple>
      <w:r w:rsidR="00B07616">
        <w:t xml:space="preserve">: </w:t>
      </w:r>
      <w:r>
        <w:t>Reservoir Properties</w:t>
      </w:r>
      <w:bookmarkEnd w:id="67"/>
    </w:p>
    <w:tbl>
      <w:tblPr>
        <w:tblStyle w:val="TableGrid"/>
        <w:tblW w:w="9558" w:type="dxa"/>
        <w:tblLook w:val="0420" w:firstRow="1" w:lastRow="0" w:firstColumn="0" w:lastColumn="0" w:noHBand="0" w:noVBand="1"/>
      </w:tblPr>
      <w:tblGrid>
        <w:gridCol w:w="3024"/>
        <w:gridCol w:w="2484"/>
        <w:gridCol w:w="4050"/>
      </w:tblGrid>
      <w:tr w:rsidR="006A410E" w:rsidRPr="006A410E" w14:paraId="4AE26B8A" w14:textId="77777777" w:rsidTr="009F6F03">
        <w:trPr>
          <w:trHeight w:val="503"/>
        </w:trPr>
        <w:tc>
          <w:tcPr>
            <w:tcW w:w="3024" w:type="dxa"/>
            <w:hideMark/>
          </w:tcPr>
          <w:p w14:paraId="067238D0" w14:textId="77777777" w:rsidR="006A410E" w:rsidRPr="006A410E" w:rsidRDefault="006A410E" w:rsidP="006A410E">
            <w:pPr>
              <w:spacing w:line="240" w:lineRule="auto"/>
            </w:pPr>
            <w:r w:rsidRPr="006A410E">
              <w:rPr>
                <w:b/>
                <w:bCs/>
              </w:rPr>
              <w:t>Parameter</w:t>
            </w:r>
          </w:p>
        </w:tc>
        <w:tc>
          <w:tcPr>
            <w:tcW w:w="2484" w:type="dxa"/>
            <w:hideMark/>
          </w:tcPr>
          <w:p w14:paraId="66FA3889" w14:textId="77777777" w:rsidR="006A410E" w:rsidRPr="006A410E" w:rsidRDefault="006A410E" w:rsidP="006A410E">
            <w:pPr>
              <w:spacing w:line="240" w:lineRule="auto"/>
            </w:pPr>
            <w:r w:rsidRPr="006A410E">
              <w:rPr>
                <w:b/>
                <w:bCs/>
              </w:rPr>
              <w:t>Values</w:t>
            </w:r>
          </w:p>
        </w:tc>
        <w:tc>
          <w:tcPr>
            <w:tcW w:w="4050" w:type="dxa"/>
            <w:hideMark/>
          </w:tcPr>
          <w:p w14:paraId="2857C9B8" w14:textId="77777777" w:rsidR="006A410E" w:rsidRPr="006A410E" w:rsidRDefault="006A410E" w:rsidP="006A410E">
            <w:pPr>
              <w:spacing w:line="240" w:lineRule="auto"/>
            </w:pPr>
            <w:r w:rsidRPr="006A410E">
              <w:rPr>
                <w:b/>
                <w:bCs/>
              </w:rPr>
              <w:t>Method</w:t>
            </w:r>
          </w:p>
        </w:tc>
      </w:tr>
      <w:tr w:rsidR="006A410E" w:rsidRPr="006A410E" w14:paraId="34CE6B2F" w14:textId="77777777" w:rsidTr="009F6F03">
        <w:trPr>
          <w:trHeight w:val="659"/>
        </w:trPr>
        <w:tc>
          <w:tcPr>
            <w:tcW w:w="3024" w:type="dxa"/>
            <w:hideMark/>
          </w:tcPr>
          <w:p w14:paraId="6B4462D9" w14:textId="77777777" w:rsidR="006A410E" w:rsidRPr="006A410E" w:rsidRDefault="006A410E" w:rsidP="006A410E">
            <w:pPr>
              <w:spacing w:line="240" w:lineRule="auto"/>
            </w:pPr>
            <w:r w:rsidRPr="006A410E">
              <w:t>Reservoir Depth</w:t>
            </w:r>
          </w:p>
        </w:tc>
        <w:tc>
          <w:tcPr>
            <w:tcW w:w="2484" w:type="dxa"/>
            <w:hideMark/>
          </w:tcPr>
          <w:p w14:paraId="3991173E" w14:textId="77777777" w:rsidR="006A410E" w:rsidRPr="006A410E" w:rsidRDefault="006A410E" w:rsidP="006A410E">
            <w:pPr>
              <w:spacing w:line="240" w:lineRule="auto"/>
            </w:pPr>
            <w:r w:rsidRPr="006A410E">
              <w:t>5034 ft</w:t>
            </w:r>
          </w:p>
        </w:tc>
        <w:tc>
          <w:tcPr>
            <w:tcW w:w="4050" w:type="dxa"/>
            <w:hideMark/>
          </w:tcPr>
          <w:p w14:paraId="0E357B78" w14:textId="77777777" w:rsidR="006A410E" w:rsidRPr="006A410E" w:rsidRDefault="006A410E" w:rsidP="006A410E">
            <w:pPr>
              <w:spacing w:line="240" w:lineRule="auto"/>
            </w:pPr>
            <w:r w:rsidRPr="006A410E">
              <w:t>Average depth for all disposal wells</w:t>
            </w:r>
          </w:p>
        </w:tc>
      </w:tr>
      <w:tr w:rsidR="006A410E" w:rsidRPr="006A410E" w14:paraId="47DB92F8" w14:textId="77777777" w:rsidTr="009F6F03">
        <w:trPr>
          <w:trHeight w:val="192"/>
        </w:trPr>
        <w:tc>
          <w:tcPr>
            <w:tcW w:w="3024" w:type="dxa"/>
            <w:hideMark/>
          </w:tcPr>
          <w:p w14:paraId="6DF2B394" w14:textId="77777777" w:rsidR="006A410E" w:rsidRPr="006A410E" w:rsidRDefault="006A410E" w:rsidP="006A410E">
            <w:pPr>
              <w:spacing w:line="240" w:lineRule="auto"/>
            </w:pPr>
            <w:r w:rsidRPr="006A410E">
              <w:t>Pore pressure gradient</w:t>
            </w:r>
          </w:p>
        </w:tc>
        <w:tc>
          <w:tcPr>
            <w:tcW w:w="2484" w:type="dxa"/>
            <w:hideMark/>
          </w:tcPr>
          <w:p w14:paraId="12E015E0" w14:textId="77777777" w:rsidR="006A410E" w:rsidRPr="006A410E" w:rsidRDefault="006A410E" w:rsidP="006A410E">
            <w:pPr>
              <w:spacing w:line="240" w:lineRule="auto"/>
            </w:pPr>
            <w:r w:rsidRPr="006A410E">
              <w:t>0.178psi/ft</w:t>
            </w:r>
          </w:p>
        </w:tc>
        <w:tc>
          <w:tcPr>
            <w:tcW w:w="4050" w:type="dxa"/>
            <w:hideMark/>
          </w:tcPr>
          <w:p w14:paraId="39B3F570" w14:textId="77777777" w:rsidR="006A410E" w:rsidRPr="006A410E" w:rsidRDefault="006A410E" w:rsidP="006A410E">
            <w:pPr>
              <w:spacing w:line="240" w:lineRule="auto"/>
            </w:pPr>
            <w:r w:rsidRPr="006A410E">
              <w:t>Average pressure gradient for all disposal wells</w:t>
            </w:r>
          </w:p>
        </w:tc>
      </w:tr>
      <w:tr w:rsidR="006A410E" w:rsidRPr="006A410E" w14:paraId="4CF6345D" w14:textId="77777777" w:rsidTr="009F6F03">
        <w:trPr>
          <w:trHeight w:val="1021"/>
        </w:trPr>
        <w:tc>
          <w:tcPr>
            <w:tcW w:w="3024" w:type="dxa"/>
            <w:hideMark/>
          </w:tcPr>
          <w:p w14:paraId="4DA2004C" w14:textId="77777777" w:rsidR="006A410E" w:rsidRPr="006A410E" w:rsidRDefault="006A410E" w:rsidP="006A410E">
            <w:pPr>
              <w:spacing w:line="240" w:lineRule="auto"/>
            </w:pPr>
            <w:r w:rsidRPr="006A410E">
              <w:t>Average overburden density</w:t>
            </w:r>
          </w:p>
        </w:tc>
        <w:tc>
          <w:tcPr>
            <w:tcW w:w="2484" w:type="dxa"/>
            <w:hideMark/>
          </w:tcPr>
          <w:p w14:paraId="5AF23308" w14:textId="77777777" w:rsidR="006A410E" w:rsidRPr="006A410E" w:rsidRDefault="006A410E" w:rsidP="006A410E">
            <w:pPr>
              <w:spacing w:line="240" w:lineRule="auto"/>
            </w:pPr>
            <w:r w:rsidRPr="006A410E">
              <w:t>2.58g/cm</w:t>
            </w:r>
            <w:r w:rsidRPr="006A410E">
              <w:rPr>
                <w:vertAlign w:val="superscript"/>
              </w:rPr>
              <w:t>3</w:t>
            </w:r>
          </w:p>
        </w:tc>
        <w:tc>
          <w:tcPr>
            <w:tcW w:w="4050" w:type="dxa"/>
            <w:hideMark/>
          </w:tcPr>
          <w:p w14:paraId="189CA86E" w14:textId="77777777" w:rsidR="006A410E" w:rsidRPr="006A410E" w:rsidRDefault="006A410E" w:rsidP="006A410E">
            <w:pPr>
              <w:spacing w:line="240" w:lineRule="auto"/>
            </w:pPr>
            <w:r w:rsidRPr="006A410E">
              <w:t>From density log of Arbuckle formation, compared with knowledge of lithology of area</w:t>
            </w:r>
          </w:p>
        </w:tc>
      </w:tr>
      <w:tr w:rsidR="006A410E" w:rsidRPr="006A410E" w14:paraId="020D15BF" w14:textId="77777777" w:rsidTr="009F6F03">
        <w:trPr>
          <w:trHeight w:val="1021"/>
        </w:trPr>
        <w:tc>
          <w:tcPr>
            <w:tcW w:w="3024" w:type="dxa"/>
            <w:hideMark/>
          </w:tcPr>
          <w:p w14:paraId="1C43BAAA" w14:textId="77777777" w:rsidR="006A410E" w:rsidRPr="006A410E" w:rsidRDefault="006A410E" w:rsidP="006A410E">
            <w:pPr>
              <w:spacing w:line="240" w:lineRule="auto"/>
            </w:pPr>
            <w:r w:rsidRPr="006A410E">
              <w:t>Maximum injection pressure</w:t>
            </w:r>
          </w:p>
        </w:tc>
        <w:tc>
          <w:tcPr>
            <w:tcW w:w="2484" w:type="dxa"/>
            <w:hideMark/>
          </w:tcPr>
          <w:p w14:paraId="6D5CCE4B" w14:textId="77777777" w:rsidR="006A410E" w:rsidRPr="006A410E" w:rsidRDefault="006A410E" w:rsidP="006A410E">
            <w:pPr>
              <w:spacing w:line="240" w:lineRule="auto"/>
            </w:pPr>
            <w:r w:rsidRPr="006A410E">
              <w:t>2718 psi</w:t>
            </w:r>
          </w:p>
        </w:tc>
        <w:tc>
          <w:tcPr>
            <w:tcW w:w="4050" w:type="dxa"/>
            <w:hideMark/>
          </w:tcPr>
          <w:p w14:paraId="2A3CCAD7" w14:textId="4A756290" w:rsidR="00E5691D" w:rsidRDefault="006A410E" w:rsidP="006A410E">
            <w:pPr>
              <w:spacing w:line="240" w:lineRule="auto"/>
            </w:pPr>
            <w:r w:rsidRPr="006A410E">
              <w:t>Average fracture gradient in Arbuckle formation = 0.6 psi/ft</w:t>
            </w:r>
            <w:r w:rsidR="00E5691D">
              <w:t xml:space="preserve"> from step rate test by </w:t>
            </w:r>
            <w:sdt>
              <w:sdtPr>
                <w:id w:val="-1353646723"/>
                <w:citation/>
              </w:sdtPr>
              <w:sdtContent>
                <w:r w:rsidR="00E5691D">
                  <w:fldChar w:fldCharType="begin"/>
                </w:r>
                <w:r w:rsidR="00E5691D">
                  <w:instrText xml:space="preserve"> CITATION Bir221 \l 1033 </w:instrText>
                </w:r>
                <w:r w:rsidR="00E5691D">
                  <w:fldChar w:fldCharType="separate"/>
                </w:r>
                <w:r w:rsidR="00C84822">
                  <w:rPr>
                    <w:noProof/>
                  </w:rPr>
                  <w:t>(Birdie, Holubnyak, Watney, &amp; Hollenbach, Methodology for Constructing Reservoir Maximum Pore Pressure Maps to Meet Class VI Constraints and Prevent Earthquakes, 2022)</w:t>
                </w:r>
                <w:r w:rsidR="00E5691D">
                  <w:fldChar w:fldCharType="end"/>
                </w:r>
              </w:sdtContent>
            </w:sdt>
          </w:p>
          <w:p w14:paraId="1BE32315" w14:textId="5E8EE039" w:rsidR="006A410E" w:rsidRPr="006A410E" w:rsidRDefault="006A410E" w:rsidP="006A410E">
            <w:pPr>
              <w:spacing w:line="240" w:lineRule="auto"/>
            </w:pPr>
            <w:r w:rsidRPr="006A410E">
              <w:t>According UIC Class IV Requirements, the injection pressure should be less than 90% of formation fracture gradient</w:t>
            </w:r>
          </w:p>
          <w:p w14:paraId="73C5B065" w14:textId="77777777" w:rsidR="006A410E" w:rsidRPr="006A410E" w:rsidRDefault="006A410E" w:rsidP="006A410E">
            <w:pPr>
              <w:spacing w:line="240" w:lineRule="auto"/>
            </w:pPr>
            <w:r w:rsidRPr="006A410E">
              <w:t>0.6 * 0.9 * Average Depth</w:t>
            </w:r>
          </w:p>
        </w:tc>
      </w:tr>
      <w:tr w:rsidR="006A410E" w:rsidRPr="006A410E" w14:paraId="59599F2D" w14:textId="77777777" w:rsidTr="009F6F03">
        <w:trPr>
          <w:trHeight w:val="515"/>
        </w:trPr>
        <w:tc>
          <w:tcPr>
            <w:tcW w:w="3024" w:type="dxa"/>
            <w:hideMark/>
          </w:tcPr>
          <w:p w14:paraId="4B07E806" w14:textId="77777777" w:rsidR="006A410E" w:rsidRPr="006A410E" w:rsidRDefault="006A410E" w:rsidP="006A410E">
            <w:pPr>
              <w:spacing w:line="240" w:lineRule="auto"/>
            </w:pPr>
            <w:r w:rsidRPr="006A410E">
              <w:t xml:space="preserve">Median friction coefficient </w:t>
            </w:r>
          </w:p>
        </w:tc>
        <w:tc>
          <w:tcPr>
            <w:tcW w:w="2484" w:type="dxa"/>
            <w:hideMark/>
          </w:tcPr>
          <w:p w14:paraId="095D0B66" w14:textId="77777777" w:rsidR="006A410E" w:rsidRPr="006A410E" w:rsidRDefault="006A410E" w:rsidP="006A410E">
            <w:pPr>
              <w:spacing w:line="240" w:lineRule="auto"/>
            </w:pPr>
            <w:r w:rsidRPr="006A410E">
              <w:t>0.7</w:t>
            </w:r>
          </w:p>
        </w:tc>
        <w:tc>
          <w:tcPr>
            <w:tcW w:w="4050" w:type="dxa"/>
            <w:hideMark/>
          </w:tcPr>
          <w:p w14:paraId="518AEAAC" w14:textId="77777777" w:rsidR="006A410E" w:rsidRPr="006A410E" w:rsidRDefault="006A410E" w:rsidP="006A410E">
            <w:pPr>
              <w:spacing w:line="240" w:lineRule="auto"/>
            </w:pPr>
            <w:r w:rsidRPr="006A410E">
              <w:t xml:space="preserve">default values in the SOSAT </w:t>
            </w:r>
          </w:p>
        </w:tc>
      </w:tr>
      <w:tr w:rsidR="006A410E" w:rsidRPr="006A410E" w14:paraId="484DE3F6" w14:textId="77777777" w:rsidTr="009F6F03">
        <w:trPr>
          <w:trHeight w:val="1016"/>
        </w:trPr>
        <w:tc>
          <w:tcPr>
            <w:tcW w:w="3024" w:type="dxa"/>
            <w:hideMark/>
          </w:tcPr>
          <w:p w14:paraId="5E3C6141" w14:textId="77777777" w:rsidR="006A410E" w:rsidRPr="006A410E" w:rsidRDefault="006A410E" w:rsidP="006A410E">
            <w:pPr>
              <w:spacing w:line="240" w:lineRule="auto"/>
            </w:pPr>
            <w:r w:rsidRPr="006A410E">
              <w:t>Standard Deviation of logarithm of fault friction coefficient</w:t>
            </w:r>
          </w:p>
        </w:tc>
        <w:tc>
          <w:tcPr>
            <w:tcW w:w="2484" w:type="dxa"/>
            <w:hideMark/>
          </w:tcPr>
          <w:p w14:paraId="4D6BE7A2" w14:textId="77777777" w:rsidR="006A410E" w:rsidRPr="006A410E" w:rsidRDefault="006A410E" w:rsidP="006A410E">
            <w:pPr>
              <w:spacing w:line="240" w:lineRule="auto"/>
            </w:pPr>
            <w:r w:rsidRPr="006A410E">
              <w:t>0.15</w:t>
            </w:r>
          </w:p>
        </w:tc>
        <w:tc>
          <w:tcPr>
            <w:tcW w:w="4050" w:type="dxa"/>
            <w:hideMark/>
          </w:tcPr>
          <w:p w14:paraId="3FA216B5" w14:textId="77777777" w:rsidR="006A410E" w:rsidRPr="006A410E" w:rsidRDefault="006A410E" w:rsidP="006A410E">
            <w:pPr>
              <w:spacing w:line="240" w:lineRule="auto"/>
            </w:pPr>
            <w:r w:rsidRPr="006A410E">
              <w:t xml:space="preserve">default values in the SOSAT </w:t>
            </w:r>
          </w:p>
        </w:tc>
      </w:tr>
      <w:tr w:rsidR="006A410E" w:rsidRPr="006A410E" w14:paraId="3D000EFD" w14:textId="77777777" w:rsidTr="009F6F03">
        <w:trPr>
          <w:trHeight w:val="1021"/>
        </w:trPr>
        <w:tc>
          <w:tcPr>
            <w:tcW w:w="3024" w:type="dxa"/>
            <w:hideMark/>
          </w:tcPr>
          <w:p w14:paraId="6F2F35C5" w14:textId="77777777" w:rsidR="006A410E" w:rsidRPr="006A410E" w:rsidRDefault="006A410E" w:rsidP="006A410E">
            <w:pPr>
              <w:spacing w:line="240" w:lineRule="auto"/>
            </w:pPr>
            <w:r w:rsidRPr="006A410E">
              <w:t>Maximum possible friction coefficient</w:t>
            </w:r>
          </w:p>
        </w:tc>
        <w:tc>
          <w:tcPr>
            <w:tcW w:w="2484" w:type="dxa"/>
            <w:hideMark/>
          </w:tcPr>
          <w:p w14:paraId="012ECBDE" w14:textId="77777777" w:rsidR="006A410E" w:rsidRPr="006A410E" w:rsidRDefault="006A410E" w:rsidP="006A410E">
            <w:pPr>
              <w:spacing w:line="240" w:lineRule="auto"/>
            </w:pPr>
            <w:r w:rsidRPr="006A410E">
              <w:t>1.0</w:t>
            </w:r>
          </w:p>
        </w:tc>
        <w:tc>
          <w:tcPr>
            <w:tcW w:w="4050" w:type="dxa"/>
            <w:hideMark/>
          </w:tcPr>
          <w:p w14:paraId="7B4FBC84" w14:textId="2806C4C2" w:rsidR="006A410E" w:rsidRPr="006A410E" w:rsidRDefault="006A410E" w:rsidP="006A410E">
            <w:pPr>
              <w:spacing w:line="240" w:lineRule="auto"/>
            </w:pPr>
            <w:r w:rsidRPr="006A410E">
              <w:t xml:space="preserve">Obtained from Literature by </w:t>
            </w:r>
            <w:sdt>
              <w:sdtPr>
                <w:id w:val="-214278402"/>
                <w:citation/>
              </w:sdtPr>
              <w:sdtContent>
                <w:r>
                  <w:fldChar w:fldCharType="begin"/>
                </w:r>
                <w:r w:rsidR="002B4D2E">
                  <w:instrText xml:space="preserve">CITATION Sch20 \l 1033 </w:instrText>
                </w:r>
                <w:r>
                  <w:fldChar w:fldCharType="separate"/>
                </w:r>
                <w:r w:rsidR="00C84822">
                  <w:rPr>
                    <w:noProof/>
                  </w:rPr>
                  <w:t>(Schulz, Müller, Röckel, &amp; Schilling, 2020)</w:t>
                </w:r>
                <w:r>
                  <w:fldChar w:fldCharType="end"/>
                </w:r>
              </w:sdtContent>
            </w:sdt>
            <w:r w:rsidRPr="006A410E">
              <w:t>.</w:t>
            </w:r>
          </w:p>
        </w:tc>
      </w:tr>
    </w:tbl>
    <w:p w14:paraId="4ACCD27A" w14:textId="77777777" w:rsidR="00835EB9" w:rsidRDefault="00835EB9" w:rsidP="002B4D2E">
      <w:pPr>
        <w:pStyle w:val="Caption"/>
        <w:jc w:val="left"/>
      </w:pPr>
    </w:p>
    <w:p w14:paraId="2A4CA468" w14:textId="5B0BEF54" w:rsidR="00B07616" w:rsidRDefault="002B4D2E" w:rsidP="002B4D2E">
      <w:pPr>
        <w:pStyle w:val="Caption"/>
        <w:jc w:val="left"/>
      </w:pPr>
      <w:bookmarkStart w:id="68" w:name="_Toc120839863"/>
      <w:r>
        <w:t xml:space="preserve">Table </w:t>
      </w:r>
      <w:fldSimple w:instr=" SEQ Table \* ARABIC ">
        <w:r w:rsidR="00955725">
          <w:rPr>
            <w:noProof/>
          </w:rPr>
          <w:t>5</w:t>
        </w:r>
      </w:fldSimple>
      <w:r>
        <w:t xml:space="preserve">: </w:t>
      </w:r>
      <w:r w:rsidRPr="00EC23A8">
        <w:t>Regional Stress Info Parameters</w:t>
      </w:r>
      <w:bookmarkEnd w:id="68"/>
    </w:p>
    <w:tbl>
      <w:tblPr>
        <w:tblStyle w:val="TableGrid"/>
        <w:tblW w:w="9558" w:type="dxa"/>
        <w:tblLook w:val="0420" w:firstRow="1" w:lastRow="0" w:firstColumn="0" w:lastColumn="0" w:noHBand="0" w:noVBand="1"/>
      </w:tblPr>
      <w:tblGrid>
        <w:gridCol w:w="2988"/>
        <w:gridCol w:w="2520"/>
        <w:gridCol w:w="4050"/>
      </w:tblGrid>
      <w:tr w:rsidR="002B4D2E" w:rsidRPr="002B4D2E" w14:paraId="5B7B4C07" w14:textId="77777777" w:rsidTr="009F6F03">
        <w:trPr>
          <w:trHeight w:val="1021"/>
        </w:trPr>
        <w:tc>
          <w:tcPr>
            <w:tcW w:w="2988" w:type="dxa"/>
            <w:hideMark/>
          </w:tcPr>
          <w:p w14:paraId="2660A38D" w14:textId="77777777" w:rsidR="002B4D2E" w:rsidRPr="002B4D2E" w:rsidRDefault="002B4D2E" w:rsidP="002B4D2E">
            <w:pPr>
              <w:spacing w:line="240" w:lineRule="auto"/>
            </w:pPr>
            <w:r w:rsidRPr="002B4D2E">
              <w:rPr>
                <w:b/>
                <w:bCs/>
              </w:rPr>
              <w:t>Parameter</w:t>
            </w:r>
          </w:p>
        </w:tc>
        <w:tc>
          <w:tcPr>
            <w:tcW w:w="2520" w:type="dxa"/>
            <w:hideMark/>
          </w:tcPr>
          <w:p w14:paraId="646F2EEA" w14:textId="77777777" w:rsidR="002B4D2E" w:rsidRPr="002B4D2E" w:rsidRDefault="002B4D2E" w:rsidP="002B4D2E">
            <w:pPr>
              <w:spacing w:line="240" w:lineRule="auto"/>
            </w:pPr>
            <w:r w:rsidRPr="002B4D2E">
              <w:rPr>
                <w:b/>
                <w:bCs/>
              </w:rPr>
              <w:t>Values</w:t>
            </w:r>
          </w:p>
        </w:tc>
        <w:tc>
          <w:tcPr>
            <w:tcW w:w="4050" w:type="dxa"/>
            <w:hideMark/>
          </w:tcPr>
          <w:p w14:paraId="1867A6EB" w14:textId="77777777" w:rsidR="002B4D2E" w:rsidRPr="002B4D2E" w:rsidRDefault="002B4D2E" w:rsidP="002B4D2E">
            <w:pPr>
              <w:spacing w:line="240" w:lineRule="auto"/>
            </w:pPr>
            <w:r w:rsidRPr="002B4D2E">
              <w:rPr>
                <w:b/>
                <w:bCs/>
              </w:rPr>
              <w:t>Method</w:t>
            </w:r>
          </w:p>
        </w:tc>
      </w:tr>
      <w:tr w:rsidR="002B4D2E" w:rsidRPr="002B4D2E" w14:paraId="64446552" w14:textId="77777777" w:rsidTr="009F6F03">
        <w:trPr>
          <w:trHeight w:val="1021"/>
        </w:trPr>
        <w:tc>
          <w:tcPr>
            <w:tcW w:w="2988" w:type="dxa"/>
            <w:hideMark/>
          </w:tcPr>
          <w:p w14:paraId="24208D66" w14:textId="77777777" w:rsidR="002B4D2E" w:rsidRPr="002B4D2E" w:rsidRDefault="002B4D2E" w:rsidP="002B4D2E">
            <w:pPr>
              <w:spacing w:line="240" w:lineRule="auto"/>
            </w:pPr>
            <w:r w:rsidRPr="002B4D2E">
              <w:lastRenderedPageBreak/>
              <w:t>Normal faulting weight</w:t>
            </w:r>
          </w:p>
        </w:tc>
        <w:tc>
          <w:tcPr>
            <w:tcW w:w="2520" w:type="dxa"/>
            <w:hideMark/>
          </w:tcPr>
          <w:p w14:paraId="0FDD4844" w14:textId="77777777" w:rsidR="002B4D2E" w:rsidRPr="002B4D2E" w:rsidRDefault="002B4D2E" w:rsidP="002B4D2E">
            <w:pPr>
              <w:spacing w:line="240" w:lineRule="auto"/>
            </w:pPr>
            <w:r w:rsidRPr="002B4D2E">
              <w:t>3</w:t>
            </w:r>
          </w:p>
        </w:tc>
        <w:tc>
          <w:tcPr>
            <w:tcW w:w="4050" w:type="dxa"/>
            <w:hideMark/>
          </w:tcPr>
          <w:p w14:paraId="372A13BF" w14:textId="58849AA8" w:rsidR="002B4D2E" w:rsidRPr="002B4D2E" w:rsidRDefault="002B4D2E" w:rsidP="002B4D2E">
            <w:pPr>
              <w:spacing w:line="240" w:lineRule="auto"/>
            </w:pPr>
            <w:r w:rsidRPr="002B4D2E">
              <w:t>Stress orientations in the Arbuckle Group show SS in S-Oklahoma, and SS and NF in N-Oklahoma</w:t>
            </w:r>
            <w:r w:rsidR="00A45A49">
              <w:t xml:space="preserve"> according to </w:t>
            </w:r>
            <w:sdt>
              <w:sdtPr>
                <w:id w:val="-1976516387"/>
                <w:citation/>
              </w:sdtPr>
              <w:sdtContent>
                <w:r w:rsidR="00A45A49">
                  <w:fldChar w:fldCharType="begin"/>
                </w:r>
                <w:r w:rsidR="00A45A49">
                  <w:instrText xml:space="preserve"> CITATION Sch20 \l 1033 </w:instrText>
                </w:r>
                <w:r w:rsidR="00A45A49">
                  <w:fldChar w:fldCharType="separate"/>
                </w:r>
                <w:r w:rsidR="00C84822">
                  <w:rPr>
                    <w:noProof/>
                  </w:rPr>
                  <w:t>(Schulz, Müller, Röckel, &amp; Schilling, 2020)</w:t>
                </w:r>
                <w:r w:rsidR="00A45A49">
                  <w:fldChar w:fldCharType="end"/>
                </w:r>
              </w:sdtContent>
            </w:sdt>
            <w:r w:rsidRPr="002B4D2E">
              <w:t>. Based on these, weighted values were assigned</w:t>
            </w:r>
            <w:r w:rsidR="00A45A49">
              <w:t xml:space="preserve"> referenced from </w:t>
            </w:r>
            <w:sdt>
              <w:sdtPr>
                <w:id w:val="107396153"/>
                <w:citation/>
              </w:sdtPr>
              <w:sdtContent>
                <w:r w:rsidR="00A45A49">
                  <w:fldChar w:fldCharType="begin"/>
                </w:r>
                <w:r w:rsidR="00A45A49">
                  <w:instrText xml:space="preserve"> CITATION DAp19 \l 1033 </w:instrText>
                </w:r>
                <w:r w:rsidR="00A45A49">
                  <w:fldChar w:fldCharType="separate"/>
                </w:r>
                <w:r w:rsidR="00C84822">
                  <w:rPr>
                    <w:noProof/>
                  </w:rPr>
                  <w:t>(Appriou, 2019)</w:t>
                </w:r>
                <w:r w:rsidR="00A45A49">
                  <w:fldChar w:fldCharType="end"/>
                </w:r>
              </w:sdtContent>
            </w:sdt>
            <w:r w:rsidR="00A45A49">
              <w:t>.</w:t>
            </w:r>
          </w:p>
        </w:tc>
      </w:tr>
      <w:tr w:rsidR="002B4D2E" w:rsidRPr="002B4D2E" w14:paraId="55D76924" w14:textId="77777777" w:rsidTr="009F6F03">
        <w:trPr>
          <w:trHeight w:val="768"/>
        </w:trPr>
        <w:tc>
          <w:tcPr>
            <w:tcW w:w="2988" w:type="dxa"/>
            <w:hideMark/>
          </w:tcPr>
          <w:p w14:paraId="2EEFD9F3" w14:textId="77777777" w:rsidR="002B4D2E" w:rsidRPr="002B4D2E" w:rsidRDefault="002B4D2E" w:rsidP="002B4D2E">
            <w:pPr>
              <w:spacing w:line="240" w:lineRule="auto"/>
            </w:pPr>
            <w:r w:rsidRPr="002B4D2E">
              <w:t xml:space="preserve">Strike-slip faulting weight </w:t>
            </w:r>
          </w:p>
        </w:tc>
        <w:tc>
          <w:tcPr>
            <w:tcW w:w="2520" w:type="dxa"/>
            <w:hideMark/>
          </w:tcPr>
          <w:p w14:paraId="42890CFA" w14:textId="77777777" w:rsidR="002B4D2E" w:rsidRPr="002B4D2E" w:rsidRDefault="002B4D2E" w:rsidP="002B4D2E">
            <w:pPr>
              <w:spacing w:line="240" w:lineRule="auto"/>
            </w:pPr>
            <w:r w:rsidRPr="002B4D2E">
              <w:t>15</w:t>
            </w:r>
          </w:p>
        </w:tc>
        <w:tc>
          <w:tcPr>
            <w:tcW w:w="4050" w:type="dxa"/>
            <w:hideMark/>
          </w:tcPr>
          <w:p w14:paraId="1EC3BA86" w14:textId="53B6DECB" w:rsidR="002B4D2E" w:rsidRPr="002B4D2E" w:rsidRDefault="00A45A49" w:rsidP="002B4D2E">
            <w:pPr>
              <w:spacing w:line="240" w:lineRule="auto"/>
            </w:pPr>
            <w:r w:rsidRPr="002B4D2E">
              <w:t>Stress orientations in the Arbuckle Group show SS in S-Oklahoma, and SS and NF in N-Oklahoma</w:t>
            </w:r>
            <w:r>
              <w:t xml:space="preserve"> according to </w:t>
            </w:r>
            <w:sdt>
              <w:sdtPr>
                <w:id w:val="205688525"/>
                <w:citation/>
              </w:sdtPr>
              <w:sdtContent>
                <w:r>
                  <w:fldChar w:fldCharType="begin"/>
                </w:r>
                <w:r>
                  <w:instrText xml:space="preserve"> CITATION Sch20 \l 1033 </w:instrText>
                </w:r>
                <w:r>
                  <w:fldChar w:fldCharType="separate"/>
                </w:r>
                <w:r w:rsidR="00C84822">
                  <w:rPr>
                    <w:noProof/>
                  </w:rPr>
                  <w:t>(Schulz, Müller, Röckel, &amp; Schilling, 2020)</w:t>
                </w:r>
                <w:r>
                  <w:fldChar w:fldCharType="end"/>
                </w:r>
              </w:sdtContent>
            </w:sdt>
            <w:r w:rsidRPr="002B4D2E">
              <w:t>. Based on these, weighted values were assigned</w:t>
            </w:r>
            <w:r>
              <w:t xml:space="preserve"> referenced from </w:t>
            </w:r>
            <w:sdt>
              <w:sdtPr>
                <w:id w:val="-1206556954"/>
                <w:citation/>
              </w:sdtPr>
              <w:sdtContent>
                <w:r>
                  <w:fldChar w:fldCharType="begin"/>
                </w:r>
                <w:r>
                  <w:instrText xml:space="preserve"> CITATION DAp19 \l 1033 </w:instrText>
                </w:r>
                <w:r>
                  <w:fldChar w:fldCharType="separate"/>
                </w:r>
                <w:r w:rsidR="00C84822">
                  <w:rPr>
                    <w:noProof/>
                  </w:rPr>
                  <w:t>(Appriou, 2019)</w:t>
                </w:r>
                <w:r>
                  <w:fldChar w:fldCharType="end"/>
                </w:r>
              </w:sdtContent>
            </w:sdt>
            <w:r>
              <w:t>.</w:t>
            </w:r>
          </w:p>
        </w:tc>
      </w:tr>
      <w:tr w:rsidR="002B4D2E" w:rsidRPr="002B4D2E" w14:paraId="21134328" w14:textId="77777777" w:rsidTr="009F6F03">
        <w:trPr>
          <w:trHeight w:val="1021"/>
        </w:trPr>
        <w:tc>
          <w:tcPr>
            <w:tcW w:w="2988" w:type="dxa"/>
            <w:hideMark/>
          </w:tcPr>
          <w:p w14:paraId="43E96857" w14:textId="77777777" w:rsidR="002B4D2E" w:rsidRPr="002B4D2E" w:rsidRDefault="002B4D2E" w:rsidP="002B4D2E">
            <w:pPr>
              <w:spacing w:line="240" w:lineRule="auto"/>
            </w:pPr>
            <w:r w:rsidRPr="002B4D2E">
              <w:t>Thrust faulting weight</w:t>
            </w:r>
          </w:p>
        </w:tc>
        <w:tc>
          <w:tcPr>
            <w:tcW w:w="2520" w:type="dxa"/>
            <w:hideMark/>
          </w:tcPr>
          <w:p w14:paraId="6C549869" w14:textId="77777777" w:rsidR="002B4D2E" w:rsidRPr="002B4D2E" w:rsidRDefault="002B4D2E" w:rsidP="002B4D2E">
            <w:pPr>
              <w:spacing w:line="240" w:lineRule="auto"/>
            </w:pPr>
            <w:r w:rsidRPr="002B4D2E">
              <w:t>0.1</w:t>
            </w:r>
          </w:p>
        </w:tc>
        <w:tc>
          <w:tcPr>
            <w:tcW w:w="4050" w:type="dxa"/>
            <w:hideMark/>
          </w:tcPr>
          <w:p w14:paraId="0467E6F0" w14:textId="626644DB" w:rsidR="002B4D2E" w:rsidRPr="002B4D2E" w:rsidRDefault="00A45A49" w:rsidP="002B4D2E">
            <w:pPr>
              <w:spacing w:line="240" w:lineRule="auto"/>
            </w:pPr>
            <w:r w:rsidRPr="002B4D2E">
              <w:t>Stress orientations in the Arbuckle Group show SS in S-Oklahoma, and SS and NF in N-Oklahoma</w:t>
            </w:r>
            <w:r>
              <w:t xml:space="preserve"> according to </w:t>
            </w:r>
            <w:sdt>
              <w:sdtPr>
                <w:id w:val="-697465949"/>
                <w:citation/>
              </w:sdtPr>
              <w:sdtContent>
                <w:r>
                  <w:fldChar w:fldCharType="begin"/>
                </w:r>
                <w:r>
                  <w:instrText xml:space="preserve"> CITATION Sch20 \l 1033 </w:instrText>
                </w:r>
                <w:r>
                  <w:fldChar w:fldCharType="separate"/>
                </w:r>
                <w:r w:rsidR="00C84822">
                  <w:rPr>
                    <w:noProof/>
                  </w:rPr>
                  <w:t>(Schulz, Müller, Röckel, &amp; Schilling, 2020)</w:t>
                </w:r>
                <w:r>
                  <w:fldChar w:fldCharType="end"/>
                </w:r>
              </w:sdtContent>
            </w:sdt>
            <w:r w:rsidRPr="002B4D2E">
              <w:t>. Based on these, weighted values were assigned</w:t>
            </w:r>
            <w:r>
              <w:t xml:space="preserve"> referenced from </w:t>
            </w:r>
            <w:sdt>
              <w:sdtPr>
                <w:id w:val="1809668882"/>
                <w:citation/>
              </w:sdtPr>
              <w:sdtContent>
                <w:r>
                  <w:fldChar w:fldCharType="begin"/>
                </w:r>
                <w:r>
                  <w:instrText xml:space="preserve"> CITATION DAp19 \l 1033 </w:instrText>
                </w:r>
                <w:r>
                  <w:fldChar w:fldCharType="separate"/>
                </w:r>
                <w:r w:rsidR="00C84822">
                  <w:rPr>
                    <w:noProof/>
                  </w:rPr>
                  <w:t>(Appriou, 2019)</w:t>
                </w:r>
                <w:r>
                  <w:fldChar w:fldCharType="end"/>
                </w:r>
              </w:sdtContent>
            </w:sdt>
            <w:r>
              <w:t>.</w:t>
            </w:r>
          </w:p>
        </w:tc>
      </w:tr>
      <w:tr w:rsidR="002B4D2E" w:rsidRPr="002B4D2E" w14:paraId="570A9F04" w14:textId="77777777" w:rsidTr="009F6F03">
        <w:trPr>
          <w:trHeight w:val="701"/>
        </w:trPr>
        <w:tc>
          <w:tcPr>
            <w:tcW w:w="2988" w:type="dxa"/>
            <w:hideMark/>
          </w:tcPr>
          <w:p w14:paraId="7B041152" w14:textId="77777777" w:rsidR="002B4D2E" w:rsidRPr="002B4D2E" w:rsidRDefault="002B4D2E" w:rsidP="002B4D2E">
            <w:pPr>
              <w:spacing w:line="240" w:lineRule="auto"/>
            </w:pPr>
            <w:r w:rsidRPr="002B4D2E">
              <w:t>K-thrust</w:t>
            </w:r>
          </w:p>
        </w:tc>
        <w:tc>
          <w:tcPr>
            <w:tcW w:w="2520" w:type="dxa"/>
            <w:hideMark/>
          </w:tcPr>
          <w:p w14:paraId="6619750B" w14:textId="77777777" w:rsidR="002B4D2E" w:rsidRPr="002B4D2E" w:rsidRDefault="002B4D2E" w:rsidP="002B4D2E">
            <w:pPr>
              <w:spacing w:line="240" w:lineRule="auto"/>
            </w:pPr>
            <w:r w:rsidRPr="002B4D2E">
              <w:t>100</w:t>
            </w:r>
          </w:p>
        </w:tc>
        <w:tc>
          <w:tcPr>
            <w:tcW w:w="4050" w:type="dxa"/>
            <w:hideMark/>
          </w:tcPr>
          <w:p w14:paraId="79AC0361" w14:textId="77777777" w:rsidR="002B4D2E" w:rsidRPr="002B4D2E" w:rsidRDefault="002B4D2E" w:rsidP="002B4D2E">
            <w:pPr>
              <w:spacing w:line="240" w:lineRule="auto"/>
            </w:pPr>
            <w:r w:rsidRPr="002B4D2E">
              <w:t xml:space="preserve">default values in the SOSAT </w:t>
            </w:r>
          </w:p>
        </w:tc>
      </w:tr>
      <w:tr w:rsidR="002B4D2E" w:rsidRPr="002B4D2E" w14:paraId="573EC5F1" w14:textId="77777777" w:rsidTr="009F6F03">
        <w:trPr>
          <w:trHeight w:val="773"/>
        </w:trPr>
        <w:tc>
          <w:tcPr>
            <w:tcW w:w="2988" w:type="dxa"/>
            <w:hideMark/>
          </w:tcPr>
          <w:p w14:paraId="4D83432E" w14:textId="77777777" w:rsidR="002B4D2E" w:rsidRPr="002B4D2E" w:rsidRDefault="002B4D2E" w:rsidP="002B4D2E">
            <w:pPr>
              <w:spacing w:line="240" w:lineRule="auto"/>
            </w:pPr>
            <w:r w:rsidRPr="002B4D2E">
              <w:t>K-SS</w:t>
            </w:r>
          </w:p>
        </w:tc>
        <w:tc>
          <w:tcPr>
            <w:tcW w:w="2520" w:type="dxa"/>
            <w:hideMark/>
          </w:tcPr>
          <w:p w14:paraId="3FB516AD" w14:textId="77777777" w:rsidR="002B4D2E" w:rsidRPr="002B4D2E" w:rsidRDefault="002B4D2E" w:rsidP="002B4D2E">
            <w:pPr>
              <w:spacing w:line="240" w:lineRule="auto"/>
            </w:pPr>
            <w:r w:rsidRPr="002B4D2E">
              <w:t>100</w:t>
            </w:r>
          </w:p>
        </w:tc>
        <w:tc>
          <w:tcPr>
            <w:tcW w:w="4050" w:type="dxa"/>
            <w:hideMark/>
          </w:tcPr>
          <w:p w14:paraId="2133B1F5" w14:textId="77777777" w:rsidR="002B4D2E" w:rsidRPr="002B4D2E" w:rsidRDefault="002B4D2E" w:rsidP="002B4D2E">
            <w:pPr>
              <w:spacing w:line="240" w:lineRule="auto"/>
            </w:pPr>
            <w:r w:rsidRPr="002B4D2E">
              <w:t xml:space="preserve">default values in the SOSAT </w:t>
            </w:r>
          </w:p>
        </w:tc>
      </w:tr>
    </w:tbl>
    <w:p w14:paraId="331E4004" w14:textId="77777777" w:rsidR="00835EB9" w:rsidRDefault="00835EB9" w:rsidP="002B4D2E">
      <w:pPr>
        <w:pStyle w:val="Caption"/>
        <w:jc w:val="left"/>
      </w:pPr>
    </w:p>
    <w:p w14:paraId="35A18AE2" w14:textId="2B3C339B" w:rsidR="002B4D2E" w:rsidRDefault="002B4D2E" w:rsidP="002B4D2E">
      <w:pPr>
        <w:pStyle w:val="Caption"/>
        <w:jc w:val="left"/>
      </w:pPr>
      <w:bookmarkStart w:id="69" w:name="_Toc120839864"/>
      <w:r>
        <w:t xml:space="preserve">Table </w:t>
      </w:r>
      <w:fldSimple w:instr=" SEQ Table \* ARABIC ">
        <w:r w:rsidR="00955725">
          <w:rPr>
            <w:noProof/>
          </w:rPr>
          <w:t>6</w:t>
        </w:r>
      </w:fldSimple>
      <w:r>
        <w:t xml:space="preserve">: </w:t>
      </w:r>
      <w:r w:rsidRPr="00814422">
        <w:t>Stress Measurement Parameters</w:t>
      </w:r>
      <w:bookmarkEnd w:id="69"/>
    </w:p>
    <w:tbl>
      <w:tblPr>
        <w:tblStyle w:val="TableGrid"/>
        <w:tblW w:w="9558" w:type="dxa"/>
        <w:tblLook w:val="0420" w:firstRow="1" w:lastRow="0" w:firstColumn="0" w:lastColumn="0" w:noHBand="0" w:noVBand="1"/>
      </w:tblPr>
      <w:tblGrid>
        <w:gridCol w:w="2988"/>
        <w:gridCol w:w="2520"/>
        <w:gridCol w:w="4050"/>
      </w:tblGrid>
      <w:tr w:rsidR="002B4D2E" w:rsidRPr="002B4D2E" w14:paraId="31767302" w14:textId="77777777" w:rsidTr="009F6F03">
        <w:trPr>
          <w:trHeight w:val="548"/>
        </w:trPr>
        <w:tc>
          <w:tcPr>
            <w:tcW w:w="2988" w:type="dxa"/>
            <w:hideMark/>
          </w:tcPr>
          <w:p w14:paraId="51578667" w14:textId="77777777" w:rsidR="002B4D2E" w:rsidRPr="002B4D2E" w:rsidRDefault="002B4D2E" w:rsidP="002B4D2E">
            <w:pPr>
              <w:spacing w:line="240" w:lineRule="auto"/>
            </w:pPr>
            <w:r w:rsidRPr="002B4D2E">
              <w:rPr>
                <w:b/>
                <w:bCs/>
              </w:rPr>
              <w:t>Parameter</w:t>
            </w:r>
          </w:p>
        </w:tc>
        <w:tc>
          <w:tcPr>
            <w:tcW w:w="2520" w:type="dxa"/>
            <w:hideMark/>
          </w:tcPr>
          <w:p w14:paraId="25CBF65C" w14:textId="77777777" w:rsidR="002B4D2E" w:rsidRPr="002B4D2E" w:rsidRDefault="002B4D2E" w:rsidP="002B4D2E">
            <w:pPr>
              <w:spacing w:line="240" w:lineRule="auto"/>
            </w:pPr>
            <w:r w:rsidRPr="002B4D2E">
              <w:rPr>
                <w:b/>
                <w:bCs/>
              </w:rPr>
              <w:t>Values</w:t>
            </w:r>
          </w:p>
        </w:tc>
        <w:tc>
          <w:tcPr>
            <w:tcW w:w="4050" w:type="dxa"/>
            <w:hideMark/>
          </w:tcPr>
          <w:p w14:paraId="1CB6F234" w14:textId="77777777" w:rsidR="002B4D2E" w:rsidRPr="002B4D2E" w:rsidRDefault="002B4D2E" w:rsidP="002B4D2E">
            <w:pPr>
              <w:spacing w:line="240" w:lineRule="auto"/>
            </w:pPr>
            <w:r w:rsidRPr="002B4D2E">
              <w:rPr>
                <w:b/>
                <w:bCs/>
              </w:rPr>
              <w:t>Method</w:t>
            </w:r>
          </w:p>
        </w:tc>
      </w:tr>
      <w:tr w:rsidR="002B4D2E" w:rsidRPr="002B4D2E" w14:paraId="5DF4CBFC" w14:textId="77777777" w:rsidTr="009F6F03">
        <w:trPr>
          <w:trHeight w:val="1021"/>
        </w:trPr>
        <w:tc>
          <w:tcPr>
            <w:tcW w:w="2988" w:type="dxa"/>
            <w:hideMark/>
          </w:tcPr>
          <w:p w14:paraId="2826DD75" w14:textId="77777777" w:rsidR="002B4D2E" w:rsidRPr="002B4D2E" w:rsidRDefault="002B4D2E" w:rsidP="002B4D2E">
            <w:pPr>
              <w:spacing w:line="240" w:lineRule="auto"/>
            </w:pPr>
            <w:r w:rsidRPr="002B4D2E">
              <w:t xml:space="preserve">Mean of the minimum principal stress measurement </w:t>
            </w:r>
          </w:p>
        </w:tc>
        <w:tc>
          <w:tcPr>
            <w:tcW w:w="2520" w:type="dxa"/>
            <w:hideMark/>
          </w:tcPr>
          <w:p w14:paraId="760AA126" w14:textId="77777777" w:rsidR="002B4D2E" w:rsidRPr="002B4D2E" w:rsidRDefault="002B4D2E" w:rsidP="002B4D2E">
            <w:pPr>
              <w:spacing w:line="240" w:lineRule="auto"/>
            </w:pPr>
            <w:r w:rsidRPr="002B4D2E">
              <w:t>2870 psi</w:t>
            </w:r>
          </w:p>
        </w:tc>
        <w:tc>
          <w:tcPr>
            <w:tcW w:w="4050" w:type="dxa"/>
            <w:hideMark/>
          </w:tcPr>
          <w:p w14:paraId="10D5323B" w14:textId="1F20A61E" w:rsidR="002B4D2E" w:rsidRPr="002B4D2E" w:rsidRDefault="002B4D2E" w:rsidP="002B4D2E">
            <w:pPr>
              <w:spacing w:line="240" w:lineRule="auto"/>
            </w:pPr>
            <w:r w:rsidRPr="002B4D2E">
              <w:t xml:space="preserve">Injection pressures </w:t>
            </w:r>
            <w:r>
              <w:t>from mi</w:t>
            </w:r>
            <w:r w:rsidR="0076478D">
              <w:t>n</w:t>
            </w:r>
            <w:r>
              <w:t>i frac</w:t>
            </w:r>
            <w:r w:rsidR="0076478D">
              <w:t xml:space="preserve"> tests</w:t>
            </w:r>
            <w:r>
              <w:t xml:space="preserve"> </w:t>
            </w:r>
            <w:r w:rsidRPr="002B4D2E">
              <w:t xml:space="preserve">of 15 wells were analyzed by </w:t>
            </w:r>
            <w:sdt>
              <w:sdtPr>
                <w:id w:val="412127143"/>
                <w:citation/>
              </w:sdtPr>
              <w:sdtContent>
                <w:r>
                  <w:fldChar w:fldCharType="begin"/>
                </w:r>
                <w:r>
                  <w:instrText xml:space="preserve">CITATION Sch20 \l 1033 </w:instrText>
                </w:r>
                <w:r>
                  <w:fldChar w:fldCharType="separate"/>
                </w:r>
                <w:r w:rsidR="00C84822">
                  <w:rPr>
                    <w:noProof/>
                  </w:rPr>
                  <w:t>(Schulz, Müller, Röckel, &amp; Schilling, 2020)</w:t>
                </w:r>
                <w:r>
                  <w:fldChar w:fldCharType="end"/>
                </w:r>
              </w:sdtContent>
            </w:sdt>
            <w:r w:rsidRPr="002B4D2E">
              <w:t xml:space="preserve">. The average Sh gradient was </w:t>
            </w:r>
            <w:r w:rsidR="00A45A49" w:rsidRPr="00A45A49">
              <w:t>0.5525938</w:t>
            </w:r>
            <w:r w:rsidR="00A45A49">
              <w:t xml:space="preserve"> psi/ft.</w:t>
            </w:r>
          </w:p>
        </w:tc>
      </w:tr>
      <w:tr w:rsidR="002B4D2E" w:rsidRPr="002B4D2E" w14:paraId="2D08DD93" w14:textId="77777777" w:rsidTr="009F6F03">
        <w:trPr>
          <w:trHeight w:val="1021"/>
        </w:trPr>
        <w:tc>
          <w:tcPr>
            <w:tcW w:w="2988" w:type="dxa"/>
            <w:hideMark/>
          </w:tcPr>
          <w:p w14:paraId="1342787D" w14:textId="77777777" w:rsidR="002B4D2E" w:rsidRPr="002B4D2E" w:rsidRDefault="002B4D2E" w:rsidP="002B4D2E">
            <w:pPr>
              <w:spacing w:line="240" w:lineRule="auto"/>
            </w:pPr>
            <w:r w:rsidRPr="002B4D2E">
              <w:t>Standard deviation of minimum principal stress measurement</w:t>
            </w:r>
          </w:p>
        </w:tc>
        <w:tc>
          <w:tcPr>
            <w:tcW w:w="2520" w:type="dxa"/>
            <w:hideMark/>
          </w:tcPr>
          <w:p w14:paraId="78150323" w14:textId="77777777" w:rsidR="002B4D2E" w:rsidRPr="002B4D2E" w:rsidRDefault="002B4D2E" w:rsidP="002B4D2E">
            <w:pPr>
              <w:spacing w:line="240" w:lineRule="auto"/>
            </w:pPr>
            <w:r w:rsidRPr="002B4D2E">
              <w:t>220 psi</w:t>
            </w:r>
          </w:p>
        </w:tc>
        <w:tc>
          <w:tcPr>
            <w:tcW w:w="4050" w:type="dxa"/>
            <w:hideMark/>
          </w:tcPr>
          <w:p w14:paraId="59264A9A" w14:textId="77777777" w:rsidR="002B4D2E" w:rsidRPr="002B4D2E" w:rsidRDefault="002B4D2E" w:rsidP="002B4D2E">
            <w:pPr>
              <w:spacing w:line="240" w:lineRule="auto"/>
            </w:pPr>
            <w:r w:rsidRPr="002B4D2E">
              <w:t xml:space="preserve">default values in the SOSAT </w:t>
            </w:r>
          </w:p>
        </w:tc>
      </w:tr>
      <w:tr w:rsidR="002B4D2E" w:rsidRPr="002B4D2E" w14:paraId="695A9CB0" w14:textId="77777777" w:rsidTr="009F6F03">
        <w:trPr>
          <w:trHeight w:val="1021"/>
        </w:trPr>
        <w:tc>
          <w:tcPr>
            <w:tcW w:w="2988" w:type="dxa"/>
            <w:hideMark/>
          </w:tcPr>
          <w:p w14:paraId="48290BE5" w14:textId="77777777" w:rsidR="002B4D2E" w:rsidRPr="002B4D2E" w:rsidRDefault="002B4D2E" w:rsidP="002B4D2E">
            <w:pPr>
              <w:spacing w:line="240" w:lineRule="auto"/>
            </w:pPr>
            <w:r w:rsidRPr="002B4D2E">
              <w:t>Minimum value of stress path coefficient</w:t>
            </w:r>
          </w:p>
        </w:tc>
        <w:tc>
          <w:tcPr>
            <w:tcW w:w="2520" w:type="dxa"/>
            <w:hideMark/>
          </w:tcPr>
          <w:p w14:paraId="69BA3292" w14:textId="77777777" w:rsidR="002B4D2E" w:rsidRPr="002B4D2E" w:rsidRDefault="002B4D2E" w:rsidP="002B4D2E">
            <w:pPr>
              <w:spacing w:line="240" w:lineRule="auto"/>
            </w:pPr>
            <w:r w:rsidRPr="002B4D2E">
              <w:t>0.4</w:t>
            </w:r>
          </w:p>
        </w:tc>
        <w:tc>
          <w:tcPr>
            <w:tcW w:w="4050" w:type="dxa"/>
            <w:hideMark/>
          </w:tcPr>
          <w:p w14:paraId="2732F7D6" w14:textId="77777777" w:rsidR="002B4D2E" w:rsidRPr="002B4D2E" w:rsidRDefault="002B4D2E" w:rsidP="002B4D2E">
            <w:pPr>
              <w:spacing w:line="240" w:lineRule="auto"/>
            </w:pPr>
            <w:r w:rsidRPr="002B4D2E">
              <w:t xml:space="preserve">default values in the SOSAT </w:t>
            </w:r>
          </w:p>
        </w:tc>
      </w:tr>
      <w:tr w:rsidR="002B4D2E" w:rsidRPr="002B4D2E" w14:paraId="468D34A3" w14:textId="77777777" w:rsidTr="009F6F03">
        <w:trPr>
          <w:trHeight w:val="782"/>
        </w:trPr>
        <w:tc>
          <w:tcPr>
            <w:tcW w:w="2988" w:type="dxa"/>
            <w:hideMark/>
          </w:tcPr>
          <w:p w14:paraId="543A04DF" w14:textId="77777777" w:rsidR="002B4D2E" w:rsidRPr="002B4D2E" w:rsidRDefault="002B4D2E" w:rsidP="002B4D2E">
            <w:pPr>
              <w:spacing w:line="240" w:lineRule="auto"/>
            </w:pPr>
            <w:r w:rsidRPr="002B4D2E">
              <w:lastRenderedPageBreak/>
              <w:t>Minimum value of stress path coefficient</w:t>
            </w:r>
          </w:p>
        </w:tc>
        <w:tc>
          <w:tcPr>
            <w:tcW w:w="2520" w:type="dxa"/>
            <w:hideMark/>
          </w:tcPr>
          <w:p w14:paraId="50D9BF4B" w14:textId="77777777" w:rsidR="002B4D2E" w:rsidRPr="002B4D2E" w:rsidRDefault="002B4D2E" w:rsidP="002B4D2E">
            <w:pPr>
              <w:spacing w:line="240" w:lineRule="auto"/>
            </w:pPr>
            <w:r w:rsidRPr="002B4D2E">
              <w:t>0.7</w:t>
            </w:r>
          </w:p>
        </w:tc>
        <w:tc>
          <w:tcPr>
            <w:tcW w:w="4050" w:type="dxa"/>
            <w:hideMark/>
          </w:tcPr>
          <w:p w14:paraId="4C8C89BF" w14:textId="77777777" w:rsidR="002B4D2E" w:rsidRPr="002B4D2E" w:rsidRDefault="002B4D2E" w:rsidP="002B4D2E">
            <w:pPr>
              <w:spacing w:line="240" w:lineRule="auto"/>
            </w:pPr>
            <w:r w:rsidRPr="002B4D2E">
              <w:t xml:space="preserve">default values in the SOSAT </w:t>
            </w:r>
          </w:p>
        </w:tc>
      </w:tr>
    </w:tbl>
    <w:p w14:paraId="3D10DAFC" w14:textId="77777777" w:rsidR="002B4D2E" w:rsidRPr="003B22AB" w:rsidRDefault="002B4D2E" w:rsidP="002B4D2E">
      <w:pPr>
        <w:spacing w:line="240" w:lineRule="auto"/>
      </w:pPr>
    </w:p>
    <w:p w14:paraId="4A3BA625" w14:textId="03F29B2B" w:rsidR="00B07616" w:rsidRDefault="001E13CC" w:rsidP="008A4360">
      <w:pPr>
        <w:pStyle w:val="Heading2"/>
      </w:pPr>
      <w:bookmarkStart w:id="70" w:name="_Toc121265828"/>
      <w:r>
        <w:t>3</w:t>
      </w:r>
      <w:r w:rsidR="008A4360">
        <w:t>.</w:t>
      </w:r>
      <w:r w:rsidR="00850D0F">
        <w:t>6</w:t>
      </w:r>
      <w:r w:rsidR="008A4360">
        <w:t xml:space="preserve"> Seismicity in Area of Study</w:t>
      </w:r>
      <w:bookmarkEnd w:id="70"/>
    </w:p>
    <w:p w14:paraId="3BA801F6" w14:textId="0393D20D" w:rsidR="00A75E00" w:rsidRPr="00932B0C" w:rsidRDefault="00A75E00" w:rsidP="00A75E00">
      <w:pPr>
        <w:rPr>
          <w:rFonts w:eastAsiaTheme="majorEastAsia" w:cstheme="majorBidi"/>
          <w:szCs w:val="32"/>
          <w:highlight w:val="yellow"/>
        </w:rPr>
      </w:pPr>
      <w:r>
        <w:t>Areas in north central Oklahoma have experienced secondary seismicity due to injection since</w:t>
      </w:r>
      <w:r w:rsidRPr="00A75E00">
        <w:t xml:space="preserve"> around 2009. </w:t>
      </w:r>
      <w:r>
        <w:t xml:space="preserve">Currently </w:t>
      </w:r>
      <w:r w:rsidRPr="00A75E00">
        <w:t>i</w:t>
      </w:r>
      <w:r w:rsidRPr="00A75E00">
        <w:rPr>
          <w:rFonts w:eastAsiaTheme="majorEastAsia" w:cstheme="majorBidi"/>
          <w:szCs w:val="32"/>
        </w:rPr>
        <w:t>n the Arbuckle Group, induced seismicity is caused by t</w:t>
      </w:r>
      <w:r w:rsidR="00A45A49">
        <w:rPr>
          <w:rFonts w:eastAsiaTheme="majorEastAsia" w:cstheme="majorBidi"/>
          <w:szCs w:val="32"/>
        </w:rPr>
        <w:t>w</w:t>
      </w:r>
      <w:r w:rsidRPr="00A75E00">
        <w:rPr>
          <w:rFonts w:eastAsiaTheme="majorEastAsia" w:cstheme="majorBidi"/>
          <w:szCs w:val="32"/>
        </w:rPr>
        <w:t xml:space="preserve">o major reasons: </w:t>
      </w:r>
      <w:r>
        <w:rPr>
          <w:rFonts w:eastAsiaTheme="majorEastAsia" w:cstheme="majorBidi"/>
          <w:szCs w:val="32"/>
        </w:rPr>
        <w:t>wastewater disposal and hydraulic fracturing.</w:t>
      </w:r>
    </w:p>
    <w:p w14:paraId="11D15F01" w14:textId="21850ABE" w:rsidR="004561D9" w:rsidRDefault="001E13CC" w:rsidP="00A75E00">
      <w:pPr>
        <w:rPr>
          <w:rFonts w:eastAsiaTheme="majorEastAsia" w:cstheme="majorBidi"/>
          <w:szCs w:val="32"/>
        </w:rPr>
      </w:pPr>
      <w:bookmarkStart w:id="71" w:name="_Toc121265829"/>
      <w:r>
        <w:rPr>
          <w:rStyle w:val="Heading3Char"/>
        </w:rPr>
        <w:t>3</w:t>
      </w:r>
      <w:r w:rsidR="00A75E00">
        <w:rPr>
          <w:rStyle w:val="Heading3Char"/>
        </w:rPr>
        <w:t>.</w:t>
      </w:r>
      <w:r w:rsidR="00850D0F">
        <w:rPr>
          <w:rStyle w:val="Heading3Char"/>
        </w:rPr>
        <w:t>6</w:t>
      </w:r>
      <w:r w:rsidR="00A75E00">
        <w:rPr>
          <w:rStyle w:val="Heading3Char"/>
        </w:rPr>
        <w:t xml:space="preserve">.1 </w:t>
      </w:r>
      <w:r w:rsidR="00A75E00" w:rsidRPr="005B7737">
        <w:rPr>
          <w:rStyle w:val="Heading3Char"/>
        </w:rPr>
        <w:t>Wastewater Disposal</w:t>
      </w:r>
      <w:bookmarkEnd w:id="71"/>
      <w:r w:rsidR="00A75E00" w:rsidRPr="005B7737">
        <w:rPr>
          <w:rFonts w:eastAsiaTheme="majorEastAsia" w:cstheme="majorBidi"/>
          <w:szCs w:val="32"/>
        </w:rPr>
        <w:t xml:space="preserve"> </w:t>
      </w:r>
    </w:p>
    <w:p w14:paraId="686757AD" w14:textId="45FE4A3B" w:rsidR="004561D9" w:rsidRPr="007567D7" w:rsidRDefault="007567D7" w:rsidP="00A75E00">
      <w:pPr>
        <w:rPr>
          <w:rFonts w:eastAsiaTheme="majorEastAsia" w:cstheme="majorBidi"/>
          <w:szCs w:val="32"/>
          <w:highlight w:val="yellow"/>
        </w:rPr>
      </w:pPr>
      <w:r w:rsidRPr="007567D7">
        <w:rPr>
          <w:rFonts w:eastAsiaTheme="majorEastAsia" w:cstheme="majorBidi"/>
          <w:szCs w:val="32"/>
        </w:rPr>
        <w:t xml:space="preserve">Due to the prolific nature of the oil and gas industry in Oklahoma, there is a multitude of wells and with this, a similar trend with produced water. This produced water, also called </w:t>
      </w:r>
      <w:r w:rsidR="0076478D" w:rsidRPr="007567D7">
        <w:rPr>
          <w:rFonts w:eastAsiaTheme="majorEastAsia" w:cstheme="majorBidi"/>
          <w:szCs w:val="32"/>
        </w:rPr>
        <w:t>wastewater,</w:t>
      </w:r>
      <w:r w:rsidRPr="007567D7">
        <w:rPr>
          <w:rFonts w:eastAsiaTheme="majorEastAsia" w:cstheme="majorBidi"/>
          <w:szCs w:val="32"/>
        </w:rPr>
        <w:t xml:space="preserve"> exists underground in the rock formations, and</w:t>
      </w:r>
      <w:r>
        <w:rPr>
          <w:rFonts w:eastAsiaTheme="majorEastAsia" w:cstheme="majorBidi"/>
          <w:szCs w:val="32"/>
        </w:rPr>
        <w:t xml:space="preserve"> accompanies hydrocarbon production to surface. </w:t>
      </w:r>
      <w:r w:rsidR="004561D9">
        <w:rPr>
          <w:rFonts w:eastAsiaTheme="majorEastAsia" w:cstheme="majorBidi"/>
          <w:szCs w:val="32"/>
        </w:rPr>
        <w:t xml:space="preserve">Under the Underground Injection Control (UIC) program, which is monitored by the United States Environmental Protection Agency (EPA), Class II injection wells are used for water disposal of hydraulic fracturing fluids and produced water disposal. These account for </w:t>
      </w:r>
      <w:r w:rsidR="004561D9" w:rsidRPr="004561D9">
        <w:rPr>
          <w:rFonts w:eastAsiaTheme="majorEastAsia" w:cstheme="majorBidi"/>
          <w:szCs w:val="32"/>
        </w:rPr>
        <w:t>under 10% by volume</w:t>
      </w:r>
      <w:r w:rsidR="004561D9">
        <w:rPr>
          <w:rFonts w:eastAsiaTheme="majorEastAsia" w:cstheme="majorBidi"/>
          <w:szCs w:val="32"/>
        </w:rPr>
        <w:t xml:space="preserve"> but are still a major cause of earthquakes in the Arbuckle Group because there is direct pressurization of the fluid in already existing faults and increase in stress in surrounding formations</w:t>
      </w:r>
      <w:r w:rsidR="00C60764">
        <w:rPr>
          <w:rFonts w:eastAsiaTheme="majorEastAsia" w:cstheme="majorBidi"/>
          <w:szCs w:val="32"/>
        </w:rPr>
        <w:t xml:space="preserve"> </w:t>
      </w:r>
      <w:sdt>
        <w:sdtPr>
          <w:rPr>
            <w:rFonts w:eastAsiaTheme="majorEastAsia" w:cstheme="majorBidi"/>
            <w:szCs w:val="32"/>
          </w:rPr>
          <w:id w:val="1940020404"/>
          <w:citation/>
        </w:sdtPr>
        <w:sdtContent>
          <w:r w:rsidR="00C60764">
            <w:rPr>
              <w:rFonts w:eastAsiaTheme="majorEastAsia" w:cstheme="majorBidi"/>
              <w:szCs w:val="32"/>
            </w:rPr>
            <w:fldChar w:fldCharType="begin"/>
          </w:r>
          <w:r w:rsidR="00C60764">
            <w:rPr>
              <w:rFonts w:eastAsiaTheme="majorEastAsia" w:cstheme="majorBidi"/>
              <w:szCs w:val="32"/>
            </w:rPr>
            <w:instrText xml:space="preserve">CITATION Okl21 \l 1033 </w:instrText>
          </w:r>
          <w:r w:rsidR="00C60764">
            <w:rPr>
              <w:rFonts w:eastAsiaTheme="majorEastAsia" w:cstheme="majorBidi"/>
              <w:szCs w:val="32"/>
            </w:rPr>
            <w:fldChar w:fldCharType="separate"/>
          </w:r>
          <w:r w:rsidR="00C84822" w:rsidRPr="00C84822">
            <w:rPr>
              <w:rFonts w:eastAsiaTheme="majorEastAsia" w:cstheme="majorBidi"/>
              <w:noProof/>
              <w:szCs w:val="32"/>
            </w:rPr>
            <w:t>(Oklahoma Corporation Comission, 2021)</w:t>
          </w:r>
          <w:r w:rsidR="00C60764">
            <w:rPr>
              <w:rFonts w:eastAsiaTheme="majorEastAsia" w:cstheme="majorBidi"/>
              <w:szCs w:val="32"/>
            </w:rPr>
            <w:fldChar w:fldCharType="end"/>
          </w:r>
        </w:sdtContent>
      </w:sdt>
      <w:r w:rsidR="004561D9">
        <w:rPr>
          <w:rFonts w:eastAsiaTheme="majorEastAsia" w:cstheme="majorBidi"/>
          <w:szCs w:val="32"/>
        </w:rPr>
        <w:t xml:space="preserve">. </w:t>
      </w:r>
    </w:p>
    <w:p w14:paraId="51DF9458" w14:textId="348638A0" w:rsidR="00DF4C57" w:rsidRDefault="00DF4C57" w:rsidP="00DF4C57">
      <w:pPr>
        <w:rPr>
          <w:rFonts w:eastAsiaTheme="majorEastAsia" w:cstheme="majorBidi"/>
          <w:szCs w:val="32"/>
          <w:highlight w:val="yellow"/>
        </w:rPr>
      </w:pPr>
      <w:r>
        <w:rPr>
          <w:rFonts w:eastAsiaTheme="majorEastAsia" w:cstheme="majorBidi"/>
          <w:szCs w:val="32"/>
        </w:rPr>
        <w:t xml:space="preserve">Seismicity may result from </w:t>
      </w:r>
      <w:r w:rsidRPr="00DF4C57">
        <w:rPr>
          <w:rFonts w:eastAsiaTheme="majorEastAsia" w:cstheme="majorBidi"/>
          <w:szCs w:val="32"/>
        </w:rPr>
        <w:t xml:space="preserve">wastewater disposal into </w:t>
      </w:r>
      <w:r w:rsidR="00A45A49">
        <w:rPr>
          <w:rFonts w:eastAsiaTheme="majorEastAsia" w:cstheme="majorBidi"/>
          <w:szCs w:val="32"/>
        </w:rPr>
        <w:t>geologic formation</w:t>
      </w:r>
      <w:r w:rsidRPr="00DF4C57">
        <w:rPr>
          <w:rFonts w:eastAsiaTheme="majorEastAsia" w:cstheme="majorBidi"/>
          <w:szCs w:val="32"/>
        </w:rPr>
        <w:t xml:space="preserve">s. These activities have been observed to induce earthquakes at distances greater than10 km from the disposal site as a result of direct increase in pore </w:t>
      </w:r>
      <w:sdt>
        <w:sdtPr>
          <w:rPr>
            <w:rFonts w:eastAsiaTheme="majorEastAsia" w:cstheme="majorBidi"/>
            <w:szCs w:val="32"/>
          </w:rPr>
          <w:id w:val="351916860"/>
          <w:citation/>
        </w:sdtPr>
        <w:sdtContent>
          <w:r w:rsidR="005527FE" w:rsidRPr="005527FE">
            <w:rPr>
              <w:rFonts w:eastAsiaTheme="majorEastAsia" w:cstheme="majorBidi"/>
              <w:szCs w:val="32"/>
            </w:rPr>
            <w:fldChar w:fldCharType="begin"/>
          </w:r>
          <w:r w:rsidR="005527FE" w:rsidRPr="005527FE">
            <w:rPr>
              <w:rFonts w:eastAsiaTheme="majorEastAsia" w:cstheme="majorBidi"/>
              <w:szCs w:val="32"/>
            </w:rPr>
            <w:instrText xml:space="preserve"> CITATION Rub15 \l 1033 </w:instrText>
          </w:r>
          <w:r w:rsidR="005527FE" w:rsidRPr="005527FE">
            <w:rPr>
              <w:rFonts w:eastAsiaTheme="majorEastAsia" w:cstheme="majorBidi"/>
              <w:szCs w:val="32"/>
            </w:rPr>
            <w:fldChar w:fldCharType="separate"/>
          </w:r>
          <w:r w:rsidR="00C84822" w:rsidRPr="00C84822">
            <w:rPr>
              <w:rFonts w:eastAsiaTheme="majorEastAsia" w:cstheme="majorBidi"/>
              <w:noProof/>
              <w:szCs w:val="32"/>
            </w:rPr>
            <w:t>(Rubinstein &amp; Mahani, 2015)</w:t>
          </w:r>
          <w:r w:rsidR="005527FE" w:rsidRPr="005527FE">
            <w:rPr>
              <w:rFonts w:eastAsiaTheme="majorEastAsia" w:cstheme="majorBidi"/>
              <w:szCs w:val="32"/>
            </w:rPr>
            <w:fldChar w:fldCharType="end"/>
          </w:r>
        </w:sdtContent>
      </w:sdt>
      <w:r w:rsidRPr="005527FE">
        <w:rPr>
          <w:rFonts w:eastAsiaTheme="majorEastAsia" w:cstheme="majorBidi"/>
          <w:szCs w:val="32"/>
        </w:rPr>
        <w:t xml:space="preserve">. </w:t>
      </w:r>
      <w:r w:rsidRPr="00DF4C57">
        <w:rPr>
          <w:rFonts w:eastAsiaTheme="majorEastAsia" w:cstheme="majorBidi"/>
          <w:szCs w:val="32"/>
        </w:rPr>
        <w:t xml:space="preserve">More recent research has shown that other factors such as poro-elastic stress transfer, can even </w:t>
      </w:r>
      <w:r w:rsidR="007A399A" w:rsidRPr="00DF4C57">
        <w:rPr>
          <w:rFonts w:eastAsiaTheme="majorEastAsia" w:cstheme="majorBidi"/>
          <w:szCs w:val="32"/>
        </w:rPr>
        <w:t>result</w:t>
      </w:r>
      <w:r w:rsidRPr="00DF4C57">
        <w:rPr>
          <w:rFonts w:eastAsiaTheme="majorEastAsia" w:cstheme="majorBidi"/>
          <w:szCs w:val="32"/>
        </w:rPr>
        <w:t xml:space="preserve"> in magnitudes reaching up </w:t>
      </w:r>
      <w:r w:rsidRPr="00DF4C57">
        <w:rPr>
          <w:rFonts w:eastAsiaTheme="majorEastAsia" w:cstheme="majorBidi"/>
          <w:szCs w:val="32"/>
        </w:rPr>
        <w:lastRenderedPageBreak/>
        <w:t xml:space="preserve">to 30 km from the site of disposal or injection Goebel, 2018). </w:t>
      </w:r>
      <w:r>
        <w:rPr>
          <w:rFonts w:eastAsiaTheme="majorEastAsia" w:cstheme="majorBidi"/>
          <w:szCs w:val="32"/>
        </w:rPr>
        <w:t>Different studies</w:t>
      </w:r>
      <w:r w:rsidR="00FD139D">
        <w:rPr>
          <w:rFonts w:eastAsiaTheme="majorEastAsia" w:cstheme="majorBidi"/>
          <w:szCs w:val="32"/>
        </w:rPr>
        <w:t xml:space="preserve"> have b</w:t>
      </w:r>
      <w:r>
        <w:rPr>
          <w:rFonts w:eastAsiaTheme="majorEastAsia" w:cstheme="majorBidi"/>
          <w:szCs w:val="32"/>
        </w:rPr>
        <w:t xml:space="preserve">een conducted to determine if there is a relationship between </w:t>
      </w:r>
      <w:r w:rsidRPr="00DF4C57">
        <w:rPr>
          <w:rFonts w:eastAsiaTheme="majorEastAsia" w:cstheme="majorBidi"/>
          <w:szCs w:val="32"/>
        </w:rPr>
        <w:t>Class II disposal wells and seismicity</w:t>
      </w:r>
      <w:sdt>
        <w:sdtPr>
          <w:rPr>
            <w:rFonts w:eastAsiaTheme="majorEastAsia" w:cstheme="majorBidi"/>
            <w:szCs w:val="32"/>
          </w:rPr>
          <w:id w:val="680316373"/>
          <w:citation/>
        </w:sdtPr>
        <w:sdtContent>
          <w:r w:rsidR="00C66696" w:rsidRPr="003B0AE9">
            <w:rPr>
              <w:rFonts w:eastAsiaTheme="majorEastAsia" w:cstheme="majorBidi"/>
              <w:szCs w:val="32"/>
            </w:rPr>
            <w:fldChar w:fldCharType="begin"/>
          </w:r>
          <w:r w:rsidR="00C66696" w:rsidRPr="003B0AE9">
            <w:rPr>
              <w:rFonts w:eastAsiaTheme="majorEastAsia" w:cstheme="majorBidi"/>
              <w:szCs w:val="32"/>
            </w:rPr>
            <w:instrText xml:space="preserve"> CITATION Wei15 \l 1033 </w:instrText>
          </w:r>
          <w:r w:rsidR="00C66696" w:rsidRPr="003B0AE9">
            <w:rPr>
              <w:rFonts w:eastAsiaTheme="majorEastAsia" w:cstheme="majorBidi"/>
              <w:szCs w:val="32"/>
            </w:rPr>
            <w:fldChar w:fldCharType="separate"/>
          </w:r>
          <w:r w:rsidR="00C84822">
            <w:rPr>
              <w:rFonts w:eastAsiaTheme="majorEastAsia" w:cstheme="majorBidi"/>
              <w:noProof/>
              <w:szCs w:val="32"/>
            </w:rPr>
            <w:t xml:space="preserve"> </w:t>
          </w:r>
          <w:r w:rsidR="00C84822" w:rsidRPr="00C84822">
            <w:rPr>
              <w:rFonts w:eastAsiaTheme="majorEastAsia" w:cstheme="majorBidi"/>
              <w:noProof/>
              <w:szCs w:val="32"/>
            </w:rPr>
            <w:t>(Weingarten, Ge, Godt, Bekins, &amp; Rubinstein, 2015)</w:t>
          </w:r>
          <w:r w:rsidR="00C66696" w:rsidRPr="003B0AE9">
            <w:rPr>
              <w:rFonts w:eastAsiaTheme="majorEastAsia" w:cstheme="majorBidi"/>
              <w:szCs w:val="32"/>
            </w:rPr>
            <w:fldChar w:fldCharType="end"/>
          </w:r>
        </w:sdtContent>
      </w:sdt>
      <w:r w:rsidRPr="003B0AE9">
        <w:rPr>
          <w:rFonts w:eastAsiaTheme="majorEastAsia" w:cstheme="majorBidi"/>
          <w:szCs w:val="32"/>
        </w:rPr>
        <w:t xml:space="preserve">; </w:t>
      </w:r>
      <w:sdt>
        <w:sdtPr>
          <w:rPr>
            <w:rFonts w:eastAsiaTheme="majorEastAsia" w:cstheme="majorBidi"/>
            <w:szCs w:val="32"/>
          </w:rPr>
          <w:id w:val="-1826880816"/>
          <w:citation/>
        </w:sdtPr>
        <w:sdtContent>
          <w:r w:rsidR="00C66696" w:rsidRPr="003B0AE9">
            <w:rPr>
              <w:rFonts w:eastAsiaTheme="majorEastAsia" w:cstheme="majorBidi"/>
              <w:szCs w:val="32"/>
            </w:rPr>
            <w:fldChar w:fldCharType="begin"/>
          </w:r>
          <w:r w:rsidR="00C66696" w:rsidRPr="003B0AE9">
            <w:rPr>
              <w:rFonts w:eastAsiaTheme="majorEastAsia" w:cstheme="majorBidi"/>
              <w:szCs w:val="32"/>
            </w:rPr>
            <w:instrText xml:space="preserve"> CITATION Sko18 \l 1033 </w:instrText>
          </w:r>
          <w:r w:rsidR="00C66696" w:rsidRPr="003B0AE9">
            <w:rPr>
              <w:rFonts w:eastAsiaTheme="majorEastAsia" w:cstheme="majorBidi"/>
              <w:szCs w:val="32"/>
            </w:rPr>
            <w:fldChar w:fldCharType="separate"/>
          </w:r>
          <w:r w:rsidR="00C84822" w:rsidRPr="00C84822">
            <w:rPr>
              <w:rFonts w:eastAsiaTheme="majorEastAsia" w:cstheme="majorBidi"/>
              <w:noProof/>
              <w:szCs w:val="32"/>
            </w:rPr>
            <w:t>(Skoumal, Ries, Brudzinski, Barbour, &amp; Currie, 2018)</w:t>
          </w:r>
          <w:r w:rsidR="00C66696" w:rsidRPr="003B0AE9">
            <w:rPr>
              <w:rFonts w:eastAsiaTheme="majorEastAsia" w:cstheme="majorBidi"/>
              <w:szCs w:val="32"/>
            </w:rPr>
            <w:fldChar w:fldCharType="end"/>
          </w:r>
        </w:sdtContent>
      </w:sdt>
      <w:r w:rsidRPr="003B0AE9">
        <w:rPr>
          <w:rFonts w:eastAsiaTheme="majorEastAsia" w:cstheme="majorBidi"/>
          <w:szCs w:val="32"/>
        </w:rPr>
        <w:t xml:space="preserve">; </w:t>
      </w:r>
      <w:sdt>
        <w:sdtPr>
          <w:rPr>
            <w:rFonts w:eastAsiaTheme="majorEastAsia" w:cstheme="majorBidi"/>
            <w:szCs w:val="32"/>
          </w:rPr>
          <w:id w:val="-936440113"/>
          <w:citation/>
        </w:sdtPr>
        <w:sdtContent>
          <w:r w:rsidR="003B0AE9" w:rsidRPr="003B0AE9">
            <w:rPr>
              <w:rFonts w:eastAsiaTheme="majorEastAsia" w:cstheme="majorBidi"/>
              <w:szCs w:val="32"/>
            </w:rPr>
            <w:fldChar w:fldCharType="begin"/>
          </w:r>
          <w:r w:rsidR="003B0AE9" w:rsidRPr="003B0AE9">
            <w:rPr>
              <w:rFonts w:eastAsiaTheme="majorEastAsia" w:cstheme="majorBidi"/>
              <w:szCs w:val="32"/>
            </w:rPr>
            <w:instrText xml:space="preserve">CITATION Kol \l 1033 </w:instrText>
          </w:r>
          <w:r w:rsidR="003B0AE9" w:rsidRPr="003B0AE9">
            <w:rPr>
              <w:rFonts w:eastAsiaTheme="majorEastAsia" w:cstheme="majorBidi"/>
              <w:szCs w:val="32"/>
            </w:rPr>
            <w:fldChar w:fldCharType="separate"/>
          </w:r>
          <w:r w:rsidR="00C84822" w:rsidRPr="00C84822">
            <w:rPr>
              <w:rFonts w:eastAsiaTheme="majorEastAsia" w:cstheme="majorBidi"/>
              <w:noProof/>
              <w:szCs w:val="32"/>
            </w:rPr>
            <w:t>(Kolawole, et al., 2019)</w:t>
          </w:r>
          <w:r w:rsidR="003B0AE9" w:rsidRPr="003B0AE9">
            <w:rPr>
              <w:rFonts w:eastAsiaTheme="majorEastAsia" w:cstheme="majorBidi"/>
              <w:szCs w:val="32"/>
            </w:rPr>
            <w:fldChar w:fldCharType="end"/>
          </w:r>
        </w:sdtContent>
      </w:sdt>
      <w:r w:rsidRPr="003B0AE9">
        <w:rPr>
          <w:rFonts w:eastAsiaTheme="majorEastAsia" w:cstheme="majorBidi"/>
          <w:szCs w:val="32"/>
        </w:rPr>
        <w:t xml:space="preserve">. </w:t>
      </w:r>
      <w:r w:rsidR="00896C8C" w:rsidRPr="00896C8C">
        <w:rPr>
          <w:rFonts w:eastAsiaTheme="majorEastAsia" w:cstheme="majorBidi"/>
          <w:szCs w:val="32"/>
        </w:rPr>
        <w:t>According to these studies, there are t</w:t>
      </w:r>
      <w:r w:rsidRPr="00896C8C">
        <w:rPr>
          <w:rFonts w:eastAsiaTheme="majorEastAsia" w:cstheme="majorBidi"/>
          <w:szCs w:val="32"/>
        </w:rPr>
        <w:t xml:space="preserve">wo </w:t>
      </w:r>
      <w:r w:rsidR="00896C8C" w:rsidRPr="00896C8C">
        <w:rPr>
          <w:rFonts w:eastAsiaTheme="majorEastAsia" w:cstheme="majorBidi"/>
          <w:szCs w:val="32"/>
        </w:rPr>
        <w:t xml:space="preserve">major sources of </w:t>
      </w:r>
      <w:r w:rsidRPr="00896C8C">
        <w:rPr>
          <w:rFonts w:eastAsiaTheme="majorEastAsia" w:cstheme="majorBidi"/>
          <w:szCs w:val="32"/>
        </w:rPr>
        <w:t>fault re-activation</w:t>
      </w:r>
      <w:r w:rsidR="00896C8C" w:rsidRPr="00896C8C">
        <w:rPr>
          <w:rFonts w:eastAsiaTheme="majorEastAsia" w:cstheme="majorBidi"/>
          <w:szCs w:val="32"/>
        </w:rPr>
        <w:t xml:space="preserve">, the increase in </w:t>
      </w:r>
      <w:r w:rsidRPr="00896C8C">
        <w:rPr>
          <w:rFonts w:eastAsiaTheme="majorEastAsia" w:cstheme="majorBidi"/>
          <w:szCs w:val="32"/>
        </w:rPr>
        <w:t>direct pore</w:t>
      </w:r>
      <w:r w:rsidR="00896C8C" w:rsidRPr="00896C8C">
        <w:rPr>
          <w:rFonts w:eastAsiaTheme="majorEastAsia" w:cstheme="majorBidi"/>
          <w:szCs w:val="32"/>
        </w:rPr>
        <w:t xml:space="preserve"> </w:t>
      </w:r>
      <w:r w:rsidRPr="00896C8C">
        <w:rPr>
          <w:rFonts w:eastAsiaTheme="majorEastAsia" w:cstheme="majorBidi"/>
          <w:szCs w:val="32"/>
        </w:rPr>
        <w:t xml:space="preserve">pressure in fault </w:t>
      </w:r>
      <w:r w:rsidRPr="00C60764">
        <w:rPr>
          <w:rFonts w:eastAsiaTheme="majorEastAsia" w:cstheme="majorBidi"/>
          <w:szCs w:val="32"/>
        </w:rPr>
        <w:t xml:space="preserve">zones </w:t>
      </w:r>
      <w:sdt>
        <w:sdtPr>
          <w:rPr>
            <w:rFonts w:eastAsiaTheme="majorEastAsia" w:cstheme="majorBidi"/>
            <w:szCs w:val="32"/>
          </w:rPr>
          <w:id w:val="-1744164574"/>
          <w:citation/>
        </w:sdtPr>
        <w:sdtContent>
          <w:r w:rsidR="001D6F0E" w:rsidRPr="00C60764">
            <w:rPr>
              <w:rFonts w:eastAsiaTheme="majorEastAsia" w:cstheme="majorBidi"/>
              <w:szCs w:val="32"/>
            </w:rPr>
            <w:fldChar w:fldCharType="begin"/>
          </w:r>
          <w:r w:rsidR="001D6F0E" w:rsidRPr="00C60764">
            <w:rPr>
              <w:rFonts w:eastAsiaTheme="majorEastAsia" w:cstheme="majorBidi"/>
              <w:szCs w:val="32"/>
            </w:rPr>
            <w:instrText xml:space="preserve"> CITATION McG17 \l 1033 </w:instrText>
          </w:r>
          <w:r w:rsidR="001D6F0E" w:rsidRPr="00C60764">
            <w:rPr>
              <w:rFonts w:eastAsiaTheme="majorEastAsia" w:cstheme="majorBidi"/>
              <w:szCs w:val="32"/>
            </w:rPr>
            <w:fldChar w:fldCharType="separate"/>
          </w:r>
          <w:r w:rsidR="00C84822" w:rsidRPr="00C84822">
            <w:rPr>
              <w:rFonts w:eastAsiaTheme="majorEastAsia" w:cstheme="majorBidi"/>
              <w:noProof/>
              <w:szCs w:val="32"/>
            </w:rPr>
            <w:t>(McGarr &amp; Barbour, 2017)</w:t>
          </w:r>
          <w:r w:rsidR="001D6F0E" w:rsidRPr="00C60764">
            <w:rPr>
              <w:rFonts w:eastAsiaTheme="majorEastAsia" w:cstheme="majorBidi"/>
              <w:szCs w:val="32"/>
            </w:rPr>
            <w:fldChar w:fldCharType="end"/>
          </w:r>
        </w:sdtContent>
      </w:sdt>
      <w:r w:rsidR="001D6F0E" w:rsidRPr="00C60764">
        <w:rPr>
          <w:rFonts w:eastAsiaTheme="majorEastAsia" w:cstheme="majorBidi"/>
          <w:szCs w:val="32"/>
        </w:rPr>
        <w:t xml:space="preserve"> </w:t>
      </w:r>
      <w:r w:rsidRPr="00C60764">
        <w:rPr>
          <w:rFonts w:eastAsiaTheme="majorEastAsia" w:cstheme="majorBidi"/>
          <w:szCs w:val="32"/>
        </w:rPr>
        <w:t xml:space="preserve">and </w:t>
      </w:r>
      <w:r w:rsidR="00896C8C" w:rsidRPr="00C60764">
        <w:rPr>
          <w:rFonts w:eastAsiaTheme="majorEastAsia" w:cstheme="majorBidi"/>
          <w:szCs w:val="32"/>
        </w:rPr>
        <w:t xml:space="preserve">the </w:t>
      </w:r>
      <w:r w:rsidRPr="00C60764">
        <w:rPr>
          <w:rFonts w:eastAsiaTheme="majorEastAsia" w:cstheme="majorBidi"/>
          <w:szCs w:val="32"/>
        </w:rPr>
        <w:t xml:space="preserve">pore-elastic stress changes </w:t>
      </w:r>
      <w:r w:rsidR="00896C8C" w:rsidRPr="00C60764">
        <w:rPr>
          <w:rFonts w:eastAsiaTheme="majorEastAsia" w:cstheme="majorBidi"/>
          <w:szCs w:val="32"/>
        </w:rPr>
        <w:t>due to proximity of</w:t>
      </w:r>
      <w:r w:rsidRPr="00C60764">
        <w:rPr>
          <w:rFonts w:eastAsiaTheme="majorEastAsia" w:cstheme="majorBidi"/>
          <w:szCs w:val="32"/>
        </w:rPr>
        <w:t xml:space="preserve"> faults</w:t>
      </w:r>
      <w:r w:rsidR="001D6F0E" w:rsidRPr="00C60764">
        <w:rPr>
          <w:rFonts w:eastAsiaTheme="majorEastAsia" w:cstheme="majorBidi"/>
          <w:szCs w:val="32"/>
        </w:rPr>
        <w:t xml:space="preserve">. </w:t>
      </w:r>
      <w:r w:rsidR="00896C8C" w:rsidRPr="00C60764">
        <w:rPr>
          <w:rFonts w:eastAsiaTheme="majorEastAsia" w:cstheme="majorBidi"/>
          <w:szCs w:val="32"/>
        </w:rPr>
        <w:t xml:space="preserve">The Arbuckle Group </w:t>
      </w:r>
      <w:r w:rsidRPr="00C60764">
        <w:rPr>
          <w:rFonts w:eastAsiaTheme="majorEastAsia" w:cstheme="majorBidi"/>
          <w:szCs w:val="32"/>
        </w:rPr>
        <w:t>lies directly above</w:t>
      </w:r>
      <w:r w:rsidR="00896C8C" w:rsidRPr="00C60764">
        <w:rPr>
          <w:rFonts w:eastAsiaTheme="majorEastAsia" w:cstheme="majorBidi"/>
          <w:szCs w:val="32"/>
        </w:rPr>
        <w:t xml:space="preserve"> a</w:t>
      </w:r>
      <w:r w:rsidRPr="00C60764">
        <w:rPr>
          <w:rFonts w:eastAsiaTheme="majorEastAsia" w:cstheme="majorBidi"/>
          <w:szCs w:val="32"/>
        </w:rPr>
        <w:t xml:space="preserve"> highly fractured crystalline basement rock. </w:t>
      </w:r>
      <w:r w:rsidR="00896C8C" w:rsidRPr="00C60764">
        <w:rPr>
          <w:rFonts w:eastAsiaTheme="majorEastAsia" w:cstheme="majorBidi"/>
          <w:szCs w:val="32"/>
        </w:rPr>
        <w:t>According to rec</w:t>
      </w:r>
      <w:r w:rsidRPr="00C60764">
        <w:rPr>
          <w:rFonts w:eastAsiaTheme="majorEastAsia" w:cstheme="majorBidi"/>
          <w:szCs w:val="32"/>
        </w:rPr>
        <w:t>ent research</w:t>
      </w:r>
      <w:r w:rsidR="00896C8C" w:rsidRPr="00C60764">
        <w:rPr>
          <w:rFonts w:eastAsiaTheme="majorEastAsia" w:cstheme="majorBidi"/>
          <w:szCs w:val="32"/>
        </w:rPr>
        <w:t>, increase in pore</w:t>
      </w:r>
      <w:r w:rsidR="00C83C6A">
        <w:rPr>
          <w:rFonts w:eastAsiaTheme="majorEastAsia" w:cstheme="majorBidi"/>
          <w:szCs w:val="32"/>
        </w:rPr>
        <w:t xml:space="preserve"> pressure</w:t>
      </w:r>
      <w:r w:rsidR="00896C8C" w:rsidRPr="00C60764">
        <w:rPr>
          <w:rFonts w:eastAsiaTheme="majorEastAsia" w:cstheme="majorBidi"/>
          <w:szCs w:val="32"/>
        </w:rPr>
        <w:t xml:space="preserve"> from</w:t>
      </w:r>
      <w:r w:rsidR="00C83C6A">
        <w:rPr>
          <w:rFonts w:eastAsiaTheme="majorEastAsia" w:cstheme="majorBidi"/>
          <w:szCs w:val="32"/>
        </w:rPr>
        <w:t xml:space="preserve"> the</w:t>
      </w:r>
      <w:r w:rsidR="00896C8C" w:rsidRPr="00C60764">
        <w:rPr>
          <w:rFonts w:eastAsiaTheme="majorEastAsia" w:cstheme="majorBidi"/>
          <w:szCs w:val="32"/>
        </w:rPr>
        <w:t xml:space="preserve"> point of injection and regional stress state changes across central and northern Oklahoma are the major </w:t>
      </w:r>
      <w:r w:rsidRPr="00C60764">
        <w:rPr>
          <w:rFonts w:eastAsiaTheme="majorEastAsia" w:cstheme="majorBidi"/>
          <w:szCs w:val="32"/>
        </w:rPr>
        <w:t xml:space="preserve">source of induced seismicity in </w:t>
      </w:r>
      <w:r w:rsidR="00896C8C" w:rsidRPr="00C60764">
        <w:rPr>
          <w:rFonts w:eastAsiaTheme="majorEastAsia" w:cstheme="majorBidi"/>
          <w:szCs w:val="32"/>
        </w:rPr>
        <w:t>these areas</w:t>
      </w:r>
      <w:r w:rsidRPr="00C60764">
        <w:rPr>
          <w:rFonts w:eastAsiaTheme="majorEastAsia" w:cstheme="majorBidi"/>
          <w:szCs w:val="32"/>
        </w:rPr>
        <w:t xml:space="preserve"> </w:t>
      </w:r>
      <w:sdt>
        <w:sdtPr>
          <w:rPr>
            <w:rFonts w:eastAsiaTheme="majorEastAsia" w:cstheme="majorBidi"/>
            <w:szCs w:val="32"/>
          </w:rPr>
          <w:id w:val="-762443406"/>
          <w:citation/>
        </w:sdtPr>
        <w:sdtContent>
          <w:r w:rsidR="001D6F0E" w:rsidRPr="00C60764">
            <w:rPr>
              <w:rFonts w:eastAsiaTheme="majorEastAsia" w:cstheme="majorBidi"/>
              <w:szCs w:val="32"/>
            </w:rPr>
            <w:fldChar w:fldCharType="begin"/>
          </w:r>
          <w:r w:rsidR="001D6F0E" w:rsidRPr="00C60764">
            <w:rPr>
              <w:rFonts w:eastAsiaTheme="majorEastAsia" w:cstheme="majorBidi"/>
              <w:szCs w:val="32"/>
            </w:rPr>
            <w:instrText xml:space="preserve"> CITATION Wal15 \l 1033 </w:instrText>
          </w:r>
          <w:r w:rsidR="001D6F0E" w:rsidRPr="00C60764">
            <w:rPr>
              <w:rFonts w:eastAsiaTheme="majorEastAsia" w:cstheme="majorBidi"/>
              <w:szCs w:val="32"/>
            </w:rPr>
            <w:fldChar w:fldCharType="separate"/>
          </w:r>
          <w:r w:rsidR="00C84822" w:rsidRPr="00C84822">
            <w:rPr>
              <w:rFonts w:eastAsiaTheme="majorEastAsia" w:cstheme="majorBidi"/>
              <w:noProof/>
              <w:szCs w:val="32"/>
            </w:rPr>
            <w:t>(Walsh &amp; Zoback, 2015)</w:t>
          </w:r>
          <w:r w:rsidR="001D6F0E" w:rsidRPr="00C60764">
            <w:rPr>
              <w:rFonts w:eastAsiaTheme="majorEastAsia" w:cstheme="majorBidi"/>
              <w:szCs w:val="32"/>
            </w:rPr>
            <w:fldChar w:fldCharType="end"/>
          </w:r>
        </w:sdtContent>
      </w:sdt>
      <w:r w:rsidRPr="00C60764">
        <w:rPr>
          <w:rFonts w:eastAsiaTheme="majorEastAsia" w:cstheme="majorBidi"/>
          <w:szCs w:val="32"/>
        </w:rPr>
        <w:t xml:space="preserve">; </w:t>
      </w:r>
      <w:sdt>
        <w:sdtPr>
          <w:rPr>
            <w:rFonts w:eastAsiaTheme="majorEastAsia" w:cstheme="majorBidi"/>
            <w:szCs w:val="32"/>
          </w:rPr>
          <w:id w:val="-1671091765"/>
          <w:citation/>
        </w:sdtPr>
        <w:sdtContent>
          <w:r w:rsidR="00C60764" w:rsidRPr="00C60764">
            <w:rPr>
              <w:rFonts w:eastAsiaTheme="majorEastAsia" w:cstheme="majorBidi"/>
              <w:szCs w:val="32"/>
            </w:rPr>
            <w:fldChar w:fldCharType="begin"/>
          </w:r>
          <w:r w:rsidR="0032667E">
            <w:rPr>
              <w:rFonts w:eastAsiaTheme="majorEastAsia" w:cstheme="majorBidi"/>
              <w:szCs w:val="32"/>
            </w:rPr>
            <w:instrText xml:space="preserve">CITATION Jen20 \l 1033 </w:instrText>
          </w:r>
          <w:r w:rsidR="00C60764" w:rsidRPr="00C60764">
            <w:rPr>
              <w:rFonts w:eastAsiaTheme="majorEastAsia" w:cstheme="majorBidi"/>
              <w:szCs w:val="32"/>
            </w:rPr>
            <w:fldChar w:fldCharType="separate"/>
          </w:r>
          <w:r w:rsidR="00C84822" w:rsidRPr="00C84822">
            <w:rPr>
              <w:rFonts w:eastAsiaTheme="majorEastAsia" w:cstheme="majorBidi"/>
              <w:noProof/>
              <w:szCs w:val="32"/>
            </w:rPr>
            <w:t>(Snee &amp; Zoback, 2020)</w:t>
          </w:r>
          <w:r w:rsidR="00C60764" w:rsidRPr="00C60764">
            <w:rPr>
              <w:rFonts w:eastAsiaTheme="majorEastAsia" w:cstheme="majorBidi"/>
              <w:szCs w:val="32"/>
            </w:rPr>
            <w:fldChar w:fldCharType="end"/>
          </w:r>
        </w:sdtContent>
      </w:sdt>
      <w:r w:rsidRPr="00C60764">
        <w:rPr>
          <w:rFonts w:eastAsiaTheme="majorEastAsia" w:cstheme="majorBidi"/>
          <w:szCs w:val="32"/>
        </w:rPr>
        <w:t xml:space="preserve">. </w:t>
      </w:r>
    </w:p>
    <w:p w14:paraId="76D74499" w14:textId="16E3C59F" w:rsidR="004561D9" w:rsidRDefault="001E13CC" w:rsidP="00A75E00">
      <w:pPr>
        <w:rPr>
          <w:rFonts w:eastAsiaTheme="majorEastAsia" w:cstheme="majorBidi"/>
          <w:szCs w:val="32"/>
        </w:rPr>
      </w:pPr>
      <w:bookmarkStart w:id="72" w:name="_Toc121265830"/>
      <w:r>
        <w:rPr>
          <w:rStyle w:val="Heading3Char"/>
        </w:rPr>
        <w:t>3</w:t>
      </w:r>
      <w:r w:rsidR="004561D9">
        <w:rPr>
          <w:rStyle w:val="Heading3Char"/>
        </w:rPr>
        <w:t>.</w:t>
      </w:r>
      <w:r w:rsidR="00850D0F">
        <w:rPr>
          <w:rStyle w:val="Heading3Char"/>
        </w:rPr>
        <w:t>6</w:t>
      </w:r>
      <w:r w:rsidR="004561D9">
        <w:rPr>
          <w:rStyle w:val="Heading3Char"/>
        </w:rPr>
        <w:t>.2 H</w:t>
      </w:r>
      <w:r w:rsidR="00A75E00" w:rsidRPr="005B7737">
        <w:rPr>
          <w:rStyle w:val="Heading3Char"/>
        </w:rPr>
        <w:t>ydraulic Fracturing</w:t>
      </w:r>
      <w:bookmarkEnd w:id="72"/>
      <w:r w:rsidR="00A75E00" w:rsidRPr="005B7737">
        <w:rPr>
          <w:rFonts w:eastAsiaTheme="majorEastAsia" w:cstheme="majorBidi"/>
          <w:szCs w:val="32"/>
        </w:rPr>
        <w:t xml:space="preserve"> </w:t>
      </w:r>
    </w:p>
    <w:p w14:paraId="73C2619A" w14:textId="7DF50C63" w:rsidR="004561D9" w:rsidRDefault="004561D9" w:rsidP="00A75E00">
      <w:pPr>
        <w:rPr>
          <w:rFonts w:eastAsiaTheme="majorEastAsia" w:cstheme="majorBidi"/>
          <w:szCs w:val="32"/>
        </w:rPr>
      </w:pPr>
      <w:r>
        <w:rPr>
          <w:rFonts w:eastAsiaTheme="majorEastAsia" w:cstheme="majorBidi"/>
          <w:szCs w:val="32"/>
        </w:rPr>
        <w:t xml:space="preserve">Hydraulic fracturing is the process of </w:t>
      </w:r>
      <w:r w:rsidR="007A399A">
        <w:rPr>
          <w:rFonts w:eastAsiaTheme="majorEastAsia" w:cstheme="majorBidi"/>
          <w:szCs w:val="32"/>
        </w:rPr>
        <w:t>injecting</w:t>
      </w:r>
      <w:r>
        <w:rPr>
          <w:rFonts w:eastAsiaTheme="majorEastAsia" w:cstheme="majorBidi"/>
          <w:szCs w:val="32"/>
        </w:rPr>
        <w:t xml:space="preserve"> fluid into the formation, at pressures higher than in fracture pressure of the formation, in order to fracture the rock and allow flow of hydrocarbons. This has been used to improve productivity in Oklahoma for more than sixty years. Hydraulic </w:t>
      </w:r>
      <w:r w:rsidR="00DF4C57">
        <w:rPr>
          <w:rFonts w:eastAsiaTheme="majorEastAsia" w:cstheme="majorBidi"/>
          <w:szCs w:val="32"/>
        </w:rPr>
        <w:t>fracturing</w:t>
      </w:r>
      <w:r w:rsidR="00A45A49">
        <w:rPr>
          <w:rFonts w:eastAsiaTheme="majorEastAsia" w:cstheme="majorBidi"/>
          <w:szCs w:val="32"/>
        </w:rPr>
        <w:t xml:space="preserve"> also</w:t>
      </w:r>
      <w:r>
        <w:rPr>
          <w:rFonts w:eastAsiaTheme="majorEastAsia" w:cstheme="majorBidi"/>
          <w:szCs w:val="32"/>
        </w:rPr>
        <w:t xml:space="preserve"> results in direct pressurization of the fluid in already existing </w:t>
      </w:r>
      <w:r w:rsidR="00DF4C57">
        <w:rPr>
          <w:rFonts w:eastAsiaTheme="majorEastAsia" w:cstheme="majorBidi"/>
          <w:szCs w:val="32"/>
        </w:rPr>
        <w:t xml:space="preserve">fractures and </w:t>
      </w:r>
      <w:r>
        <w:rPr>
          <w:rFonts w:eastAsiaTheme="majorEastAsia" w:cstheme="majorBidi"/>
          <w:szCs w:val="32"/>
        </w:rPr>
        <w:t>fault</w:t>
      </w:r>
      <w:r w:rsidR="00DF4C57">
        <w:rPr>
          <w:rFonts w:eastAsiaTheme="majorEastAsia" w:cstheme="majorBidi"/>
          <w:szCs w:val="32"/>
        </w:rPr>
        <w:t>s</w:t>
      </w:r>
      <w:r w:rsidR="00A45A49">
        <w:rPr>
          <w:rFonts w:eastAsiaTheme="majorEastAsia" w:cstheme="majorBidi"/>
          <w:szCs w:val="32"/>
        </w:rPr>
        <w:t xml:space="preserve"> </w:t>
      </w:r>
      <w:r w:rsidR="00A45A49" w:rsidRPr="00A45A49">
        <w:rPr>
          <w:rFonts w:eastAsiaTheme="majorEastAsia" w:cstheme="majorBidi"/>
          <w:szCs w:val="32"/>
        </w:rPr>
        <w:t>and poroelastic stress transfer</w:t>
      </w:r>
      <w:r w:rsidR="00A45A49">
        <w:rPr>
          <w:rFonts w:eastAsiaTheme="majorEastAsia" w:cstheme="majorBidi"/>
          <w:szCs w:val="32"/>
        </w:rPr>
        <w:t>.</w:t>
      </w:r>
    </w:p>
    <w:p w14:paraId="64B9BD2B" w14:textId="2FF18A30" w:rsidR="00A75E00" w:rsidRPr="000E4BB0" w:rsidRDefault="00896C8C" w:rsidP="007567D7">
      <w:pPr>
        <w:rPr>
          <w:rFonts w:eastAsiaTheme="majorEastAsia" w:cstheme="majorBidi"/>
          <w:szCs w:val="32"/>
        </w:rPr>
      </w:pPr>
      <w:r>
        <w:rPr>
          <w:rFonts w:eastAsiaTheme="majorEastAsia" w:cstheme="majorBidi"/>
          <w:szCs w:val="32"/>
        </w:rPr>
        <w:t xml:space="preserve">Earthquakes caused by hydraulic fracturing </w:t>
      </w:r>
      <w:r w:rsidR="007A399A">
        <w:rPr>
          <w:rFonts w:eastAsiaTheme="majorEastAsia" w:cstheme="majorBidi"/>
          <w:szCs w:val="32"/>
        </w:rPr>
        <w:t>are</w:t>
      </w:r>
      <w:r>
        <w:rPr>
          <w:rFonts w:eastAsiaTheme="majorEastAsia" w:cstheme="majorBidi"/>
          <w:szCs w:val="32"/>
        </w:rPr>
        <w:t xml:space="preserve"> usually local and often less than </w:t>
      </w:r>
      <w:r w:rsidR="00A45A49">
        <w:rPr>
          <w:rFonts w:eastAsiaTheme="majorEastAsia" w:cstheme="majorBidi"/>
          <w:szCs w:val="32"/>
        </w:rPr>
        <w:t xml:space="preserve">about </w:t>
      </w:r>
      <w:r w:rsidR="00A45A49" w:rsidRPr="00A45A49">
        <w:rPr>
          <w:rFonts w:eastAsiaTheme="majorEastAsia" w:cstheme="majorBidi"/>
          <w:szCs w:val="32"/>
        </w:rPr>
        <w:t>164</w:t>
      </w:r>
      <w:r w:rsidR="00A45A49">
        <w:rPr>
          <w:rFonts w:eastAsiaTheme="majorEastAsia" w:cstheme="majorBidi"/>
          <w:szCs w:val="32"/>
        </w:rPr>
        <w:t>00 ft from the point of injection</w:t>
      </w:r>
      <w:r>
        <w:rPr>
          <w:rFonts w:eastAsiaTheme="majorEastAsia" w:cstheme="majorBidi"/>
          <w:szCs w:val="32"/>
        </w:rPr>
        <w:t xml:space="preserve">. It is also less common than </w:t>
      </w:r>
      <w:r w:rsidRPr="00C95EE8">
        <w:rPr>
          <w:rFonts w:eastAsiaTheme="majorEastAsia" w:cstheme="majorBidi"/>
          <w:szCs w:val="32"/>
        </w:rPr>
        <w:t xml:space="preserve">the </w:t>
      </w:r>
      <w:r w:rsidR="00A75E00" w:rsidRPr="00C95EE8">
        <w:rPr>
          <w:rFonts w:eastAsiaTheme="majorEastAsia" w:cstheme="majorBidi"/>
          <w:szCs w:val="32"/>
        </w:rPr>
        <w:t xml:space="preserve">regional </w:t>
      </w:r>
      <w:r w:rsidRPr="00C95EE8">
        <w:rPr>
          <w:rFonts w:eastAsiaTheme="majorEastAsia" w:cstheme="majorBidi"/>
          <w:szCs w:val="32"/>
        </w:rPr>
        <w:t>stress changes from</w:t>
      </w:r>
      <w:r w:rsidR="00A75E00" w:rsidRPr="00C95EE8">
        <w:rPr>
          <w:rFonts w:eastAsiaTheme="majorEastAsia" w:cstheme="majorBidi"/>
          <w:szCs w:val="32"/>
        </w:rPr>
        <w:t xml:space="preserve"> </w:t>
      </w:r>
      <w:r w:rsidRPr="00C95EE8">
        <w:rPr>
          <w:rFonts w:eastAsiaTheme="majorEastAsia" w:cstheme="majorBidi"/>
          <w:szCs w:val="32"/>
        </w:rPr>
        <w:t>water injection</w:t>
      </w:r>
      <w:r w:rsidR="00A75E00" w:rsidRPr="00C95EE8">
        <w:rPr>
          <w:rFonts w:eastAsiaTheme="majorEastAsia" w:cstheme="majorBidi"/>
          <w:szCs w:val="32"/>
        </w:rPr>
        <w:t xml:space="preserve"> in Class II UIC wells</w:t>
      </w:r>
      <w:r w:rsidR="00A45A49">
        <w:rPr>
          <w:rFonts w:eastAsiaTheme="majorEastAsia" w:cstheme="majorBidi"/>
          <w:szCs w:val="32"/>
        </w:rPr>
        <w:t xml:space="preserve"> </w:t>
      </w:r>
      <w:sdt>
        <w:sdtPr>
          <w:rPr>
            <w:rFonts w:eastAsiaTheme="majorEastAsia" w:cstheme="majorBidi"/>
            <w:szCs w:val="32"/>
          </w:rPr>
          <w:id w:val="769509213"/>
          <w:citation/>
        </w:sdtPr>
        <w:sdtContent>
          <w:r w:rsidR="00A45A49">
            <w:rPr>
              <w:rFonts w:eastAsiaTheme="majorEastAsia" w:cstheme="majorBidi"/>
              <w:szCs w:val="32"/>
            </w:rPr>
            <w:fldChar w:fldCharType="begin"/>
          </w:r>
          <w:r w:rsidR="00A45A49">
            <w:rPr>
              <w:rFonts w:eastAsiaTheme="majorEastAsia" w:cstheme="majorBidi"/>
              <w:szCs w:val="32"/>
            </w:rPr>
            <w:instrText xml:space="preserve"> CITATION Okl21 \l 1033 </w:instrText>
          </w:r>
          <w:r w:rsidR="00A45A49">
            <w:rPr>
              <w:rFonts w:eastAsiaTheme="majorEastAsia" w:cstheme="majorBidi"/>
              <w:szCs w:val="32"/>
            </w:rPr>
            <w:fldChar w:fldCharType="separate"/>
          </w:r>
          <w:r w:rsidR="00C84822" w:rsidRPr="00C84822">
            <w:rPr>
              <w:rFonts w:eastAsiaTheme="majorEastAsia" w:cstheme="majorBidi"/>
              <w:noProof/>
              <w:szCs w:val="32"/>
            </w:rPr>
            <w:t>(Oklahoma Corporation Comission, 2021)</w:t>
          </w:r>
          <w:r w:rsidR="00A45A49">
            <w:rPr>
              <w:rFonts w:eastAsiaTheme="majorEastAsia" w:cstheme="majorBidi"/>
              <w:szCs w:val="32"/>
            </w:rPr>
            <w:fldChar w:fldCharType="end"/>
          </w:r>
        </w:sdtContent>
      </w:sdt>
      <w:r w:rsidR="00A75E00" w:rsidRPr="00C95EE8">
        <w:rPr>
          <w:rFonts w:eastAsiaTheme="majorEastAsia" w:cstheme="majorBidi"/>
          <w:szCs w:val="32"/>
        </w:rPr>
        <w:t xml:space="preserve">. </w:t>
      </w:r>
      <w:r w:rsidR="00B41025">
        <w:rPr>
          <w:rFonts w:eastAsiaTheme="majorEastAsia" w:cstheme="majorBidi"/>
          <w:szCs w:val="32"/>
        </w:rPr>
        <w:t xml:space="preserve">This is because less than </w:t>
      </w:r>
      <w:r w:rsidR="00B41025" w:rsidRPr="00B41025">
        <w:rPr>
          <w:rFonts w:eastAsiaTheme="majorEastAsia" w:cstheme="majorBidi"/>
          <w:szCs w:val="32"/>
        </w:rPr>
        <w:t xml:space="preserve">10% of Oklahoma's </w:t>
      </w:r>
      <w:r w:rsidR="000E4BB0" w:rsidRPr="00B41025">
        <w:rPr>
          <w:rFonts w:eastAsiaTheme="majorEastAsia" w:cstheme="majorBidi"/>
          <w:szCs w:val="32"/>
        </w:rPr>
        <w:t>cumulative</w:t>
      </w:r>
      <w:r w:rsidR="00B41025" w:rsidRPr="00B41025">
        <w:rPr>
          <w:rFonts w:eastAsiaTheme="majorEastAsia" w:cstheme="majorBidi"/>
          <w:szCs w:val="32"/>
        </w:rPr>
        <w:t xml:space="preserve"> disposed fluids are from HF on average </w:t>
      </w:r>
      <w:sdt>
        <w:sdtPr>
          <w:rPr>
            <w:rFonts w:eastAsiaTheme="majorEastAsia" w:cstheme="majorBidi"/>
            <w:szCs w:val="32"/>
          </w:rPr>
          <w:id w:val="-1992082271"/>
          <w:citation/>
        </w:sdtPr>
        <w:sdtContent>
          <w:r w:rsidR="00C60764" w:rsidRPr="00C60764">
            <w:rPr>
              <w:rFonts w:eastAsiaTheme="majorEastAsia" w:cstheme="majorBidi"/>
              <w:szCs w:val="32"/>
            </w:rPr>
            <w:fldChar w:fldCharType="begin"/>
          </w:r>
          <w:r w:rsidR="00C60764" w:rsidRPr="00C60764">
            <w:rPr>
              <w:rFonts w:eastAsiaTheme="majorEastAsia" w:cstheme="majorBidi"/>
              <w:szCs w:val="32"/>
            </w:rPr>
            <w:instrText xml:space="preserve"> CITATION Mur13 \l 1033 </w:instrText>
          </w:r>
          <w:r w:rsidR="00C60764" w:rsidRPr="00C60764">
            <w:rPr>
              <w:rFonts w:eastAsiaTheme="majorEastAsia" w:cstheme="majorBidi"/>
              <w:szCs w:val="32"/>
            </w:rPr>
            <w:fldChar w:fldCharType="separate"/>
          </w:r>
          <w:r w:rsidR="00C84822" w:rsidRPr="00C84822">
            <w:rPr>
              <w:rFonts w:eastAsiaTheme="majorEastAsia" w:cstheme="majorBidi"/>
              <w:noProof/>
              <w:szCs w:val="32"/>
            </w:rPr>
            <w:t>(Murray, 2013)</w:t>
          </w:r>
          <w:r w:rsidR="00C60764" w:rsidRPr="00C60764">
            <w:rPr>
              <w:rFonts w:eastAsiaTheme="majorEastAsia" w:cstheme="majorBidi"/>
              <w:szCs w:val="32"/>
            </w:rPr>
            <w:fldChar w:fldCharType="end"/>
          </w:r>
        </w:sdtContent>
      </w:sdt>
      <w:r w:rsidR="00C60764" w:rsidRPr="00C60764">
        <w:rPr>
          <w:rFonts w:eastAsiaTheme="majorEastAsia" w:cstheme="majorBidi"/>
          <w:szCs w:val="32"/>
        </w:rPr>
        <w:t xml:space="preserve">. </w:t>
      </w:r>
      <w:r w:rsidR="00A75E00" w:rsidRPr="00C60764">
        <w:rPr>
          <w:rFonts w:eastAsiaTheme="majorEastAsia" w:cstheme="majorBidi"/>
          <w:szCs w:val="32"/>
        </w:rPr>
        <w:t>Recent</w:t>
      </w:r>
      <w:r w:rsidR="00A75E00" w:rsidRPr="00C95EE8">
        <w:rPr>
          <w:rFonts w:eastAsiaTheme="majorEastAsia" w:cstheme="majorBidi"/>
          <w:szCs w:val="32"/>
        </w:rPr>
        <w:t xml:space="preserve"> </w:t>
      </w:r>
      <w:r w:rsidRPr="00C95EE8">
        <w:rPr>
          <w:rFonts w:eastAsiaTheme="majorEastAsia" w:cstheme="majorBidi"/>
          <w:szCs w:val="32"/>
        </w:rPr>
        <w:t>studies show that about</w:t>
      </w:r>
      <w:r w:rsidR="00A75E00" w:rsidRPr="00C95EE8">
        <w:rPr>
          <w:rFonts w:eastAsiaTheme="majorEastAsia" w:cstheme="majorBidi"/>
          <w:szCs w:val="32"/>
        </w:rPr>
        <w:t xml:space="preserve"> 7% of </w:t>
      </w:r>
      <w:r w:rsidRPr="00C95EE8">
        <w:rPr>
          <w:rFonts w:eastAsiaTheme="majorEastAsia" w:cstheme="majorBidi"/>
          <w:szCs w:val="32"/>
        </w:rPr>
        <w:t>hydraulic fracturing</w:t>
      </w:r>
      <w:r w:rsidR="00A75E00" w:rsidRPr="00C95EE8">
        <w:rPr>
          <w:rFonts w:eastAsiaTheme="majorEastAsia" w:cstheme="majorBidi"/>
          <w:szCs w:val="32"/>
        </w:rPr>
        <w:t xml:space="preserve"> wells </w:t>
      </w:r>
      <w:r w:rsidRPr="00C95EE8">
        <w:rPr>
          <w:rFonts w:eastAsiaTheme="majorEastAsia" w:cstheme="majorBidi"/>
          <w:szCs w:val="32"/>
        </w:rPr>
        <w:t xml:space="preserve">that were </w:t>
      </w:r>
      <w:r w:rsidR="00A75E00" w:rsidRPr="00C60764">
        <w:rPr>
          <w:rFonts w:eastAsiaTheme="majorEastAsia" w:cstheme="majorBidi"/>
          <w:szCs w:val="32"/>
        </w:rPr>
        <w:t>completed from late</w:t>
      </w:r>
      <w:r w:rsidRPr="00C60764">
        <w:rPr>
          <w:rFonts w:eastAsiaTheme="majorEastAsia" w:cstheme="majorBidi"/>
          <w:szCs w:val="32"/>
        </w:rPr>
        <w:t xml:space="preserve"> </w:t>
      </w:r>
      <w:r w:rsidR="00A75E00" w:rsidRPr="00C60764">
        <w:rPr>
          <w:rFonts w:eastAsiaTheme="majorEastAsia" w:cstheme="majorBidi"/>
          <w:szCs w:val="32"/>
        </w:rPr>
        <w:t>2016 to mid</w:t>
      </w:r>
      <w:r w:rsidR="00800C86" w:rsidRPr="00C60764">
        <w:rPr>
          <w:rFonts w:eastAsiaTheme="majorEastAsia" w:cstheme="majorBidi"/>
          <w:szCs w:val="32"/>
        </w:rPr>
        <w:t>dle of</w:t>
      </w:r>
      <w:r w:rsidRPr="00C60764">
        <w:rPr>
          <w:rFonts w:eastAsiaTheme="majorEastAsia" w:cstheme="majorBidi"/>
          <w:szCs w:val="32"/>
        </w:rPr>
        <w:t xml:space="preserve"> </w:t>
      </w:r>
      <w:r w:rsidR="00A75E00" w:rsidRPr="00C60764">
        <w:rPr>
          <w:rFonts w:eastAsiaTheme="majorEastAsia" w:cstheme="majorBidi"/>
          <w:szCs w:val="32"/>
        </w:rPr>
        <w:t xml:space="preserve">2019 </w:t>
      </w:r>
      <w:r w:rsidR="00C95EE8" w:rsidRPr="00C60764">
        <w:rPr>
          <w:rFonts w:eastAsiaTheme="majorEastAsia" w:cstheme="majorBidi"/>
          <w:szCs w:val="32"/>
        </w:rPr>
        <w:t xml:space="preserve">ensued </w:t>
      </w:r>
      <w:r w:rsidR="00A75E00" w:rsidRPr="00C60764">
        <w:rPr>
          <w:rFonts w:eastAsiaTheme="majorEastAsia" w:cstheme="majorBidi"/>
          <w:szCs w:val="32"/>
        </w:rPr>
        <w:t xml:space="preserve">earthquakes </w:t>
      </w:r>
      <w:r w:rsidR="00C83C6A">
        <w:rPr>
          <w:rFonts w:eastAsiaTheme="majorEastAsia" w:cstheme="majorBidi"/>
          <w:szCs w:val="32"/>
        </w:rPr>
        <w:t>with magnitude greater than 2 (M</w:t>
      </w:r>
      <w:r w:rsidR="00A75E00" w:rsidRPr="00C60764">
        <w:rPr>
          <w:rFonts w:eastAsiaTheme="majorEastAsia" w:cstheme="majorBidi"/>
          <w:szCs w:val="32"/>
        </w:rPr>
        <w:t>2</w:t>
      </w:r>
      <w:r w:rsidR="00C83C6A">
        <w:rPr>
          <w:rFonts w:eastAsiaTheme="majorEastAsia" w:cstheme="majorBidi"/>
          <w:szCs w:val="32"/>
        </w:rPr>
        <w:t>.0+)</w:t>
      </w:r>
      <w:r w:rsidR="00A75E00" w:rsidRPr="00C60764">
        <w:rPr>
          <w:rFonts w:eastAsiaTheme="majorEastAsia" w:cstheme="majorBidi"/>
          <w:szCs w:val="32"/>
        </w:rPr>
        <w:t xml:space="preserve"> </w:t>
      </w:r>
      <w:sdt>
        <w:sdtPr>
          <w:rPr>
            <w:rFonts w:eastAsiaTheme="majorEastAsia" w:cstheme="majorBidi"/>
            <w:szCs w:val="32"/>
          </w:rPr>
          <w:id w:val="-540514445"/>
          <w:citation/>
        </w:sdtPr>
        <w:sdtContent>
          <w:r w:rsidR="00C60764" w:rsidRPr="00C60764">
            <w:rPr>
              <w:rFonts w:eastAsiaTheme="majorEastAsia" w:cstheme="majorBidi"/>
              <w:szCs w:val="32"/>
            </w:rPr>
            <w:fldChar w:fldCharType="begin"/>
          </w:r>
          <w:r w:rsidR="00C60764" w:rsidRPr="00C60764">
            <w:rPr>
              <w:rFonts w:eastAsiaTheme="majorEastAsia" w:cstheme="majorBidi"/>
              <w:szCs w:val="32"/>
            </w:rPr>
            <w:instrText xml:space="preserve"> CITATION She19 \l 1033 </w:instrText>
          </w:r>
          <w:r w:rsidR="00C60764" w:rsidRPr="00C60764">
            <w:rPr>
              <w:rFonts w:eastAsiaTheme="majorEastAsia" w:cstheme="majorBidi"/>
              <w:szCs w:val="32"/>
            </w:rPr>
            <w:fldChar w:fldCharType="separate"/>
          </w:r>
          <w:r w:rsidR="00C84822" w:rsidRPr="00C84822">
            <w:rPr>
              <w:rFonts w:eastAsiaTheme="majorEastAsia" w:cstheme="majorBidi"/>
              <w:noProof/>
              <w:szCs w:val="32"/>
            </w:rPr>
            <w:t xml:space="preserve">(Shemeta J. </w:t>
          </w:r>
          <w:r w:rsidR="00C84822" w:rsidRPr="00C84822">
            <w:rPr>
              <w:rFonts w:eastAsiaTheme="majorEastAsia" w:cstheme="majorBidi"/>
              <w:noProof/>
              <w:szCs w:val="32"/>
            </w:rPr>
            <w:lastRenderedPageBreak/>
            <w:t>E., Brooks, &amp; Lord, 2019)</w:t>
          </w:r>
          <w:r w:rsidR="00C60764" w:rsidRPr="00C60764">
            <w:rPr>
              <w:rFonts w:eastAsiaTheme="majorEastAsia" w:cstheme="majorBidi"/>
              <w:szCs w:val="32"/>
            </w:rPr>
            <w:fldChar w:fldCharType="end"/>
          </w:r>
        </w:sdtContent>
      </w:sdt>
      <w:r w:rsidR="00C60764" w:rsidRPr="00C60764">
        <w:rPr>
          <w:rFonts w:eastAsiaTheme="majorEastAsia" w:cstheme="majorBidi"/>
          <w:szCs w:val="32"/>
        </w:rPr>
        <w:t xml:space="preserve">. </w:t>
      </w:r>
      <w:r w:rsidR="00F56A3A">
        <w:rPr>
          <w:rFonts w:eastAsiaTheme="majorEastAsia" w:cstheme="majorBidi"/>
          <w:szCs w:val="32"/>
        </w:rPr>
        <w:t>The s</w:t>
      </w:r>
      <w:r w:rsidR="00C95EE8" w:rsidRPr="00C60764">
        <w:rPr>
          <w:rFonts w:eastAsiaTheme="majorEastAsia" w:cstheme="majorBidi"/>
          <w:szCs w:val="32"/>
        </w:rPr>
        <w:t>eismicity</w:t>
      </w:r>
      <w:r w:rsidR="00F56A3A">
        <w:rPr>
          <w:rFonts w:eastAsiaTheme="majorEastAsia" w:cstheme="majorBidi"/>
          <w:szCs w:val="32"/>
        </w:rPr>
        <w:t xml:space="preserve"> that is</w:t>
      </w:r>
      <w:r w:rsidR="00C95EE8">
        <w:rPr>
          <w:rFonts w:eastAsiaTheme="majorEastAsia" w:cstheme="majorBidi"/>
          <w:szCs w:val="32"/>
        </w:rPr>
        <w:t xml:space="preserve"> induced by hydraulic fracturing is very variable and highly depe</w:t>
      </w:r>
      <w:r w:rsidR="00C95EE8" w:rsidRPr="00C95EE8">
        <w:rPr>
          <w:rFonts w:eastAsiaTheme="majorEastAsia" w:cstheme="majorBidi"/>
          <w:szCs w:val="32"/>
        </w:rPr>
        <w:t>nds on the geology of the subsurface, hence, p</w:t>
      </w:r>
      <w:r w:rsidR="00A75E00" w:rsidRPr="00C95EE8">
        <w:rPr>
          <w:rFonts w:eastAsiaTheme="majorEastAsia" w:cstheme="majorBidi"/>
          <w:szCs w:val="32"/>
        </w:rPr>
        <w:t xml:space="preserve">re-existing </w:t>
      </w:r>
      <w:r w:rsidR="00C95EE8" w:rsidRPr="00C95EE8">
        <w:rPr>
          <w:rFonts w:eastAsiaTheme="majorEastAsia" w:cstheme="majorBidi"/>
          <w:szCs w:val="32"/>
        </w:rPr>
        <w:t xml:space="preserve">fracture systems and </w:t>
      </w:r>
      <w:r w:rsidR="00A75E00" w:rsidRPr="00C95EE8">
        <w:rPr>
          <w:rFonts w:eastAsiaTheme="majorEastAsia" w:cstheme="majorBidi"/>
          <w:szCs w:val="32"/>
        </w:rPr>
        <w:t xml:space="preserve">faults </w:t>
      </w:r>
      <w:r w:rsidR="00C95EE8" w:rsidRPr="00C95EE8">
        <w:rPr>
          <w:rFonts w:eastAsiaTheme="majorEastAsia" w:cstheme="majorBidi"/>
          <w:szCs w:val="32"/>
        </w:rPr>
        <w:t>are a major factor.</w:t>
      </w:r>
      <w:r w:rsidR="00A75E00" w:rsidRPr="00C95EE8">
        <w:rPr>
          <w:rFonts w:eastAsiaTheme="majorEastAsia" w:cstheme="majorBidi"/>
          <w:szCs w:val="32"/>
        </w:rPr>
        <w:t xml:space="preserve"> </w:t>
      </w:r>
    </w:p>
    <w:p w14:paraId="27291C93" w14:textId="010A5E0F" w:rsidR="00EA0B77" w:rsidRDefault="001E13CC" w:rsidP="00EA0B77">
      <w:pPr>
        <w:pStyle w:val="Heading3"/>
      </w:pPr>
      <w:bookmarkStart w:id="73" w:name="_Toc121265831"/>
      <w:r>
        <w:t>3</w:t>
      </w:r>
      <w:r w:rsidR="00EA0B77">
        <w:t>.</w:t>
      </w:r>
      <w:r w:rsidR="00850D0F">
        <w:t>6</w:t>
      </w:r>
      <w:r w:rsidR="00EA0B77">
        <w:t>.</w:t>
      </w:r>
      <w:r w:rsidR="0023596B">
        <w:t>3</w:t>
      </w:r>
      <w:r w:rsidR="00EA0B77">
        <w:t xml:space="preserve"> Data</w:t>
      </w:r>
      <w:bookmarkEnd w:id="73"/>
      <w:r w:rsidR="00EA0B77">
        <w:t xml:space="preserve"> </w:t>
      </w:r>
    </w:p>
    <w:p w14:paraId="2FB43959" w14:textId="652AB0CC" w:rsidR="00F7439A" w:rsidRDefault="000E4BB0" w:rsidP="00F7439A">
      <w:pPr>
        <w:rPr>
          <w:rFonts w:eastAsiaTheme="majorEastAsia" w:cstheme="majorBidi"/>
          <w:szCs w:val="32"/>
        </w:rPr>
      </w:pPr>
      <w:r w:rsidRPr="00F7439A">
        <w:rPr>
          <w:rFonts w:eastAsiaTheme="majorEastAsia" w:cstheme="majorBidi"/>
          <w:szCs w:val="32"/>
        </w:rPr>
        <w:t xml:space="preserve">Previous studies have some to a consensus that wastewater injection into the Arbuckle Group, one of the deepest formations in Oklahoma state, translates to a high probability of induced seismicity with large </w:t>
      </w:r>
      <w:r w:rsidRPr="0032667E">
        <w:rPr>
          <w:rFonts w:eastAsiaTheme="majorEastAsia" w:cstheme="majorBidi"/>
          <w:szCs w:val="32"/>
        </w:rPr>
        <w:t xml:space="preserve">magnitudes </w:t>
      </w:r>
      <w:sdt>
        <w:sdtPr>
          <w:rPr>
            <w:rFonts w:eastAsiaTheme="majorEastAsia" w:cstheme="majorBidi"/>
            <w:szCs w:val="32"/>
          </w:rPr>
          <w:id w:val="1918669982"/>
          <w:citation/>
        </w:sdtPr>
        <w:sdtContent>
          <w:r w:rsidR="0032667E" w:rsidRPr="0032667E">
            <w:rPr>
              <w:rFonts w:eastAsiaTheme="majorEastAsia" w:cstheme="majorBidi"/>
              <w:szCs w:val="32"/>
            </w:rPr>
            <w:fldChar w:fldCharType="begin"/>
          </w:r>
          <w:r w:rsidR="0032667E" w:rsidRPr="0032667E">
            <w:rPr>
              <w:rFonts w:eastAsiaTheme="majorEastAsia" w:cstheme="majorBidi"/>
              <w:szCs w:val="32"/>
            </w:rPr>
            <w:instrText xml:space="preserve"> CITATION Wal15 \l 1033 </w:instrText>
          </w:r>
          <w:r w:rsidR="0032667E" w:rsidRPr="0032667E">
            <w:rPr>
              <w:rFonts w:eastAsiaTheme="majorEastAsia" w:cstheme="majorBidi"/>
              <w:szCs w:val="32"/>
            </w:rPr>
            <w:fldChar w:fldCharType="separate"/>
          </w:r>
          <w:r w:rsidR="00C84822" w:rsidRPr="00C84822">
            <w:rPr>
              <w:rFonts w:eastAsiaTheme="majorEastAsia" w:cstheme="majorBidi"/>
              <w:noProof/>
              <w:szCs w:val="32"/>
            </w:rPr>
            <w:t>(Walsh &amp; Zoback, 2015)</w:t>
          </w:r>
          <w:r w:rsidR="0032667E" w:rsidRPr="0032667E">
            <w:rPr>
              <w:rFonts w:eastAsiaTheme="majorEastAsia" w:cstheme="majorBidi"/>
              <w:szCs w:val="32"/>
            </w:rPr>
            <w:fldChar w:fldCharType="end"/>
          </w:r>
        </w:sdtContent>
      </w:sdt>
      <w:r w:rsidRPr="0032667E">
        <w:rPr>
          <w:rFonts w:eastAsiaTheme="majorEastAsia" w:cstheme="majorBidi"/>
          <w:szCs w:val="32"/>
        </w:rPr>
        <w:t>.</w:t>
      </w:r>
      <w:r w:rsidRPr="00F7439A">
        <w:rPr>
          <w:rFonts w:eastAsiaTheme="majorEastAsia" w:cstheme="majorBidi"/>
          <w:szCs w:val="32"/>
        </w:rPr>
        <w:t xml:space="preserve"> </w:t>
      </w:r>
      <w:r w:rsidR="00F7439A">
        <w:rPr>
          <w:rFonts w:eastAsiaTheme="majorEastAsia" w:cstheme="majorBidi"/>
          <w:szCs w:val="32"/>
        </w:rPr>
        <w:t xml:space="preserve"> </w:t>
      </w:r>
      <w:r w:rsidR="00F7439A" w:rsidRPr="00F7439A">
        <w:rPr>
          <w:rFonts w:eastAsiaTheme="majorEastAsia" w:cstheme="majorBidi"/>
          <w:szCs w:val="32"/>
        </w:rPr>
        <w:t xml:space="preserve">Before 2009, the magnitude of earthquakes in the Arbuckle Group were </w:t>
      </w:r>
      <w:r w:rsidR="00460750">
        <w:rPr>
          <w:rFonts w:eastAsiaTheme="majorEastAsia" w:cstheme="majorBidi"/>
          <w:szCs w:val="32"/>
        </w:rPr>
        <w:t>less</w:t>
      </w:r>
      <w:r w:rsidR="00800C86">
        <w:rPr>
          <w:rFonts w:eastAsiaTheme="majorEastAsia" w:cstheme="majorBidi"/>
          <w:szCs w:val="32"/>
        </w:rPr>
        <w:t xml:space="preserve"> than</w:t>
      </w:r>
      <w:r w:rsidR="00F7439A" w:rsidRPr="00F7439A">
        <w:rPr>
          <w:rFonts w:eastAsiaTheme="majorEastAsia" w:cstheme="majorBidi"/>
          <w:szCs w:val="32"/>
        </w:rPr>
        <w:t xml:space="preserve"> M3.0+ earthquake yearly. </w:t>
      </w:r>
      <w:r w:rsidR="00C83C6A">
        <w:rPr>
          <w:rFonts w:eastAsiaTheme="majorEastAsia" w:cstheme="majorBidi"/>
          <w:szCs w:val="32"/>
        </w:rPr>
        <w:t>In</w:t>
      </w:r>
      <w:r w:rsidR="00F7439A" w:rsidRPr="00F7439A">
        <w:rPr>
          <w:rFonts w:eastAsiaTheme="majorEastAsia" w:cstheme="majorBidi"/>
          <w:szCs w:val="32"/>
        </w:rPr>
        <w:t xml:space="preserve"> about 2015, the state of Oklahoma reached a peak where there </w:t>
      </w:r>
      <w:r w:rsidR="007A399A" w:rsidRPr="00F7439A">
        <w:rPr>
          <w:rFonts w:eastAsiaTheme="majorEastAsia" w:cstheme="majorBidi"/>
          <w:szCs w:val="32"/>
        </w:rPr>
        <w:t>were</w:t>
      </w:r>
      <w:r w:rsidR="00F7439A" w:rsidRPr="00F7439A">
        <w:rPr>
          <w:rFonts w:eastAsiaTheme="majorEastAsia" w:cstheme="majorBidi"/>
          <w:szCs w:val="32"/>
        </w:rPr>
        <w:t xml:space="preserve"> more than 900</w:t>
      </w:r>
      <w:r w:rsidR="00C83C6A">
        <w:rPr>
          <w:rFonts w:eastAsiaTheme="majorEastAsia" w:cstheme="majorBidi"/>
          <w:szCs w:val="32"/>
        </w:rPr>
        <w:t xml:space="preserve"> earthquakes with magnitudes greater than M3.0+</w:t>
      </w:r>
      <w:r w:rsidR="00F7439A" w:rsidRPr="00F7439A">
        <w:rPr>
          <w:rFonts w:eastAsiaTheme="majorEastAsia" w:cstheme="majorBidi"/>
          <w:szCs w:val="32"/>
        </w:rPr>
        <w:t>.</w:t>
      </w:r>
      <w:r w:rsidR="00C83C6A">
        <w:rPr>
          <w:rFonts w:eastAsiaTheme="majorEastAsia" w:cstheme="majorBidi"/>
          <w:szCs w:val="32"/>
        </w:rPr>
        <w:t xml:space="preserve"> After </w:t>
      </w:r>
      <w:r w:rsidR="00F7439A" w:rsidRPr="00F7439A">
        <w:rPr>
          <w:rFonts w:eastAsiaTheme="majorEastAsia" w:cstheme="majorBidi"/>
          <w:szCs w:val="32"/>
        </w:rPr>
        <w:t xml:space="preserve">this, </w:t>
      </w:r>
      <w:r w:rsidR="00F7439A">
        <w:rPr>
          <w:rFonts w:eastAsiaTheme="majorEastAsia" w:cstheme="majorBidi"/>
          <w:szCs w:val="32"/>
        </w:rPr>
        <w:t>seismicity in Oklahoma</w:t>
      </w:r>
      <w:r w:rsidR="00F7439A" w:rsidRPr="00F7439A">
        <w:rPr>
          <w:rFonts w:eastAsiaTheme="majorEastAsia" w:cstheme="majorBidi"/>
          <w:szCs w:val="32"/>
        </w:rPr>
        <w:t xml:space="preserve"> </w:t>
      </w:r>
      <w:r w:rsidR="007A399A" w:rsidRPr="00F7439A">
        <w:rPr>
          <w:rFonts w:eastAsiaTheme="majorEastAsia" w:cstheme="majorBidi"/>
          <w:szCs w:val="32"/>
        </w:rPr>
        <w:t>has</w:t>
      </w:r>
      <w:r w:rsidR="00F7439A" w:rsidRPr="00F7439A">
        <w:rPr>
          <w:rFonts w:eastAsiaTheme="majorEastAsia" w:cstheme="majorBidi"/>
          <w:szCs w:val="32"/>
        </w:rPr>
        <w:t xml:space="preserve"> continued to decline mostly due to the intentional efforts implemented by the Oklahoma Corporat</w:t>
      </w:r>
      <w:r w:rsidR="0032667E">
        <w:rPr>
          <w:rFonts w:eastAsiaTheme="majorEastAsia" w:cstheme="majorBidi"/>
          <w:szCs w:val="32"/>
        </w:rPr>
        <w:t>ion</w:t>
      </w:r>
      <w:r w:rsidR="00F7439A" w:rsidRPr="00F7439A">
        <w:rPr>
          <w:rFonts w:eastAsiaTheme="majorEastAsia" w:cstheme="majorBidi"/>
          <w:szCs w:val="32"/>
        </w:rPr>
        <w:t xml:space="preserve"> Commission (OCC) and potential stakeholders</w:t>
      </w:r>
      <w:r w:rsidR="00F7439A">
        <w:rPr>
          <w:rFonts w:eastAsiaTheme="majorEastAsia" w:cstheme="majorBidi"/>
          <w:szCs w:val="32"/>
        </w:rPr>
        <w:t xml:space="preserve"> year after </w:t>
      </w:r>
      <w:r w:rsidR="00F7439A" w:rsidRPr="00F7439A">
        <w:rPr>
          <w:rFonts w:eastAsiaTheme="majorEastAsia" w:cstheme="majorBidi"/>
          <w:szCs w:val="32"/>
        </w:rPr>
        <w:t>year</w:t>
      </w:r>
      <w:r w:rsidR="00C83C6A">
        <w:rPr>
          <w:rFonts w:eastAsiaTheme="majorEastAsia" w:cstheme="majorBidi"/>
          <w:szCs w:val="32"/>
        </w:rPr>
        <w:t xml:space="preserve"> such installing more seismicity monitors</w:t>
      </w:r>
      <w:r w:rsidR="00F7439A" w:rsidRPr="00F7439A">
        <w:rPr>
          <w:rFonts w:eastAsiaTheme="majorEastAsia" w:cstheme="majorBidi"/>
          <w:szCs w:val="32"/>
        </w:rPr>
        <w:t xml:space="preserve">. Recent data has shown that in December 2020 Oklahoma recorded 37 magnitudes </w:t>
      </w:r>
      <w:r w:rsidR="00C83C6A">
        <w:rPr>
          <w:rFonts w:eastAsiaTheme="majorEastAsia" w:cstheme="majorBidi"/>
          <w:szCs w:val="32"/>
        </w:rPr>
        <w:t>M</w:t>
      </w:r>
      <w:r w:rsidR="00F7439A" w:rsidRPr="00F7439A">
        <w:rPr>
          <w:rFonts w:eastAsiaTheme="majorEastAsia" w:cstheme="majorBidi"/>
          <w:szCs w:val="32"/>
        </w:rPr>
        <w:t xml:space="preserve">3.0+ earthquakes </w:t>
      </w:r>
      <w:sdt>
        <w:sdtPr>
          <w:rPr>
            <w:rFonts w:eastAsiaTheme="majorEastAsia" w:cstheme="majorBidi"/>
            <w:szCs w:val="32"/>
          </w:rPr>
          <w:id w:val="-341310002"/>
          <w:citation/>
        </w:sdtPr>
        <w:sdtContent>
          <w:r w:rsidR="0032667E" w:rsidRPr="0032667E">
            <w:rPr>
              <w:rFonts w:eastAsiaTheme="majorEastAsia" w:cstheme="majorBidi"/>
              <w:szCs w:val="32"/>
            </w:rPr>
            <w:fldChar w:fldCharType="begin"/>
          </w:r>
          <w:r w:rsidR="0032667E" w:rsidRPr="0032667E">
            <w:rPr>
              <w:rFonts w:eastAsiaTheme="majorEastAsia" w:cstheme="majorBidi"/>
              <w:szCs w:val="32"/>
            </w:rPr>
            <w:instrText xml:space="preserve"> CITATION Okl21 \l 1033 </w:instrText>
          </w:r>
          <w:r w:rsidR="0032667E" w:rsidRPr="0032667E">
            <w:rPr>
              <w:rFonts w:eastAsiaTheme="majorEastAsia" w:cstheme="majorBidi"/>
              <w:szCs w:val="32"/>
            </w:rPr>
            <w:fldChar w:fldCharType="separate"/>
          </w:r>
          <w:r w:rsidR="00C84822" w:rsidRPr="00C84822">
            <w:rPr>
              <w:rFonts w:eastAsiaTheme="majorEastAsia" w:cstheme="majorBidi"/>
              <w:noProof/>
              <w:szCs w:val="32"/>
            </w:rPr>
            <w:t>(Oklahoma Corporation Comission, 2021)</w:t>
          </w:r>
          <w:r w:rsidR="0032667E" w:rsidRPr="0032667E">
            <w:rPr>
              <w:rFonts w:eastAsiaTheme="majorEastAsia" w:cstheme="majorBidi"/>
              <w:szCs w:val="32"/>
            </w:rPr>
            <w:fldChar w:fldCharType="end"/>
          </w:r>
        </w:sdtContent>
      </w:sdt>
      <w:r w:rsidR="00F7439A" w:rsidRPr="0032667E">
        <w:rPr>
          <w:rFonts w:eastAsiaTheme="majorEastAsia" w:cstheme="majorBidi"/>
          <w:szCs w:val="32"/>
        </w:rPr>
        <w:t>.</w:t>
      </w:r>
      <w:r w:rsidR="00F7439A" w:rsidRPr="00BF1DC5">
        <w:rPr>
          <w:rFonts w:eastAsiaTheme="majorEastAsia" w:cstheme="majorBidi"/>
          <w:szCs w:val="32"/>
        </w:rPr>
        <w:t xml:space="preserve"> </w:t>
      </w:r>
    </w:p>
    <w:p w14:paraId="446F46CB" w14:textId="7F0594E5" w:rsidR="00F7439A" w:rsidRPr="00BF1DC5" w:rsidRDefault="00F7439A" w:rsidP="00F7439A">
      <w:pPr>
        <w:rPr>
          <w:rFonts w:eastAsiaTheme="majorEastAsia" w:cstheme="majorBidi"/>
          <w:szCs w:val="32"/>
        </w:rPr>
      </w:pPr>
      <w:r>
        <w:rPr>
          <w:rFonts w:eastAsiaTheme="majorEastAsia" w:cstheme="majorBidi"/>
          <w:szCs w:val="32"/>
        </w:rPr>
        <w:t xml:space="preserve">Injection </w:t>
      </w:r>
      <w:r>
        <w:t>CO</w:t>
      </w:r>
      <w:r w:rsidRPr="004C2A0D">
        <w:rPr>
          <w:vertAlign w:val="subscript"/>
        </w:rPr>
        <w:t>2</w:t>
      </w:r>
      <w:r>
        <w:rPr>
          <w:vertAlign w:val="subscript"/>
        </w:rPr>
        <w:t xml:space="preserve">, </w:t>
      </w:r>
      <w:r>
        <w:t xml:space="preserve">although a lighter fluid than produced water, it is </w:t>
      </w:r>
      <w:r w:rsidR="00E97B43">
        <w:t>still capable of introducing this behavior, hence, it is important to understand the existing seismicity in the area of study and then predict the probability of seismicity during CO</w:t>
      </w:r>
      <w:r w:rsidR="00E97B43">
        <w:rPr>
          <w:vertAlign w:val="subscript"/>
        </w:rPr>
        <w:t>2</w:t>
      </w:r>
      <w:r w:rsidR="00E97B43">
        <w:t xml:space="preserve"> </w:t>
      </w:r>
      <w:r w:rsidR="00A60F05">
        <w:t>sequestration</w:t>
      </w:r>
      <w:r w:rsidR="00E97B43">
        <w:t>.</w:t>
      </w:r>
    </w:p>
    <w:p w14:paraId="5751D7F5" w14:textId="233674BF" w:rsidR="0023596B" w:rsidRDefault="001E13CC" w:rsidP="0023596B">
      <w:pPr>
        <w:pStyle w:val="Heading3"/>
      </w:pPr>
      <w:bookmarkStart w:id="74" w:name="_Toc121265832"/>
      <w:r>
        <w:t>3</w:t>
      </w:r>
      <w:r w:rsidR="0023596B" w:rsidRPr="0023596B">
        <w:t>.</w:t>
      </w:r>
      <w:r w:rsidR="00850D0F">
        <w:t>6</w:t>
      </w:r>
      <w:r w:rsidR="0023596B" w:rsidRPr="0023596B">
        <w:t>.4 Cluster</w:t>
      </w:r>
      <w:r w:rsidR="00721164">
        <w:t xml:space="preserve"> Analysis</w:t>
      </w:r>
      <w:bookmarkEnd w:id="74"/>
    </w:p>
    <w:p w14:paraId="01B57462" w14:textId="3A677E9D" w:rsidR="0023596B" w:rsidRDefault="00721164" w:rsidP="0023596B">
      <w:r>
        <w:t xml:space="preserve">Cluster analysis was used to demonstrate </w:t>
      </w:r>
      <w:r w:rsidRPr="00721164">
        <w:t xml:space="preserve">the seismicity in the area </w:t>
      </w:r>
      <w:r>
        <w:t>using t</w:t>
      </w:r>
      <w:r w:rsidRPr="00721164">
        <w:t xml:space="preserve">wo datasets. The first dataset included the records of Oklahoma’s active saltwater injection wells as of September 2017 which was gathered from Oklahoma Corporate Commission. The second dataset was a list of all </w:t>
      </w:r>
      <w:r w:rsidRPr="00721164">
        <w:lastRenderedPageBreak/>
        <w:t>the earthquakes in the Arbuckle Group since 1977 and was gathered from the United States Geological Survey.</w:t>
      </w:r>
      <w:r>
        <w:t xml:space="preserve"> Clustering</w:t>
      </w:r>
      <w:r w:rsidR="0023596B">
        <w:t xml:space="preserve"> is an approach where a set of parameters of a particular attribute are grouped based on the similarity the object has to each other as opposed to the similarity with other parameters in a different cluster. </w:t>
      </w:r>
      <w:r w:rsidR="007A399A">
        <w:t>Aside</w:t>
      </w:r>
      <w:r w:rsidR="0023596B">
        <w:t xml:space="preserve"> from being an important part of </w:t>
      </w:r>
      <w:r w:rsidR="0023596B" w:rsidRPr="0023596B">
        <w:t>exploratory data analysis and statistical data analysis,</w:t>
      </w:r>
      <w:r w:rsidR="0023596B">
        <w:t xml:space="preserve"> it is also an approach to unsupervised machine learning.</w:t>
      </w:r>
      <w:r w:rsidR="0023596B" w:rsidRPr="0023596B">
        <w:t xml:space="preserve"> </w:t>
      </w:r>
      <w:r w:rsidR="0023596B">
        <w:t>It has been used in many applications such as bioinformatics,</w:t>
      </w:r>
      <w:r w:rsidR="0023596B" w:rsidRPr="0023596B">
        <w:t xml:space="preserve"> data compression, pattern recognition</w:t>
      </w:r>
      <w:r w:rsidR="0023596B">
        <w:t xml:space="preserve">, </w:t>
      </w:r>
      <w:r w:rsidR="0023596B" w:rsidRPr="0023596B">
        <w:t>information retrieval</w:t>
      </w:r>
      <w:r w:rsidR="0023596B">
        <w:t xml:space="preserve">, and </w:t>
      </w:r>
      <w:r w:rsidR="0023596B" w:rsidRPr="0023596B">
        <w:t>computer graphics</w:t>
      </w:r>
      <w:r w:rsidR="0032667E">
        <w:t xml:space="preserve"> </w:t>
      </w:r>
      <w:sdt>
        <w:sdtPr>
          <w:id w:val="1620115995"/>
          <w:citation/>
        </w:sdtPr>
        <w:sdtContent>
          <w:r w:rsidR="0032667E">
            <w:fldChar w:fldCharType="begin"/>
          </w:r>
          <w:r w:rsidR="0032667E">
            <w:instrText xml:space="preserve">CITATION Wik19 \l 1033 </w:instrText>
          </w:r>
          <w:r w:rsidR="0032667E">
            <w:fldChar w:fldCharType="separate"/>
          </w:r>
          <w:r w:rsidR="00C84822">
            <w:rPr>
              <w:noProof/>
            </w:rPr>
            <w:t>(Wikipedia, Cluster analysis, 2022)</w:t>
          </w:r>
          <w:r w:rsidR="0032667E">
            <w:fldChar w:fldCharType="end"/>
          </w:r>
        </w:sdtContent>
      </w:sdt>
      <w:r w:rsidR="00AB42A1">
        <w:t>.</w:t>
      </w:r>
    </w:p>
    <w:p w14:paraId="62F76717" w14:textId="5EC02F03" w:rsidR="00AB42A1" w:rsidRDefault="00AB42A1" w:rsidP="00AB42A1">
      <w:r>
        <w:t xml:space="preserve">There are different clustering techniques, but for this work the K-Means algorithm which is a partitional clustering technique. K-Means </w:t>
      </w:r>
      <w:r w:rsidRPr="00AB42A1">
        <w:t>partition</w:t>
      </w:r>
      <w:r>
        <w:t>s the</w:t>
      </w:r>
      <w:r w:rsidR="00233410">
        <w:t xml:space="preserve"> data</w:t>
      </w:r>
      <w:r w:rsidRPr="00AB42A1">
        <w:t xml:space="preserve"> into k </w:t>
      </w:r>
      <w:r>
        <w:t>di</w:t>
      </w:r>
      <w:r w:rsidR="00F56A3A">
        <w:t xml:space="preserve">stinct </w:t>
      </w:r>
      <w:r w:rsidRPr="00AB42A1">
        <w:t xml:space="preserve">clusters </w:t>
      </w:r>
      <w:r>
        <w:t>where</w:t>
      </w:r>
      <w:r w:rsidRPr="00AB42A1">
        <w:t xml:space="preserve"> each </w:t>
      </w:r>
      <w:r w:rsidR="00233410">
        <w:t xml:space="preserve">data </w:t>
      </w:r>
      <w:r>
        <w:t>point</w:t>
      </w:r>
      <w:r w:rsidR="00233410">
        <w:t xml:space="preserve"> in the data</w:t>
      </w:r>
      <w:r w:rsidRPr="00AB42A1">
        <w:t xml:space="preserve"> belongs to the cluster</w:t>
      </w:r>
      <w:r>
        <w:t xml:space="preserve"> that has the </w:t>
      </w:r>
      <w:r w:rsidR="00233410">
        <w:t>cluster cen</w:t>
      </w:r>
      <w:r w:rsidR="00233410" w:rsidRPr="00AB42A1">
        <w:t>troid</w:t>
      </w:r>
      <w:r w:rsidR="00233410">
        <w:t xml:space="preserve"> or </w:t>
      </w:r>
      <w:r>
        <w:t>closest</w:t>
      </w:r>
      <w:r w:rsidRPr="00AB42A1">
        <w:t xml:space="preserve"> mean</w:t>
      </w:r>
      <w:r w:rsidR="00693B7A">
        <w:t xml:space="preserve"> </w:t>
      </w:r>
      <w:r w:rsidR="00233410">
        <w:t xml:space="preserve">to it </w:t>
      </w:r>
      <w:sdt>
        <w:sdtPr>
          <w:id w:val="1666747357"/>
          <w:citation/>
        </w:sdtPr>
        <w:sdtContent>
          <w:r w:rsidR="00233410">
            <w:fldChar w:fldCharType="begin"/>
          </w:r>
          <w:r w:rsidR="00233410">
            <w:instrText xml:space="preserve"> CITATION Wik19 \l 1033 </w:instrText>
          </w:r>
          <w:r w:rsidR="00233410">
            <w:fldChar w:fldCharType="separate"/>
          </w:r>
          <w:r w:rsidR="00C84822">
            <w:rPr>
              <w:noProof/>
            </w:rPr>
            <w:t>(Wikipedia, Cluster analysis, 2022)</w:t>
          </w:r>
          <w:r w:rsidR="00233410">
            <w:fldChar w:fldCharType="end"/>
          </w:r>
        </w:sdtContent>
      </w:sdt>
      <w:r w:rsidR="00233410">
        <w:t>.</w:t>
      </w:r>
    </w:p>
    <w:p w14:paraId="12E30D2B" w14:textId="448DBA1A" w:rsidR="008F09D6" w:rsidRDefault="008F09D6" w:rsidP="00FA7558">
      <w:pPr>
        <w:pStyle w:val="Caption"/>
      </w:pPr>
      <w:r>
        <w:rPr>
          <w:noProof/>
        </w:rPr>
        <w:drawing>
          <wp:inline distT="0" distB="0" distL="0" distR="0" wp14:anchorId="4990CE77" wp14:editId="4946BC51">
            <wp:extent cx="6085844" cy="364826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33060" cy="3676574"/>
                    </a:xfrm>
                    <a:prstGeom prst="rect">
                      <a:avLst/>
                    </a:prstGeom>
                    <a:noFill/>
                  </pic:spPr>
                </pic:pic>
              </a:graphicData>
            </a:graphic>
          </wp:inline>
        </w:drawing>
      </w:r>
    </w:p>
    <w:p w14:paraId="5E9A5D3A" w14:textId="1FC1B8F3" w:rsidR="00AB42A1" w:rsidRDefault="00AB42A1" w:rsidP="00FA7558">
      <w:pPr>
        <w:pStyle w:val="Caption"/>
      </w:pPr>
      <w:bookmarkStart w:id="75" w:name="_Toc121265857"/>
      <w:r>
        <w:t xml:space="preserve">Figure </w:t>
      </w:r>
      <w:fldSimple w:instr=" SEQ Figure \* ARABIC ">
        <w:r w:rsidR="00955725">
          <w:rPr>
            <w:noProof/>
          </w:rPr>
          <w:t>14</w:t>
        </w:r>
      </w:fldSimple>
      <w:r>
        <w:t>: Clustering algorithms</w:t>
      </w:r>
      <w:r w:rsidR="008F09D6">
        <w:t xml:space="preserve">. Modified from </w:t>
      </w:r>
      <w:sdt>
        <w:sdtPr>
          <w:id w:val="752090237"/>
          <w:citation/>
        </w:sdtPr>
        <w:sdtContent>
          <w:r w:rsidR="008F09D6">
            <w:fldChar w:fldCharType="begin"/>
          </w:r>
          <w:r w:rsidR="008F09D6">
            <w:instrText xml:space="preserve"> CITATION Wik19 \l 1033 </w:instrText>
          </w:r>
          <w:r w:rsidR="008F09D6">
            <w:fldChar w:fldCharType="separate"/>
          </w:r>
          <w:r w:rsidR="00C84822">
            <w:rPr>
              <w:noProof/>
            </w:rPr>
            <w:t>(Wikipedia, Cluster analysis, 2022)</w:t>
          </w:r>
          <w:r w:rsidR="008F09D6">
            <w:fldChar w:fldCharType="end"/>
          </w:r>
        </w:sdtContent>
      </w:sdt>
      <w:bookmarkEnd w:id="75"/>
    </w:p>
    <w:p w14:paraId="1B30C466" w14:textId="4CA8BF41" w:rsidR="00F7439A" w:rsidRPr="00420853" w:rsidRDefault="0023596B" w:rsidP="00AB42A1">
      <w:r>
        <w:lastRenderedPageBreak/>
        <w:t xml:space="preserve">K-Means is </w:t>
      </w:r>
      <w:r w:rsidR="00AB42A1">
        <w:t>a very common</w:t>
      </w:r>
      <w:r>
        <w:t xml:space="preserve"> unsupervised clustering </w:t>
      </w:r>
      <w:r w:rsidR="007A399A">
        <w:t>algorithm</w:t>
      </w:r>
      <w:r w:rsidR="00AB42A1">
        <w:t xml:space="preserve"> because i</w:t>
      </w:r>
      <w:r>
        <w:t xml:space="preserve">t is </w:t>
      </w:r>
      <w:r w:rsidR="00AB42A1">
        <w:t xml:space="preserve">very intuitive and </w:t>
      </w:r>
      <w:r>
        <w:t>simple to use</w:t>
      </w:r>
      <w:r w:rsidR="00AB42A1">
        <w:t>. It is an unsupervised clustering algorithm because the number of</w:t>
      </w:r>
      <w:r>
        <w:t xml:space="preserve"> clusters present in the data</w:t>
      </w:r>
      <w:r w:rsidR="00AB42A1">
        <w:t xml:space="preserve">, similar </w:t>
      </w:r>
      <w:r>
        <w:t xml:space="preserve">data points </w:t>
      </w:r>
      <w:r w:rsidR="00AB42A1">
        <w:t xml:space="preserve">or dissimilar </w:t>
      </w:r>
      <w:r>
        <w:t xml:space="preserve">data points are </w:t>
      </w:r>
      <w:r w:rsidR="00AB42A1">
        <w:t xml:space="preserve">not known. Based on the algorithm, the </w:t>
      </w:r>
      <w:r>
        <w:t>cluster</w:t>
      </w:r>
      <w:r w:rsidR="00AB42A1">
        <w:t xml:space="preserve">s </w:t>
      </w:r>
      <w:r>
        <w:t>contain</w:t>
      </w:r>
      <w:r w:rsidR="00AB42A1">
        <w:t>ing</w:t>
      </w:r>
      <w:r>
        <w:t xml:space="preserve"> points </w:t>
      </w:r>
      <w:r w:rsidR="00AB42A1">
        <w:t>s</w:t>
      </w:r>
      <w:r>
        <w:t>imilar to other points</w:t>
      </w:r>
      <w:r w:rsidR="00AB42A1">
        <w:t xml:space="preserve"> are grouped</w:t>
      </w:r>
      <w:r>
        <w:t xml:space="preserve"> within the same cluster</w:t>
      </w:r>
      <w:r w:rsidR="00AB42A1">
        <w:t xml:space="preserve"> and d</w:t>
      </w:r>
      <w:r>
        <w:t xml:space="preserve">issimilar datapoints </w:t>
      </w:r>
      <w:r w:rsidR="00AB42A1">
        <w:t xml:space="preserve">grouped in other </w:t>
      </w:r>
      <w:r>
        <w:t>clusters</w:t>
      </w:r>
      <w:r w:rsidR="00AB42A1">
        <w:t>.</w:t>
      </w:r>
    </w:p>
    <w:p w14:paraId="6E981C94" w14:textId="77777777" w:rsidR="00721164" w:rsidRDefault="00721164">
      <w:pPr>
        <w:spacing w:before="0" w:after="160" w:line="259" w:lineRule="auto"/>
        <w:jc w:val="left"/>
        <w:rPr>
          <w:rFonts w:eastAsiaTheme="majorEastAsia" w:cstheme="majorBidi"/>
          <w:b/>
          <w:sz w:val="26"/>
          <w:szCs w:val="32"/>
        </w:rPr>
      </w:pPr>
      <w:r>
        <w:br w:type="page"/>
      </w:r>
    </w:p>
    <w:p w14:paraId="553C662F" w14:textId="4E2B4F90" w:rsidR="00276172" w:rsidRDefault="00276172" w:rsidP="00276172">
      <w:pPr>
        <w:pStyle w:val="Heading1"/>
      </w:pPr>
      <w:bookmarkStart w:id="76" w:name="_Toc121265833"/>
      <w:r>
        <w:lastRenderedPageBreak/>
        <w:t xml:space="preserve">CHAPTER </w:t>
      </w:r>
      <w:r w:rsidR="001E13CC">
        <w:t>4</w:t>
      </w:r>
      <w:r>
        <w:t xml:space="preserve">: </w:t>
      </w:r>
      <w:r w:rsidR="009F2CF1">
        <w:t>Results and Discussion</w:t>
      </w:r>
      <w:bookmarkEnd w:id="76"/>
    </w:p>
    <w:p w14:paraId="0C3ADD9A" w14:textId="0546E0F9" w:rsidR="006110C8" w:rsidRDefault="001E13CC" w:rsidP="006110C8">
      <w:pPr>
        <w:pStyle w:val="Heading2"/>
      </w:pPr>
      <w:bookmarkStart w:id="77" w:name="_Toc121265834"/>
      <w:r>
        <w:t>4</w:t>
      </w:r>
      <w:r w:rsidR="006110C8">
        <w:t>.1 Introduction</w:t>
      </w:r>
      <w:bookmarkEnd w:id="77"/>
    </w:p>
    <w:p w14:paraId="4D83A3C1" w14:textId="1462B8EE" w:rsidR="007E362E" w:rsidRPr="007E362E" w:rsidRDefault="007E362E" w:rsidP="007E362E">
      <w:r>
        <w:t>The result in this chapter first shows the trend in the seismicity of the area. A Bayesian technique is then used to show a probability model of activating a critically oriented fault</w:t>
      </w:r>
      <w:r w:rsidR="00693B7A">
        <w:t xml:space="preserve"> in the Arbuckle Group based </w:t>
      </w:r>
      <w:r w:rsidR="007A399A">
        <w:t>on available data</w:t>
      </w:r>
      <w:r>
        <w:t>.</w:t>
      </w:r>
    </w:p>
    <w:p w14:paraId="7B14A786" w14:textId="7EB17211" w:rsidR="006110C8" w:rsidRDefault="001E13CC" w:rsidP="006110C8">
      <w:pPr>
        <w:pStyle w:val="Heading2"/>
      </w:pPr>
      <w:bookmarkStart w:id="78" w:name="_Toc121265835"/>
      <w:r>
        <w:t>4</w:t>
      </w:r>
      <w:r w:rsidR="006110C8">
        <w:t>.2 Seismicity in Area</w:t>
      </w:r>
      <w:bookmarkEnd w:id="78"/>
    </w:p>
    <w:p w14:paraId="0679B09B" w14:textId="76D780EF" w:rsidR="00E75B27" w:rsidRPr="00E75B27" w:rsidRDefault="00E75B27" w:rsidP="00800C86">
      <w:r>
        <w:t xml:space="preserve">The plot below shows the seismic events around the </w:t>
      </w:r>
      <w:r w:rsidR="00AB3369">
        <w:t>Arbuckle</w:t>
      </w:r>
      <w:r>
        <w:t xml:space="preserve"> </w:t>
      </w:r>
      <w:r w:rsidR="00AB3369">
        <w:t>Group</w:t>
      </w:r>
      <w:r>
        <w:t xml:space="preserve">. </w:t>
      </w:r>
      <w:r w:rsidR="007E4C0F">
        <w:t xml:space="preserve">The seismic events were obtained from the US Geological Survey. They were distributed around the Arbuckle group and had attributes like the location, longitude and latitude of the event, the depth of seismic event, the magnitude, and the source. </w:t>
      </w:r>
      <w:r w:rsidR="00255547">
        <w:t xml:space="preserve">From the plot most of the events are below </w:t>
      </w:r>
      <w:r w:rsidR="00721164">
        <w:t>M</w:t>
      </w:r>
      <w:r w:rsidR="00AB3369">
        <w:t>4</w:t>
      </w:r>
      <w:r w:rsidR="00721164">
        <w:t>.0</w:t>
      </w:r>
      <w:r w:rsidR="00AB3369">
        <w:t xml:space="preserve"> in magnitude.</w:t>
      </w:r>
      <w:r w:rsidR="0005536C">
        <w:t xml:space="preserve"> </w:t>
      </w:r>
      <w:r w:rsidR="00BF3454">
        <w:t xml:space="preserve">The bulk of the seismicity events are also concentrated around </w:t>
      </w:r>
      <w:r w:rsidR="0005536C">
        <w:t>central Oklahoma. To fu</w:t>
      </w:r>
      <w:r w:rsidR="00721164">
        <w:t>rther</w:t>
      </w:r>
      <w:r w:rsidR="0005536C">
        <w:t xml:space="preserve"> utilize the data appropriately, several data </w:t>
      </w:r>
      <w:r w:rsidR="00721164">
        <w:t>cleaning</w:t>
      </w:r>
      <w:r w:rsidR="0005536C">
        <w:t xml:space="preserve"> techniques were </w:t>
      </w:r>
      <w:r w:rsidR="00721164">
        <w:t>employe</w:t>
      </w:r>
      <w:r w:rsidR="00800C86">
        <w:t>d</w:t>
      </w:r>
      <w:r w:rsidR="00721164">
        <w:t xml:space="preserve">. To handle the missing data in the dataset, </w:t>
      </w:r>
      <w:r w:rsidR="0005536C">
        <w:t>all the rows with more than 20% missing value</w:t>
      </w:r>
      <w:r w:rsidR="00721164">
        <w:t>s</w:t>
      </w:r>
      <w:r w:rsidR="0005536C">
        <w:t xml:space="preserve"> as sho</w:t>
      </w:r>
      <w:r w:rsidR="00693B7A">
        <w:t>wn</w:t>
      </w:r>
      <w:r w:rsidR="0005536C">
        <w:t xml:space="preserve"> in </w:t>
      </w:r>
      <w:r w:rsidR="00693B7A">
        <w:t>missingness map</w:t>
      </w:r>
      <w:r w:rsidR="0005536C">
        <w:t xml:space="preserve"> below were all dropped.</w:t>
      </w:r>
      <w:r w:rsidR="00800C86">
        <w:t xml:space="preserve"> The remaining missing values </w:t>
      </w:r>
      <w:r w:rsidR="006E673D">
        <w:t xml:space="preserve">for the attributes like the horizontal error and depth error </w:t>
      </w:r>
      <w:r w:rsidR="00800C86">
        <w:t>were computed using the average of the other properties.</w:t>
      </w:r>
      <w:r w:rsidR="00721164">
        <w:t xml:space="preserve"> This did not skew the dataset as the location which was the attribute clustered did not </w:t>
      </w:r>
      <w:r w:rsidR="006E673D">
        <w:t xml:space="preserve">any </w:t>
      </w:r>
      <w:r w:rsidR="00721164">
        <w:t>have missing values.</w:t>
      </w:r>
    </w:p>
    <w:p w14:paraId="01FFA0BF" w14:textId="77777777" w:rsidR="0005536C" w:rsidRDefault="008F6B7F" w:rsidP="00CA62CF">
      <w:pPr>
        <w:pStyle w:val="Caption"/>
      </w:pPr>
      <w:r>
        <w:rPr>
          <w:noProof/>
        </w:rPr>
        <w:lastRenderedPageBreak/>
        <w:drawing>
          <wp:inline distT="0" distB="0" distL="0" distR="0" wp14:anchorId="10E1CEC7" wp14:editId="11B68B21">
            <wp:extent cx="4221126" cy="4188205"/>
            <wp:effectExtent l="0" t="0" r="0" b="0"/>
            <wp:docPr id="8" name="Picture 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p&#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34109" cy="4201087"/>
                    </a:xfrm>
                    <a:prstGeom prst="rect">
                      <a:avLst/>
                    </a:prstGeom>
                    <a:noFill/>
                    <a:ln>
                      <a:noFill/>
                    </a:ln>
                  </pic:spPr>
                </pic:pic>
              </a:graphicData>
            </a:graphic>
          </wp:inline>
        </w:drawing>
      </w:r>
    </w:p>
    <w:p w14:paraId="116E2C52" w14:textId="245F17AC" w:rsidR="00CA62CF" w:rsidRDefault="0005536C" w:rsidP="0070253A">
      <w:pPr>
        <w:pStyle w:val="Caption"/>
      </w:pPr>
      <w:bookmarkStart w:id="79" w:name="_Toc121265858"/>
      <w:r>
        <w:t xml:space="preserve">Figure </w:t>
      </w:r>
      <w:fldSimple w:instr=" SEQ Figure \* ARABIC ">
        <w:r w:rsidR="00955725">
          <w:rPr>
            <w:noProof/>
          </w:rPr>
          <w:t>15</w:t>
        </w:r>
      </w:fldSimple>
      <w:r>
        <w:t>: Seismic Events in Catalogue</w:t>
      </w:r>
      <w:bookmarkEnd w:id="79"/>
    </w:p>
    <w:p w14:paraId="31E892D5" w14:textId="77777777" w:rsidR="0070253A" w:rsidRPr="0070253A" w:rsidRDefault="0070253A" w:rsidP="0070253A"/>
    <w:p w14:paraId="5601769A" w14:textId="77777777" w:rsidR="0005536C" w:rsidRDefault="0005536C" w:rsidP="00CA62CF">
      <w:pPr>
        <w:pStyle w:val="Caption"/>
      </w:pPr>
      <w:r>
        <w:rPr>
          <w:noProof/>
        </w:rPr>
        <w:drawing>
          <wp:inline distT="0" distB="0" distL="0" distR="0" wp14:anchorId="3BE1150E" wp14:editId="28385C61">
            <wp:extent cx="5765800" cy="2032519"/>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97146" cy="2043569"/>
                    </a:xfrm>
                    <a:prstGeom prst="rect">
                      <a:avLst/>
                    </a:prstGeom>
                    <a:noFill/>
                  </pic:spPr>
                </pic:pic>
              </a:graphicData>
            </a:graphic>
          </wp:inline>
        </w:drawing>
      </w:r>
    </w:p>
    <w:p w14:paraId="698B314B" w14:textId="2AD417DE" w:rsidR="00800C86" w:rsidRDefault="0005536C" w:rsidP="00CA62CF">
      <w:pPr>
        <w:pStyle w:val="Caption"/>
      </w:pPr>
      <w:bookmarkStart w:id="80" w:name="_Toc121265859"/>
      <w:r>
        <w:t xml:space="preserve">Figure </w:t>
      </w:r>
      <w:fldSimple w:instr=" SEQ Figure \* ARABIC ">
        <w:r w:rsidR="00955725">
          <w:rPr>
            <w:noProof/>
          </w:rPr>
          <w:t>16</w:t>
        </w:r>
      </w:fldSimple>
      <w:r>
        <w:t xml:space="preserve">: </w:t>
      </w:r>
      <w:r w:rsidR="00693B7A">
        <w:t xml:space="preserve">Missingness map </w:t>
      </w:r>
      <w:r w:rsidR="00590C1E">
        <w:t>for seismic data s</w:t>
      </w:r>
      <w:r w:rsidR="00693B7A">
        <w:t>howing a</w:t>
      </w:r>
      <w:r>
        <w:t>ttributes with more than 20% missing value</w:t>
      </w:r>
      <w:bookmarkEnd w:id="80"/>
    </w:p>
    <w:p w14:paraId="03B7EC5E" w14:textId="29CF9FA3" w:rsidR="0005536C" w:rsidRDefault="00800C86" w:rsidP="00800C86">
      <w:r>
        <w:lastRenderedPageBreak/>
        <w:t xml:space="preserve">After performing the data cleaning, the data was then explored to understand the seismicity in the area. The figure below shows the number of seismic events from 1975 to date. From the plot, it is observed that the </w:t>
      </w:r>
      <w:r w:rsidR="00981B60">
        <w:t>seismicity increased significantly after 2008.</w:t>
      </w:r>
      <w:r w:rsidR="008E3094">
        <w:t xml:space="preserve"> Higher magnitudes were also attained after this time.</w:t>
      </w:r>
    </w:p>
    <w:p w14:paraId="3C16E5E8" w14:textId="71160C56" w:rsidR="008E3094" w:rsidRDefault="0076478D" w:rsidP="00CA62CF">
      <w:pPr>
        <w:pStyle w:val="Caption"/>
      </w:pPr>
      <w:r>
        <w:rPr>
          <w:noProof/>
        </w:rPr>
        <w:drawing>
          <wp:inline distT="0" distB="0" distL="0" distR="0" wp14:anchorId="0A1F2ED8" wp14:editId="3A67E00B">
            <wp:extent cx="6083300" cy="3487486"/>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84225" cy="3488016"/>
                    </a:xfrm>
                    <a:prstGeom prst="rect">
                      <a:avLst/>
                    </a:prstGeom>
                    <a:noFill/>
                  </pic:spPr>
                </pic:pic>
              </a:graphicData>
            </a:graphic>
          </wp:inline>
        </w:drawing>
      </w:r>
    </w:p>
    <w:p w14:paraId="42E422E0" w14:textId="2F3A2DEB" w:rsidR="00971470" w:rsidRPr="00971470" w:rsidRDefault="00800C86" w:rsidP="00CA62CF">
      <w:pPr>
        <w:pStyle w:val="Caption"/>
      </w:pPr>
      <w:bookmarkStart w:id="81" w:name="_Toc121265860"/>
      <w:r>
        <w:t xml:space="preserve">Figure </w:t>
      </w:r>
      <w:fldSimple w:instr=" SEQ Figure \* ARABIC ">
        <w:r w:rsidR="00955725">
          <w:rPr>
            <w:noProof/>
          </w:rPr>
          <w:t>17</w:t>
        </w:r>
      </w:fldSimple>
      <w:r>
        <w:t xml:space="preserve">: </w:t>
      </w:r>
      <w:r w:rsidRPr="00AE0F26">
        <w:t xml:space="preserve">Number of seismic events from 1975 to </w:t>
      </w:r>
      <w:r w:rsidRPr="00CA62CF">
        <w:t>2018</w:t>
      </w:r>
      <w:bookmarkEnd w:id="81"/>
    </w:p>
    <w:p w14:paraId="2E56C37B" w14:textId="48552917" w:rsidR="00981B60" w:rsidRDefault="00981B60" w:rsidP="00981B60">
      <w:bookmarkStart w:id="82" w:name="_Hlk118456943"/>
      <w:r>
        <w:t xml:space="preserve">After this, the earthquakes </w:t>
      </w:r>
      <w:r w:rsidR="00693B7A">
        <w:t>were</w:t>
      </w:r>
      <w:r>
        <w:t xml:space="preserve"> the</w:t>
      </w:r>
      <w:r w:rsidR="00590C1E">
        <w:t>n</w:t>
      </w:r>
      <w:r>
        <w:t xml:space="preserve"> grouped </w:t>
      </w:r>
      <w:r w:rsidR="0076478D">
        <w:t>into</w:t>
      </w:r>
      <w:r>
        <w:t xml:space="preserve"> clusters</w:t>
      </w:r>
      <w:r w:rsidR="006E673D">
        <w:t xml:space="preserve"> based on their location</w:t>
      </w:r>
      <w:r>
        <w:t>, and the goal was to see if these clusters matched the clusters of injection wells around the Arbuckle group.</w:t>
      </w:r>
      <w:r w:rsidR="00693B7A">
        <w:t xml:space="preserve"> The first step was to determine the number of optimal clusters (k) for clustering the earthquakes. Clusters should be between 10 and 20 based on the different locations of the earthquakes.</w:t>
      </w:r>
    </w:p>
    <w:bookmarkEnd w:id="82"/>
    <w:p w14:paraId="58347565" w14:textId="0365B0CE" w:rsidR="00693B7A" w:rsidRDefault="005527FE" w:rsidP="00CA62CF">
      <w:pPr>
        <w:pStyle w:val="Caption"/>
      </w:pPr>
      <w:r>
        <w:rPr>
          <w:noProof/>
        </w:rPr>
        <w:lastRenderedPageBreak/>
        <w:drawing>
          <wp:inline distT="0" distB="0" distL="0" distR="0" wp14:anchorId="4E355338" wp14:editId="68DA0C21">
            <wp:extent cx="4859500" cy="3270482"/>
            <wp:effectExtent l="0" t="0" r="0" b="0"/>
            <wp:docPr id="43" name="Picture 4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hart, line chart&#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71948" cy="3278860"/>
                    </a:xfrm>
                    <a:prstGeom prst="rect">
                      <a:avLst/>
                    </a:prstGeom>
                    <a:noFill/>
                    <a:ln>
                      <a:noFill/>
                    </a:ln>
                  </pic:spPr>
                </pic:pic>
              </a:graphicData>
            </a:graphic>
          </wp:inline>
        </w:drawing>
      </w:r>
    </w:p>
    <w:p w14:paraId="7E0A0583" w14:textId="2360BDCF" w:rsidR="00693B7A" w:rsidRDefault="00693B7A" w:rsidP="00693B7A">
      <w:pPr>
        <w:pStyle w:val="Caption"/>
      </w:pPr>
      <w:bookmarkStart w:id="83" w:name="_Toc121265861"/>
      <w:r>
        <w:t xml:space="preserve">Figure </w:t>
      </w:r>
      <w:fldSimple w:instr=" SEQ Figure \* ARABIC ">
        <w:r w:rsidR="00955725">
          <w:rPr>
            <w:noProof/>
          </w:rPr>
          <w:t>18</w:t>
        </w:r>
      </w:fldSimple>
      <w:r>
        <w:t>: K for Clustering</w:t>
      </w:r>
      <w:r w:rsidR="00213BF9">
        <w:t xml:space="preserve"> Earthquakes</w:t>
      </w:r>
      <w:bookmarkEnd w:id="83"/>
    </w:p>
    <w:p w14:paraId="3D8E43A8" w14:textId="6951173C" w:rsidR="00590C1E" w:rsidRPr="00640837" w:rsidRDefault="00590C1E" w:rsidP="00590C1E">
      <w:r>
        <w:t xml:space="preserve">The clusters of earthquakes identified from the data </w:t>
      </w:r>
      <w:r w:rsidR="0076478D">
        <w:t>are</w:t>
      </w:r>
      <w:r>
        <w:t xml:space="preserve"> shown in the figure below. These clusters would then be compared to the clusters obtained in the injection data to check for a relationship.</w:t>
      </w:r>
    </w:p>
    <w:p w14:paraId="5AF051BD" w14:textId="77777777" w:rsidR="00CA62CF" w:rsidRDefault="005527FE" w:rsidP="00CA62CF">
      <w:pPr>
        <w:pStyle w:val="Caption"/>
      </w:pPr>
      <w:r>
        <w:rPr>
          <w:noProof/>
        </w:rPr>
        <w:lastRenderedPageBreak/>
        <w:drawing>
          <wp:inline distT="0" distB="0" distL="0" distR="0" wp14:anchorId="3E89A1D9" wp14:editId="06BB4D0B">
            <wp:extent cx="4763386" cy="4714780"/>
            <wp:effectExtent l="0" t="0" r="0" b="0"/>
            <wp:docPr id="42" name="Picture 4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Map&#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76342" cy="4727603"/>
                    </a:xfrm>
                    <a:prstGeom prst="rect">
                      <a:avLst/>
                    </a:prstGeom>
                    <a:noFill/>
                    <a:ln>
                      <a:noFill/>
                    </a:ln>
                  </pic:spPr>
                </pic:pic>
              </a:graphicData>
            </a:graphic>
          </wp:inline>
        </w:drawing>
      </w:r>
    </w:p>
    <w:p w14:paraId="2A9E8909" w14:textId="19D4204C" w:rsidR="005527FE" w:rsidRDefault="00CA62CF" w:rsidP="00CA62CF">
      <w:pPr>
        <w:pStyle w:val="Caption"/>
      </w:pPr>
      <w:bookmarkStart w:id="84" w:name="_Toc121265862"/>
      <w:r>
        <w:t xml:space="preserve">Figure </w:t>
      </w:r>
      <w:fldSimple w:instr=" SEQ Figure \* ARABIC ">
        <w:r w:rsidR="00955725">
          <w:rPr>
            <w:noProof/>
          </w:rPr>
          <w:t>19</w:t>
        </w:r>
      </w:fldSimple>
      <w:r>
        <w:t>: Cluster analysis of seismic events</w:t>
      </w:r>
      <w:bookmarkEnd w:id="84"/>
    </w:p>
    <w:p w14:paraId="620D45FF" w14:textId="781DD66E" w:rsidR="005527FE" w:rsidRDefault="005527FE" w:rsidP="005527FE">
      <w:pPr>
        <w:rPr>
          <w:b/>
          <w:bCs/>
        </w:rPr>
      </w:pPr>
      <w:r w:rsidRPr="005527FE">
        <w:rPr>
          <w:b/>
          <w:bCs/>
        </w:rPr>
        <w:t>Injection Data</w:t>
      </w:r>
    </w:p>
    <w:p w14:paraId="2BB82C01" w14:textId="31DBBFB9" w:rsidR="00590C1E" w:rsidRPr="00590C1E" w:rsidRDefault="00590C1E" w:rsidP="007E4C0F">
      <w:r>
        <w:t xml:space="preserve">The injection wells were obtained from </w:t>
      </w:r>
      <w:r w:rsidR="0076478D">
        <w:t>the Oklahoma</w:t>
      </w:r>
      <w:r>
        <w:t xml:space="preserve"> </w:t>
      </w:r>
      <w:r w:rsidR="007E4C0F">
        <w:t xml:space="preserve">Corporation Commission. They were distributed around Oklahoma and </w:t>
      </w:r>
      <w:r w:rsidR="006E673D">
        <w:t xml:space="preserve">contained </w:t>
      </w:r>
      <w:r w:rsidR="007E4C0F">
        <w:t>attribute</w:t>
      </w:r>
      <w:r w:rsidR="006E673D">
        <w:t>s such as the well location and identification, the injection pressures and volumes, and so on.</w:t>
      </w:r>
    </w:p>
    <w:p w14:paraId="48B3B5D0" w14:textId="77777777" w:rsidR="00CA62CF" w:rsidRDefault="00590C1E" w:rsidP="00CA62CF">
      <w:pPr>
        <w:pStyle w:val="Caption"/>
      </w:pPr>
      <w:r>
        <w:rPr>
          <w:noProof/>
        </w:rPr>
        <w:lastRenderedPageBreak/>
        <w:drawing>
          <wp:inline distT="0" distB="0" distL="0" distR="0" wp14:anchorId="13E0A2BD" wp14:editId="246C3828">
            <wp:extent cx="4136065" cy="4168151"/>
            <wp:effectExtent l="0" t="0" r="0" b="0"/>
            <wp:docPr id="44" name="Picture 44" descr="A map of the wor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map of the world&#10;&#10;Description automatically generated with low confiden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144922" cy="4177076"/>
                    </a:xfrm>
                    <a:prstGeom prst="rect">
                      <a:avLst/>
                    </a:prstGeom>
                    <a:noFill/>
                    <a:ln>
                      <a:noFill/>
                    </a:ln>
                  </pic:spPr>
                </pic:pic>
              </a:graphicData>
            </a:graphic>
          </wp:inline>
        </w:drawing>
      </w:r>
    </w:p>
    <w:p w14:paraId="3923FD48" w14:textId="581ED9C2" w:rsidR="00590C1E" w:rsidRDefault="00CA62CF" w:rsidP="00CA62CF">
      <w:pPr>
        <w:pStyle w:val="Caption"/>
        <w:rPr>
          <w:b/>
          <w:bCs/>
        </w:rPr>
      </w:pPr>
      <w:bookmarkStart w:id="85" w:name="_Toc121265863"/>
      <w:r>
        <w:t xml:space="preserve">Figure </w:t>
      </w:r>
      <w:fldSimple w:instr=" SEQ Figure \* ARABIC ">
        <w:r w:rsidR="00955725">
          <w:rPr>
            <w:noProof/>
          </w:rPr>
          <w:t>20</w:t>
        </w:r>
      </w:fldSimple>
      <w:r>
        <w:t>: Injection wells in catalogue</w:t>
      </w:r>
      <w:bookmarkEnd w:id="85"/>
    </w:p>
    <w:p w14:paraId="40DFA0EA" w14:textId="12F95393" w:rsidR="006E673D" w:rsidRPr="00E75B27" w:rsidRDefault="00590C1E" w:rsidP="006E673D">
      <w:r>
        <w:t>The first step in the injection data is to clean the data, by checking for missing data, imputing it, as well as handling possible outliers.</w:t>
      </w:r>
      <w:r w:rsidR="006E673D">
        <w:t xml:space="preserve"> Here, unknown attributes highlighted below were dropped. The remaining missing values for the attributes like the volume in bbls and pressure in psi were computed using the average of the other properties. This did not skew the dataset as the location which was the attribute clustered did not any have missing values.</w:t>
      </w:r>
    </w:p>
    <w:p w14:paraId="120E5B39" w14:textId="5E2CFE42" w:rsidR="00590C1E" w:rsidRPr="00590C1E" w:rsidRDefault="00590C1E" w:rsidP="00CA62CF"/>
    <w:p w14:paraId="4EE4C86C" w14:textId="77777777" w:rsidR="00590C1E" w:rsidRDefault="005527FE" w:rsidP="00CA62CF">
      <w:pPr>
        <w:pStyle w:val="Caption"/>
      </w:pPr>
      <w:r>
        <w:rPr>
          <w:noProof/>
        </w:rPr>
        <w:lastRenderedPageBreak/>
        <w:drawing>
          <wp:inline distT="0" distB="0" distL="0" distR="0" wp14:anchorId="27103BCB" wp14:editId="7F95A685">
            <wp:extent cx="5943600" cy="1991167"/>
            <wp:effectExtent l="0" t="0" r="0" b="0"/>
            <wp:docPr id="36" name="Picture 3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Text&#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1991167"/>
                    </a:xfrm>
                    <a:prstGeom prst="rect">
                      <a:avLst/>
                    </a:prstGeom>
                    <a:noFill/>
                  </pic:spPr>
                </pic:pic>
              </a:graphicData>
            </a:graphic>
          </wp:inline>
        </w:drawing>
      </w:r>
    </w:p>
    <w:p w14:paraId="2BA050AA" w14:textId="53730C9D" w:rsidR="005527FE" w:rsidRDefault="00590C1E" w:rsidP="00CA62CF">
      <w:pPr>
        <w:pStyle w:val="Caption"/>
      </w:pPr>
      <w:bookmarkStart w:id="86" w:name="_Toc121265864"/>
      <w:r>
        <w:t xml:space="preserve">Figure </w:t>
      </w:r>
      <w:fldSimple w:instr=" SEQ Figure \* ARABIC ">
        <w:r w:rsidR="00955725">
          <w:rPr>
            <w:noProof/>
          </w:rPr>
          <w:t>21</w:t>
        </w:r>
      </w:fldSimple>
      <w:r>
        <w:t xml:space="preserve">: </w:t>
      </w:r>
      <w:r w:rsidRPr="00FD4A08">
        <w:t>Missingness map for seismic data showing attributes with more than 20% missing value</w:t>
      </w:r>
      <w:bookmarkEnd w:id="86"/>
    </w:p>
    <w:p w14:paraId="71337DEC" w14:textId="4B38BADE" w:rsidR="005527FE" w:rsidRDefault="00590C1E" w:rsidP="00590C1E">
      <w:pPr>
        <w:rPr>
          <w:noProof/>
        </w:rPr>
      </w:pPr>
      <w:r w:rsidRPr="00590C1E">
        <w:rPr>
          <w:noProof/>
        </w:rPr>
        <w:t xml:space="preserve">After this, the </w:t>
      </w:r>
      <w:r>
        <w:rPr>
          <w:noProof/>
        </w:rPr>
        <w:t xml:space="preserve">injection wells </w:t>
      </w:r>
      <w:r w:rsidRPr="00590C1E">
        <w:rPr>
          <w:noProof/>
        </w:rPr>
        <w:t>were the</w:t>
      </w:r>
      <w:r>
        <w:rPr>
          <w:noProof/>
        </w:rPr>
        <w:t>n</w:t>
      </w:r>
      <w:r w:rsidRPr="00590C1E">
        <w:rPr>
          <w:noProof/>
        </w:rPr>
        <w:t xml:space="preserve"> grouped in clusters, and the goal was to see if these clusters matched the clusters of </w:t>
      </w:r>
      <w:r>
        <w:rPr>
          <w:noProof/>
        </w:rPr>
        <w:t>seismicity obtained above</w:t>
      </w:r>
      <w:r w:rsidRPr="00590C1E">
        <w:rPr>
          <w:noProof/>
        </w:rPr>
        <w:t xml:space="preserve">. The first step was to determine the number of optimal clusters (k) for clustering the </w:t>
      </w:r>
      <w:r w:rsidR="00213BF9">
        <w:rPr>
          <w:noProof/>
        </w:rPr>
        <w:t>wells</w:t>
      </w:r>
      <w:r w:rsidRPr="00590C1E">
        <w:rPr>
          <w:noProof/>
        </w:rPr>
        <w:t xml:space="preserve">. Clusters should be between 10 and 20 based on the different locations of the </w:t>
      </w:r>
      <w:r>
        <w:rPr>
          <w:noProof/>
        </w:rPr>
        <w:t>injection wells</w:t>
      </w:r>
      <w:r w:rsidRPr="00590C1E">
        <w:rPr>
          <w:noProof/>
        </w:rPr>
        <w:t>.</w:t>
      </w:r>
    </w:p>
    <w:p w14:paraId="6F1FD8EA" w14:textId="77777777" w:rsidR="00213BF9" w:rsidRDefault="005527FE" w:rsidP="00213BF9">
      <w:pPr>
        <w:keepNext/>
        <w:jc w:val="center"/>
      </w:pPr>
      <w:r>
        <w:rPr>
          <w:noProof/>
        </w:rPr>
        <w:drawing>
          <wp:inline distT="0" distB="0" distL="0" distR="0" wp14:anchorId="249C6F72" wp14:editId="7AC6EE17">
            <wp:extent cx="4492691" cy="3023616"/>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92691" cy="3023616"/>
                    </a:xfrm>
                    <a:prstGeom prst="rect">
                      <a:avLst/>
                    </a:prstGeom>
                    <a:noFill/>
                    <a:ln>
                      <a:noFill/>
                    </a:ln>
                  </pic:spPr>
                </pic:pic>
              </a:graphicData>
            </a:graphic>
          </wp:inline>
        </w:drawing>
      </w:r>
    </w:p>
    <w:p w14:paraId="5DDDF440" w14:textId="0E0DE2DF" w:rsidR="005B52D1" w:rsidRDefault="00213BF9" w:rsidP="00213BF9">
      <w:pPr>
        <w:pStyle w:val="Caption"/>
      </w:pPr>
      <w:bookmarkStart w:id="87" w:name="_Toc121265865"/>
      <w:r>
        <w:t xml:space="preserve">Figure </w:t>
      </w:r>
      <w:fldSimple w:instr=" SEQ Figure \* ARABIC ">
        <w:r w:rsidR="00955725">
          <w:rPr>
            <w:noProof/>
          </w:rPr>
          <w:t>22</w:t>
        </w:r>
      </w:fldSimple>
      <w:r>
        <w:t xml:space="preserve">: </w:t>
      </w:r>
      <w:r w:rsidRPr="00633143">
        <w:t xml:space="preserve">K for Clustering </w:t>
      </w:r>
      <w:r>
        <w:t>Wells</w:t>
      </w:r>
      <w:bookmarkEnd w:id="87"/>
    </w:p>
    <w:p w14:paraId="7F7F9990" w14:textId="5FBE9D87" w:rsidR="005527FE" w:rsidRPr="00213BF9" w:rsidRDefault="00213BF9" w:rsidP="00213BF9">
      <w:r>
        <w:lastRenderedPageBreak/>
        <w:t xml:space="preserve">Comparing the clusters for the seismicity events to the cluster of the injection wells, there is a direct relationship as shown in the figure below. </w:t>
      </w:r>
      <w:r w:rsidR="0076478D">
        <w:t xml:space="preserve">The cluster analysis shows there is an overlap between areas with injection wells and seismic events. </w:t>
      </w:r>
      <w:r>
        <w:t xml:space="preserve">This emphasizes that injecting fluid into the Arbuckle Group has a causation </w:t>
      </w:r>
      <w:r w:rsidR="00BC1557">
        <w:t>on</w:t>
      </w:r>
      <w:r>
        <w:t xml:space="preserve"> the seismicity events. To achieve optimal carbon </w:t>
      </w:r>
      <w:r w:rsidR="00971470">
        <w:t>sequestration,</w:t>
      </w:r>
      <w:r>
        <w:t xml:space="preserve"> which is the injection of CO</w:t>
      </w:r>
      <w:r w:rsidRPr="004C2A0D">
        <w:rPr>
          <w:vertAlign w:val="subscript"/>
        </w:rPr>
        <w:t>2</w:t>
      </w:r>
      <w:r>
        <w:rPr>
          <w:vertAlign w:val="subscript"/>
        </w:rPr>
        <w:t xml:space="preserve"> </w:t>
      </w:r>
      <w:r>
        <w:t>into the</w:t>
      </w:r>
      <w:r w:rsidR="00BC1557">
        <w:t xml:space="preserve"> formation, there is need </w:t>
      </w:r>
      <w:r w:rsidR="0076478D">
        <w:t>to determine</w:t>
      </w:r>
      <w:r w:rsidR="00BC1557">
        <w:t xml:space="preserve"> the probability of inducing seismicity by activating a critically oriented fault.</w:t>
      </w:r>
    </w:p>
    <w:p w14:paraId="7BCE9263" w14:textId="77777777" w:rsidR="0070253A" w:rsidRDefault="005B52D1" w:rsidP="0070253A">
      <w:pPr>
        <w:pStyle w:val="Caption"/>
      </w:pPr>
      <w:r>
        <w:rPr>
          <w:noProof/>
        </w:rPr>
        <w:drawing>
          <wp:inline distT="0" distB="0" distL="0" distR="0" wp14:anchorId="39CFF612" wp14:editId="35727F96">
            <wp:extent cx="5114260" cy="5047728"/>
            <wp:effectExtent l="0" t="0" r="0" b="0"/>
            <wp:docPr id="47" name="Picture 4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Map&#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39854" cy="5072989"/>
                    </a:xfrm>
                    <a:prstGeom prst="rect">
                      <a:avLst/>
                    </a:prstGeom>
                    <a:noFill/>
                    <a:ln>
                      <a:noFill/>
                    </a:ln>
                  </pic:spPr>
                </pic:pic>
              </a:graphicData>
            </a:graphic>
          </wp:inline>
        </w:drawing>
      </w:r>
    </w:p>
    <w:p w14:paraId="7471835C" w14:textId="28C00CAE" w:rsidR="00981B60" w:rsidRDefault="0070253A" w:rsidP="0070253A">
      <w:pPr>
        <w:pStyle w:val="Caption"/>
      </w:pPr>
      <w:bookmarkStart w:id="88" w:name="_Toc121265866"/>
      <w:r>
        <w:t xml:space="preserve">Figure </w:t>
      </w:r>
      <w:fldSimple w:instr=" SEQ Figure \* ARABIC ">
        <w:r w:rsidR="00955725">
          <w:rPr>
            <w:noProof/>
          </w:rPr>
          <w:t>23</w:t>
        </w:r>
      </w:fldSimple>
      <w:r>
        <w:t>: Cluster analysis of seismic events vs injection wells</w:t>
      </w:r>
      <w:bookmarkEnd w:id="88"/>
    </w:p>
    <w:p w14:paraId="5AD830FB" w14:textId="5662571A" w:rsidR="006110C8" w:rsidRPr="002C097C" w:rsidRDefault="00FB22E3" w:rsidP="006110C8">
      <w:pPr>
        <w:pStyle w:val="Heading2"/>
      </w:pPr>
      <w:bookmarkStart w:id="89" w:name="_Toc121265836"/>
      <w:r>
        <w:lastRenderedPageBreak/>
        <w:t>4</w:t>
      </w:r>
      <w:r w:rsidR="006110C8">
        <w:t>.3 Probability Model</w:t>
      </w:r>
      <w:bookmarkEnd w:id="89"/>
    </w:p>
    <w:p w14:paraId="5548D8B2" w14:textId="6E04E534" w:rsidR="002E6737" w:rsidRPr="002E6737" w:rsidRDefault="002E6737" w:rsidP="0070253A">
      <w:pPr>
        <w:suppressAutoHyphens/>
        <w:overflowPunct w:val="0"/>
        <w:autoSpaceDE w:val="0"/>
        <w:autoSpaceDN w:val="0"/>
        <w:adjustRightInd w:val="0"/>
        <w:spacing w:after="0"/>
        <w:textAlignment w:val="baseline"/>
        <w:rPr>
          <w:rFonts w:eastAsia="SimSun" w:cs="Times New Roman"/>
          <w:szCs w:val="20"/>
        </w:rPr>
      </w:pPr>
      <w:r w:rsidRPr="002E6737">
        <w:rPr>
          <w:rFonts w:eastAsia="SimSun" w:cs="Times New Roman"/>
          <w:szCs w:val="20"/>
        </w:rPr>
        <w:t>After implementing the Bayesian model with the aid of the SOSAT tool, the figure below shows the probability plot of the friction coefficient, which serves as an input to calculating the risk of failure.</w:t>
      </w:r>
      <w:r w:rsidR="0070253A">
        <w:rPr>
          <w:rFonts w:eastAsia="SimSun" w:cs="Times New Roman"/>
          <w:szCs w:val="20"/>
        </w:rPr>
        <w:t xml:space="preserve"> </w:t>
      </w:r>
      <w:r w:rsidR="0070253A" w:rsidRPr="0070253A">
        <w:rPr>
          <w:rFonts w:eastAsia="SimSun" w:cs="Times New Roman"/>
          <w:szCs w:val="20"/>
        </w:rPr>
        <w:t>For th</w:t>
      </w:r>
      <w:r w:rsidR="0070253A">
        <w:rPr>
          <w:rFonts w:eastAsia="SimSun" w:cs="Times New Roman"/>
          <w:szCs w:val="20"/>
        </w:rPr>
        <w:t>e</w:t>
      </w:r>
      <w:r w:rsidR="0070253A" w:rsidRPr="0070253A">
        <w:rPr>
          <w:rFonts w:eastAsia="SimSun" w:cs="Times New Roman"/>
          <w:szCs w:val="20"/>
        </w:rPr>
        <w:t xml:space="preserve"> model a lognormal distribution with </w:t>
      </w:r>
      <w:r w:rsidR="006E673D" w:rsidRPr="0070253A">
        <w:rPr>
          <w:rFonts w:eastAsia="SimSun" w:cs="Times New Roman"/>
          <w:szCs w:val="20"/>
        </w:rPr>
        <w:t>a mean</w:t>
      </w:r>
      <w:r w:rsidR="0070253A" w:rsidRPr="0070253A">
        <w:rPr>
          <w:rFonts w:eastAsia="SimSun" w:cs="Times New Roman"/>
          <w:szCs w:val="20"/>
        </w:rPr>
        <w:t xml:space="preserve"> of 0.7 and standard deviation of 0.15 was chosen for the probability plot of the friction coefficient, which serves as an input to calculating the risk of failure.</w:t>
      </w:r>
      <w:r w:rsidRPr="002E6737">
        <w:rPr>
          <w:rFonts w:eastAsia="SimSun" w:cs="Times New Roman"/>
          <w:szCs w:val="20"/>
        </w:rPr>
        <w:t xml:space="preserve"> For each additional scenario run in the sensitivity analysis, the shape of this plot would change. The sensitivity analysis is done to identify the </w:t>
      </w:r>
      <w:r w:rsidR="00233410">
        <w:rPr>
          <w:rFonts w:eastAsia="SimSun" w:cs="Times New Roman"/>
          <w:szCs w:val="20"/>
        </w:rPr>
        <w:t xml:space="preserve">different </w:t>
      </w:r>
      <w:r w:rsidRPr="002E6737">
        <w:rPr>
          <w:rFonts w:eastAsia="SimSun" w:cs="Times New Roman"/>
          <w:szCs w:val="20"/>
        </w:rPr>
        <w:t xml:space="preserve">features </w:t>
      </w:r>
      <w:r w:rsidR="00233410">
        <w:rPr>
          <w:rFonts w:eastAsia="SimSun" w:cs="Times New Roman"/>
          <w:szCs w:val="20"/>
        </w:rPr>
        <w:t xml:space="preserve">that have </w:t>
      </w:r>
      <w:r w:rsidRPr="002E6737">
        <w:rPr>
          <w:rFonts w:eastAsia="SimSun" w:cs="Times New Roman"/>
          <w:szCs w:val="20"/>
        </w:rPr>
        <w:t>multiple predictor dependence on the</w:t>
      </w:r>
      <w:r w:rsidR="00233410">
        <w:rPr>
          <w:rFonts w:eastAsia="SimSun" w:cs="Times New Roman"/>
          <w:szCs w:val="20"/>
        </w:rPr>
        <w:t xml:space="preserve"> geomechanical</w:t>
      </w:r>
      <w:r w:rsidRPr="002E6737">
        <w:rPr>
          <w:rFonts w:eastAsia="SimSun" w:cs="Times New Roman"/>
          <w:szCs w:val="20"/>
        </w:rPr>
        <w:t xml:space="preserve"> risk.</w:t>
      </w:r>
    </w:p>
    <w:p w14:paraId="66ADFD01" w14:textId="77777777" w:rsidR="002E6737" w:rsidRPr="002E6737" w:rsidRDefault="002E6737" w:rsidP="0070253A">
      <w:pPr>
        <w:pStyle w:val="Caption"/>
      </w:pPr>
      <w:r w:rsidRPr="002E6737">
        <w:rPr>
          <w:noProof/>
        </w:rPr>
        <w:drawing>
          <wp:inline distT="0" distB="0" distL="0" distR="0" wp14:anchorId="05D63F3A" wp14:editId="6F3ADE05">
            <wp:extent cx="4217873" cy="2623060"/>
            <wp:effectExtent l="0" t="0" r="0" b="0"/>
            <wp:docPr id="7" name="Picture 7" descr="Diagram, histo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histogram&#10;&#10;Description automatically generated with medium confidenc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240764" cy="2637296"/>
                    </a:xfrm>
                    <a:prstGeom prst="rect">
                      <a:avLst/>
                    </a:prstGeom>
                    <a:noFill/>
                  </pic:spPr>
                </pic:pic>
              </a:graphicData>
            </a:graphic>
          </wp:inline>
        </w:drawing>
      </w:r>
    </w:p>
    <w:p w14:paraId="33155759" w14:textId="2321BF0D" w:rsidR="002E6737" w:rsidRPr="0070253A" w:rsidRDefault="002E6737" w:rsidP="0070253A">
      <w:pPr>
        <w:pStyle w:val="Caption"/>
      </w:pPr>
      <w:bookmarkStart w:id="90" w:name="_Toc112856558"/>
      <w:bookmarkStart w:id="91" w:name="_Toc121265867"/>
      <w:r w:rsidRPr="002E6737">
        <w:t xml:space="preserve">Figure </w:t>
      </w:r>
      <w:fldSimple w:instr=" SEQ Figure \* ARABIC ">
        <w:r w:rsidR="00955725">
          <w:rPr>
            <w:noProof/>
          </w:rPr>
          <w:t>24</w:t>
        </w:r>
      </w:fldSimple>
      <w:r w:rsidRPr="002E6737">
        <w:t>: Probability plot of the friction coefficient</w:t>
      </w:r>
      <w:bookmarkEnd w:id="90"/>
      <w:bookmarkEnd w:id="91"/>
    </w:p>
    <w:p w14:paraId="54C4B810" w14:textId="5C60C2CC" w:rsidR="002E6737" w:rsidRPr="002E6737" w:rsidRDefault="002E6737" w:rsidP="00B07616">
      <w:pPr>
        <w:suppressAutoHyphens/>
        <w:overflowPunct w:val="0"/>
        <w:autoSpaceDE w:val="0"/>
        <w:autoSpaceDN w:val="0"/>
        <w:adjustRightInd w:val="0"/>
        <w:spacing w:after="0"/>
        <w:textAlignment w:val="baseline"/>
        <w:rPr>
          <w:rFonts w:eastAsia="SimSun" w:cs="Times New Roman"/>
        </w:rPr>
      </w:pPr>
      <w:r w:rsidRPr="37DBAC1B">
        <w:rPr>
          <w:rFonts w:eastAsia="SimSun" w:cs="Times New Roman"/>
        </w:rPr>
        <w:t xml:space="preserve">The analysis then begins with </w:t>
      </w:r>
      <w:r w:rsidR="006E673D">
        <w:rPr>
          <w:rFonts w:eastAsia="SimSun" w:cs="Times New Roman"/>
        </w:rPr>
        <w:t xml:space="preserve">the </w:t>
      </w:r>
      <w:r w:rsidRPr="37DBAC1B">
        <w:rPr>
          <w:rFonts w:eastAsia="SimSun" w:cs="Times New Roman"/>
        </w:rPr>
        <w:t>posterior assumption that all the states of stress where the maximum horizontal stress is greater than the minimum horizontal stress (</w:t>
      </w:r>
      <w:r w:rsidRPr="37DBAC1B">
        <w:rPr>
          <w:rFonts w:ascii="Cambria Math" w:eastAsia="SimSun" w:hAnsi="Cambria Math" w:cs="Cambria Math"/>
        </w:rPr>
        <w:t>𝜎</w:t>
      </w:r>
      <w:r w:rsidRPr="37DBAC1B">
        <w:rPr>
          <w:rFonts w:eastAsia="SimSun" w:cs="Times New Roman"/>
        </w:rPr>
        <w:t xml:space="preserve">H &gt; </w:t>
      </w:r>
      <w:r w:rsidRPr="37DBAC1B">
        <w:rPr>
          <w:rFonts w:ascii="Cambria Math" w:eastAsia="SimSun" w:hAnsi="Cambria Math" w:cs="Cambria Math"/>
        </w:rPr>
        <w:t>𝜎</w:t>
      </w:r>
      <w:r w:rsidRPr="37DBAC1B">
        <w:rPr>
          <w:rFonts w:eastAsia="SimSun" w:cs="Times New Roman"/>
        </w:rPr>
        <w:t xml:space="preserve">ℎ), with </w:t>
      </w:r>
      <w:bookmarkStart w:id="92" w:name="_Int_S1JwEhu1"/>
      <w:r w:rsidRPr="37DBAC1B">
        <w:rPr>
          <w:rFonts w:eastAsia="SimSun" w:cs="Times New Roman"/>
        </w:rPr>
        <w:t>both of them</w:t>
      </w:r>
      <w:bookmarkEnd w:id="92"/>
      <w:r w:rsidRPr="37DBAC1B">
        <w:rPr>
          <w:rFonts w:eastAsia="SimSun" w:cs="Times New Roman"/>
        </w:rPr>
        <w:t xml:space="preserve"> being compressive has an equal probability</w:t>
      </w:r>
      <w:r w:rsidR="006E673D">
        <w:rPr>
          <w:rFonts w:eastAsia="SimSun" w:cs="Times New Roman"/>
        </w:rPr>
        <w:t>, as</w:t>
      </w:r>
      <w:r w:rsidRPr="37DBAC1B">
        <w:rPr>
          <w:rFonts w:eastAsia="SimSun" w:cs="Times New Roman"/>
        </w:rPr>
        <w:t xml:space="preserve"> distribution shown in the figure below. </w:t>
      </w:r>
    </w:p>
    <w:p w14:paraId="4808144D" w14:textId="77777777" w:rsidR="002E6737" w:rsidRPr="002E6737" w:rsidRDefault="002E6737" w:rsidP="0070253A">
      <w:pPr>
        <w:pStyle w:val="Caption"/>
      </w:pPr>
      <w:r w:rsidRPr="002E6737">
        <w:rPr>
          <w:noProof/>
        </w:rPr>
        <w:lastRenderedPageBreak/>
        <w:drawing>
          <wp:inline distT="0" distB="0" distL="0" distR="0" wp14:anchorId="6284EB81" wp14:editId="02497254">
            <wp:extent cx="4059870" cy="2749874"/>
            <wp:effectExtent l="0" t="0" r="0" b="0"/>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097939" cy="2775659"/>
                    </a:xfrm>
                    <a:prstGeom prst="rect">
                      <a:avLst/>
                    </a:prstGeom>
                    <a:noFill/>
                  </pic:spPr>
                </pic:pic>
              </a:graphicData>
            </a:graphic>
          </wp:inline>
        </w:drawing>
      </w:r>
    </w:p>
    <w:p w14:paraId="04065A88" w14:textId="6F40DAC1" w:rsidR="002E6737" w:rsidRDefault="002E6737" w:rsidP="0070253A">
      <w:pPr>
        <w:pStyle w:val="Caption"/>
      </w:pPr>
      <w:bookmarkStart w:id="93" w:name="_Toc112856559"/>
      <w:bookmarkStart w:id="94" w:name="_Toc121265868"/>
      <w:r w:rsidRPr="002E6737">
        <w:t xml:space="preserve">Figure </w:t>
      </w:r>
      <w:fldSimple w:instr=" SEQ Figure \* ARABIC ">
        <w:r w:rsidR="00955725">
          <w:rPr>
            <w:noProof/>
          </w:rPr>
          <w:t>25</w:t>
        </w:r>
      </w:fldSimple>
      <w:r w:rsidRPr="002E6737">
        <w:t xml:space="preserve">: Assumption that all stresses </w:t>
      </w:r>
      <w:r w:rsidR="6468821B">
        <w:t xml:space="preserve">are </w:t>
      </w:r>
      <w:r w:rsidRPr="002E6737">
        <w:t>normal and have equal probabilities</w:t>
      </w:r>
      <w:bookmarkEnd w:id="93"/>
      <w:bookmarkEnd w:id="94"/>
    </w:p>
    <w:p w14:paraId="14586AD2" w14:textId="5A10F1DE" w:rsidR="0070253A" w:rsidRDefault="0070253A" w:rsidP="0070253A">
      <w:r w:rsidRPr="0070253A">
        <w:t xml:space="preserve">The </w:t>
      </w:r>
      <w:r>
        <w:t>p</w:t>
      </w:r>
      <w:r w:rsidRPr="0070253A">
        <w:t>robability distribution of regional stress state information reflects that the region is mostly Strike Slip and Normal Faulting.</w:t>
      </w:r>
    </w:p>
    <w:p w14:paraId="74F6FBED" w14:textId="77777777" w:rsidR="0070253A" w:rsidRDefault="0070253A" w:rsidP="0070253A">
      <w:pPr>
        <w:pStyle w:val="Caption"/>
      </w:pPr>
      <w:r w:rsidRPr="0070253A">
        <w:rPr>
          <w:noProof/>
        </w:rPr>
        <w:drawing>
          <wp:inline distT="0" distB="0" distL="0" distR="0" wp14:anchorId="7281AA46" wp14:editId="76261D8D">
            <wp:extent cx="4026898" cy="2772045"/>
            <wp:effectExtent l="0" t="0" r="0" b="0"/>
            <wp:docPr id="52" name="Picture 9" descr="Chart&#10;&#10;Description automatically generated">
              <a:extLst xmlns:a="http://schemas.openxmlformats.org/drawingml/2006/main">
                <a:ext uri="{FF2B5EF4-FFF2-40B4-BE49-F238E27FC236}">
                  <a16:creationId xmlns:a16="http://schemas.microsoft.com/office/drawing/2014/main" id="{4154F326-8C6B-00BC-1819-F20033AEA2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9" descr="Chart&#10;&#10;Description automatically generated">
                      <a:extLst>
                        <a:ext uri="{FF2B5EF4-FFF2-40B4-BE49-F238E27FC236}">
                          <a16:creationId xmlns:a16="http://schemas.microsoft.com/office/drawing/2014/main" id="{4154F326-8C6B-00BC-1819-F20033AEA202}"/>
                        </a:ext>
                      </a:extLst>
                    </pic:cNvPr>
                    <pic:cNvPicPr>
                      <a:picLocks noChangeAspect="1"/>
                    </pic:cNvPicPr>
                  </pic:nvPicPr>
                  <pic:blipFill>
                    <a:blip r:embed="rId42"/>
                    <a:stretch>
                      <a:fillRect/>
                    </a:stretch>
                  </pic:blipFill>
                  <pic:spPr>
                    <a:xfrm>
                      <a:off x="0" y="0"/>
                      <a:ext cx="4033725" cy="2776744"/>
                    </a:xfrm>
                    <a:prstGeom prst="rect">
                      <a:avLst/>
                    </a:prstGeom>
                  </pic:spPr>
                </pic:pic>
              </a:graphicData>
            </a:graphic>
          </wp:inline>
        </w:drawing>
      </w:r>
    </w:p>
    <w:p w14:paraId="571BB2AE" w14:textId="36499EC3" w:rsidR="0070253A" w:rsidRPr="0070253A" w:rsidRDefault="0070253A" w:rsidP="0070253A">
      <w:pPr>
        <w:pStyle w:val="Caption"/>
      </w:pPr>
      <w:bookmarkStart w:id="95" w:name="_Toc121265869"/>
      <w:r>
        <w:t xml:space="preserve">Figure </w:t>
      </w:r>
      <w:fldSimple w:instr=" SEQ Figure \* ARABIC ">
        <w:r w:rsidR="00955725">
          <w:rPr>
            <w:noProof/>
          </w:rPr>
          <w:t>26</w:t>
        </w:r>
      </w:fldSimple>
      <w:r>
        <w:t xml:space="preserve">: </w:t>
      </w:r>
      <w:r w:rsidRPr="000C0B8E">
        <w:t>Probability distribution of regional stress state information</w:t>
      </w:r>
      <w:bookmarkEnd w:id="95"/>
    </w:p>
    <w:p w14:paraId="02CBB79A" w14:textId="71319BD9" w:rsidR="002E6737" w:rsidRPr="002E6737" w:rsidRDefault="009962A4" w:rsidP="0070253A">
      <w:pPr>
        <w:suppressAutoHyphens/>
        <w:overflowPunct w:val="0"/>
        <w:autoSpaceDE w:val="0"/>
        <w:autoSpaceDN w:val="0"/>
        <w:adjustRightInd w:val="0"/>
        <w:spacing w:after="0"/>
        <w:textAlignment w:val="baseline"/>
        <w:rPr>
          <w:rFonts w:eastAsia="SimSun" w:cs="Times New Roman"/>
        </w:rPr>
      </w:pPr>
      <w:r w:rsidRPr="37DBAC1B">
        <w:rPr>
          <w:rFonts w:eastAsia="SimSun" w:cs="Times New Roman"/>
        </w:rPr>
        <w:t xml:space="preserve">The frictional constraint which asserts that the stress cannot be larger than the frictional strength of pervasive faults and fractures is shown below. </w:t>
      </w:r>
      <w:r w:rsidR="0070253A" w:rsidRPr="0070253A">
        <w:rPr>
          <w:rFonts w:eastAsia="SimSun" w:cs="Times New Roman"/>
        </w:rPr>
        <w:t xml:space="preserve">The plot shows that the minimum horizontal stress is better constrained than the maximum horizontal stress, there is considerable uncertainty </w:t>
      </w:r>
      <w:r w:rsidR="0070253A" w:rsidRPr="0070253A">
        <w:rPr>
          <w:rFonts w:eastAsia="SimSun" w:cs="Times New Roman"/>
        </w:rPr>
        <w:lastRenderedPageBreak/>
        <w:t>in the maximum horizontal stress, hence the assumption that both stress state holds equal probability no longer holds.</w:t>
      </w:r>
      <w:r w:rsidR="0070253A">
        <w:rPr>
          <w:rFonts w:eastAsia="SimSun" w:cs="Times New Roman"/>
        </w:rPr>
        <w:t xml:space="preserve"> </w:t>
      </w:r>
      <w:r w:rsidR="0070253A" w:rsidRPr="0070253A">
        <w:rPr>
          <w:rFonts w:eastAsia="SimSun" w:cs="Times New Roman"/>
        </w:rPr>
        <w:t>The degree of uncertainty in the maximum horizontal stress ranges from 39MPa to 67 MPa</w:t>
      </w:r>
      <w:r>
        <w:rPr>
          <w:rFonts w:eastAsia="SimSun" w:cs="Times New Roman"/>
        </w:rPr>
        <w:t xml:space="preserve">. </w:t>
      </w:r>
      <w:r w:rsidR="002E6737" w:rsidRPr="37DBAC1B">
        <w:rPr>
          <w:rFonts w:eastAsia="SimSun" w:cs="Times New Roman"/>
        </w:rPr>
        <w:t>The shape of this plot can also change for each additional scenario run in the sensitivity analysis, based on the different conditions defined.</w:t>
      </w:r>
    </w:p>
    <w:p w14:paraId="5C4F3828" w14:textId="77777777" w:rsidR="002E6737" w:rsidRPr="002E6737" w:rsidRDefault="002E6737" w:rsidP="002E6737">
      <w:pPr>
        <w:suppressAutoHyphens/>
        <w:overflowPunct w:val="0"/>
        <w:autoSpaceDE w:val="0"/>
        <w:autoSpaceDN w:val="0"/>
        <w:adjustRightInd w:val="0"/>
        <w:spacing w:after="0"/>
        <w:ind w:firstLine="288"/>
        <w:textAlignment w:val="baseline"/>
        <w:rPr>
          <w:rFonts w:eastAsia="SimSun" w:cs="Times New Roman"/>
          <w:szCs w:val="20"/>
        </w:rPr>
      </w:pPr>
    </w:p>
    <w:p w14:paraId="54E91215" w14:textId="77777777" w:rsidR="009962A4" w:rsidRDefault="009962A4" w:rsidP="0070253A">
      <w:pPr>
        <w:pStyle w:val="Caption"/>
      </w:pPr>
      <w:r w:rsidRPr="009962A4">
        <w:rPr>
          <w:noProof/>
        </w:rPr>
        <w:drawing>
          <wp:inline distT="0" distB="0" distL="0" distR="0" wp14:anchorId="10C9BABC" wp14:editId="6DCA2BFF">
            <wp:extent cx="4778829" cy="3226087"/>
            <wp:effectExtent l="0" t="0" r="0" b="0"/>
            <wp:docPr id="53" name="Picture 6" descr="Chart&#10;&#10;Description automatically generated">
              <a:extLst xmlns:a="http://schemas.openxmlformats.org/drawingml/2006/main">
                <a:ext uri="{FF2B5EF4-FFF2-40B4-BE49-F238E27FC236}">
                  <a16:creationId xmlns:a16="http://schemas.microsoft.com/office/drawing/2014/main" id="{39EB4B49-6004-B982-DC4F-2BCC60E78A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6" descr="Chart&#10;&#10;Description automatically generated">
                      <a:extLst>
                        <a:ext uri="{FF2B5EF4-FFF2-40B4-BE49-F238E27FC236}">
                          <a16:creationId xmlns:a16="http://schemas.microsoft.com/office/drawing/2014/main" id="{39EB4B49-6004-B982-DC4F-2BCC60E78AEB}"/>
                        </a:ext>
                      </a:extLst>
                    </pic:cNvPr>
                    <pic:cNvPicPr>
                      <a:picLocks noChangeAspect="1"/>
                    </pic:cNvPicPr>
                  </pic:nvPicPr>
                  <pic:blipFill>
                    <a:blip r:embed="rId43"/>
                    <a:stretch>
                      <a:fillRect/>
                    </a:stretch>
                  </pic:blipFill>
                  <pic:spPr>
                    <a:xfrm>
                      <a:off x="0" y="0"/>
                      <a:ext cx="4787712" cy="3232084"/>
                    </a:xfrm>
                    <a:prstGeom prst="rect">
                      <a:avLst/>
                    </a:prstGeom>
                  </pic:spPr>
                </pic:pic>
              </a:graphicData>
            </a:graphic>
          </wp:inline>
        </w:drawing>
      </w:r>
      <w:bookmarkStart w:id="96" w:name="_Toc112856560"/>
    </w:p>
    <w:p w14:paraId="261E134E" w14:textId="4AA07C70" w:rsidR="00BC1557" w:rsidRPr="0070253A" w:rsidRDefault="002E6737" w:rsidP="0070253A">
      <w:pPr>
        <w:pStyle w:val="Caption"/>
      </w:pPr>
      <w:bookmarkStart w:id="97" w:name="_Toc121265870"/>
      <w:r w:rsidRPr="0070253A">
        <w:t xml:space="preserve">Figure </w:t>
      </w:r>
      <w:fldSimple w:instr=" SEQ Figure \* ARABIC ">
        <w:r w:rsidR="00955725">
          <w:rPr>
            <w:noProof/>
          </w:rPr>
          <w:t>27</w:t>
        </w:r>
      </w:fldSimple>
      <w:r w:rsidRPr="0070253A">
        <w:t xml:space="preserve">: </w:t>
      </w:r>
      <w:bookmarkEnd w:id="96"/>
      <w:r w:rsidR="009962A4" w:rsidRPr="009962A4">
        <w:t>Posterior stress distribution plot</w:t>
      </w:r>
      <w:bookmarkEnd w:id="97"/>
    </w:p>
    <w:p w14:paraId="4B2C4876" w14:textId="798B86D2" w:rsidR="009962A4" w:rsidRDefault="002E6737" w:rsidP="009962A4">
      <w:pPr>
        <w:widowControl w:val="0"/>
        <w:overflowPunct w:val="0"/>
        <w:autoSpaceDE w:val="0"/>
        <w:autoSpaceDN w:val="0"/>
        <w:adjustRightInd w:val="0"/>
        <w:spacing w:after="0"/>
        <w:textAlignment w:val="baseline"/>
        <w:rPr>
          <w:rFonts w:eastAsia="SimSun" w:cs="Times New Roman"/>
          <w:szCs w:val="20"/>
        </w:rPr>
      </w:pPr>
      <w:r w:rsidRPr="002E6737">
        <w:rPr>
          <w:rFonts w:eastAsia="SimSun" w:cs="Times New Roman"/>
          <w:szCs w:val="20"/>
        </w:rPr>
        <w:t>The next plot shows the risk or probability of activating a critically oriented fault</w:t>
      </w:r>
      <w:r w:rsidR="009962A4">
        <w:rPr>
          <w:rFonts w:eastAsia="SimSun" w:cs="Times New Roman"/>
          <w:szCs w:val="20"/>
        </w:rPr>
        <w:t xml:space="preserve"> </w:t>
      </w:r>
      <w:r w:rsidR="009962A4" w:rsidRPr="009962A4">
        <w:rPr>
          <w:rFonts w:eastAsia="SimSun" w:cs="Times New Roman"/>
          <w:szCs w:val="20"/>
        </w:rPr>
        <w:t xml:space="preserve">or </w:t>
      </w:r>
      <w:r w:rsidR="009962A4">
        <w:rPr>
          <w:rFonts w:eastAsia="SimSun" w:cs="Times New Roman"/>
          <w:szCs w:val="20"/>
        </w:rPr>
        <w:t xml:space="preserve">the </w:t>
      </w:r>
      <w:r w:rsidR="009962A4" w:rsidRPr="009962A4">
        <w:rPr>
          <w:rFonts w:eastAsia="SimSun" w:cs="Times New Roman"/>
          <w:szCs w:val="20"/>
        </w:rPr>
        <w:t>shear failure probability</w:t>
      </w:r>
      <w:r w:rsidRPr="002E6737">
        <w:rPr>
          <w:rFonts w:eastAsia="SimSun" w:cs="Times New Roman"/>
          <w:szCs w:val="20"/>
        </w:rPr>
        <w:t xml:space="preserve"> for the given reservoir base case parameters. </w:t>
      </w:r>
      <w:r w:rsidR="009962A4" w:rsidRPr="009962A4">
        <w:rPr>
          <w:rFonts w:eastAsia="SimSun" w:cs="Times New Roman"/>
          <w:szCs w:val="20"/>
        </w:rPr>
        <w:t>The results show that the</w:t>
      </w:r>
      <w:r w:rsidR="006E673D">
        <w:rPr>
          <w:rFonts w:eastAsia="SimSun" w:cs="Times New Roman"/>
          <w:szCs w:val="20"/>
        </w:rPr>
        <w:t>re is a</w:t>
      </w:r>
      <w:r w:rsidR="009962A4" w:rsidRPr="009962A4">
        <w:rPr>
          <w:rFonts w:eastAsia="SimSun" w:cs="Times New Roman"/>
          <w:szCs w:val="20"/>
        </w:rPr>
        <w:t xml:space="preserve"> 24% </w:t>
      </w:r>
      <w:r w:rsidR="006E673D">
        <w:rPr>
          <w:rFonts w:eastAsia="SimSun" w:cs="Times New Roman"/>
          <w:szCs w:val="20"/>
        </w:rPr>
        <w:t xml:space="preserve">probability that it is </w:t>
      </w:r>
      <w:r w:rsidR="006E673D" w:rsidRPr="009962A4">
        <w:rPr>
          <w:rFonts w:eastAsia="SimSun" w:cs="Times New Roman"/>
          <w:szCs w:val="20"/>
        </w:rPr>
        <w:t xml:space="preserve">critically stressed </w:t>
      </w:r>
      <w:r w:rsidR="009962A4" w:rsidRPr="009962A4">
        <w:rPr>
          <w:rFonts w:eastAsia="SimSun" w:cs="Times New Roman"/>
          <w:szCs w:val="20"/>
        </w:rPr>
        <w:t>at initial pressures, and this increases up to 63% when the defined maximum injection pressure is attained.</w:t>
      </w:r>
    </w:p>
    <w:p w14:paraId="4EBBE2CC" w14:textId="4F8C0F1A" w:rsidR="002E6737" w:rsidRPr="002E6737" w:rsidRDefault="009962A4" w:rsidP="009962A4">
      <w:pPr>
        <w:pStyle w:val="Caption"/>
      </w:pPr>
      <w:r w:rsidRPr="009962A4">
        <w:rPr>
          <w:noProof/>
        </w:rPr>
        <w:lastRenderedPageBreak/>
        <w:drawing>
          <wp:inline distT="0" distB="0" distL="0" distR="0" wp14:anchorId="3C9B110B" wp14:editId="311E3560">
            <wp:extent cx="3951515" cy="2745797"/>
            <wp:effectExtent l="0" t="0" r="0" b="0"/>
            <wp:docPr id="54" name="Picture 3" descr="Chart, line chart&#10;&#10;Description automatically generated">
              <a:extLst xmlns:a="http://schemas.openxmlformats.org/drawingml/2006/main">
                <a:ext uri="{FF2B5EF4-FFF2-40B4-BE49-F238E27FC236}">
                  <a16:creationId xmlns:a16="http://schemas.microsoft.com/office/drawing/2014/main" id="{79F74968-E683-507D-17A3-CE2D5CB7FE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3" descr="Chart, line chart&#10;&#10;Description automatically generated">
                      <a:extLst>
                        <a:ext uri="{FF2B5EF4-FFF2-40B4-BE49-F238E27FC236}">
                          <a16:creationId xmlns:a16="http://schemas.microsoft.com/office/drawing/2014/main" id="{79F74968-E683-507D-17A3-CE2D5CB7FE10}"/>
                        </a:ext>
                      </a:extLst>
                    </pic:cNvPr>
                    <pic:cNvPicPr>
                      <a:picLocks noChangeAspect="1"/>
                    </pic:cNvPicPr>
                  </pic:nvPicPr>
                  <pic:blipFill>
                    <a:blip r:embed="rId44"/>
                    <a:stretch>
                      <a:fillRect/>
                    </a:stretch>
                  </pic:blipFill>
                  <pic:spPr>
                    <a:xfrm>
                      <a:off x="0" y="0"/>
                      <a:ext cx="4014983" cy="2789899"/>
                    </a:xfrm>
                    <a:prstGeom prst="rect">
                      <a:avLst/>
                    </a:prstGeom>
                  </pic:spPr>
                </pic:pic>
              </a:graphicData>
            </a:graphic>
          </wp:inline>
        </w:drawing>
      </w:r>
    </w:p>
    <w:p w14:paraId="18F889B3" w14:textId="0F0A9909" w:rsidR="002E6737" w:rsidRPr="002E6737" w:rsidRDefault="002E6737" w:rsidP="009962A4">
      <w:pPr>
        <w:pStyle w:val="Caption"/>
      </w:pPr>
      <w:bookmarkStart w:id="98" w:name="_Toc112856561"/>
      <w:bookmarkStart w:id="99" w:name="_Toc121265871"/>
      <w:r w:rsidRPr="002E6737">
        <w:t xml:space="preserve">Figure </w:t>
      </w:r>
      <w:fldSimple w:instr=" SEQ Figure \* ARABIC ">
        <w:r w:rsidR="00955725">
          <w:rPr>
            <w:noProof/>
          </w:rPr>
          <w:t>28</w:t>
        </w:r>
      </w:fldSimple>
      <w:r w:rsidRPr="002E6737">
        <w:t xml:space="preserve">: Probability </w:t>
      </w:r>
      <w:bookmarkEnd w:id="98"/>
      <w:r w:rsidR="009962A4">
        <w:t xml:space="preserve">of </w:t>
      </w:r>
      <w:r w:rsidR="009962A4" w:rsidRPr="009962A4">
        <w:t>inducing seismicity on a critically oriented fault</w:t>
      </w:r>
      <w:bookmarkEnd w:id="99"/>
    </w:p>
    <w:p w14:paraId="24E7CE34" w14:textId="4400FF4C" w:rsidR="002E6737" w:rsidRDefault="00FB22E3" w:rsidP="00536395">
      <w:pPr>
        <w:pStyle w:val="Heading2"/>
      </w:pPr>
      <w:bookmarkStart w:id="100" w:name="_Toc121265837"/>
      <w:r>
        <w:t>4</w:t>
      </w:r>
      <w:r w:rsidR="00536395">
        <w:t>.</w:t>
      </w:r>
      <w:r w:rsidR="006110C8">
        <w:t>4</w:t>
      </w:r>
      <w:r w:rsidR="00536395">
        <w:t xml:space="preserve"> </w:t>
      </w:r>
      <w:r w:rsidR="002E6737" w:rsidRPr="002E6737">
        <w:t>Sensitivity Analysis</w:t>
      </w:r>
      <w:bookmarkEnd w:id="100"/>
    </w:p>
    <w:p w14:paraId="6BCFB7C6" w14:textId="03765572" w:rsidR="00235518" w:rsidRDefault="001E1338" w:rsidP="001E1338">
      <w:pPr>
        <w:suppressAutoHyphens/>
        <w:overflowPunct w:val="0"/>
        <w:autoSpaceDE w:val="0"/>
        <w:autoSpaceDN w:val="0"/>
        <w:adjustRightInd w:val="0"/>
        <w:spacing w:after="0"/>
        <w:textAlignment w:val="baseline"/>
        <w:rPr>
          <w:rFonts w:eastAsia="SimSun" w:cs="Times New Roman"/>
        </w:rPr>
      </w:pPr>
      <w:r w:rsidRPr="001E1338">
        <w:rPr>
          <w:rFonts w:eastAsia="SimSun" w:cs="Times New Roman"/>
        </w:rPr>
        <w:t>Sensitivity analysis was carried out on the parameters set as default in SOSAT to understand how the</w:t>
      </w:r>
      <w:r>
        <w:rPr>
          <w:rFonts w:eastAsia="SimSun" w:cs="Times New Roman"/>
        </w:rPr>
        <w:t>y</w:t>
      </w:r>
      <w:r w:rsidRPr="001E1338">
        <w:rPr>
          <w:rFonts w:eastAsia="SimSun" w:cs="Times New Roman"/>
        </w:rPr>
        <w:t xml:space="preserve"> affected the risk of seismicity.</w:t>
      </w:r>
      <w:r>
        <w:rPr>
          <w:rFonts w:eastAsia="SimSun" w:cs="Times New Roman"/>
        </w:rPr>
        <w:t xml:space="preserve"> </w:t>
      </w:r>
      <w:r w:rsidR="00235518">
        <w:rPr>
          <w:rFonts w:eastAsia="SimSun" w:cs="Times New Roman"/>
        </w:rPr>
        <w:t xml:space="preserve">The friction coefficient </w:t>
      </w:r>
      <w:r w:rsidR="00235518">
        <w:t>(</w:t>
      </w:r>
      <w:r w:rsidR="00235518" w:rsidRPr="00F86B22">
        <w:t>μ</w:t>
      </w:r>
      <w:r w:rsidR="00235518">
        <w:t>) and maximum stress path coefficient (</w:t>
      </w:r>
      <w:r w:rsidR="00235518" w:rsidRPr="00F86B22">
        <w:t>max Γh</w:t>
      </w:r>
      <w:r w:rsidR="00235518">
        <w:t>) were sensitized on.</w:t>
      </w:r>
    </w:p>
    <w:p w14:paraId="0B95FC23" w14:textId="2309F2C9" w:rsidR="00235518" w:rsidRPr="00235518" w:rsidRDefault="00235518" w:rsidP="00235518">
      <w:pPr>
        <w:suppressAutoHyphens/>
        <w:overflowPunct w:val="0"/>
        <w:autoSpaceDE w:val="0"/>
        <w:autoSpaceDN w:val="0"/>
        <w:adjustRightInd w:val="0"/>
        <w:spacing w:after="0"/>
        <w:textAlignment w:val="baseline"/>
        <w:rPr>
          <w:rFonts w:eastAsia="SimSun" w:cs="Times New Roman"/>
          <w:b/>
          <w:bCs/>
        </w:rPr>
      </w:pPr>
      <w:r w:rsidRPr="00235518">
        <w:rPr>
          <w:rFonts w:eastAsia="SimSun" w:cs="Times New Roman"/>
          <w:b/>
          <w:bCs/>
        </w:rPr>
        <w:t>Strike-slip and normal faulting regime</w:t>
      </w:r>
    </w:p>
    <w:p w14:paraId="511E6C55" w14:textId="2BBCC24A" w:rsidR="00012039" w:rsidRPr="00012039" w:rsidRDefault="00F93B0A" w:rsidP="001E1338">
      <w:pPr>
        <w:suppressAutoHyphens/>
        <w:overflowPunct w:val="0"/>
        <w:autoSpaceDE w:val="0"/>
        <w:autoSpaceDN w:val="0"/>
        <w:adjustRightInd w:val="0"/>
        <w:spacing w:after="0"/>
        <w:textAlignment w:val="baseline"/>
        <w:rPr>
          <w:rFonts w:eastAsia="SimSun" w:cs="Times New Roman"/>
        </w:rPr>
      </w:pPr>
      <w:r>
        <w:rPr>
          <w:rFonts w:eastAsia="SimSun" w:cs="Times New Roman"/>
        </w:rPr>
        <w:t>A strike-slip and normal faulting regime was first considered in figures 2</w:t>
      </w:r>
      <w:r w:rsidR="00766A7A">
        <w:rPr>
          <w:rFonts w:eastAsia="SimSun" w:cs="Times New Roman"/>
        </w:rPr>
        <w:t>9</w:t>
      </w:r>
      <w:r>
        <w:rPr>
          <w:rFonts w:eastAsia="SimSun" w:cs="Times New Roman"/>
        </w:rPr>
        <w:t xml:space="preserve"> to 3</w:t>
      </w:r>
      <w:r w:rsidR="00766A7A">
        <w:rPr>
          <w:rFonts w:eastAsia="SimSun" w:cs="Times New Roman"/>
        </w:rPr>
        <w:t>5</w:t>
      </w:r>
      <w:r>
        <w:rPr>
          <w:rFonts w:eastAsia="SimSun" w:cs="Times New Roman"/>
        </w:rPr>
        <w:t>.</w:t>
      </w:r>
      <w:r w:rsidR="00235518">
        <w:rPr>
          <w:rFonts w:eastAsia="SimSun" w:cs="Times New Roman"/>
        </w:rPr>
        <w:t xml:space="preserve"> </w:t>
      </w:r>
      <w:r w:rsidR="001E1338" w:rsidRPr="001E1338">
        <w:rPr>
          <w:rFonts w:eastAsia="SimSun" w:cs="Times New Roman"/>
        </w:rPr>
        <w:t xml:space="preserve">A lower friction coefficient resulted in a lower uncertainty range in maximum horizontal </w:t>
      </w:r>
      <w:r w:rsidRPr="001E1338">
        <w:rPr>
          <w:rFonts w:eastAsia="SimSun" w:cs="Times New Roman"/>
        </w:rPr>
        <w:t>stresses,</w:t>
      </w:r>
      <w:r w:rsidR="001E1338" w:rsidRPr="001E1338">
        <w:rPr>
          <w:rFonts w:eastAsia="SimSun" w:cs="Times New Roman"/>
        </w:rPr>
        <w:t xml:space="preserve"> but higher risk of seismicity risk</w:t>
      </w:r>
      <w:r>
        <w:rPr>
          <w:rFonts w:eastAsia="SimSun" w:cs="Times New Roman"/>
        </w:rPr>
        <w:t xml:space="preserve"> as shown in figures 2</w:t>
      </w:r>
      <w:r w:rsidR="00766A7A">
        <w:rPr>
          <w:rFonts w:eastAsia="SimSun" w:cs="Times New Roman"/>
        </w:rPr>
        <w:t>9</w:t>
      </w:r>
      <w:r>
        <w:rPr>
          <w:rFonts w:eastAsia="SimSun" w:cs="Times New Roman"/>
        </w:rPr>
        <w:t xml:space="preserve"> to 3</w:t>
      </w:r>
      <w:r w:rsidR="00766A7A">
        <w:rPr>
          <w:rFonts w:eastAsia="SimSun" w:cs="Times New Roman"/>
        </w:rPr>
        <w:t>1</w:t>
      </w:r>
      <w:r w:rsidR="001E1338" w:rsidRPr="001E1338">
        <w:rPr>
          <w:rFonts w:eastAsia="SimSun" w:cs="Times New Roman"/>
        </w:rPr>
        <w:t>.</w:t>
      </w:r>
      <w:r w:rsidR="001E1338">
        <w:rPr>
          <w:rFonts w:eastAsia="SimSun" w:cs="Times New Roman"/>
        </w:rPr>
        <w:t xml:space="preserve"> </w:t>
      </w:r>
      <w:r w:rsidR="001E1338" w:rsidRPr="001E1338">
        <w:rPr>
          <w:rFonts w:eastAsia="SimSun" w:cs="Times New Roman"/>
        </w:rPr>
        <w:t xml:space="preserve">Decreasing the coefficient of friction increases the probability of inducing shear failure. </w:t>
      </w:r>
    </w:p>
    <w:p w14:paraId="172ECDDA" w14:textId="77777777" w:rsidR="00012039" w:rsidRPr="00012039" w:rsidRDefault="00012039" w:rsidP="00012039">
      <w:pPr>
        <w:suppressAutoHyphens/>
        <w:overflowPunct w:val="0"/>
        <w:autoSpaceDE w:val="0"/>
        <w:autoSpaceDN w:val="0"/>
        <w:adjustRightInd w:val="0"/>
        <w:spacing w:after="0"/>
        <w:textAlignment w:val="baseline"/>
        <w:rPr>
          <w:rFonts w:eastAsia="SimSun" w:cs="Times New Roman"/>
        </w:rPr>
      </w:pPr>
    </w:p>
    <w:p w14:paraId="7A946AD4" w14:textId="0603C09C" w:rsidR="00012039" w:rsidRDefault="00012039" w:rsidP="00012039">
      <w:pPr>
        <w:pStyle w:val="Caption"/>
      </w:pPr>
      <w:r>
        <w:rPr>
          <w:noProof/>
        </w:rPr>
        <w:lastRenderedPageBreak/>
        <w:drawing>
          <wp:inline distT="0" distB="0" distL="0" distR="0" wp14:anchorId="3E999988" wp14:editId="123C60E7">
            <wp:extent cx="6217084" cy="2013857"/>
            <wp:effectExtent l="0" t="0" r="0" b="0"/>
            <wp:docPr id="57" name="Picture 5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Chart&#10;&#10;Description automatically generated"/>
                    <pic:cNvPicPr/>
                  </pic:nvPicPr>
                  <pic:blipFill rotWithShape="1">
                    <a:blip r:embed="rId45"/>
                    <a:srcRect b="11922"/>
                    <a:stretch/>
                  </pic:blipFill>
                  <pic:spPr bwMode="auto">
                    <a:xfrm>
                      <a:off x="0" y="0"/>
                      <a:ext cx="6250420" cy="2024655"/>
                    </a:xfrm>
                    <a:prstGeom prst="rect">
                      <a:avLst/>
                    </a:prstGeom>
                    <a:ln>
                      <a:noFill/>
                    </a:ln>
                    <a:extLst>
                      <a:ext uri="{53640926-AAD7-44D8-BBD7-CCE9431645EC}">
                        <a14:shadowObscured xmlns:a14="http://schemas.microsoft.com/office/drawing/2010/main"/>
                      </a:ext>
                    </a:extLst>
                  </pic:spPr>
                </pic:pic>
              </a:graphicData>
            </a:graphic>
          </wp:inline>
        </w:drawing>
      </w:r>
    </w:p>
    <w:p w14:paraId="77C5B41C" w14:textId="13D9C66F" w:rsidR="00012039" w:rsidRDefault="00012039" w:rsidP="00012039">
      <w:pPr>
        <w:pStyle w:val="Caption"/>
        <w:tabs>
          <w:tab w:val="left" w:pos="2554"/>
          <w:tab w:val="center" w:pos="4680"/>
        </w:tabs>
        <w:jc w:val="left"/>
      </w:pPr>
      <w:r>
        <w:tab/>
      </w:r>
      <w:r>
        <w:tab/>
      </w:r>
      <w:bookmarkStart w:id="101" w:name="_Toc121265872"/>
      <w:r>
        <w:t xml:space="preserve">Figure </w:t>
      </w:r>
      <w:fldSimple w:instr=" SEQ Figure \* ARABIC ">
        <w:r w:rsidR="00955725">
          <w:rPr>
            <w:noProof/>
          </w:rPr>
          <w:t>29</w:t>
        </w:r>
      </w:fldSimple>
      <w:r>
        <w:t>: μ = 0.6, max Γh = 0.7</w:t>
      </w:r>
      <w:bookmarkEnd w:id="101"/>
    </w:p>
    <w:p w14:paraId="63F31B75" w14:textId="77777777" w:rsidR="00012039" w:rsidRPr="00012039" w:rsidRDefault="00012039" w:rsidP="00012039"/>
    <w:p w14:paraId="1FF8F256" w14:textId="77777777" w:rsidR="00012039" w:rsidRPr="00012039" w:rsidRDefault="00012039" w:rsidP="00012039">
      <w:pPr>
        <w:pStyle w:val="Caption"/>
      </w:pPr>
      <w:r w:rsidRPr="00012039">
        <w:rPr>
          <w:noProof/>
        </w:rPr>
        <w:drawing>
          <wp:inline distT="0" distB="0" distL="0" distR="0" wp14:anchorId="7000499B" wp14:editId="620C107D">
            <wp:extent cx="6385420" cy="2166257"/>
            <wp:effectExtent l="0" t="0" r="0" b="0"/>
            <wp:docPr id="58" name="Picture 58"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Chart, diagram&#10;&#10;Description automatically generated"/>
                    <pic:cNvPicPr/>
                  </pic:nvPicPr>
                  <pic:blipFill>
                    <a:blip r:embed="rId46"/>
                    <a:stretch>
                      <a:fillRect/>
                    </a:stretch>
                  </pic:blipFill>
                  <pic:spPr>
                    <a:xfrm>
                      <a:off x="0" y="0"/>
                      <a:ext cx="6421929" cy="2178643"/>
                    </a:xfrm>
                    <a:prstGeom prst="rect">
                      <a:avLst/>
                    </a:prstGeom>
                  </pic:spPr>
                </pic:pic>
              </a:graphicData>
            </a:graphic>
          </wp:inline>
        </w:drawing>
      </w:r>
    </w:p>
    <w:p w14:paraId="0D40F54A" w14:textId="4BAB6F61" w:rsidR="00012039" w:rsidRDefault="00012039" w:rsidP="00012039">
      <w:pPr>
        <w:pStyle w:val="Caption"/>
      </w:pPr>
      <w:bookmarkStart w:id="102" w:name="_Toc121265873"/>
      <w:r w:rsidRPr="00012039">
        <w:t xml:space="preserve">Figure </w:t>
      </w:r>
      <w:fldSimple w:instr=" SEQ Figure \* ARABIC ">
        <w:r w:rsidR="00955725">
          <w:rPr>
            <w:noProof/>
          </w:rPr>
          <w:t>30</w:t>
        </w:r>
      </w:fldSimple>
      <w:r w:rsidRPr="00012039">
        <w:t>: μ = 0.7, max Γh</w:t>
      </w:r>
      <w:r w:rsidRPr="000517BB">
        <w:t xml:space="preserve"> = 0.7</w:t>
      </w:r>
      <w:bookmarkEnd w:id="102"/>
    </w:p>
    <w:p w14:paraId="5441A900" w14:textId="77777777" w:rsidR="00012039" w:rsidRDefault="00012039" w:rsidP="00012039">
      <w:pPr>
        <w:pStyle w:val="Caption"/>
      </w:pPr>
      <w:r>
        <w:rPr>
          <w:noProof/>
        </w:rPr>
        <w:drawing>
          <wp:inline distT="0" distB="0" distL="0" distR="0" wp14:anchorId="45D59027" wp14:editId="23491967">
            <wp:extent cx="6173995" cy="2220686"/>
            <wp:effectExtent l="0" t="0" r="0" b="0"/>
            <wp:docPr id="59" name="Picture 5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Chart, line chart&#10;&#10;Description automatically generated"/>
                    <pic:cNvPicPr/>
                  </pic:nvPicPr>
                  <pic:blipFill>
                    <a:blip r:embed="rId47"/>
                    <a:stretch>
                      <a:fillRect/>
                    </a:stretch>
                  </pic:blipFill>
                  <pic:spPr>
                    <a:xfrm>
                      <a:off x="0" y="0"/>
                      <a:ext cx="6219311" cy="2236985"/>
                    </a:xfrm>
                    <a:prstGeom prst="rect">
                      <a:avLst/>
                    </a:prstGeom>
                  </pic:spPr>
                </pic:pic>
              </a:graphicData>
            </a:graphic>
          </wp:inline>
        </w:drawing>
      </w:r>
    </w:p>
    <w:p w14:paraId="0B84E2AE" w14:textId="067D22B2" w:rsidR="00012039" w:rsidRDefault="00012039" w:rsidP="00012039">
      <w:pPr>
        <w:pStyle w:val="Caption"/>
      </w:pPr>
      <w:bookmarkStart w:id="103" w:name="_Toc121265874"/>
      <w:r>
        <w:t xml:space="preserve">Figure </w:t>
      </w:r>
      <w:fldSimple w:instr=" SEQ Figure \* ARABIC ">
        <w:r w:rsidR="00955725">
          <w:rPr>
            <w:noProof/>
          </w:rPr>
          <w:t>31</w:t>
        </w:r>
      </w:fldSimple>
      <w:r>
        <w:t xml:space="preserve">: </w:t>
      </w:r>
      <w:r w:rsidRPr="00F86B22">
        <w:t>μ = 0.8, max Γh = 0.7</w:t>
      </w:r>
      <w:bookmarkEnd w:id="103"/>
    </w:p>
    <w:p w14:paraId="52D0BB9E" w14:textId="5C0F7094" w:rsidR="001E1338" w:rsidRDefault="001E1338" w:rsidP="001E1338">
      <w:r w:rsidRPr="001E1338">
        <w:lastRenderedPageBreak/>
        <w:t xml:space="preserve">Similarly, the range of values determined for the stress path coefficient </w:t>
      </w:r>
      <w:r w:rsidR="00235518">
        <w:t>(</w:t>
      </w:r>
      <w:r w:rsidR="00235518" w:rsidRPr="00F86B22">
        <w:t>max Γh</w:t>
      </w:r>
      <w:r w:rsidR="00235518">
        <w:t xml:space="preserve">) </w:t>
      </w:r>
      <w:r w:rsidRPr="001E1338">
        <w:t>has a significant effect on the probability of fault activation</w:t>
      </w:r>
      <w:r w:rsidR="00F93B0A">
        <w:t xml:space="preserve"> – comparing figures 2</w:t>
      </w:r>
      <w:r w:rsidR="00766A7A">
        <w:t>9</w:t>
      </w:r>
      <w:r w:rsidR="00F93B0A">
        <w:t xml:space="preserve"> and 3</w:t>
      </w:r>
      <w:r w:rsidR="00766A7A">
        <w:t>2</w:t>
      </w:r>
      <w:r w:rsidR="00F93B0A">
        <w:t xml:space="preserve">, </w:t>
      </w:r>
      <w:r w:rsidR="00766A7A">
        <w:t>30</w:t>
      </w:r>
      <w:r w:rsidR="00F93B0A">
        <w:t xml:space="preserve"> and 3</w:t>
      </w:r>
      <w:r w:rsidR="00766A7A">
        <w:t>3</w:t>
      </w:r>
      <w:r w:rsidR="00F93B0A">
        <w:t xml:space="preserve">, and </w:t>
      </w:r>
      <w:r w:rsidR="00C410AF">
        <w:t>3</w:t>
      </w:r>
      <w:r w:rsidR="00766A7A">
        <w:t>1</w:t>
      </w:r>
      <w:r w:rsidR="00C410AF">
        <w:t xml:space="preserve"> and 3</w:t>
      </w:r>
      <w:r w:rsidR="00766A7A">
        <w:t>4</w:t>
      </w:r>
      <w:r w:rsidR="00C410AF">
        <w:t xml:space="preserve"> –</w:t>
      </w:r>
      <w:r w:rsidRPr="001E1338">
        <w:t xml:space="preserve"> but not on the uncertainties observed in the maximum horizontal stresses.</w:t>
      </w:r>
    </w:p>
    <w:p w14:paraId="1F898082" w14:textId="77777777" w:rsidR="001E1338" w:rsidRDefault="001E1338" w:rsidP="00F93B0A">
      <w:pPr>
        <w:pStyle w:val="Caption"/>
      </w:pPr>
      <w:r>
        <w:rPr>
          <w:noProof/>
        </w:rPr>
        <w:drawing>
          <wp:inline distT="0" distB="0" distL="0" distR="0" wp14:anchorId="62A93B75" wp14:editId="21C956C2">
            <wp:extent cx="6081644" cy="2155372"/>
            <wp:effectExtent l="0" t="0" r="0" b="0"/>
            <wp:docPr id="60" name="Picture 60" descr="A picture containing text, devic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picture containing text, device, screenshot&#10;&#10;Description automatically generated"/>
                    <pic:cNvPicPr/>
                  </pic:nvPicPr>
                  <pic:blipFill>
                    <a:blip r:embed="rId48"/>
                    <a:stretch>
                      <a:fillRect/>
                    </a:stretch>
                  </pic:blipFill>
                  <pic:spPr>
                    <a:xfrm>
                      <a:off x="0" y="0"/>
                      <a:ext cx="6106208" cy="2164078"/>
                    </a:xfrm>
                    <a:prstGeom prst="rect">
                      <a:avLst/>
                    </a:prstGeom>
                  </pic:spPr>
                </pic:pic>
              </a:graphicData>
            </a:graphic>
          </wp:inline>
        </w:drawing>
      </w:r>
    </w:p>
    <w:p w14:paraId="2845FE98" w14:textId="0A06F7D1" w:rsidR="001E1338" w:rsidRDefault="001E1338" w:rsidP="00F93B0A">
      <w:pPr>
        <w:pStyle w:val="Caption"/>
      </w:pPr>
      <w:bookmarkStart w:id="104" w:name="_Toc121265875"/>
      <w:r>
        <w:t xml:space="preserve">Figure </w:t>
      </w:r>
      <w:fldSimple w:instr=" SEQ Figure \* ARABIC ">
        <w:r w:rsidR="00955725">
          <w:rPr>
            <w:noProof/>
          </w:rPr>
          <w:t>32</w:t>
        </w:r>
      </w:fldSimple>
      <w:r>
        <w:t xml:space="preserve">: </w:t>
      </w:r>
      <w:r w:rsidRPr="00AA6E2C">
        <w:t>μ = 0.6, max Γh = 0.8</w:t>
      </w:r>
      <w:bookmarkEnd w:id="104"/>
    </w:p>
    <w:p w14:paraId="0089F8EB" w14:textId="77777777" w:rsidR="001E1338" w:rsidRDefault="001E1338" w:rsidP="001E1338">
      <w:pPr>
        <w:pStyle w:val="Caption"/>
      </w:pPr>
      <w:r>
        <w:rPr>
          <w:noProof/>
        </w:rPr>
        <w:drawing>
          <wp:inline distT="0" distB="0" distL="0" distR="0" wp14:anchorId="4C307EBD" wp14:editId="38F4ED3A">
            <wp:extent cx="6085704" cy="2144486"/>
            <wp:effectExtent l="0" t="0" r="0" b="0"/>
            <wp:docPr id="61" name="Picture 6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Chart, line chart&#10;&#10;Description automatically generated"/>
                    <pic:cNvPicPr/>
                  </pic:nvPicPr>
                  <pic:blipFill>
                    <a:blip r:embed="rId49"/>
                    <a:stretch>
                      <a:fillRect/>
                    </a:stretch>
                  </pic:blipFill>
                  <pic:spPr>
                    <a:xfrm>
                      <a:off x="0" y="0"/>
                      <a:ext cx="6106703" cy="2151886"/>
                    </a:xfrm>
                    <a:prstGeom prst="rect">
                      <a:avLst/>
                    </a:prstGeom>
                  </pic:spPr>
                </pic:pic>
              </a:graphicData>
            </a:graphic>
          </wp:inline>
        </w:drawing>
      </w:r>
    </w:p>
    <w:p w14:paraId="774E2862" w14:textId="2A42F0D2" w:rsidR="001E1338" w:rsidRDefault="001E1338" w:rsidP="001E1338">
      <w:pPr>
        <w:pStyle w:val="Caption"/>
      </w:pPr>
      <w:bookmarkStart w:id="105" w:name="_Toc121265876"/>
      <w:r>
        <w:t xml:space="preserve">Figure </w:t>
      </w:r>
      <w:fldSimple w:instr=" SEQ Figure \* ARABIC ">
        <w:r w:rsidR="00955725">
          <w:rPr>
            <w:noProof/>
          </w:rPr>
          <w:t>33</w:t>
        </w:r>
      </w:fldSimple>
      <w:r>
        <w:t xml:space="preserve">: </w:t>
      </w:r>
      <w:r w:rsidRPr="0020740E">
        <w:t>μ = 0.7, max Γh = 0.8</w:t>
      </w:r>
      <w:bookmarkEnd w:id="105"/>
    </w:p>
    <w:p w14:paraId="6A62F92A" w14:textId="77777777" w:rsidR="001E1338" w:rsidRDefault="001E1338" w:rsidP="001E1338">
      <w:pPr>
        <w:pStyle w:val="Caption"/>
      </w:pPr>
      <w:r>
        <w:rPr>
          <w:noProof/>
        </w:rPr>
        <w:lastRenderedPageBreak/>
        <w:drawing>
          <wp:inline distT="0" distB="0" distL="0" distR="0" wp14:anchorId="1E1E286B" wp14:editId="39948BC8">
            <wp:extent cx="6181946" cy="2253343"/>
            <wp:effectExtent l="0" t="0" r="0" b="0"/>
            <wp:docPr id="62" name="Picture 6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Chart&#10;&#10;Description automatically generated"/>
                    <pic:cNvPicPr/>
                  </pic:nvPicPr>
                  <pic:blipFill>
                    <a:blip r:embed="rId50"/>
                    <a:stretch>
                      <a:fillRect/>
                    </a:stretch>
                  </pic:blipFill>
                  <pic:spPr>
                    <a:xfrm>
                      <a:off x="0" y="0"/>
                      <a:ext cx="6181946" cy="2253343"/>
                    </a:xfrm>
                    <a:prstGeom prst="rect">
                      <a:avLst/>
                    </a:prstGeom>
                  </pic:spPr>
                </pic:pic>
              </a:graphicData>
            </a:graphic>
          </wp:inline>
        </w:drawing>
      </w:r>
    </w:p>
    <w:p w14:paraId="79369A45" w14:textId="0861FC68" w:rsidR="001E1338" w:rsidRDefault="001E1338" w:rsidP="001E1338">
      <w:pPr>
        <w:pStyle w:val="Caption"/>
      </w:pPr>
      <w:bookmarkStart w:id="106" w:name="_Toc121265877"/>
      <w:r>
        <w:t xml:space="preserve">Figure </w:t>
      </w:r>
      <w:fldSimple w:instr=" SEQ Figure \* ARABIC ">
        <w:r w:rsidR="00955725">
          <w:rPr>
            <w:noProof/>
          </w:rPr>
          <w:t>34</w:t>
        </w:r>
      </w:fldSimple>
      <w:r>
        <w:t xml:space="preserve">: </w:t>
      </w:r>
      <w:r w:rsidRPr="005F48EC">
        <w:t>μ = 0.8, max Γh = 0.8</w:t>
      </w:r>
      <w:bookmarkEnd w:id="106"/>
    </w:p>
    <w:p w14:paraId="3B981658" w14:textId="77777777" w:rsidR="00F93B0A" w:rsidRPr="00F93B0A" w:rsidRDefault="00F93B0A" w:rsidP="00F93B0A"/>
    <w:p w14:paraId="36826857" w14:textId="77777777" w:rsidR="00F93B0A" w:rsidRPr="00F93B0A" w:rsidRDefault="00F93B0A" w:rsidP="00F93B0A">
      <w:pPr>
        <w:pStyle w:val="Caption"/>
      </w:pPr>
      <w:r w:rsidRPr="00F93B0A">
        <w:rPr>
          <w:noProof/>
        </w:rPr>
        <w:drawing>
          <wp:inline distT="0" distB="0" distL="0" distR="0" wp14:anchorId="6FC2EB7E" wp14:editId="5A36E198">
            <wp:extent cx="6165583" cy="2035629"/>
            <wp:effectExtent l="0" t="0" r="0" b="0"/>
            <wp:docPr id="63" name="Picture 6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Chart, line chart&#10;&#10;Description automatically generated"/>
                    <pic:cNvPicPr/>
                  </pic:nvPicPr>
                  <pic:blipFill rotWithShape="1">
                    <a:blip r:embed="rId51"/>
                    <a:srcRect b="6484"/>
                    <a:stretch/>
                  </pic:blipFill>
                  <pic:spPr bwMode="auto">
                    <a:xfrm>
                      <a:off x="0" y="0"/>
                      <a:ext cx="6190157" cy="2043742"/>
                    </a:xfrm>
                    <a:prstGeom prst="rect">
                      <a:avLst/>
                    </a:prstGeom>
                    <a:ln>
                      <a:noFill/>
                    </a:ln>
                    <a:extLst>
                      <a:ext uri="{53640926-AAD7-44D8-BBD7-CCE9431645EC}">
                        <a14:shadowObscured xmlns:a14="http://schemas.microsoft.com/office/drawing/2010/main"/>
                      </a:ext>
                    </a:extLst>
                  </pic:spPr>
                </pic:pic>
              </a:graphicData>
            </a:graphic>
          </wp:inline>
        </w:drawing>
      </w:r>
    </w:p>
    <w:p w14:paraId="00062F16" w14:textId="4CA097E1" w:rsidR="00F93B0A" w:rsidRDefault="00F93B0A" w:rsidP="00F93B0A">
      <w:pPr>
        <w:pStyle w:val="Caption"/>
      </w:pPr>
      <w:bookmarkStart w:id="107" w:name="_Toc121265878"/>
      <w:r w:rsidRPr="00F93B0A">
        <w:t xml:space="preserve">Figure </w:t>
      </w:r>
      <w:fldSimple w:instr=" SEQ Figure \* ARABIC ">
        <w:r w:rsidR="00955725">
          <w:rPr>
            <w:noProof/>
          </w:rPr>
          <w:t>35</w:t>
        </w:r>
      </w:fldSimple>
      <w:r w:rsidRPr="00F93B0A">
        <w:t>: μ = 0.7, max Γh</w:t>
      </w:r>
      <w:r w:rsidRPr="00D27A41">
        <w:t xml:space="preserve"> = 0.8, NF = 5</w:t>
      </w:r>
      <w:bookmarkEnd w:id="107"/>
    </w:p>
    <w:p w14:paraId="3F588E88" w14:textId="3AF0DDC3" w:rsidR="00235518" w:rsidRPr="00235518" w:rsidRDefault="00235518" w:rsidP="00235518">
      <w:pPr>
        <w:rPr>
          <w:b/>
          <w:bCs/>
        </w:rPr>
      </w:pPr>
      <w:r w:rsidRPr="00235518">
        <w:rPr>
          <w:b/>
          <w:bCs/>
        </w:rPr>
        <w:t>Pure strike-slip regime</w:t>
      </w:r>
    </w:p>
    <w:p w14:paraId="40E6818F" w14:textId="757A6FC2" w:rsidR="00C410AF" w:rsidRDefault="00C410AF" w:rsidP="00C410AF">
      <w:r>
        <w:t>The next regime considered was a pure strike-slip regime in figures 3</w:t>
      </w:r>
      <w:r w:rsidR="00766A7A">
        <w:t>6</w:t>
      </w:r>
      <w:r>
        <w:t xml:space="preserve"> to </w:t>
      </w:r>
      <w:r w:rsidR="00C84822">
        <w:t>38</w:t>
      </w:r>
      <w:r>
        <w:t xml:space="preserve">. </w:t>
      </w:r>
      <w:r w:rsidRPr="00C410AF">
        <w:t>The</w:t>
      </w:r>
      <w:r>
        <w:t xml:space="preserve"> </w:t>
      </w:r>
      <w:r w:rsidRPr="00C410AF">
        <w:t xml:space="preserve">results show </w:t>
      </w:r>
      <w:r>
        <w:t>that</w:t>
      </w:r>
      <w:r w:rsidRPr="00C410AF">
        <w:t xml:space="preserve"> the</w:t>
      </w:r>
      <w:r>
        <w:t xml:space="preserve"> chosen </w:t>
      </w:r>
      <w:r w:rsidRPr="00C410AF">
        <w:t>regional stress</w:t>
      </w:r>
      <w:r w:rsidR="00235518">
        <w:t xml:space="preserve"> </w:t>
      </w:r>
      <w:r w:rsidR="00235518" w:rsidRPr="00C410AF">
        <w:t>state</w:t>
      </w:r>
      <w:r w:rsidRPr="00C410AF">
        <w:t xml:space="preserve"> </w:t>
      </w:r>
      <w:r>
        <w:t xml:space="preserve">has an effect on the risk of seismicity. Seismicity risk was higher in the </w:t>
      </w:r>
      <w:r w:rsidRPr="00C410AF">
        <w:t>pure strike-slip regime</w:t>
      </w:r>
      <w:r>
        <w:t xml:space="preserve"> in comparison to the </w:t>
      </w:r>
      <w:r w:rsidRPr="00C410AF">
        <w:t>strike-slip faulting with normal faulting</w:t>
      </w:r>
      <w:r>
        <w:t xml:space="preserve"> regime</w:t>
      </w:r>
      <w:r w:rsidRPr="00C410AF">
        <w:t xml:space="preserve">. </w:t>
      </w:r>
    </w:p>
    <w:p w14:paraId="6F4DFA0C" w14:textId="77777777" w:rsidR="00C410AF" w:rsidRDefault="00C410AF" w:rsidP="00C410AF">
      <w:pPr>
        <w:pStyle w:val="Caption"/>
      </w:pPr>
      <w:r>
        <w:rPr>
          <w:noProof/>
        </w:rPr>
        <w:lastRenderedPageBreak/>
        <w:drawing>
          <wp:inline distT="0" distB="0" distL="0" distR="0" wp14:anchorId="02F6A2ED" wp14:editId="5B759F28">
            <wp:extent cx="5943600" cy="2007870"/>
            <wp:effectExtent l="0" t="0" r="0" b="0"/>
            <wp:docPr id="69" name="Picture 6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Chart, line chart&#10;&#10;Description automatically generated"/>
                    <pic:cNvPicPr/>
                  </pic:nvPicPr>
                  <pic:blipFill>
                    <a:blip r:embed="rId52"/>
                    <a:stretch>
                      <a:fillRect/>
                    </a:stretch>
                  </pic:blipFill>
                  <pic:spPr>
                    <a:xfrm>
                      <a:off x="0" y="0"/>
                      <a:ext cx="5943600" cy="2007870"/>
                    </a:xfrm>
                    <a:prstGeom prst="rect">
                      <a:avLst/>
                    </a:prstGeom>
                  </pic:spPr>
                </pic:pic>
              </a:graphicData>
            </a:graphic>
          </wp:inline>
        </w:drawing>
      </w:r>
    </w:p>
    <w:p w14:paraId="23916DD8" w14:textId="2A0D1134" w:rsidR="00C410AF" w:rsidRDefault="00C410AF" w:rsidP="00C410AF">
      <w:pPr>
        <w:pStyle w:val="Caption"/>
      </w:pPr>
      <w:bookmarkStart w:id="108" w:name="_Toc121265879"/>
      <w:r>
        <w:t xml:space="preserve">Figure </w:t>
      </w:r>
      <w:fldSimple w:instr=" SEQ Figure \* ARABIC ">
        <w:r w:rsidR="00955725">
          <w:rPr>
            <w:noProof/>
          </w:rPr>
          <w:t>36</w:t>
        </w:r>
      </w:fldSimple>
      <w:r>
        <w:t xml:space="preserve">: </w:t>
      </w:r>
      <w:r w:rsidRPr="005653D3">
        <w:t>μ = 0.6, max Γh = 0.7</w:t>
      </w:r>
      <w:bookmarkEnd w:id="108"/>
    </w:p>
    <w:p w14:paraId="28463C37" w14:textId="77777777" w:rsidR="00C410AF" w:rsidRPr="00C410AF" w:rsidRDefault="00C410AF" w:rsidP="00C410AF"/>
    <w:p w14:paraId="1D77FBE7" w14:textId="77777777" w:rsidR="00C410AF" w:rsidRDefault="00C410AF" w:rsidP="00C410AF">
      <w:pPr>
        <w:pStyle w:val="Caption"/>
      </w:pPr>
      <w:r>
        <w:rPr>
          <w:noProof/>
        </w:rPr>
        <w:drawing>
          <wp:inline distT="0" distB="0" distL="0" distR="0" wp14:anchorId="147BE221" wp14:editId="7631FA13">
            <wp:extent cx="5943600" cy="2157095"/>
            <wp:effectExtent l="0" t="0" r="0" b="0"/>
            <wp:docPr id="68" name="Picture 6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Chart, line chart&#10;&#10;Description automatically generated"/>
                    <pic:cNvPicPr/>
                  </pic:nvPicPr>
                  <pic:blipFill>
                    <a:blip r:embed="rId53"/>
                    <a:stretch>
                      <a:fillRect/>
                    </a:stretch>
                  </pic:blipFill>
                  <pic:spPr>
                    <a:xfrm>
                      <a:off x="0" y="0"/>
                      <a:ext cx="5965381" cy="2165000"/>
                    </a:xfrm>
                    <a:prstGeom prst="rect">
                      <a:avLst/>
                    </a:prstGeom>
                  </pic:spPr>
                </pic:pic>
              </a:graphicData>
            </a:graphic>
          </wp:inline>
        </w:drawing>
      </w:r>
    </w:p>
    <w:p w14:paraId="719AAD4D" w14:textId="77F168EE" w:rsidR="00C410AF" w:rsidRDefault="00C410AF" w:rsidP="00C410AF">
      <w:pPr>
        <w:pStyle w:val="Caption"/>
      </w:pPr>
      <w:bookmarkStart w:id="109" w:name="_Toc121265880"/>
      <w:r>
        <w:t xml:space="preserve">Figure </w:t>
      </w:r>
      <w:fldSimple w:instr=" SEQ Figure \* ARABIC ">
        <w:r w:rsidR="00955725">
          <w:rPr>
            <w:noProof/>
          </w:rPr>
          <w:t>37</w:t>
        </w:r>
      </w:fldSimple>
      <w:r>
        <w:t xml:space="preserve">: </w:t>
      </w:r>
      <w:r w:rsidRPr="001C2E5E">
        <w:t>μ = 0.7, max Γh = 0.7</w:t>
      </w:r>
      <w:bookmarkEnd w:id="109"/>
    </w:p>
    <w:p w14:paraId="4679091C" w14:textId="77777777" w:rsidR="00C410AF" w:rsidRDefault="00C410AF" w:rsidP="00C410AF">
      <w:pPr>
        <w:pStyle w:val="Caption"/>
      </w:pPr>
      <w:r>
        <w:rPr>
          <w:noProof/>
        </w:rPr>
        <w:drawing>
          <wp:inline distT="0" distB="0" distL="0" distR="0" wp14:anchorId="53459FC6" wp14:editId="033C9B6A">
            <wp:extent cx="5987143" cy="2173537"/>
            <wp:effectExtent l="0" t="0" r="0" b="0"/>
            <wp:docPr id="67" name="Picture 6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Chart, line chart&#10;&#10;Description automatically generated"/>
                    <pic:cNvPicPr/>
                  </pic:nvPicPr>
                  <pic:blipFill>
                    <a:blip r:embed="rId54"/>
                    <a:stretch>
                      <a:fillRect/>
                    </a:stretch>
                  </pic:blipFill>
                  <pic:spPr>
                    <a:xfrm>
                      <a:off x="0" y="0"/>
                      <a:ext cx="6007177" cy="2180810"/>
                    </a:xfrm>
                    <a:prstGeom prst="rect">
                      <a:avLst/>
                    </a:prstGeom>
                  </pic:spPr>
                </pic:pic>
              </a:graphicData>
            </a:graphic>
          </wp:inline>
        </w:drawing>
      </w:r>
    </w:p>
    <w:p w14:paraId="3737BC02" w14:textId="3979552B" w:rsidR="00F059FE" w:rsidRDefault="00C410AF" w:rsidP="00F059FE">
      <w:pPr>
        <w:pStyle w:val="Caption"/>
      </w:pPr>
      <w:bookmarkStart w:id="110" w:name="_Toc121265881"/>
      <w:r>
        <w:t xml:space="preserve">Figure </w:t>
      </w:r>
      <w:fldSimple w:instr=" SEQ Figure \* ARABIC ">
        <w:r w:rsidR="00955725">
          <w:rPr>
            <w:noProof/>
          </w:rPr>
          <w:t>38</w:t>
        </w:r>
      </w:fldSimple>
      <w:r>
        <w:t xml:space="preserve">: </w:t>
      </w:r>
      <w:r w:rsidRPr="000A34E0">
        <w:t>μ = 0.8, max Γh = 0.7</w:t>
      </w:r>
      <w:bookmarkEnd w:id="110"/>
    </w:p>
    <w:p w14:paraId="101F753E" w14:textId="2212EEFD" w:rsidR="00F059FE" w:rsidRPr="00F059FE" w:rsidRDefault="00F059FE" w:rsidP="00F059FE">
      <w:r w:rsidRPr="00F059FE">
        <w:lastRenderedPageBreak/>
        <w:t>Comparing the</w:t>
      </w:r>
      <w:r w:rsidR="00235518">
        <w:t xml:space="preserve"> performance of the </w:t>
      </w:r>
      <w:r w:rsidRPr="00F059FE">
        <w:t xml:space="preserve">different models, </w:t>
      </w:r>
      <w:r w:rsidR="00235518">
        <w:t xml:space="preserve">the model closest to reality from data obtained from </w:t>
      </w:r>
      <w:sdt>
        <w:sdtPr>
          <w:id w:val="296343009"/>
          <w:citation/>
        </w:sdtPr>
        <w:sdtContent>
          <w:r w:rsidR="00235518">
            <w:fldChar w:fldCharType="begin"/>
          </w:r>
          <w:r w:rsidR="00235518">
            <w:instrText xml:space="preserve"> CITATION Bir22 \l 1033 </w:instrText>
          </w:r>
          <w:r w:rsidR="00235518">
            <w:fldChar w:fldCharType="separate"/>
          </w:r>
          <w:r w:rsidR="00C84822">
            <w:rPr>
              <w:noProof/>
            </w:rPr>
            <w:t>(Birdie, et al., Assessing Induced Seismicity Risk at the Wellington Geologic Sequestration Site, 2022)</w:t>
          </w:r>
          <w:r w:rsidR="00235518">
            <w:fldChar w:fldCharType="end"/>
          </w:r>
        </w:sdtContent>
      </w:sdt>
      <w:r w:rsidRPr="00F059FE">
        <w:t xml:space="preserve"> was chosen</w:t>
      </w:r>
      <w:r>
        <w:t xml:space="preserve"> </w:t>
      </w:r>
      <w:r w:rsidR="00235518">
        <w:t xml:space="preserve">as </w:t>
      </w:r>
      <w:r>
        <w:t>highlighted in the table below for further analysis.</w:t>
      </w:r>
    </w:p>
    <w:p w14:paraId="00BC0CE8" w14:textId="4895A54C" w:rsidR="00F059FE" w:rsidRDefault="00F059FE" w:rsidP="009F6F03">
      <w:pPr>
        <w:pStyle w:val="Caption"/>
        <w:keepNext/>
        <w:jc w:val="left"/>
      </w:pPr>
      <w:bookmarkStart w:id="111" w:name="_Toc120839865"/>
      <w:r>
        <w:t xml:space="preserve">Table </w:t>
      </w:r>
      <w:fldSimple w:instr=" SEQ Table \* ARABIC ">
        <w:r w:rsidR="00955725">
          <w:rPr>
            <w:noProof/>
          </w:rPr>
          <w:t>7</w:t>
        </w:r>
      </w:fldSimple>
      <w:r>
        <w:t>: Sensitivity Analysis Summary</w:t>
      </w:r>
      <w:bookmarkEnd w:id="111"/>
    </w:p>
    <w:tbl>
      <w:tblPr>
        <w:tblStyle w:val="TableGrid"/>
        <w:tblW w:w="9446" w:type="dxa"/>
        <w:tblLook w:val="0600" w:firstRow="0" w:lastRow="0" w:firstColumn="0" w:lastColumn="0" w:noHBand="1" w:noVBand="1"/>
      </w:tblPr>
      <w:tblGrid>
        <w:gridCol w:w="1008"/>
        <w:gridCol w:w="2520"/>
        <w:gridCol w:w="613"/>
        <w:gridCol w:w="604"/>
        <w:gridCol w:w="537"/>
        <w:gridCol w:w="717"/>
        <w:gridCol w:w="645"/>
        <w:gridCol w:w="903"/>
        <w:gridCol w:w="943"/>
        <w:gridCol w:w="956"/>
      </w:tblGrid>
      <w:tr w:rsidR="00F059FE" w:rsidRPr="00F059FE" w14:paraId="40620DF7" w14:textId="77777777" w:rsidTr="009F6F03">
        <w:trPr>
          <w:trHeight w:val="523"/>
        </w:trPr>
        <w:tc>
          <w:tcPr>
            <w:tcW w:w="1008" w:type="dxa"/>
            <w:hideMark/>
          </w:tcPr>
          <w:p w14:paraId="7F0663CE"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b/>
                <w:bCs/>
                <w:color w:val="000000"/>
                <w:kern w:val="24"/>
                <w:sz w:val="24"/>
                <w:szCs w:val="24"/>
              </w:rPr>
              <w:t>Case name</w:t>
            </w:r>
          </w:p>
        </w:tc>
        <w:tc>
          <w:tcPr>
            <w:tcW w:w="2520" w:type="dxa"/>
            <w:hideMark/>
          </w:tcPr>
          <w:p w14:paraId="332FC063"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b/>
                <w:bCs/>
                <w:color w:val="000000"/>
                <w:kern w:val="24"/>
                <w:sz w:val="24"/>
                <w:szCs w:val="24"/>
              </w:rPr>
              <w:t>Definition</w:t>
            </w:r>
          </w:p>
        </w:tc>
        <w:tc>
          <w:tcPr>
            <w:tcW w:w="613" w:type="dxa"/>
            <w:hideMark/>
          </w:tcPr>
          <w:p w14:paraId="49F454D4"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b/>
                <w:bCs/>
                <w:color w:val="000000"/>
                <w:kern w:val="24"/>
                <w:sz w:val="24"/>
                <w:szCs w:val="24"/>
              </w:rPr>
              <w:t>NF</w:t>
            </w:r>
          </w:p>
        </w:tc>
        <w:tc>
          <w:tcPr>
            <w:tcW w:w="604" w:type="dxa"/>
            <w:hideMark/>
          </w:tcPr>
          <w:p w14:paraId="3D673211"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b/>
                <w:bCs/>
                <w:color w:val="000000"/>
                <w:kern w:val="24"/>
                <w:sz w:val="24"/>
                <w:szCs w:val="24"/>
              </w:rPr>
              <w:t>SS</w:t>
            </w:r>
          </w:p>
        </w:tc>
        <w:tc>
          <w:tcPr>
            <w:tcW w:w="537" w:type="dxa"/>
            <w:hideMark/>
          </w:tcPr>
          <w:p w14:paraId="3AF882FA"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b/>
                <w:bCs/>
                <w:color w:val="000000"/>
                <w:kern w:val="24"/>
                <w:sz w:val="24"/>
                <w:szCs w:val="24"/>
              </w:rPr>
              <w:t>TF</w:t>
            </w:r>
          </w:p>
        </w:tc>
        <w:tc>
          <w:tcPr>
            <w:tcW w:w="717" w:type="dxa"/>
            <w:hideMark/>
          </w:tcPr>
          <w:p w14:paraId="6AC591A0"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b/>
                <w:bCs/>
                <w:color w:val="000000"/>
                <w:kern w:val="24"/>
                <w:sz w:val="24"/>
                <w:szCs w:val="24"/>
                <w:lang w:val="el-GR"/>
              </w:rPr>
              <w:t>μ</w:t>
            </w:r>
          </w:p>
        </w:tc>
        <w:tc>
          <w:tcPr>
            <w:tcW w:w="645" w:type="dxa"/>
            <w:hideMark/>
          </w:tcPr>
          <w:p w14:paraId="38709B0A"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b/>
                <w:bCs/>
                <w:color w:val="000000"/>
                <w:kern w:val="24"/>
                <w:sz w:val="24"/>
                <w:szCs w:val="24"/>
                <w:lang w:val="el-GR"/>
              </w:rPr>
              <w:t>σ</w:t>
            </w:r>
          </w:p>
        </w:tc>
        <w:tc>
          <w:tcPr>
            <w:tcW w:w="903" w:type="dxa"/>
            <w:hideMark/>
          </w:tcPr>
          <w:p w14:paraId="52F8A879"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b/>
                <w:bCs/>
                <w:color w:val="000000"/>
                <w:kern w:val="24"/>
                <w:sz w:val="24"/>
                <w:szCs w:val="24"/>
              </w:rPr>
              <w:t>min</w:t>
            </w:r>
            <w:r w:rsidRPr="00F059FE">
              <w:rPr>
                <w:rFonts w:eastAsia="Times New Roman" w:cs="Times New Roman"/>
                <w:b/>
                <w:bCs/>
                <w:color w:val="000000"/>
                <w:kern w:val="24"/>
                <w:sz w:val="24"/>
                <w:szCs w:val="24"/>
                <w:lang w:val="el-GR"/>
              </w:rPr>
              <w:t>Γ</w:t>
            </w:r>
            <w:r w:rsidRPr="00F059FE">
              <w:rPr>
                <w:rFonts w:eastAsia="Times New Roman" w:cs="Times New Roman"/>
                <w:b/>
                <w:bCs/>
                <w:color w:val="000000"/>
                <w:kern w:val="24"/>
                <w:sz w:val="24"/>
                <w:szCs w:val="24"/>
              </w:rPr>
              <w:t>h</w:t>
            </w:r>
          </w:p>
        </w:tc>
        <w:tc>
          <w:tcPr>
            <w:tcW w:w="943" w:type="dxa"/>
            <w:hideMark/>
          </w:tcPr>
          <w:p w14:paraId="2863FBA1"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b/>
                <w:bCs/>
                <w:color w:val="000000"/>
                <w:kern w:val="24"/>
                <w:sz w:val="24"/>
                <w:szCs w:val="24"/>
              </w:rPr>
              <w:t>max</w:t>
            </w:r>
            <w:r w:rsidRPr="00F059FE">
              <w:rPr>
                <w:rFonts w:eastAsia="Times New Roman" w:cs="Times New Roman"/>
                <w:b/>
                <w:bCs/>
                <w:color w:val="000000"/>
                <w:kern w:val="24"/>
                <w:sz w:val="24"/>
                <w:szCs w:val="24"/>
                <w:lang w:val="el-GR"/>
              </w:rPr>
              <w:t>Γ</w:t>
            </w:r>
            <w:r w:rsidRPr="00F059FE">
              <w:rPr>
                <w:rFonts w:eastAsia="Times New Roman" w:cs="Times New Roman"/>
                <w:b/>
                <w:bCs/>
                <w:color w:val="000000"/>
                <w:kern w:val="24"/>
                <w:sz w:val="24"/>
                <w:szCs w:val="24"/>
              </w:rPr>
              <w:t>h</w:t>
            </w:r>
          </w:p>
        </w:tc>
        <w:tc>
          <w:tcPr>
            <w:tcW w:w="956" w:type="dxa"/>
            <w:hideMark/>
          </w:tcPr>
          <w:p w14:paraId="1EB928E1"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b/>
                <w:bCs/>
                <w:color w:val="000000"/>
                <w:kern w:val="24"/>
                <w:sz w:val="24"/>
                <w:szCs w:val="24"/>
              </w:rPr>
              <w:t>prob</w:t>
            </w:r>
          </w:p>
        </w:tc>
      </w:tr>
      <w:tr w:rsidR="00F059FE" w:rsidRPr="00F059FE" w14:paraId="5BDEF5BC" w14:textId="77777777" w:rsidTr="009F6F03">
        <w:trPr>
          <w:trHeight w:val="503"/>
        </w:trPr>
        <w:tc>
          <w:tcPr>
            <w:tcW w:w="1008" w:type="dxa"/>
            <w:hideMark/>
          </w:tcPr>
          <w:p w14:paraId="0CBE887D"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SNA</w:t>
            </w:r>
          </w:p>
        </w:tc>
        <w:tc>
          <w:tcPr>
            <w:tcW w:w="2520" w:type="dxa"/>
            <w:hideMark/>
          </w:tcPr>
          <w:p w14:paraId="0486C907"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Strike Slip + Normal Faulting</w:t>
            </w:r>
          </w:p>
        </w:tc>
        <w:tc>
          <w:tcPr>
            <w:tcW w:w="613" w:type="dxa"/>
            <w:hideMark/>
          </w:tcPr>
          <w:p w14:paraId="41DACC10"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3</w:t>
            </w:r>
          </w:p>
        </w:tc>
        <w:tc>
          <w:tcPr>
            <w:tcW w:w="604" w:type="dxa"/>
            <w:hideMark/>
          </w:tcPr>
          <w:p w14:paraId="01D35656"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10</w:t>
            </w:r>
          </w:p>
        </w:tc>
        <w:tc>
          <w:tcPr>
            <w:tcW w:w="537" w:type="dxa"/>
            <w:hideMark/>
          </w:tcPr>
          <w:p w14:paraId="23A3D086"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w:t>
            </w:r>
          </w:p>
        </w:tc>
        <w:tc>
          <w:tcPr>
            <w:tcW w:w="717" w:type="dxa"/>
            <w:hideMark/>
          </w:tcPr>
          <w:p w14:paraId="5E836FC2"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0.7</w:t>
            </w:r>
          </w:p>
        </w:tc>
        <w:tc>
          <w:tcPr>
            <w:tcW w:w="645" w:type="dxa"/>
            <w:hideMark/>
          </w:tcPr>
          <w:p w14:paraId="73635677"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0.15</w:t>
            </w:r>
          </w:p>
        </w:tc>
        <w:tc>
          <w:tcPr>
            <w:tcW w:w="903" w:type="dxa"/>
            <w:hideMark/>
          </w:tcPr>
          <w:p w14:paraId="44F91023"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0.4</w:t>
            </w:r>
          </w:p>
        </w:tc>
        <w:tc>
          <w:tcPr>
            <w:tcW w:w="943" w:type="dxa"/>
            <w:hideMark/>
          </w:tcPr>
          <w:p w14:paraId="21ECE0C3"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0.7</w:t>
            </w:r>
          </w:p>
        </w:tc>
        <w:tc>
          <w:tcPr>
            <w:tcW w:w="956" w:type="dxa"/>
            <w:hideMark/>
          </w:tcPr>
          <w:p w14:paraId="17776EB6"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0.24</w:t>
            </w:r>
          </w:p>
        </w:tc>
      </w:tr>
      <w:tr w:rsidR="00F059FE" w:rsidRPr="00F059FE" w14:paraId="0DA5CB66" w14:textId="77777777" w:rsidTr="009F6F03">
        <w:trPr>
          <w:trHeight w:val="503"/>
        </w:trPr>
        <w:tc>
          <w:tcPr>
            <w:tcW w:w="1008" w:type="dxa"/>
            <w:hideMark/>
          </w:tcPr>
          <w:p w14:paraId="1386214A"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SNB</w:t>
            </w:r>
          </w:p>
        </w:tc>
        <w:tc>
          <w:tcPr>
            <w:tcW w:w="2520" w:type="dxa"/>
            <w:hideMark/>
          </w:tcPr>
          <w:p w14:paraId="1BB7CE41"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Strike Slip + Normal Faulting</w:t>
            </w:r>
          </w:p>
        </w:tc>
        <w:tc>
          <w:tcPr>
            <w:tcW w:w="613" w:type="dxa"/>
            <w:hideMark/>
          </w:tcPr>
          <w:p w14:paraId="75705A31"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3</w:t>
            </w:r>
          </w:p>
        </w:tc>
        <w:tc>
          <w:tcPr>
            <w:tcW w:w="604" w:type="dxa"/>
            <w:hideMark/>
          </w:tcPr>
          <w:p w14:paraId="72410E0C"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10</w:t>
            </w:r>
          </w:p>
        </w:tc>
        <w:tc>
          <w:tcPr>
            <w:tcW w:w="537" w:type="dxa"/>
            <w:hideMark/>
          </w:tcPr>
          <w:p w14:paraId="44C4D320"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w:t>
            </w:r>
          </w:p>
        </w:tc>
        <w:tc>
          <w:tcPr>
            <w:tcW w:w="717" w:type="dxa"/>
            <w:hideMark/>
          </w:tcPr>
          <w:p w14:paraId="4DE45AB3"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0.6</w:t>
            </w:r>
          </w:p>
        </w:tc>
        <w:tc>
          <w:tcPr>
            <w:tcW w:w="645" w:type="dxa"/>
            <w:hideMark/>
          </w:tcPr>
          <w:p w14:paraId="4C786A54"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0.15</w:t>
            </w:r>
          </w:p>
        </w:tc>
        <w:tc>
          <w:tcPr>
            <w:tcW w:w="903" w:type="dxa"/>
            <w:hideMark/>
          </w:tcPr>
          <w:p w14:paraId="42940889"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0.4</w:t>
            </w:r>
          </w:p>
        </w:tc>
        <w:tc>
          <w:tcPr>
            <w:tcW w:w="943" w:type="dxa"/>
            <w:hideMark/>
          </w:tcPr>
          <w:p w14:paraId="44183873"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0.7</w:t>
            </w:r>
          </w:p>
        </w:tc>
        <w:tc>
          <w:tcPr>
            <w:tcW w:w="956" w:type="dxa"/>
            <w:hideMark/>
          </w:tcPr>
          <w:p w14:paraId="703A74F5"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0.26</w:t>
            </w:r>
          </w:p>
        </w:tc>
      </w:tr>
      <w:tr w:rsidR="00F059FE" w:rsidRPr="00F059FE" w14:paraId="5B22A159" w14:textId="77777777" w:rsidTr="009F6F03">
        <w:trPr>
          <w:trHeight w:val="503"/>
        </w:trPr>
        <w:tc>
          <w:tcPr>
            <w:tcW w:w="1008" w:type="dxa"/>
            <w:hideMark/>
          </w:tcPr>
          <w:p w14:paraId="2C78CD37"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b/>
                <w:bCs/>
                <w:color w:val="000000"/>
                <w:kern w:val="24"/>
                <w:sz w:val="24"/>
                <w:szCs w:val="24"/>
              </w:rPr>
              <w:t>SNC</w:t>
            </w:r>
          </w:p>
        </w:tc>
        <w:tc>
          <w:tcPr>
            <w:tcW w:w="2520" w:type="dxa"/>
            <w:hideMark/>
          </w:tcPr>
          <w:p w14:paraId="3165838F"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b/>
                <w:bCs/>
                <w:color w:val="000000"/>
                <w:kern w:val="24"/>
                <w:sz w:val="24"/>
                <w:szCs w:val="24"/>
              </w:rPr>
              <w:t>Strike Slip + Normal Faulting</w:t>
            </w:r>
          </w:p>
        </w:tc>
        <w:tc>
          <w:tcPr>
            <w:tcW w:w="613" w:type="dxa"/>
            <w:hideMark/>
          </w:tcPr>
          <w:p w14:paraId="1E74D0DB"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b/>
                <w:bCs/>
                <w:color w:val="000000"/>
                <w:kern w:val="24"/>
                <w:sz w:val="24"/>
                <w:szCs w:val="24"/>
              </w:rPr>
              <w:t>3</w:t>
            </w:r>
          </w:p>
        </w:tc>
        <w:tc>
          <w:tcPr>
            <w:tcW w:w="604" w:type="dxa"/>
            <w:hideMark/>
          </w:tcPr>
          <w:p w14:paraId="027D151D"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b/>
                <w:bCs/>
                <w:color w:val="000000"/>
                <w:kern w:val="24"/>
                <w:sz w:val="24"/>
                <w:szCs w:val="24"/>
              </w:rPr>
              <w:t>10</w:t>
            </w:r>
          </w:p>
        </w:tc>
        <w:tc>
          <w:tcPr>
            <w:tcW w:w="537" w:type="dxa"/>
            <w:hideMark/>
          </w:tcPr>
          <w:p w14:paraId="139FABD1"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b/>
                <w:bCs/>
                <w:color w:val="000000"/>
                <w:kern w:val="24"/>
                <w:sz w:val="24"/>
                <w:szCs w:val="24"/>
              </w:rPr>
              <w:t>0.1</w:t>
            </w:r>
          </w:p>
        </w:tc>
        <w:tc>
          <w:tcPr>
            <w:tcW w:w="717" w:type="dxa"/>
            <w:hideMark/>
          </w:tcPr>
          <w:p w14:paraId="6F8F1FD5"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b/>
                <w:bCs/>
                <w:color w:val="000000"/>
                <w:kern w:val="24"/>
                <w:sz w:val="24"/>
                <w:szCs w:val="24"/>
              </w:rPr>
              <w:t>0.8</w:t>
            </w:r>
          </w:p>
        </w:tc>
        <w:tc>
          <w:tcPr>
            <w:tcW w:w="645" w:type="dxa"/>
            <w:hideMark/>
          </w:tcPr>
          <w:p w14:paraId="60C513FB"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b/>
                <w:bCs/>
                <w:color w:val="000000"/>
                <w:kern w:val="24"/>
                <w:sz w:val="24"/>
                <w:szCs w:val="24"/>
              </w:rPr>
              <w:t>0.15</w:t>
            </w:r>
          </w:p>
        </w:tc>
        <w:tc>
          <w:tcPr>
            <w:tcW w:w="903" w:type="dxa"/>
            <w:hideMark/>
          </w:tcPr>
          <w:p w14:paraId="039C69B7"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b/>
                <w:bCs/>
                <w:color w:val="000000"/>
                <w:kern w:val="24"/>
                <w:sz w:val="24"/>
                <w:szCs w:val="24"/>
              </w:rPr>
              <w:t>0.4</w:t>
            </w:r>
          </w:p>
        </w:tc>
        <w:tc>
          <w:tcPr>
            <w:tcW w:w="943" w:type="dxa"/>
            <w:hideMark/>
          </w:tcPr>
          <w:p w14:paraId="229049AE"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b/>
                <w:bCs/>
                <w:color w:val="000000"/>
                <w:kern w:val="24"/>
                <w:sz w:val="24"/>
                <w:szCs w:val="24"/>
              </w:rPr>
              <w:t>0.7</w:t>
            </w:r>
          </w:p>
        </w:tc>
        <w:tc>
          <w:tcPr>
            <w:tcW w:w="956" w:type="dxa"/>
            <w:hideMark/>
          </w:tcPr>
          <w:p w14:paraId="14675488"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b/>
                <w:bCs/>
                <w:color w:val="000000"/>
                <w:kern w:val="24"/>
                <w:sz w:val="24"/>
                <w:szCs w:val="24"/>
              </w:rPr>
              <w:t>0.2</w:t>
            </w:r>
          </w:p>
        </w:tc>
      </w:tr>
      <w:tr w:rsidR="00F059FE" w:rsidRPr="00F059FE" w14:paraId="6A36B6DD" w14:textId="77777777" w:rsidTr="009F6F03">
        <w:trPr>
          <w:trHeight w:val="503"/>
        </w:trPr>
        <w:tc>
          <w:tcPr>
            <w:tcW w:w="1008" w:type="dxa"/>
            <w:hideMark/>
          </w:tcPr>
          <w:p w14:paraId="5A94B929"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SND</w:t>
            </w:r>
          </w:p>
        </w:tc>
        <w:tc>
          <w:tcPr>
            <w:tcW w:w="2520" w:type="dxa"/>
            <w:hideMark/>
          </w:tcPr>
          <w:p w14:paraId="16902DF8"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Strike Slip + Normal Faulting</w:t>
            </w:r>
          </w:p>
        </w:tc>
        <w:tc>
          <w:tcPr>
            <w:tcW w:w="613" w:type="dxa"/>
            <w:hideMark/>
          </w:tcPr>
          <w:p w14:paraId="34402EEE"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3</w:t>
            </w:r>
          </w:p>
        </w:tc>
        <w:tc>
          <w:tcPr>
            <w:tcW w:w="604" w:type="dxa"/>
            <w:hideMark/>
          </w:tcPr>
          <w:p w14:paraId="1D551DE8"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10</w:t>
            </w:r>
          </w:p>
        </w:tc>
        <w:tc>
          <w:tcPr>
            <w:tcW w:w="537" w:type="dxa"/>
            <w:hideMark/>
          </w:tcPr>
          <w:p w14:paraId="6568FEA8"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w:t>
            </w:r>
          </w:p>
        </w:tc>
        <w:tc>
          <w:tcPr>
            <w:tcW w:w="717" w:type="dxa"/>
            <w:hideMark/>
          </w:tcPr>
          <w:p w14:paraId="07FE67C6"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0.7</w:t>
            </w:r>
          </w:p>
        </w:tc>
        <w:tc>
          <w:tcPr>
            <w:tcW w:w="645" w:type="dxa"/>
            <w:hideMark/>
          </w:tcPr>
          <w:p w14:paraId="45DFCA41"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0.15</w:t>
            </w:r>
          </w:p>
        </w:tc>
        <w:tc>
          <w:tcPr>
            <w:tcW w:w="903" w:type="dxa"/>
            <w:hideMark/>
          </w:tcPr>
          <w:p w14:paraId="355F09B6"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0.4</w:t>
            </w:r>
          </w:p>
        </w:tc>
        <w:tc>
          <w:tcPr>
            <w:tcW w:w="943" w:type="dxa"/>
            <w:hideMark/>
          </w:tcPr>
          <w:p w14:paraId="1A046CC0"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0.8</w:t>
            </w:r>
          </w:p>
        </w:tc>
        <w:tc>
          <w:tcPr>
            <w:tcW w:w="956" w:type="dxa"/>
            <w:hideMark/>
          </w:tcPr>
          <w:p w14:paraId="36CCCF3A"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0.23</w:t>
            </w:r>
          </w:p>
        </w:tc>
      </w:tr>
      <w:tr w:rsidR="00F059FE" w:rsidRPr="00F059FE" w14:paraId="4644A534" w14:textId="77777777" w:rsidTr="009F6F03">
        <w:trPr>
          <w:trHeight w:val="503"/>
        </w:trPr>
        <w:tc>
          <w:tcPr>
            <w:tcW w:w="1008" w:type="dxa"/>
            <w:hideMark/>
          </w:tcPr>
          <w:p w14:paraId="50123179"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SNE</w:t>
            </w:r>
          </w:p>
        </w:tc>
        <w:tc>
          <w:tcPr>
            <w:tcW w:w="2520" w:type="dxa"/>
            <w:hideMark/>
          </w:tcPr>
          <w:p w14:paraId="6500CC17"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Strike Slip + Normal Faulting</w:t>
            </w:r>
          </w:p>
        </w:tc>
        <w:tc>
          <w:tcPr>
            <w:tcW w:w="613" w:type="dxa"/>
            <w:hideMark/>
          </w:tcPr>
          <w:p w14:paraId="6AA28617"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3</w:t>
            </w:r>
          </w:p>
        </w:tc>
        <w:tc>
          <w:tcPr>
            <w:tcW w:w="604" w:type="dxa"/>
            <w:hideMark/>
          </w:tcPr>
          <w:p w14:paraId="77FF043B"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10</w:t>
            </w:r>
          </w:p>
        </w:tc>
        <w:tc>
          <w:tcPr>
            <w:tcW w:w="537" w:type="dxa"/>
            <w:hideMark/>
          </w:tcPr>
          <w:p w14:paraId="0D525082"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w:t>
            </w:r>
          </w:p>
        </w:tc>
        <w:tc>
          <w:tcPr>
            <w:tcW w:w="717" w:type="dxa"/>
            <w:hideMark/>
          </w:tcPr>
          <w:p w14:paraId="29E7557B"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0.6</w:t>
            </w:r>
          </w:p>
        </w:tc>
        <w:tc>
          <w:tcPr>
            <w:tcW w:w="645" w:type="dxa"/>
            <w:hideMark/>
          </w:tcPr>
          <w:p w14:paraId="2AC729C0"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0.15</w:t>
            </w:r>
          </w:p>
        </w:tc>
        <w:tc>
          <w:tcPr>
            <w:tcW w:w="903" w:type="dxa"/>
            <w:hideMark/>
          </w:tcPr>
          <w:p w14:paraId="35996AF7"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0.4</w:t>
            </w:r>
          </w:p>
        </w:tc>
        <w:tc>
          <w:tcPr>
            <w:tcW w:w="943" w:type="dxa"/>
            <w:hideMark/>
          </w:tcPr>
          <w:p w14:paraId="59A952C1"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0.8</w:t>
            </w:r>
          </w:p>
        </w:tc>
        <w:tc>
          <w:tcPr>
            <w:tcW w:w="956" w:type="dxa"/>
            <w:hideMark/>
          </w:tcPr>
          <w:p w14:paraId="4FD8ABD3"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0.26</w:t>
            </w:r>
          </w:p>
        </w:tc>
      </w:tr>
      <w:tr w:rsidR="00F059FE" w:rsidRPr="00F059FE" w14:paraId="1FEA6FBA" w14:textId="77777777" w:rsidTr="009F6F03">
        <w:trPr>
          <w:trHeight w:val="503"/>
        </w:trPr>
        <w:tc>
          <w:tcPr>
            <w:tcW w:w="1008" w:type="dxa"/>
            <w:hideMark/>
          </w:tcPr>
          <w:p w14:paraId="528296C7"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SNF</w:t>
            </w:r>
          </w:p>
        </w:tc>
        <w:tc>
          <w:tcPr>
            <w:tcW w:w="2520" w:type="dxa"/>
            <w:hideMark/>
          </w:tcPr>
          <w:p w14:paraId="76DF36CB"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Strike Slip + Normal Faulting</w:t>
            </w:r>
          </w:p>
        </w:tc>
        <w:tc>
          <w:tcPr>
            <w:tcW w:w="613" w:type="dxa"/>
            <w:hideMark/>
          </w:tcPr>
          <w:p w14:paraId="6C45F62A"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3</w:t>
            </w:r>
          </w:p>
        </w:tc>
        <w:tc>
          <w:tcPr>
            <w:tcW w:w="604" w:type="dxa"/>
            <w:hideMark/>
          </w:tcPr>
          <w:p w14:paraId="5301A32A"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10</w:t>
            </w:r>
          </w:p>
        </w:tc>
        <w:tc>
          <w:tcPr>
            <w:tcW w:w="537" w:type="dxa"/>
            <w:hideMark/>
          </w:tcPr>
          <w:p w14:paraId="00DD707B"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w:t>
            </w:r>
          </w:p>
        </w:tc>
        <w:tc>
          <w:tcPr>
            <w:tcW w:w="717" w:type="dxa"/>
            <w:hideMark/>
          </w:tcPr>
          <w:p w14:paraId="4A30D994"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0.8</w:t>
            </w:r>
          </w:p>
        </w:tc>
        <w:tc>
          <w:tcPr>
            <w:tcW w:w="645" w:type="dxa"/>
            <w:hideMark/>
          </w:tcPr>
          <w:p w14:paraId="4F17D3C4"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0.15</w:t>
            </w:r>
          </w:p>
        </w:tc>
        <w:tc>
          <w:tcPr>
            <w:tcW w:w="903" w:type="dxa"/>
            <w:hideMark/>
          </w:tcPr>
          <w:p w14:paraId="6023D2B4"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0.4</w:t>
            </w:r>
          </w:p>
        </w:tc>
        <w:tc>
          <w:tcPr>
            <w:tcW w:w="943" w:type="dxa"/>
            <w:hideMark/>
          </w:tcPr>
          <w:p w14:paraId="59572EB0"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0.8</w:t>
            </w:r>
          </w:p>
        </w:tc>
        <w:tc>
          <w:tcPr>
            <w:tcW w:w="956" w:type="dxa"/>
            <w:hideMark/>
          </w:tcPr>
          <w:p w14:paraId="00A6F3FA"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0.21</w:t>
            </w:r>
          </w:p>
        </w:tc>
      </w:tr>
      <w:tr w:rsidR="00F059FE" w:rsidRPr="00F059FE" w14:paraId="522BD05C" w14:textId="77777777" w:rsidTr="009F6F03">
        <w:trPr>
          <w:trHeight w:val="503"/>
        </w:trPr>
        <w:tc>
          <w:tcPr>
            <w:tcW w:w="1008" w:type="dxa"/>
            <w:hideMark/>
          </w:tcPr>
          <w:p w14:paraId="7FCCE4FF"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SNG</w:t>
            </w:r>
          </w:p>
        </w:tc>
        <w:tc>
          <w:tcPr>
            <w:tcW w:w="2520" w:type="dxa"/>
            <w:hideMark/>
          </w:tcPr>
          <w:p w14:paraId="7279F957"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Strike Slip + Normal Faulting</w:t>
            </w:r>
          </w:p>
        </w:tc>
        <w:tc>
          <w:tcPr>
            <w:tcW w:w="613" w:type="dxa"/>
            <w:hideMark/>
          </w:tcPr>
          <w:p w14:paraId="4C5F7A03"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5</w:t>
            </w:r>
          </w:p>
        </w:tc>
        <w:tc>
          <w:tcPr>
            <w:tcW w:w="604" w:type="dxa"/>
            <w:hideMark/>
          </w:tcPr>
          <w:p w14:paraId="05D8A53A"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10</w:t>
            </w:r>
          </w:p>
        </w:tc>
        <w:tc>
          <w:tcPr>
            <w:tcW w:w="537" w:type="dxa"/>
            <w:hideMark/>
          </w:tcPr>
          <w:p w14:paraId="63475744"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w:t>
            </w:r>
          </w:p>
        </w:tc>
        <w:tc>
          <w:tcPr>
            <w:tcW w:w="717" w:type="dxa"/>
            <w:hideMark/>
          </w:tcPr>
          <w:p w14:paraId="42EBCA8F"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0.8</w:t>
            </w:r>
          </w:p>
        </w:tc>
        <w:tc>
          <w:tcPr>
            <w:tcW w:w="645" w:type="dxa"/>
            <w:hideMark/>
          </w:tcPr>
          <w:p w14:paraId="6AC69747"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0.15</w:t>
            </w:r>
          </w:p>
        </w:tc>
        <w:tc>
          <w:tcPr>
            <w:tcW w:w="903" w:type="dxa"/>
            <w:hideMark/>
          </w:tcPr>
          <w:p w14:paraId="5FA67BFF"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0.4</w:t>
            </w:r>
          </w:p>
        </w:tc>
        <w:tc>
          <w:tcPr>
            <w:tcW w:w="943" w:type="dxa"/>
            <w:hideMark/>
          </w:tcPr>
          <w:p w14:paraId="10EFD38F"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0.8</w:t>
            </w:r>
          </w:p>
        </w:tc>
        <w:tc>
          <w:tcPr>
            <w:tcW w:w="956" w:type="dxa"/>
            <w:hideMark/>
          </w:tcPr>
          <w:p w14:paraId="5B93DA55"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0.18</w:t>
            </w:r>
          </w:p>
        </w:tc>
      </w:tr>
      <w:tr w:rsidR="00F059FE" w:rsidRPr="00F059FE" w14:paraId="26CD771B" w14:textId="77777777" w:rsidTr="009F6F03">
        <w:trPr>
          <w:trHeight w:val="503"/>
        </w:trPr>
        <w:tc>
          <w:tcPr>
            <w:tcW w:w="1008" w:type="dxa"/>
            <w:hideMark/>
          </w:tcPr>
          <w:p w14:paraId="75E53F52"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SSA</w:t>
            </w:r>
          </w:p>
        </w:tc>
        <w:tc>
          <w:tcPr>
            <w:tcW w:w="2520" w:type="dxa"/>
            <w:hideMark/>
          </w:tcPr>
          <w:p w14:paraId="76BB2E30"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Strike Slip</w:t>
            </w:r>
          </w:p>
        </w:tc>
        <w:tc>
          <w:tcPr>
            <w:tcW w:w="613" w:type="dxa"/>
            <w:hideMark/>
          </w:tcPr>
          <w:p w14:paraId="05E7DBF4"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w:t>
            </w:r>
          </w:p>
        </w:tc>
        <w:tc>
          <w:tcPr>
            <w:tcW w:w="604" w:type="dxa"/>
            <w:hideMark/>
          </w:tcPr>
          <w:p w14:paraId="2AEDE480"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15</w:t>
            </w:r>
          </w:p>
        </w:tc>
        <w:tc>
          <w:tcPr>
            <w:tcW w:w="537" w:type="dxa"/>
            <w:hideMark/>
          </w:tcPr>
          <w:p w14:paraId="0363D992"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w:t>
            </w:r>
          </w:p>
        </w:tc>
        <w:tc>
          <w:tcPr>
            <w:tcW w:w="717" w:type="dxa"/>
            <w:hideMark/>
          </w:tcPr>
          <w:p w14:paraId="289E6C10"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0.7</w:t>
            </w:r>
          </w:p>
        </w:tc>
        <w:tc>
          <w:tcPr>
            <w:tcW w:w="645" w:type="dxa"/>
            <w:hideMark/>
          </w:tcPr>
          <w:p w14:paraId="60A47A3A"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0.15</w:t>
            </w:r>
          </w:p>
        </w:tc>
        <w:tc>
          <w:tcPr>
            <w:tcW w:w="903" w:type="dxa"/>
            <w:hideMark/>
          </w:tcPr>
          <w:p w14:paraId="20F1E9CD"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0.4</w:t>
            </w:r>
          </w:p>
        </w:tc>
        <w:tc>
          <w:tcPr>
            <w:tcW w:w="943" w:type="dxa"/>
            <w:hideMark/>
          </w:tcPr>
          <w:p w14:paraId="7BA31212"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0.7</w:t>
            </w:r>
          </w:p>
        </w:tc>
        <w:tc>
          <w:tcPr>
            <w:tcW w:w="956" w:type="dxa"/>
            <w:hideMark/>
          </w:tcPr>
          <w:p w14:paraId="39F92A03"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0.28</w:t>
            </w:r>
          </w:p>
        </w:tc>
      </w:tr>
      <w:tr w:rsidR="00F059FE" w:rsidRPr="00F059FE" w14:paraId="64B76356" w14:textId="77777777" w:rsidTr="009F6F03">
        <w:trPr>
          <w:trHeight w:val="503"/>
        </w:trPr>
        <w:tc>
          <w:tcPr>
            <w:tcW w:w="1008" w:type="dxa"/>
            <w:hideMark/>
          </w:tcPr>
          <w:p w14:paraId="335EFB42"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SSB</w:t>
            </w:r>
          </w:p>
        </w:tc>
        <w:tc>
          <w:tcPr>
            <w:tcW w:w="2520" w:type="dxa"/>
            <w:hideMark/>
          </w:tcPr>
          <w:p w14:paraId="5DD9F282"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Strike Slip</w:t>
            </w:r>
          </w:p>
        </w:tc>
        <w:tc>
          <w:tcPr>
            <w:tcW w:w="613" w:type="dxa"/>
            <w:hideMark/>
          </w:tcPr>
          <w:p w14:paraId="0D3955C6"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w:t>
            </w:r>
          </w:p>
        </w:tc>
        <w:tc>
          <w:tcPr>
            <w:tcW w:w="604" w:type="dxa"/>
            <w:hideMark/>
          </w:tcPr>
          <w:p w14:paraId="6B9C39A9"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15</w:t>
            </w:r>
          </w:p>
        </w:tc>
        <w:tc>
          <w:tcPr>
            <w:tcW w:w="537" w:type="dxa"/>
            <w:hideMark/>
          </w:tcPr>
          <w:p w14:paraId="635CF317"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w:t>
            </w:r>
          </w:p>
        </w:tc>
        <w:tc>
          <w:tcPr>
            <w:tcW w:w="717" w:type="dxa"/>
            <w:hideMark/>
          </w:tcPr>
          <w:p w14:paraId="7FE6AC5E"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0.6</w:t>
            </w:r>
          </w:p>
        </w:tc>
        <w:tc>
          <w:tcPr>
            <w:tcW w:w="645" w:type="dxa"/>
            <w:hideMark/>
          </w:tcPr>
          <w:p w14:paraId="4F6F8B62"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0.15</w:t>
            </w:r>
          </w:p>
        </w:tc>
        <w:tc>
          <w:tcPr>
            <w:tcW w:w="903" w:type="dxa"/>
            <w:hideMark/>
          </w:tcPr>
          <w:p w14:paraId="0543048C"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0.4</w:t>
            </w:r>
          </w:p>
        </w:tc>
        <w:tc>
          <w:tcPr>
            <w:tcW w:w="943" w:type="dxa"/>
            <w:hideMark/>
          </w:tcPr>
          <w:p w14:paraId="77122F72"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0.7</w:t>
            </w:r>
          </w:p>
        </w:tc>
        <w:tc>
          <w:tcPr>
            <w:tcW w:w="956" w:type="dxa"/>
            <w:hideMark/>
          </w:tcPr>
          <w:p w14:paraId="0FB31849"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0.35</w:t>
            </w:r>
          </w:p>
        </w:tc>
      </w:tr>
      <w:tr w:rsidR="00F059FE" w:rsidRPr="00F059FE" w14:paraId="522EBD4C" w14:textId="77777777" w:rsidTr="009F6F03">
        <w:trPr>
          <w:trHeight w:val="503"/>
        </w:trPr>
        <w:tc>
          <w:tcPr>
            <w:tcW w:w="1008" w:type="dxa"/>
            <w:hideMark/>
          </w:tcPr>
          <w:p w14:paraId="6A6ACAA2"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SSC</w:t>
            </w:r>
          </w:p>
        </w:tc>
        <w:tc>
          <w:tcPr>
            <w:tcW w:w="2520" w:type="dxa"/>
            <w:hideMark/>
          </w:tcPr>
          <w:p w14:paraId="1DEC9460"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Strike Slip</w:t>
            </w:r>
          </w:p>
        </w:tc>
        <w:tc>
          <w:tcPr>
            <w:tcW w:w="613" w:type="dxa"/>
            <w:hideMark/>
          </w:tcPr>
          <w:p w14:paraId="1804F374"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w:t>
            </w:r>
          </w:p>
        </w:tc>
        <w:tc>
          <w:tcPr>
            <w:tcW w:w="604" w:type="dxa"/>
            <w:hideMark/>
          </w:tcPr>
          <w:p w14:paraId="10FC750C"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15</w:t>
            </w:r>
          </w:p>
        </w:tc>
        <w:tc>
          <w:tcPr>
            <w:tcW w:w="537" w:type="dxa"/>
            <w:hideMark/>
          </w:tcPr>
          <w:p w14:paraId="402300E9"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w:t>
            </w:r>
          </w:p>
        </w:tc>
        <w:tc>
          <w:tcPr>
            <w:tcW w:w="717" w:type="dxa"/>
            <w:hideMark/>
          </w:tcPr>
          <w:p w14:paraId="19E6C34A"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0.8</w:t>
            </w:r>
          </w:p>
        </w:tc>
        <w:tc>
          <w:tcPr>
            <w:tcW w:w="645" w:type="dxa"/>
            <w:hideMark/>
          </w:tcPr>
          <w:p w14:paraId="44DE9CCA"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0.15</w:t>
            </w:r>
          </w:p>
        </w:tc>
        <w:tc>
          <w:tcPr>
            <w:tcW w:w="903" w:type="dxa"/>
            <w:hideMark/>
          </w:tcPr>
          <w:p w14:paraId="2B31BFFC"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0.4</w:t>
            </w:r>
          </w:p>
        </w:tc>
        <w:tc>
          <w:tcPr>
            <w:tcW w:w="943" w:type="dxa"/>
            <w:hideMark/>
          </w:tcPr>
          <w:p w14:paraId="2E9EEEC7"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0.7</w:t>
            </w:r>
          </w:p>
        </w:tc>
        <w:tc>
          <w:tcPr>
            <w:tcW w:w="956" w:type="dxa"/>
            <w:hideMark/>
          </w:tcPr>
          <w:p w14:paraId="223B2608"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0.245</w:t>
            </w:r>
          </w:p>
        </w:tc>
      </w:tr>
      <w:tr w:rsidR="00F059FE" w:rsidRPr="00F059FE" w14:paraId="0F7D7825" w14:textId="77777777" w:rsidTr="009F6F03">
        <w:trPr>
          <w:trHeight w:val="503"/>
        </w:trPr>
        <w:tc>
          <w:tcPr>
            <w:tcW w:w="1008" w:type="dxa"/>
            <w:hideMark/>
          </w:tcPr>
          <w:p w14:paraId="6620F5E2"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SSD</w:t>
            </w:r>
          </w:p>
        </w:tc>
        <w:tc>
          <w:tcPr>
            <w:tcW w:w="2520" w:type="dxa"/>
            <w:hideMark/>
          </w:tcPr>
          <w:p w14:paraId="1985C0D0"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Strike Slip</w:t>
            </w:r>
          </w:p>
        </w:tc>
        <w:tc>
          <w:tcPr>
            <w:tcW w:w="613" w:type="dxa"/>
            <w:hideMark/>
          </w:tcPr>
          <w:p w14:paraId="3B4299A5"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w:t>
            </w:r>
          </w:p>
        </w:tc>
        <w:tc>
          <w:tcPr>
            <w:tcW w:w="604" w:type="dxa"/>
            <w:hideMark/>
          </w:tcPr>
          <w:p w14:paraId="050D1D9F"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15</w:t>
            </w:r>
          </w:p>
        </w:tc>
        <w:tc>
          <w:tcPr>
            <w:tcW w:w="537" w:type="dxa"/>
            <w:hideMark/>
          </w:tcPr>
          <w:p w14:paraId="63360599"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w:t>
            </w:r>
          </w:p>
        </w:tc>
        <w:tc>
          <w:tcPr>
            <w:tcW w:w="717" w:type="dxa"/>
            <w:hideMark/>
          </w:tcPr>
          <w:p w14:paraId="2A819833"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0.7</w:t>
            </w:r>
          </w:p>
        </w:tc>
        <w:tc>
          <w:tcPr>
            <w:tcW w:w="645" w:type="dxa"/>
            <w:hideMark/>
          </w:tcPr>
          <w:p w14:paraId="48B8994B"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0.15</w:t>
            </w:r>
          </w:p>
        </w:tc>
        <w:tc>
          <w:tcPr>
            <w:tcW w:w="903" w:type="dxa"/>
            <w:hideMark/>
          </w:tcPr>
          <w:p w14:paraId="6CDDB7FF"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0.4</w:t>
            </w:r>
          </w:p>
        </w:tc>
        <w:tc>
          <w:tcPr>
            <w:tcW w:w="943" w:type="dxa"/>
            <w:hideMark/>
          </w:tcPr>
          <w:p w14:paraId="10E8A51B"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0.8</w:t>
            </w:r>
          </w:p>
        </w:tc>
        <w:tc>
          <w:tcPr>
            <w:tcW w:w="956" w:type="dxa"/>
            <w:hideMark/>
          </w:tcPr>
          <w:p w14:paraId="4812ACD6"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0.28</w:t>
            </w:r>
          </w:p>
        </w:tc>
      </w:tr>
      <w:tr w:rsidR="00F059FE" w:rsidRPr="00F059FE" w14:paraId="0EC1AAEE" w14:textId="77777777" w:rsidTr="009F6F03">
        <w:trPr>
          <w:trHeight w:val="503"/>
        </w:trPr>
        <w:tc>
          <w:tcPr>
            <w:tcW w:w="1008" w:type="dxa"/>
            <w:hideMark/>
          </w:tcPr>
          <w:p w14:paraId="5B76D438"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SSE</w:t>
            </w:r>
          </w:p>
        </w:tc>
        <w:tc>
          <w:tcPr>
            <w:tcW w:w="2520" w:type="dxa"/>
            <w:hideMark/>
          </w:tcPr>
          <w:p w14:paraId="78B84BB2"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Strike Slip</w:t>
            </w:r>
          </w:p>
        </w:tc>
        <w:tc>
          <w:tcPr>
            <w:tcW w:w="613" w:type="dxa"/>
            <w:hideMark/>
          </w:tcPr>
          <w:p w14:paraId="513CE652"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w:t>
            </w:r>
          </w:p>
        </w:tc>
        <w:tc>
          <w:tcPr>
            <w:tcW w:w="604" w:type="dxa"/>
            <w:hideMark/>
          </w:tcPr>
          <w:p w14:paraId="285CBEF8"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15</w:t>
            </w:r>
          </w:p>
        </w:tc>
        <w:tc>
          <w:tcPr>
            <w:tcW w:w="537" w:type="dxa"/>
            <w:hideMark/>
          </w:tcPr>
          <w:p w14:paraId="0916E825"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w:t>
            </w:r>
          </w:p>
        </w:tc>
        <w:tc>
          <w:tcPr>
            <w:tcW w:w="717" w:type="dxa"/>
            <w:hideMark/>
          </w:tcPr>
          <w:p w14:paraId="4ED481D2"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0.6</w:t>
            </w:r>
          </w:p>
        </w:tc>
        <w:tc>
          <w:tcPr>
            <w:tcW w:w="645" w:type="dxa"/>
            <w:hideMark/>
          </w:tcPr>
          <w:p w14:paraId="49853FD6"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0.15</w:t>
            </w:r>
          </w:p>
        </w:tc>
        <w:tc>
          <w:tcPr>
            <w:tcW w:w="903" w:type="dxa"/>
            <w:hideMark/>
          </w:tcPr>
          <w:p w14:paraId="17EED9D3"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0.4</w:t>
            </w:r>
          </w:p>
        </w:tc>
        <w:tc>
          <w:tcPr>
            <w:tcW w:w="943" w:type="dxa"/>
            <w:hideMark/>
          </w:tcPr>
          <w:p w14:paraId="41272867"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0.8</w:t>
            </w:r>
          </w:p>
        </w:tc>
        <w:tc>
          <w:tcPr>
            <w:tcW w:w="956" w:type="dxa"/>
            <w:hideMark/>
          </w:tcPr>
          <w:p w14:paraId="1645CC77"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0.34</w:t>
            </w:r>
          </w:p>
        </w:tc>
      </w:tr>
      <w:tr w:rsidR="00F059FE" w:rsidRPr="00F059FE" w14:paraId="02A2B1A1" w14:textId="77777777" w:rsidTr="009F6F03">
        <w:trPr>
          <w:trHeight w:val="503"/>
        </w:trPr>
        <w:tc>
          <w:tcPr>
            <w:tcW w:w="1008" w:type="dxa"/>
            <w:hideMark/>
          </w:tcPr>
          <w:p w14:paraId="36C71AB1"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SSF</w:t>
            </w:r>
          </w:p>
        </w:tc>
        <w:tc>
          <w:tcPr>
            <w:tcW w:w="2520" w:type="dxa"/>
            <w:hideMark/>
          </w:tcPr>
          <w:p w14:paraId="0F57D4EA"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Strike Slip</w:t>
            </w:r>
          </w:p>
        </w:tc>
        <w:tc>
          <w:tcPr>
            <w:tcW w:w="613" w:type="dxa"/>
            <w:hideMark/>
          </w:tcPr>
          <w:p w14:paraId="378FDBF7"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w:t>
            </w:r>
          </w:p>
        </w:tc>
        <w:tc>
          <w:tcPr>
            <w:tcW w:w="604" w:type="dxa"/>
            <w:hideMark/>
          </w:tcPr>
          <w:p w14:paraId="24F66D19"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15</w:t>
            </w:r>
          </w:p>
        </w:tc>
        <w:tc>
          <w:tcPr>
            <w:tcW w:w="537" w:type="dxa"/>
            <w:hideMark/>
          </w:tcPr>
          <w:p w14:paraId="1CC40DCF"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w:t>
            </w:r>
          </w:p>
        </w:tc>
        <w:tc>
          <w:tcPr>
            <w:tcW w:w="717" w:type="dxa"/>
            <w:hideMark/>
          </w:tcPr>
          <w:p w14:paraId="28527ABE"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0.8</w:t>
            </w:r>
          </w:p>
        </w:tc>
        <w:tc>
          <w:tcPr>
            <w:tcW w:w="645" w:type="dxa"/>
            <w:hideMark/>
          </w:tcPr>
          <w:p w14:paraId="7F3B9BDE"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0.15</w:t>
            </w:r>
          </w:p>
        </w:tc>
        <w:tc>
          <w:tcPr>
            <w:tcW w:w="903" w:type="dxa"/>
            <w:hideMark/>
          </w:tcPr>
          <w:p w14:paraId="2CD7937A"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0.4</w:t>
            </w:r>
          </w:p>
        </w:tc>
        <w:tc>
          <w:tcPr>
            <w:tcW w:w="943" w:type="dxa"/>
            <w:hideMark/>
          </w:tcPr>
          <w:p w14:paraId="654184A9"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0.8</w:t>
            </w:r>
          </w:p>
        </w:tc>
        <w:tc>
          <w:tcPr>
            <w:tcW w:w="956" w:type="dxa"/>
            <w:hideMark/>
          </w:tcPr>
          <w:p w14:paraId="1D8B4354"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0.24</w:t>
            </w:r>
          </w:p>
        </w:tc>
      </w:tr>
      <w:tr w:rsidR="00F059FE" w:rsidRPr="00F059FE" w14:paraId="2D098A60" w14:textId="77777777" w:rsidTr="009F6F03">
        <w:trPr>
          <w:trHeight w:val="503"/>
        </w:trPr>
        <w:tc>
          <w:tcPr>
            <w:tcW w:w="1008" w:type="dxa"/>
            <w:hideMark/>
          </w:tcPr>
          <w:p w14:paraId="3685253C"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SSG</w:t>
            </w:r>
          </w:p>
        </w:tc>
        <w:tc>
          <w:tcPr>
            <w:tcW w:w="2520" w:type="dxa"/>
            <w:hideMark/>
          </w:tcPr>
          <w:p w14:paraId="2CF24E09"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Strike Slip</w:t>
            </w:r>
          </w:p>
        </w:tc>
        <w:tc>
          <w:tcPr>
            <w:tcW w:w="613" w:type="dxa"/>
            <w:hideMark/>
          </w:tcPr>
          <w:p w14:paraId="66A87493"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5</w:t>
            </w:r>
          </w:p>
        </w:tc>
        <w:tc>
          <w:tcPr>
            <w:tcW w:w="604" w:type="dxa"/>
            <w:hideMark/>
          </w:tcPr>
          <w:p w14:paraId="678D2C47"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15</w:t>
            </w:r>
          </w:p>
        </w:tc>
        <w:tc>
          <w:tcPr>
            <w:tcW w:w="537" w:type="dxa"/>
            <w:hideMark/>
          </w:tcPr>
          <w:p w14:paraId="2DE889D1"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w:t>
            </w:r>
          </w:p>
        </w:tc>
        <w:tc>
          <w:tcPr>
            <w:tcW w:w="717" w:type="dxa"/>
            <w:hideMark/>
          </w:tcPr>
          <w:p w14:paraId="4CFBF197"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0.8</w:t>
            </w:r>
          </w:p>
        </w:tc>
        <w:tc>
          <w:tcPr>
            <w:tcW w:w="645" w:type="dxa"/>
            <w:hideMark/>
          </w:tcPr>
          <w:p w14:paraId="786FFF73"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0.15</w:t>
            </w:r>
          </w:p>
        </w:tc>
        <w:tc>
          <w:tcPr>
            <w:tcW w:w="903" w:type="dxa"/>
            <w:hideMark/>
          </w:tcPr>
          <w:p w14:paraId="7BA7D78F"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0.4</w:t>
            </w:r>
          </w:p>
        </w:tc>
        <w:tc>
          <w:tcPr>
            <w:tcW w:w="943" w:type="dxa"/>
            <w:hideMark/>
          </w:tcPr>
          <w:p w14:paraId="710581A8"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0.8</w:t>
            </w:r>
          </w:p>
        </w:tc>
        <w:tc>
          <w:tcPr>
            <w:tcW w:w="956" w:type="dxa"/>
            <w:hideMark/>
          </w:tcPr>
          <w:p w14:paraId="7B4BFBD8" w14:textId="77777777" w:rsidR="00F059FE" w:rsidRPr="00F059FE" w:rsidRDefault="00F059FE" w:rsidP="00F059FE">
            <w:pPr>
              <w:spacing w:before="0" w:after="0" w:line="240" w:lineRule="auto"/>
              <w:jc w:val="center"/>
              <w:textAlignment w:val="bottom"/>
              <w:rPr>
                <w:rFonts w:eastAsia="Times New Roman" w:cs="Times New Roman"/>
                <w:sz w:val="24"/>
                <w:szCs w:val="24"/>
              </w:rPr>
            </w:pPr>
            <w:r w:rsidRPr="00F059FE">
              <w:rPr>
                <w:rFonts w:eastAsia="Times New Roman" w:cs="Times New Roman"/>
                <w:color w:val="000000"/>
                <w:kern w:val="24"/>
                <w:sz w:val="24"/>
                <w:szCs w:val="24"/>
              </w:rPr>
              <w:t>0.2</w:t>
            </w:r>
          </w:p>
        </w:tc>
      </w:tr>
    </w:tbl>
    <w:p w14:paraId="37353DC2" w14:textId="05D60295" w:rsidR="00F059FE" w:rsidRDefault="00F059FE" w:rsidP="00F059FE"/>
    <w:p w14:paraId="7E2DB503" w14:textId="343EE6C1" w:rsidR="00F059FE" w:rsidRDefault="00727149" w:rsidP="00F059FE">
      <w:r>
        <w:t xml:space="preserve">Different reservoir properties shown in table 8 below, were also applied to </w:t>
      </w:r>
      <w:r w:rsidR="00F059FE">
        <w:t>see how they affect the seismicity risk.</w:t>
      </w:r>
    </w:p>
    <w:p w14:paraId="04EADA2B" w14:textId="34E2C803" w:rsidR="00420853" w:rsidRDefault="00420853" w:rsidP="00420853">
      <w:pPr>
        <w:pStyle w:val="Caption"/>
        <w:keepNext/>
        <w:jc w:val="left"/>
      </w:pPr>
      <w:bookmarkStart w:id="112" w:name="_Toc120839866"/>
      <w:r>
        <w:lastRenderedPageBreak/>
        <w:t xml:space="preserve">Table </w:t>
      </w:r>
      <w:fldSimple w:instr=" SEQ Table \* ARABIC ">
        <w:r w:rsidR="00955725">
          <w:rPr>
            <w:noProof/>
          </w:rPr>
          <w:t>8</w:t>
        </w:r>
      </w:fldSimple>
      <w:r>
        <w:t>: Reservoir Parameters Sensitivity Summary</w:t>
      </w:r>
      <w:bookmarkEnd w:id="112"/>
    </w:p>
    <w:tbl>
      <w:tblPr>
        <w:tblStyle w:val="TableGrid"/>
        <w:tblW w:w="9458" w:type="dxa"/>
        <w:tblLook w:val="0420" w:firstRow="1" w:lastRow="0" w:firstColumn="0" w:lastColumn="0" w:noHBand="0" w:noVBand="1"/>
      </w:tblPr>
      <w:tblGrid>
        <w:gridCol w:w="1362"/>
        <w:gridCol w:w="1881"/>
        <w:gridCol w:w="1971"/>
        <w:gridCol w:w="2094"/>
        <w:gridCol w:w="2150"/>
      </w:tblGrid>
      <w:tr w:rsidR="00F059FE" w:rsidRPr="00F059FE" w14:paraId="6FA36E72" w14:textId="77777777" w:rsidTr="009F6F03">
        <w:trPr>
          <w:trHeight w:val="739"/>
        </w:trPr>
        <w:tc>
          <w:tcPr>
            <w:tcW w:w="1362" w:type="dxa"/>
            <w:hideMark/>
          </w:tcPr>
          <w:p w14:paraId="4C11D9A9" w14:textId="77777777" w:rsidR="00F059FE" w:rsidRPr="00F059FE" w:rsidRDefault="00F059FE" w:rsidP="00F059FE">
            <w:pPr>
              <w:spacing w:line="240" w:lineRule="auto"/>
              <w:rPr>
                <w:sz w:val="24"/>
                <w:szCs w:val="24"/>
              </w:rPr>
            </w:pPr>
            <w:r w:rsidRPr="00F059FE">
              <w:rPr>
                <w:b/>
                <w:bCs/>
                <w:sz w:val="24"/>
                <w:szCs w:val="24"/>
              </w:rPr>
              <w:t>Depth (ft)</w:t>
            </w:r>
          </w:p>
        </w:tc>
        <w:tc>
          <w:tcPr>
            <w:tcW w:w="1881" w:type="dxa"/>
            <w:hideMark/>
          </w:tcPr>
          <w:p w14:paraId="63D7F4D2" w14:textId="64B92F18" w:rsidR="00F059FE" w:rsidRPr="00F059FE" w:rsidRDefault="00F059FE" w:rsidP="00F059FE">
            <w:pPr>
              <w:spacing w:line="240" w:lineRule="auto"/>
            </w:pPr>
            <w:r w:rsidRPr="00F059FE">
              <w:rPr>
                <w:b/>
                <w:bCs/>
              </w:rPr>
              <w:t>Overburden gradient (</w:t>
            </w:r>
            <w:r w:rsidRPr="00F059FE">
              <w:rPr>
                <w:b/>
                <w:bCs/>
                <w:i/>
                <w:iCs/>
              </w:rPr>
              <w:t>g/cm</w:t>
            </w:r>
            <w:r w:rsidRPr="00F059FE">
              <w:rPr>
                <w:b/>
                <w:bCs/>
                <w:i/>
                <w:iCs/>
                <w:vertAlign w:val="superscript"/>
              </w:rPr>
              <w:t>3</w:t>
            </w:r>
            <w:r w:rsidRPr="00F059FE">
              <w:rPr>
                <w:b/>
                <w:bCs/>
                <w:i/>
                <w:iCs/>
              </w:rPr>
              <w:t>)</w:t>
            </w:r>
          </w:p>
        </w:tc>
        <w:tc>
          <w:tcPr>
            <w:tcW w:w="1971" w:type="dxa"/>
            <w:hideMark/>
          </w:tcPr>
          <w:p w14:paraId="6ED8009E" w14:textId="77777777" w:rsidR="00F059FE" w:rsidRPr="00F059FE" w:rsidRDefault="00F059FE" w:rsidP="00F059FE">
            <w:pPr>
              <w:spacing w:line="240" w:lineRule="auto"/>
            </w:pPr>
            <w:r w:rsidRPr="00F059FE">
              <w:rPr>
                <w:b/>
                <w:bCs/>
              </w:rPr>
              <w:t>Max Injection Pressure (psi)</w:t>
            </w:r>
          </w:p>
        </w:tc>
        <w:tc>
          <w:tcPr>
            <w:tcW w:w="2094" w:type="dxa"/>
            <w:hideMark/>
          </w:tcPr>
          <w:p w14:paraId="6F9C8F8D" w14:textId="77777777" w:rsidR="00F059FE" w:rsidRPr="00F059FE" w:rsidRDefault="00F059FE" w:rsidP="00F059FE">
            <w:pPr>
              <w:spacing w:line="240" w:lineRule="auto"/>
            </w:pPr>
            <w:r w:rsidRPr="00F059FE">
              <w:rPr>
                <w:b/>
                <w:bCs/>
              </w:rPr>
              <w:t>Pore pressure gradient (psi/ft)</w:t>
            </w:r>
          </w:p>
        </w:tc>
        <w:tc>
          <w:tcPr>
            <w:tcW w:w="2150" w:type="dxa"/>
            <w:hideMark/>
          </w:tcPr>
          <w:p w14:paraId="643C12A0" w14:textId="77777777" w:rsidR="00F059FE" w:rsidRPr="00F059FE" w:rsidRDefault="00F059FE" w:rsidP="00F059FE">
            <w:pPr>
              <w:spacing w:line="240" w:lineRule="auto"/>
            </w:pPr>
            <w:r w:rsidRPr="00F059FE">
              <w:rPr>
                <w:b/>
                <w:bCs/>
              </w:rPr>
              <w:t>Mean of Min Principal Stress (psi)</w:t>
            </w:r>
          </w:p>
        </w:tc>
      </w:tr>
      <w:tr w:rsidR="00F059FE" w:rsidRPr="00F059FE" w14:paraId="4AD61D4A" w14:textId="77777777" w:rsidTr="009F6F03">
        <w:trPr>
          <w:trHeight w:val="739"/>
        </w:trPr>
        <w:tc>
          <w:tcPr>
            <w:tcW w:w="1362" w:type="dxa"/>
            <w:hideMark/>
          </w:tcPr>
          <w:p w14:paraId="6BD101F3" w14:textId="77777777" w:rsidR="00F059FE" w:rsidRPr="00F059FE" w:rsidRDefault="00F059FE" w:rsidP="00F059FE">
            <w:pPr>
              <w:spacing w:line="240" w:lineRule="auto"/>
              <w:rPr>
                <w:sz w:val="24"/>
                <w:szCs w:val="24"/>
              </w:rPr>
            </w:pPr>
            <w:r w:rsidRPr="00F059FE">
              <w:rPr>
                <w:sz w:val="24"/>
                <w:szCs w:val="24"/>
              </w:rPr>
              <w:t>5034</w:t>
            </w:r>
          </w:p>
        </w:tc>
        <w:tc>
          <w:tcPr>
            <w:tcW w:w="1881" w:type="dxa"/>
            <w:hideMark/>
          </w:tcPr>
          <w:p w14:paraId="4C44AEE7" w14:textId="77777777" w:rsidR="00F059FE" w:rsidRPr="00F059FE" w:rsidRDefault="00F059FE" w:rsidP="00F059FE">
            <w:pPr>
              <w:spacing w:line="240" w:lineRule="auto"/>
              <w:rPr>
                <w:sz w:val="24"/>
                <w:szCs w:val="24"/>
              </w:rPr>
            </w:pPr>
            <w:r w:rsidRPr="00F059FE">
              <w:rPr>
                <w:sz w:val="24"/>
                <w:szCs w:val="24"/>
              </w:rPr>
              <w:t>2.58</w:t>
            </w:r>
          </w:p>
        </w:tc>
        <w:tc>
          <w:tcPr>
            <w:tcW w:w="1971" w:type="dxa"/>
            <w:hideMark/>
          </w:tcPr>
          <w:p w14:paraId="01F6B5DA" w14:textId="77777777" w:rsidR="00F059FE" w:rsidRPr="00F059FE" w:rsidRDefault="00F059FE" w:rsidP="00F059FE">
            <w:pPr>
              <w:spacing w:line="240" w:lineRule="auto"/>
              <w:rPr>
                <w:sz w:val="24"/>
                <w:szCs w:val="24"/>
              </w:rPr>
            </w:pPr>
            <w:r w:rsidRPr="00F059FE">
              <w:rPr>
                <w:sz w:val="24"/>
                <w:szCs w:val="24"/>
              </w:rPr>
              <w:t>2718.36</w:t>
            </w:r>
          </w:p>
        </w:tc>
        <w:tc>
          <w:tcPr>
            <w:tcW w:w="2094" w:type="dxa"/>
            <w:hideMark/>
          </w:tcPr>
          <w:p w14:paraId="70AB2F2E" w14:textId="77777777" w:rsidR="00F059FE" w:rsidRPr="00F059FE" w:rsidRDefault="00F059FE" w:rsidP="00F059FE">
            <w:pPr>
              <w:spacing w:line="240" w:lineRule="auto"/>
              <w:rPr>
                <w:sz w:val="24"/>
                <w:szCs w:val="24"/>
              </w:rPr>
            </w:pPr>
            <w:r w:rsidRPr="00F059FE">
              <w:rPr>
                <w:sz w:val="24"/>
                <w:szCs w:val="24"/>
              </w:rPr>
              <w:t>0.17586</w:t>
            </w:r>
          </w:p>
        </w:tc>
        <w:tc>
          <w:tcPr>
            <w:tcW w:w="2150" w:type="dxa"/>
            <w:hideMark/>
          </w:tcPr>
          <w:p w14:paraId="723DE063" w14:textId="77777777" w:rsidR="00F059FE" w:rsidRPr="00F059FE" w:rsidRDefault="00F059FE" w:rsidP="00F059FE">
            <w:pPr>
              <w:spacing w:line="240" w:lineRule="auto"/>
            </w:pPr>
            <w:r w:rsidRPr="00F059FE">
              <w:t>2870</w:t>
            </w:r>
          </w:p>
        </w:tc>
      </w:tr>
      <w:tr w:rsidR="00F059FE" w:rsidRPr="00F059FE" w14:paraId="06DE9BD6" w14:textId="77777777" w:rsidTr="009F6F03">
        <w:trPr>
          <w:trHeight w:val="739"/>
        </w:trPr>
        <w:tc>
          <w:tcPr>
            <w:tcW w:w="1362" w:type="dxa"/>
            <w:hideMark/>
          </w:tcPr>
          <w:p w14:paraId="132E8C4F" w14:textId="77777777" w:rsidR="00F059FE" w:rsidRPr="00F059FE" w:rsidRDefault="00F059FE" w:rsidP="00F059FE">
            <w:pPr>
              <w:spacing w:line="240" w:lineRule="auto"/>
              <w:rPr>
                <w:sz w:val="24"/>
                <w:szCs w:val="24"/>
              </w:rPr>
            </w:pPr>
            <w:r w:rsidRPr="00F059FE">
              <w:rPr>
                <w:sz w:val="24"/>
                <w:szCs w:val="24"/>
              </w:rPr>
              <w:t>1358</w:t>
            </w:r>
          </w:p>
        </w:tc>
        <w:tc>
          <w:tcPr>
            <w:tcW w:w="1881" w:type="dxa"/>
            <w:hideMark/>
          </w:tcPr>
          <w:p w14:paraId="7BC95FCD" w14:textId="77777777" w:rsidR="00F059FE" w:rsidRPr="00F059FE" w:rsidRDefault="00F059FE" w:rsidP="00F059FE">
            <w:pPr>
              <w:spacing w:line="240" w:lineRule="auto"/>
              <w:rPr>
                <w:sz w:val="24"/>
                <w:szCs w:val="24"/>
              </w:rPr>
            </w:pPr>
            <w:r w:rsidRPr="00F059FE">
              <w:rPr>
                <w:sz w:val="24"/>
                <w:szCs w:val="24"/>
              </w:rPr>
              <w:t>2.58</w:t>
            </w:r>
          </w:p>
        </w:tc>
        <w:tc>
          <w:tcPr>
            <w:tcW w:w="1971" w:type="dxa"/>
            <w:hideMark/>
          </w:tcPr>
          <w:p w14:paraId="776D4902" w14:textId="77777777" w:rsidR="00F059FE" w:rsidRPr="00F059FE" w:rsidRDefault="00F059FE" w:rsidP="00F059FE">
            <w:pPr>
              <w:spacing w:line="240" w:lineRule="auto"/>
              <w:rPr>
                <w:sz w:val="24"/>
                <w:szCs w:val="24"/>
              </w:rPr>
            </w:pPr>
            <w:r w:rsidRPr="00F059FE">
              <w:rPr>
                <w:sz w:val="24"/>
                <w:szCs w:val="24"/>
              </w:rPr>
              <w:t>2718.36</w:t>
            </w:r>
          </w:p>
        </w:tc>
        <w:tc>
          <w:tcPr>
            <w:tcW w:w="2094" w:type="dxa"/>
            <w:hideMark/>
          </w:tcPr>
          <w:p w14:paraId="3696D693" w14:textId="77777777" w:rsidR="00F059FE" w:rsidRPr="00F059FE" w:rsidRDefault="00F059FE" w:rsidP="00F059FE">
            <w:pPr>
              <w:spacing w:line="240" w:lineRule="auto"/>
              <w:rPr>
                <w:sz w:val="24"/>
                <w:szCs w:val="24"/>
              </w:rPr>
            </w:pPr>
            <w:r w:rsidRPr="00F059FE">
              <w:rPr>
                <w:sz w:val="24"/>
                <w:szCs w:val="24"/>
              </w:rPr>
              <w:t>0.366819</w:t>
            </w:r>
          </w:p>
        </w:tc>
        <w:tc>
          <w:tcPr>
            <w:tcW w:w="2150" w:type="dxa"/>
            <w:hideMark/>
          </w:tcPr>
          <w:p w14:paraId="53B2A130" w14:textId="77777777" w:rsidR="00F059FE" w:rsidRPr="00F059FE" w:rsidRDefault="00F059FE" w:rsidP="00F059FE">
            <w:pPr>
              <w:spacing w:line="240" w:lineRule="auto"/>
            </w:pPr>
            <w:r w:rsidRPr="00F059FE">
              <w:t>750</w:t>
            </w:r>
          </w:p>
        </w:tc>
      </w:tr>
      <w:tr w:rsidR="00F059FE" w:rsidRPr="00F059FE" w14:paraId="06C567CB" w14:textId="77777777" w:rsidTr="009F6F03">
        <w:trPr>
          <w:trHeight w:val="739"/>
        </w:trPr>
        <w:tc>
          <w:tcPr>
            <w:tcW w:w="1362" w:type="dxa"/>
            <w:hideMark/>
          </w:tcPr>
          <w:p w14:paraId="250D1BB6" w14:textId="77777777" w:rsidR="00F059FE" w:rsidRPr="00F059FE" w:rsidRDefault="00F059FE" w:rsidP="00F059FE">
            <w:pPr>
              <w:spacing w:line="240" w:lineRule="auto"/>
              <w:rPr>
                <w:sz w:val="24"/>
                <w:szCs w:val="24"/>
              </w:rPr>
            </w:pPr>
            <w:r w:rsidRPr="00F059FE">
              <w:rPr>
                <w:sz w:val="24"/>
                <w:szCs w:val="24"/>
              </w:rPr>
              <w:t>9078</w:t>
            </w:r>
          </w:p>
        </w:tc>
        <w:tc>
          <w:tcPr>
            <w:tcW w:w="1881" w:type="dxa"/>
            <w:hideMark/>
          </w:tcPr>
          <w:p w14:paraId="02ECED16" w14:textId="77777777" w:rsidR="00F059FE" w:rsidRPr="00F059FE" w:rsidRDefault="00F059FE" w:rsidP="00F059FE">
            <w:pPr>
              <w:spacing w:line="240" w:lineRule="auto"/>
              <w:rPr>
                <w:sz w:val="24"/>
                <w:szCs w:val="24"/>
              </w:rPr>
            </w:pPr>
            <w:r w:rsidRPr="00F059FE">
              <w:rPr>
                <w:sz w:val="24"/>
                <w:szCs w:val="24"/>
              </w:rPr>
              <w:t>2.58</w:t>
            </w:r>
          </w:p>
        </w:tc>
        <w:tc>
          <w:tcPr>
            <w:tcW w:w="1971" w:type="dxa"/>
            <w:hideMark/>
          </w:tcPr>
          <w:p w14:paraId="565021E8" w14:textId="77777777" w:rsidR="00F059FE" w:rsidRPr="00F059FE" w:rsidRDefault="00F059FE" w:rsidP="00F059FE">
            <w:pPr>
              <w:spacing w:line="240" w:lineRule="auto"/>
              <w:rPr>
                <w:sz w:val="24"/>
                <w:szCs w:val="24"/>
              </w:rPr>
            </w:pPr>
            <w:r w:rsidRPr="00F059FE">
              <w:rPr>
                <w:sz w:val="24"/>
                <w:szCs w:val="24"/>
              </w:rPr>
              <w:t>2718.36</w:t>
            </w:r>
          </w:p>
        </w:tc>
        <w:tc>
          <w:tcPr>
            <w:tcW w:w="2094" w:type="dxa"/>
            <w:hideMark/>
          </w:tcPr>
          <w:p w14:paraId="5B31B4F9" w14:textId="77777777" w:rsidR="00F059FE" w:rsidRPr="00F059FE" w:rsidRDefault="00F059FE" w:rsidP="00F059FE">
            <w:pPr>
              <w:spacing w:line="240" w:lineRule="auto"/>
              <w:rPr>
                <w:sz w:val="24"/>
                <w:szCs w:val="24"/>
              </w:rPr>
            </w:pPr>
            <w:r w:rsidRPr="00F059FE">
              <w:rPr>
                <w:sz w:val="24"/>
                <w:szCs w:val="24"/>
              </w:rPr>
              <w:t>0.242344</w:t>
            </w:r>
          </w:p>
        </w:tc>
        <w:tc>
          <w:tcPr>
            <w:tcW w:w="2150" w:type="dxa"/>
            <w:hideMark/>
          </w:tcPr>
          <w:p w14:paraId="1CF89052" w14:textId="77777777" w:rsidR="00F059FE" w:rsidRPr="00F059FE" w:rsidRDefault="00F059FE" w:rsidP="00F059FE">
            <w:pPr>
              <w:spacing w:line="240" w:lineRule="auto"/>
            </w:pPr>
            <w:r w:rsidRPr="00F059FE">
              <w:t>5016</w:t>
            </w:r>
          </w:p>
        </w:tc>
      </w:tr>
      <w:tr w:rsidR="00F059FE" w:rsidRPr="00F059FE" w14:paraId="2AE48A91" w14:textId="77777777" w:rsidTr="009F6F03">
        <w:trPr>
          <w:trHeight w:val="739"/>
        </w:trPr>
        <w:tc>
          <w:tcPr>
            <w:tcW w:w="1362" w:type="dxa"/>
            <w:hideMark/>
          </w:tcPr>
          <w:p w14:paraId="5E2B8D98" w14:textId="77777777" w:rsidR="00F059FE" w:rsidRPr="00F059FE" w:rsidRDefault="00F059FE" w:rsidP="00F059FE">
            <w:pPr>
              <w:spacing w:line="240" w:lineRule="auto"/>
              <w:rPr>
                <w:sz w:val="24"/>
                <w:szCs w:val="24"/>
              </w:rPr>
            </w:pPr>
            <w:r w:rsidRPr="00F059FE">
              <w:rPr>
                <w:sz w:val="24"/>
                <w:szCs w:val="24"/>
              </w:rPr>
              <w:t>5034</w:t>
            </w:r>
          </w:p>
        </w:tc>
        <w:tc>
          <w:tcPr>
            <w:tcW w:w="1881" w:type="dxa"/>
            <w:hideMark/>
          </w:tcPr>
          <w:p w14:paraId="47E3D88F" w14:textId="77777777" w:rsidR="00F059FE" w:rsidRPr="00F059FE" w:rsidRDefault="00F059FE" w:rsidP="00F059FE">
            <w:pPr>
              <w:spacing w:line="240" w:lineRule="auto"/>
              <w:rPr>
                <w:sz w:val="24"/>
                <w:szCs w:val="24"/>
              </w:rPr>
            </w:pPr>
            <w:r w:rsidRPr="00F059FE">
              <w:rPr>
                <w:sz w:val="24"/>
                <w:szCs w:val="24"/>
              </w:rPr>
              <w:t>2.37</w:t>
            </w:r>
          </w:p>
        </w:tc>
        <w:tc>
          <w:tcPr>
            <w:tcW w:w="1971" w:type="dxa"/>
            <w:hideMark/>
          </w:tcPr>
          <w:p w14:paraId="0AF7C5B6" w14:textId="77777777" w:rsidR="00F059FE" w:rsidRPr="00F059FE" w:rsidRDefault="00F059FE" w:rsidP="00F059FE">
            <w:pPr>
              <w:spacing w:line="240" w:lineRule="auto"/>
              <w:rPr>
                <w:sz w:val="24"/>
                <w:szCs w:val="24"/>
              </w:rPr>
            </w:pPr>
            <w:r w:rsidRPr="00F059FE">
              <w:rPr>
                <w:sz w:val="24"/>
                <w:szCs w:val="24"/>
              </w:rPr>
              <w:t>2718.36</w:t>
            </w:r>
          </w:p>
        </w:tc>
        <w:tc>
          <w:tcPr>
            <w:tcW w:w="2094" w:type="dxa"/>
            <w:hideMark/>
          </w:tcPr>
          <w:p w14:paraId="5E688FD6" w14:textId="77777777" w:rsidR="00F059FE" w:rsidRPr="00F059FE" w:rsidRDefault="00F059FE" w:rsidP="00F059FE">
            <w:pPr>
              <w:spacing w:line="240" w:lineRule="auto"/>
              <w:rPr>
                <w:sz w:val="24"/>
                <w:szCs w:val="24"/>
              </w:rPr>
            </w:pPr>
            <w:r w:rsidRPr="00F059FE">
              <w:rPr>
                <w:sz w:val="24"/>
                <w:szCs w:val="24"/>
              </w:rPr>
              <w:t>0.17586</w:t>
            </w:r>
          </w:p>
        </w:tc>
        <w:tc>
          <w:tcPr>
            <w:tcW w:w="2150" w:type="dxa"/>
            <w:hideMark/>
          </w:tcPr>
          <w:p w14:paraId="6C62F1D6" w14:textId="77777777" w:rsidR="00F059FE" w:rsidRPr="00F059FE" w:rsidRDefault="00F059FE" w:rsidP="00F059FE">
            <w:pPr>
              <w:spacing w:line="240" w:lineRule="auto"/>
            </w:pPr>
            <w:r w:rsidRPr="00F059FE">
              <w:t>2870</w:t>
            </w:r>
          </w:p>
        </w:tc>
      </w:tr>
      <w:tr w:rsidR="00F059FE" w:rsidRPr="00F059FE" w14:paraId="79A5B0A9" w14:textId="77777777" w:rsidTr="009F6F03">
        <w:trPr>
          <w:trHeight w:val="739"/>
        </w:trPr>
        <w:tc>
          <w:tcPr>
            <w:tcW w:w="1362" w:type="dxa"/>
            <w:hideMark/>
          </w:tcPr>
          <w:p w14:paraId="1CA49ED7" w14:textId="77777777" w:rsidR="00F059FE" w:rsidRPr="00F059FE" w:rsidRDefault="00F059FE" w:rsidP="00F059FE">
            <w:pPr>
              <w:spacing w:line="240" w:lineRule="auto"/>
              <w:rPr>
                <w:sz w:val="24"/>
                <w:szCs w:val="24"/>
              </w:rPr>
            </w:pPr>
            <w:r w:rsidRPr="00F059FE">
              <w:rPr>
                <w:sz w:val="24"/>
                <w:szCs w:val="24"/>
              </w:rPr>
              <w:t>5034</w:t>
            </w:r>
          </w:p>
        </w:tc>
        <w:tc>
          <w:tcPr>
            <w:tcW w:w="1881" w:type="dxa"/>
            <w:hideMark/>
          </w:tcPr>
          <w:p w14:paraId="726E607D" w14:textId="77777777" w:rsidR="00F059FE" w:rsidRPr="00F059FE" w:rsidRDefault="00F059FE" w:rsidP="00F059FE">
            <w:pPr>
              <w:spacing w:line="240" w:lineRule="auto"/>
              <w:rPr>
                <w:sz w:val="24"/>
                <w:szCs w:val="24"/>
              </w:rPr>
            </w:pPr>
            <w:r w:rsidRPr="00F059FE">
              <w:rPr>
                <w:sz w:val="24"/>
                <w:szCs w:val="24"/>
              </w:rPr>
              <w:t>2.87</w:t>
            </w:r>
          </w:p>
        </w:tc>
        <w:tc>
          <w:tcPr>
            <w:tcW w:w="1971" w:type="dxa"/>
            <w:hideMark/>
          </w:tcPr>
          <w:p w14:paraId="0F789911" w14:textId="77777777" w:rsidR="00F059FE" w:rsidRPr="00F059FE" w:rsidRDefault="00F059FE" w:rsidP="00F059FE">
            <w:pPr>
              <w:spacing w:line="240" w:lineRule="auto"/>
              <w:rPr>
                <w:sz w:val="24"/>
                <w:szCs w:val="24"/>
              </w:rPr>
            </w:pPr>
            <w:r w:rsidRPr="00F059FE">
              <w:rPr>
                <w:sz w:val="24"/>
                <w:szCs w:val="24"/>
              </w:rPr>
              <w:t>2718.36</w:t>
            </w:r>
          </w:p>
        </w:tc>
        <w:tc>
          <w:tcPr>
            <w:tcW w:w="2094" w:type="dxa"/>
            <w:hideMark/>
          </w:tcPr>
          <w:p w14:paraId="2094EC2E" w14:textId="77777777" w:rsidR="00F059FE" w:rsidRPr="00F059FE" w:rsidRDefault="00F059FE" w:rsidP="00F059FE">
            <w:pPr>
              <w:spacing w:line="240" w:lineRule="auto"/>
              <w:rPr>
                <w:sz w:val="24"/>
                <w:szCs w:val="24"/>
              </w:rPr>
            </w:pPr>
            <w:r w:rsidRPr="00F059FE">
              <w:rPr>
                <w:sz w:val="24"/>
                <w:szCs w:val="24"/>
              </w:rPr>
              <w:t>0.17586</w:t>
            </w:r>
          </w:p>
        </w:tc>
        <w:tc>
          <w:tcPr>
            <w:tcW w:w="2150" w:type="dxa"/>
            <w:hideMark/>
          </w:tcPr>
          <w:p w14:paraId="0C3573BC" w14:textId="77777777" w:rsidR="00F059FE" w:rsidRPr="00F059FE" w:rsidRDefault="00F059FE" w:rsidP="00F059FE">
            <w:pPr>
              <w:spacing w:line="240" w:lineRule="auto"/>
            </w:pPr>
            <w:r w:rsidRPr="00F059FE">
              <w:t>2870</w:t>
            </w:r>
          </w:p>
        </w:tc>
      </w:tr>
    </w:tbl>
    <w:p w14:paraId="493FCB78" w14:textId="72648B3B" w:rsidR="002E6737" w:rsidRDefault="002E6737" w:rsidP="00B07616">
      <w:pPr>
        <w:suppressAutoHyphens/>
        <w:overflowPunct w:val="0"/>
        <w:autoSpaceDE w:val="0"/>
        <w:autoSpaceDN w:val="0"/>
        <w:adjustRightInd w:val="0"/>
        <w:spacing w:after="0"/>
        <w:textAlignment w:val="baseline"/>
        <w:rPr>
          <w:rFonts w:eastAsia="SimSun" w:cs="Times New Roman"/>
        </w:rPr>
      </w:pPr>
      <w:r w:rsidRPr="37DBAC1B">
        <w:rPr>
          <w:rFonts w:eastAsia="SimSun" w:cs="Times New Roman"/>
        </w:rPr>
        <w:t xml:space="preserve">The </w:t>
      </w:r>
      <w:r w:rsidR="00727149">
        <w:rPr>
          <w:rFonts w:eastAsia="SimSun" w:cs="Times New Roman"/>
        </w:rPr>
        <w:t>first</w:t>
      </w:r>
      <w:r w:rsidRPr="37DBAC1B">
        <w:rPr>
          <w:rFonts w:eastAsia="SimSun" w:cs="Times New Roman"/>
        </w:rPr>
        <w:t xml:space="preserve"> parameter sensitized on was the depth. A range of depths from the disposal wells across the Arbuckle formation shown in </w:t>
      </w:r>
      <w:r w:rsidR="008D0C75">
        <w:rPr>
          <w:rFonts w:eastAsia="SimSun" w:cs="Times New Roman"/>
        </w:rPr>
        <w:t>t</w:t>
      </w:r>
      <w:r w:rsidRPr="37DBAC1B">
        <w:rPr>
          <w:rFonts w:eastAsia="SimSun" w:cs="Times New Roman"/>
        </w:rPr>
        <w:t xml:space="preserve">able </w:t>
      </w:r>
      <w:r w:rsidR="008D0C75">
        <w:rPr>
          <w:rFonts w:eastAsia="SimSun" w:cs="Times New Roman"/>
        </w:rPr>
        <w:t>3</w:t>
      </w:r>
      <w:r w:rsidRPr="37DBAC1B">
        <w:rPr>
          <w:rFonts w:eastAsia="SimSun" w:cs="Times New Roman"/>
        </w:rPr>
        <w:t xml:space="preserve"> w</w:t>
      </w:r>
      <w:r w:rsidR="008D0C75">
        <w:rPr>
          <w:rFonts w:eastAsia="SimSun" w:cs="Times New Roman"/>
        </w:rPr>
        <w:t xml:space="preserve">as </w:t>
      </w:r>
      <w:r w:rsidRPr="37DBAC1B">
        <w:rPr>
          <w:rFonts w:eastAsia="SimSun" w:cs="Times New Roman"/>
        </w:rPr>
        <w:t>sensitized to evaluate how variation in depth affected seismicity risks. The bottom range chosen was 135</w:t>
      </w:r>
      <w:r w:rsidR="008D0C75">
        <w:rPr>
          <w:rFonts w:eastAsia="SimSun" w:cs="Times New Roman"/>
        </w:rPr>
        <w:t>8</w:t>
      </w:r>
      <w:r w:rsidRPr="37DBAC1B">
        <w:rPr>
          <w:rFonts w:eastAsia="SimSun" w:cs="Times New Roman"/>
        </w:rPr>
        <w:t xml:space="preserve">ft shown in </w:t>
      </w:r>
      <w:r w:rsidR="008D0C75">
        <w:rPr>
          <w:rFonts w:eastAsia="SimSun" w:cs="Times New Roman"/>
        </w:rPr>
        <w:t>f</w:t>
      </w:r>
      <w:r w:rsidRPr="37DBAC1B">
        <w:rPr>
          <w:rFonts w:eastAsia="SimSun" w:cs="Times New Roman"/>
        </w:rPr>
        <w:t xml:space="preserve">igure </w:t>
      </w:r>
      <w:r w:rsidR="00C84822">
        <w:rPr>
          <w:rFonts w:eastAsia="SimSun" w:cs="Times New Roman"/>
        </w:rPr>
        <w:t>39</w:t>
      </w:r>
      <w:r w:rsidRPr="37DBAC1B">
        <w:rPr>
          <w:rFonts w:eastAsia="SimSun" w:cs="Times New Roman"/>
        </w:rPr>
        <w:t xml:space="preserve"> and the top range was </w:t>
      </w:r>
      <w:r w:rsidR="008D0C75">
        <w:rPr>
          <w:rFonts w:eastAsia="SimSun" w:cs="Times New Roman"/>
        </w:rPr>
        <w:t>9078</w:t>
      </w:r>
      <w:r w:rsidRPr="37DBAC1B">
        <w:rPr>
          <w:rFonts w:eastAsia="SimSun" w:cs="Times New Roman"/>
        </w:rPr>
        <w:t xml:space="preserve">ft shown in </w:t>
      </w:r>
      <w:r w:rsidR="00766A7A">
        <w:rPr>
          <w:rFonts w:eastAsia="SimSun" w:cs="Times New Roman"/>
        </w:rPr>
        <w:t>fi</w:t>
      </w:r>
      <w:r w:rsidRPr="37DBAC1B">
        <w:rPr>
          <w:rFonts w:eastAsia="SimSun" w:cs="Times New Roman"/>
        </w:rPr>
        <w:t xml:space="preserve">gure </w:t>
      </w:r>
      <w:r w:rsidR="008D0C75">
        <w:rPr>
          <w:rFonts w:eastAsia="SimSun" w:cs="Times New Roman"/>
        </w:rPr>
        <w:t>4</w:t>
      </w:r>
      <w:r w:rsidR="00C84822">
        <w:rPr>
          <w:rFonts w:eastAsia="SimSun" w:cs="Times New Roman"/>
        </w:rPr>
        <w:t>0</w:t>
      </w:r>
      <w:r w:rsidR="008D0C75">
        <w:rPr>
          <w:rFonts w:eastAsia="SimSun" w:cs="Times New Roman"/>
        </w:rPr>
        <w:t xml:space="preserve">. </w:t>
      </w:r>
      <w:r w:rsidRPr="37DBAC1B">
        <w:rPr>
          <w:rFonts w:eastAsia="SimSun" w:cs="Times New Roman"/>
        </w:rPr>
        <w:t>From the results in the plots, at deeper depth</w:t>
      </w:r>
      <w:r w:rsidR="008D0C75">
        <w:rPr>
          <w:rFonts w:eastAsia="SimSun" w:cs="Times New Roman"/>
        </w:rPr>
        <w:t xml:space="preserve"> there is a </w:t>
      </w:r>
      <w:r w:rsidR="00727149">
        <w:rPr>
          <w:rFonts w:eastAsia="SimSun" w:cs="Times New Roman"/>
        </w:rPr>
        <w:t>smaller incremental change in risk with increase in depth</w:t>
      </w:r>
      <w:r w:rsidRPr="37DBAC1B">
        <w:rPr>
          <w:rFonts w:eastAsia="SimSun" w:cs="Times New Roman"/>
        </w:rPr>
        <w:t xml:space="preserve">. Observing the data distribution in </w:t>
      </w:r>
      <w:r w:rsidR="008D0C75">
        <w:rPr>
          <w:rFonts w:eastAsia="SimSun" w:cs="Times New Roman"/>
        </w:rPr>
        <w:t>t</w:t>
      </w:r>
      <w:r w:rsidRPr="37DBAC1B">
        <w:rPr>
          <w:rFonts w:eastAsia="SimSun" w:cs="Times New Roman"/>
        </w:rPr>
        <w:t xml:space="preserve">able </w:t>
      </w:r>
      <w:r w:rsidR="008D0C75">
        <w:rPr>
          <w:rFonts w:eastAsia="SimSun" w:cs="Times New Roman"/>
        </w:rPr>
        <w:t>3</w:t>
      </w:r>
      <w:r w:rsidRPr="37DBAC1B">
        <w:rPr>
          <w:rFonts w:eastAsia="SimSun" w:cs="Times New Roman"/>
        </w:rPr>
        <w:t xml:space="preserve">, most wells </w:t>
      </w:r>
      <w:bookmarkStart w:id="113" w:name="_Int_yLVFbgeQ"/>
      <w:r w:rsidR="357E7427" w:rsidRPr="37DBAC1B">
        <w:rPr>
          <w:rFonts w:eastAsia="SimSun" w:cs="Times New Roman"/>
        </w:rPr>
        <w:t>are not</w:t>
      </w:r>
      <w:bookmarkEnd w:id="113"/>
      <w:r w:rsidRPr="37DBAC1B">
        <w:rPr>
          <w:rFonts w:eastAsia="SimSun" w:cs="Times New Roman"/>
        </w:rPr>
        <w:t xml:space="preserve"> very deep and are around the average case of the base case. This suggests depth should be </w:t>
      </w:r>
      <w:r w:rsidR="00727149">
        <w:rPr>
          <w:rFonts w:eastAsia="SimSun" w:cs="Times New Roman"/>
        </w:rPr>
        <w:t xml:space="preserve">a </w:t>
      </w:r>
      <w:r w:rsidRPr="37DBAC1B">
        <w:rPr>
          <w:rFonts w:eastAsia="SimSun" w:cs="Times New Roman"/>
        </w:rPr>
        <w:t>consider</w:t>
      </w:r>
      <w:r w:rsidR="00727149">
        <w:rPr>
          <w:rFonts w:eastAsia="SimSun" w:cs="Times New Roman"/>
        </w:rPr>
        <w:t xml:space="preserve">ation </w:t>
      </w:r>
      <w:r w:rsidRPr="37DBAC1B">
        <w:rPr>
          <w:rFonts w:eastAsia="SimSun" w:cs="Times New Roman"/>
        </w:rPr>
        <w:t>when designing GCS projects in the Arbuckle formation</w:t>
      </w:r>
      <w:r w:rsidR="00727149">
        <w:rPr>
          <w:rFonts w:eastAsia="SimSun" w:cs="Times New Roman"/>
        </w:rPr>
        <w:t xml:space="preserve"> so as to minimize changes in induced risk with pressure</w:t>
      </w:r>
      <w:r w:rsidRPr="37DBAC1B">
        <w:rPr>
          <w:rFonts w:eastAsia="SimSun" w:cs="Times New Roman"/>
        </w:rPr>
        <w:t>.</w:t>
      </w:r>
    </w:p>
    <w:p w14:paraId="2F6D89B8" w14:textId="01CE6D42" w:rsidR="002E6737" w:rsidRPr="002E6737" w:rsidRDefault="008D0C75" w:rsidP="008D0C75">
      <w:pPr>
        <w:pStyle w:val="Caption"/>
        <w:rPr>
          <w:szCs w:val="20"/>
        </w:rPr>
      </w:pPr>
      <w:r w:rsidRPr="008D0C75">
        <w:rPr>
          <w:noProof/>
        </w:rPr>
        <w:lastRenderedPageBreak/>
        <w:drawing>
          <wp:inline distT="0" distB="0" distL="0" distR="0" wp14:anchorId="100CA564" wp14:editId="5031A466">
            <wp:extent cx="3017526" cy="2109220"/>
            <wp:effectExtent l="0" t="0" r="0" b="5715"/>
            <wp:docPr id="72" name="Picture 5" descr="Chart&#10;&#10;Description automatically generated">
              <a:extLst xmlns:a="http://schemas.openxmlformats.org/drawingml/2006/main">
                <a:ext uri="{FF2B5EF4-FFF2-40B4-BE49-F238E27FC236}">
                  <a16:creationId xmlns:a16="http://schemas.microsoft.com/office/drawing/2014/main" id="{252510F3-E6DD-C7AA-FDC9-8C9DE3024F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Chart&#10;&#10;Description automatically generated">
                      <a:extLst>
                        <a:ext uri="{FF2B5EF4-FFF2-40B4-BE49-F238E27FC236}">
                          <a16:creationId xmlns:a16="http://schemas.microsoft.com/office/drawing/2014/main" id="{252510F3-E6DD-C7AA-FDC9-8C9DE3024FC7}"/>
                        </a:ext>
                      </a:extLst>
                    </pic:cNvPr>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017526" cy="2109220"/>
                    </a:xfrm>
                    <a:prstGeom prst="rect">
                      <a:avLst/>
                    </a:prstGeom>
                  </pic:spPr>
                </pic:pic>
              </a:graphicData>
            </a:graphic>
          </wp:inline>
        </w:drawing>
      </w:r>
    </w:p>
    <w:p w14:paraId="18492A7E" w14:textId="106AC0F8" w:rsidR="002E6737" w:rsidRPr="002E6737" w:rsidRDefault="002E6737" w:rsidP="008D0C75">
      <w:pPr>
        <w:pStyle w:val="Caption"/>
      </w:pPr>
      <w:bookmarkStart w:id="114" w:name="_Toc112856564"/>
      <w:bookmarkStart w:id="115" w:name="_Toc121265882"/>
      <w:r w:rsidRPr="002E6737">
        <w:t xml:space="preserve">Figure </w:t>
      </w:r>
      <w:fldSimple w:instr=" SEQ Figure \* ARABIC ">
        <w:r w:rsidR="00955725">
          <w:rPr>
            <w:noProof/>
          </w:rPr>
          <w:t>39</w:t>
        </w:r>
      </w:fldSimple>
      <w:r w:rsidRPr="002E6737">
        <w:t>: Depth of 1335 ft</w:t>
      </w:r>
      <w:bookmarkEnd w:id="114"/>
      <w:bookmarkEnd w:id="115"/>
    </w:p>
    <w:p w14:paraId="49EFE4A9" w14:textId="7F0824B9" w:rsidR="002E6737" w:rsidRPr="002E6737" w:rsidRDefault="008D0C75" w:rsidP="008D0C75">
      <w:pPr>
        <w:pStyle w:val="Caption"/>
      </w:pPr>
      <w:r w:rsidRPr="008D0C75">
        <w:rPr>
          <w:noProof/>
        </w:rPr>
        <w:drawing>
          <wp:inline distT="0" distB="0" distL="0" distR="0" wp14:anchorId="7675CAB5" wp14:editId="1FEE8B8D">
            <wp:extent cx="3017526" cy="2109220"/>
            <wp:effectExtent l="0" t="0" r="0" b="5715"/>
            <wp:docPr id="73" name="Picture 3" descr="Chart, line chart&#10;&#10;Description automatically generated">
              <a:extLst xmlns:a="http://schemas.openxmlformats.org/drawingml/2006/main">
                <a:ext uri="{FF2B5EF4-FFF2-40B4-BE49-F238E27FC236}">
                  <a16:creationId xmlns:a16="http://schemas.microsoft.com/office/drawing/2014/main" id="{D10DC515-744F-3BC0-BD13-8E7A5D31F8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hart, line chart&#10;&#10;Description automatically generated">
                      <a:extLst>
                        <a:ext uri="{FF2B5EF4-FFF2-40B4-BE49-F238E27FC236}">
                          <a16:creationId xmlns:a16="http://schemas.microsoft.com/office/drawing/2014/main" id="{D10DC515-744F-3BC0-BD13-8E7A5D31F8A2}"/>
                        </a:ext>
                      </a:extLst>
                    </pic:cNvPr>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017526" cy="2109220"/>
                    </a:xfrm>
                    <a:prstGeom prst="rect">
                      <a:avLst/>
                    </a:prstGeom>
                  </pic:spPr>
                </pic:pic>
              </a:graphicData>
            </a:graphic>
          </wp:inline>
        </w:drawing>
      </w:r>
    </w:p>
    <w:p w14:paraId="690AD88D" w14:textId="39DC77D2" w:rsidR="002E6737" w:rsidRPr="00971470" w:rsidRDefault="002E6737" w:rsidP="008D0C75">
      <w:pPr>
        <w:pStyle w:val="Caption"/>
      </w:pPr>
      <w:bookmarkStart w:id="116" w:name="_Toc112856565"/>
      <w:bookmarkStart w:id="117" w:name="_Toc121265883"/>
      <w:r w:rsidRPr="002E6737">
        <w:t xml:space="preserve">Figure </w:t>
      </w:r>
      <w:fldSimple w:instr=" SEQ Figure \* ARABIC ">
        <w:r w:rsidR="00955725">
          <w:rPr>
            <w:noProof/>
          </w:rPr>
          <w:t>40</w:t>
        </w:r>
      </w:fldSimple>
      <w:r w:rsidRPr="002E6737">
        <w:t>: Depth of 7570 ft</w:t>
      </w:r>
      <w:bookmarkEnd w:id="116"/>
      <w:bookmarkEnd w:id="117"/>
    </w:p>
    <w:p w14:paraId="32786807" w14:textId="3E329062" w:rsidR="002E6737" w:rsidRDefault="002E6737" w:rsidP="00B07616">
      <w:pPr>
        <w:suppressAutoHyphens/>
        <w:overflowPunct w:val="0"/>
        <w:autoSpaceDE w:val="0"/>
        <w:autoSpaceDN w:val="0"/>
        <w:adjustRightInd w:val="0"/>
        <w:spacing w:after="0"/>
        <w:textAlignment w:val="baseline"/>
        <w:rPr>
          <w:rFonts w:eastAsia="SimSun" w:cs="Times New Roman"/>
          <w:szCs w:val="20"/>
        </w:rPr>
      </w:pPr>
      <w:r w:rsidRPr="002E6737">
        <w:rPr>
          <w:rFonts w:eastAsia="SimSun" w:cs="Times New Roman"/>
          <w:szCs w:val="20"/>
        </w:rPr>
        <w:t xml:space="preserve">The final analysis for this work is conducted on the overburden gradient. From the plots below, </w:t>
      </w:r>
      <w:r w:rsidR="008D0C75">
        <w:rPr>
          <w:rFonts w:eastAsia="SimSun" w:cs="Times New Roman"/>
          <w:szCs w:val="20"/>
        </w:rPr>
        <w:t xml:space="preserve">an increase in </w:t>
      </w:r>
      <w:r w:rsidRPr="002E6737">
        <w:rPr>
          <w:rFonts w:eastAsia="SimSun" w:cs="Times New Roman"/>
          <w:szCs w:val="20"/>
        </w:rPr>
        <w:t xml:space="preserve">the overburden gradient </w:t>
      </w:r>
      <w:r w:rsidR="008D0C75">
        <w:rPr>
          <w:rFonts w:eastAsia="SimSun" w:cs="Times New Roman"/>
          <w:szCs w:val="20"/>
        </w:rPr>
        <w:t xml:space="preserve">slightly reduced </w:t>
      </w:r>
      <w:r w:rsidRPr="002E6737">
        <w:rPr>
          <w:rFonts w:eastAsia="SimSun" w:cs="Times New Roman"/>
          <w:szCs w:val="20"/>
        </w:rPr>
        <w:t xml:space="preserve">the seismicity risks in comparison to the other reservoir properties. Overburden gradient of </w:t>
      </w:r>
      <w:r w:rsidR="00E70472">
        <w:rPr>
          <w:rFonts w:eastAsia="SimSun" w:cs="Times New Roman"/>
          <w:szCs w:val="20"/>
        </w:rPr>
        <w:t>1.02psi/ft</w:t>
      </w:r>
      <w:r w:rsidR="008D0C75">
        <w:rPr>
          <w:rFonts w:eastAsia="SimSun" w:cs="Times New Roman"/>
          <w:szCs w:val="20"/>
        </w:rPr>
        <w:t xml:space="preserve"> and </w:t>
      </w:r>
      <w:r w:rsidR="00E70472">
        <w:rPr>
          <w:rFonts w:eastAsia="SimSun" w:cs="Times New Roman"/>
          <w:szCs w:val="20"/>
        </w:rPr>
        <w:t>1.24psi/ft</w:t>
      </w:r>
      <w:r w:rsidR="008D0C75">
        <w:rPr>
          <w:rFonts w:eastAsia="SimSun" w:cs="Times New Roman"/>
          <w:szCs w:val="20"/>
        </w:rPr>
        <w:t xml:space="preserve"> </w:t>
      </w:r>
      <w:r w:rsidRPr="002E6737">
        <w:rPr>
          <w:rFonts w:eastAsia="SimSun" w:cs="Times New Roman"/>
          <w:szCs w:val="20"/>
        </w:rPr>
        <w:t>were considered in this analysis.</w:t>
      </w:r>
    </w:p>
    <w:p w14:paraId="503B902F" w14:textId="78E2B036" w:rsidR="002E6737" w:rsidRPr="002E6737" w:rsidRDefault="008D0C75" w:rsidP="008D0C75">
      <w:pPr>
        <w:pStyle w:val="Caption"/>
      </w:pPr>
      <w:r w:rsidRPr="008D0C75">
        <w:rPr>
          <w:noProof/>
        </w:rPr>
        <w:lastRenderedPageBreak/>
        <w:drawing>
          <wp:inline distT="0" distB="0" distL="0" distR="0" wp14:anchorId="1E51436F" wp14:editId="2E94CE5F">
            <wp:extent cx="3017526" cy="2109220"/>
            <wp:effectExtent l="0" t="0" r="0" b="5715"/>
            <wp:docPr id="75" name="Picture 10" descr="Chart, line chart&#10;&#10;Description automatically generated">
              <a:extLst xmlns:a="http://schemas.openxmlformats.org/drawingml/2006/main">
                <a:ext uri="{FF2B5EF4-FFF2-40B4-BE49-F238E27FC236}">
                  <a16:creationId xmlns:a16="http://schemas.microsoft.com/office/drawing/2014/main" id="{6A523A8E-5274-F454-ED43-90EB436A2B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Chart, line chart&#10;&#10;Description automatically generated">
                      <a:extLst>
                        <a:ext uri="{FF2B5EF4-FFF2-40B4-BE49-F238E27FC236}">
                          <a16:creationId xmlns:a16="http://schemas.microsoft.com/office/drawing/2014/main" id="{6A523A8E-5274-F454-ED43-90EB436A2B7A}"/>
                        </a:ext>
                      </a:extLst>
                    </pic:cNvPr>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017526" cy="2109220"/>
                    </a:xfrm>
                    <a:prstGeom prst="rect">
                      <a:avLst/>
                    </a:prstGeom>
                  </pic:spPr>
                </pic:pic>
              </a:graphicData>
            </a:graphic>
          </wp:inline>
        </w:drawing>
      </w:r>
    </w:p>
    <w:p w14:paraId="18174B65" w14:textId="4B8FF101" w:rsidR="002E6737" w:rsidRPr="002E6737" w:rsidRDefault="002E6737" w:rsidP="008D0C75">
      <w:pPr>
        <w:pStyle w:val="Caption"/>
      </w:pPr>
      <w:bookmarkStart w:id="118" w:name="_Toc112856568"/>
      <w:bookmarkStart w:id="119" w:name="_Toc121265884"/>
      <w:r w:rsidRPr="002E6737">
        <w:t xml:space="preserve">Figure </w:t>
      </w:r>
      <w:fldSimple w:instr=" SEQ Figure \* ARABIC ">
        <w:r w:rsidR="00955725">
          <w:rPr>
            <w:noProof/>
          </w:rPr>
          <w:t>41</w:t>
        </w:r>
      </w:fldSimple>
      <w:r w:rsidRPr="002E6737">
        <w:t xml:space="preserve">: Overburden gradient of </w:t>
      </w:r>
      <w:r w:rsidR="00E70472">
        <w:t>1</w:t>
      </w:r>
      <w:r w:rsidRPr="002E6737">
        <w:t>.</w:t>
      </w:r>
      <w:r w:rsidR="00E70472">
        <w:t>02</w:t>
      </w:r>
      <w:r w:rsidRPr="002E6737">
        <w:t>psi/ft</w:t>
      </w:r>
      <w:bookmarkEnd w:id="118"/>
      <w:bookmarkEnd w:id="119"/>
    </w:p>
    <w:p w14:paraId="2937F1CD" w14:textId="1FF4525B" w:rsidR="002E6737" w:rsidRPr="002E6737" w:rsidRDefault="008D0C75" w:rsidP="008D0C75">
      <w:pPr>
        <w:pStyle w:val="Caption"/>
      </w:pPr>
      <w:r w:rsidRPr="008D0C75">
        <w:rPr>
          <w:noProof/>
        </w:rPr>
        <w:drawing>
          <wp:inline distT="0" distB="0" distL="0" distR="0" wp14:anchorId="2E82EBA2" wp14:editId="6F9677AC">
            <wp:extent cx="3017526" cy="2109220"/>
            <wp:effectExtent l="0" t="0" r="0" b="5715"/>
            <wp:docPr id="13" name="Picture 12" descr="Chart, line chart&#10;&#10;Description automatically generated">
              <a:extLst xmlns:a="http://schemas.openxmlformats.org/drawingml/2006/main">
                <a:ext uri="{FF2B5EF4-FFF2-40B4-BE49-F238E27FC236}">
                  <a16:creationId xmlns:a16="http://schemas.microsoft.com/office/drawing/2014/main" id="{D9B2B1D3-40C1-EFDE-1296-4BBA9D999F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Chart, line chart&#10;&#10;Description automatically generated">
                      <a:extLst>
                        <a:ext uri="{FF2B5EF4-FFF2-40B4-BE49-F238E27FC236}">
                          <a16:creationId xmlns:a16="http://schemas.microsoft.com/office/drawing/2014/main" id="{D9B2B1D3-40C1-EFDE-1296-4BBA9D999F4A}"/>
                        </a:ext>
                      </a:extLst>
                    </pic:cNvPr>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017526" cy="2109220"/>
                    </a:xfrm>
                    <a:prstGeom prst="rect">
                      <a:avLst/>
                    </a:prstGeom>
                  </pic:spPr>
                </pic:pic>
              </a:graphicData>
            </a:graphic>
          </wp:inline>
        </w:drawing>
      </w:r>
    </w:p>
    <w:p w14:paraId="684D0A6F" w14:textId="64071DA7" w:rsidR="002E6737" w:rsidRDefault="002E6737" w:rsidP="008D0C75">
      <w:pPr>
        <w:pStyle w:val="Caption"/>
      </w:pPr>
      <w:bookmarkStart w:id="120" w:name="_Toc112856569"/>
      <w:bookmarkStart w:id="121" w:name="_Toc121265885"/>
      <w:r w:rsidRPr="002E6737">
        <w:t xml:space="preserve">Figure </w:t>
      </w:r>
      <w:fldSimple w:instr=" SEQ Figure \* ARABIC ">
        <w:r w:rsidR="00955725">
          <w:rPr>
            <w:noProof/>
          </w:rPr>
          <w:t>42</w:t>
        </w:r>
      </w:fldSimple>
      <w:r w:rsidRPr="002E6737">
        <w:t>: Overburden gradient of 1.</w:t>
      </w:r>
      <w:r w:rsidR="00E70472">
        <w:t>24</w:t>
      </w:r>
      <w:r w:rsidRPr="002E6737">
        <w:t>psi/ft</w:t>
      </w:r>
      <w:bookmarkEnd w:id="120"/>
      <w:bookmarkEnd w:id="121"/>
    </w:p>
    <w:p w14:paraId="78D92881" w14:textId="77777777" w:rsidR="00E70472" w:rsidRDefault="00E70472" w:rsidP="00E70472">
      <w:pPr>
        <w:keepNext/>
        <w:suppressAutoHyphens/>
        <w:overflowPunct w:val="0"/>
        <w:autoSpaceDE w:val="0"/>
        <w:autoSpaceDN w:val="0"/>
        <w:adjustRightInd w:val="0"/>
        <w:spacing w:after="0"/>
        <w:jc w:val="center"/>
        <w:textAlignment w:val="baseline"/>
      </w:pPr>
      <w:r>
        <w:rPr>
          <w:noProof/>
        </w:rPr>
        <w:drawing>
          <wp:inline distT="0" distB="0" distL="0" distR="0" wp14:anchorId="213C9E87" wp14:editId="2D9A64B4">
            <wp:extent cx="4572000" cy="2743200"/>
            <wp:effectExtent l="0" t="0" r="0" b="0"/>
            <wp:docPr id="71" name="Chart 71">
              <a:extLst xmlns:a="http://schemas.openxmlformats.org/drawingml/2006/main">
                <a:ext uri="{FF2B5EF4-FFF2-40B4-BE49-F238E27FC236}">
                  <a16:creationId xmlns:a16="http://schemas.microsoft.com/office/drawing/2014/main" id="{84CE7070-A5DD-9085-D093-31471D1AE5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44B4116C" w14:textId="1F353696" w:rsidR="00E70472" w:rsidRDefault="00E70472" w:rsidP="00E70472">
      <w:pPr>
        <w:pStyle w:val="Caption"/>
        <w:rPr>
          <w:rFonts w:eastAsia="SimSun" w:cs="Times New Roman"/>
          <w:szCs w:val="20"/>
        </w:rPr>
      </w:pPr>
      <w:bookmarkStart w:id="122" w:name="_Toc121265886"/>
      <w:r>
        <w:t xml:space="preserve">Figure </w:t>
      </w:r>
      <w:fldSimple w:instr=" SEQ Figure \* ARABIC ">
        <w:r w:rsidR="00955725">
          <w:rPr>
            <w:noProof/>
          </w:rPr>
          <w:t>43</w:t>
        </w:r>
      </w:fldSimple>
      <w:r>
        <w:t>: Comparison of overburden gradient</w:t>
      </w:r>
      <w:bookmarkEnd w:id="122"/>
    </w:p>
    <w:p w14:paraId="7182A6CE" w14:textId="654FE293" w:rsidR="002E6737" w:rsidRPr="002E6737" w:rsidRDefault="002E6737" w:rsidP="004108E9">
      <w:pPr>
        <w:suppressAutoHyphens/>
        <w:overflowPunct w:val="0"/>
        <w:autoSpaceDE w:val="0"/>
        <w:autoSpaceDN w:val="0"/>
        <w:adjustRightInd w:val="0"/>
        <w:spacing w:after="0"/>
        <w:textAlignment w:val="baseline"/>
        <w:rPr>
          <w:rFonts w:eastAsia="SimSun" w:cs="Times New Roman"/>
          <w:szCs w:val="20"/>
        </w:rPr>
      </w:pPr>
      <w:r w:rsidRPr="002E6737">
        <w:rPr>
          <w:rFonts w:eastAsia="SimSun" w:cs="Times New Roman"/>
          <w:szCs w:val="20"/>
        </w:rPr>
        <w:lastRenderedPageBreak/>
        <w:t xml:space="preserve">Based on these results, it is observed that the </w:t>
      </w:r>
      <w:r w:rsidR="008D0C75">
        <w:rPr>
          <w:rFonts w:eastAsia="SimSun" w:cs="Times New Roman"/>
          <w:szCs w:val="20"/>
        </w:rPr>
        <w:t>minimum injection pressure</w:t>
      </w:r>
      <w:r w:rsidRPr="002E6737">
        <w:rPr>
          <w:rFonts w:eastAsia="SimSun" w:cs="Times New Roman"/>
          <w:szCs w:val="20"/>
        </w:rPr>
        <w:t xml:space="preserve"> had</w:t>
      </w:r>
      <w:r w:rsidR="00233410">
        <w:rPr>
          <w:rFonts w:eastAsia="SimSun" w:cs="Times New Roman"/>
          <w:szCs w:val="20"/>
        </w:rPr>
        <w:t xml:space="preserve"> a </w:t>
      </w:r>
      <w:r w:rsidRPr="002E6737">
        <w:rPr>
          <w:rFonts w:eastAsia="SimSun" w:cs="Times New Roman"/>
          <w:szCs w:val="20"/>
        </w:rPr>
        <w:t xml:space="preserve">multiple predictor dependence on the risk level observed in the formation. </w:t>
      </w:r>
    </w:p>
    <w:p w14:paraId="21723998" w14:textId="6D44D61D" w:rsidR="002E6737" w:rsidRPr="002E6737" w:rsidRDefault="00FB22E3" w:rsidP="00536395">
      <w:pPr>
        <w:pStyle w:val="Heading2"/>
      </w:pPr>
      <w:bookmarkStart w:id="123" w:name="_Toc121265838"/>
      <w:r>
        <w:t>4</w:t>
      </w:r>
      <w:r w:rsidR="004108E9">
        <w:t xml:space="preserve">.5 Site Specific </w:t>
      </w:r>
      <w:r w:rsidR="002E6737" w:rsidRPr="002E6737">
        <w:t>Stress Data</w:t>
      </w:r>
      <w:bookmarkEnd w:id="123"/>
    </w:p>
    <w:p w14:paraId="7B6C9777" w14:textId="601879CA" w:rsidR="004108E9" w:rsidRDefault="004108E9" w:rsidP="004108E9">
      <w:pPr>
        <w:suppressAutoHyphens/>
        <w:overflowPunct w:val="0"/>
        <w:autoSpaceDE w:val="0"/>
        <w:autoSpaceDN w:val="0"/>
        <w:adjustRightInd w:val="0"/>
        <w:spacing w:after="0"/>
        <w:textAlignment w:val="baseline"/>
        <w:rPr>
          <w:rFonts w:eastAsia="SimSun" w:cs="Times New Roman"/>
        </w:rPr>
      </w:pPr>
      <w:r w:rsidRPr="004108E9">
        <w:rPr>
          <w:rFonts w:eastAsia="SimSun" w:cs="Times New Roman"/>
        </w:rPr>
        <w:t xml:space="preserve">Site specific stress data obtained from the Arbuckle Group in Kansas state was tested on the methodology. The data was taken from a pilot project at the Wellington site in south-central Kansas sponsored by the Department of Energy (DOE). The Data was obtained from </w:t>
      </w:r>
      <w:sdt>
        <w:sdtPr>
          <w:rPr>
            <w:rFonts w:eastAsia="SimSun" w:cs="Times New Roman"/>
          </w:rPr>
          <w:id w:val="1708759031"/>
          <w:citation/>
        </w:sdtPr>
        <w:sdtContent>
          <w:r>
            <w:rPr>
              <w:rFonts w:eastAsia="SimSun" w:cs="Times New Roman"/>
            </w:rPr>
            <w:fldChar w:fldCharType="begin"/>
          </w:r>
          <w:r>
            <w:rPr>
              <w:rFonts w:eastAsia="SimSun" w:cs="Times New Roman"/>
            </w:rPr>
            <w:instrText xml:space="preserve"> CITATION Bir22 \l 1033 </w:instrText>
          </w:r>
          <w:r>
            <w:rPr>
              <w:rFonts w:eastAsia="SimSun" w:cs="Times New Roman"/>
            </w:rPr>
            <w:fldChar w:fldCharType="separate"/>
          </w:r>
          <w:r w:rsidR="00C84822" w:rsidRPr="00C84822">
            <w:rPr>
              <w:rFonts w:eastAsia="SimSun" w:cs="Times New Roman"/>
              <w:noProof/>
            </w:rPr>
            <w:t>(Birdie, et al., Assessing Induced Seismicity Risk at the Wellington Geologic Sequestration Site, 2022)</w:t>
          </w:r>
          <w:r>
            <w:rPr>
              <w:rFonts w:eastAsia="SimSun" w:cs="Times New Roman"/>
            </w:rPr>
            <w:fldChar w:fldCharType="end"/>
          </w:r>
        </w:sdtContent>
      </w:sdt>
      <w:r w:rsidRPr="004108E9">
        <w:rPr>
          <w:rFonts w:eastAsia="SimSun" w:cs="Times New Roman"/>
        </w:rPr>
        <w:t xml:space="preserve">. </w:t>
      </w:r>
    </w:p>
    <w:p w14:paraId="3E364383" w14:textId="27938248" w:rsidR="0010061D" w:rsidRDefault="0010061D" w:rsidP="008F09D6">
      <w:pPr>
        <w:suppressAutoHyphens/>
        <w:overflowPunct w:val="0"/>
        <w:autoSpaceDE w:val="0"/>
        <w:autoSpaceDN w:val="0"/>
        <w:adjustRightInd w:val="0"/>
        <w:spacing w:after="0"/>
        <w:jc w:val="center"/>
        <w:textAlignment w:val="baseline"/>
        <w:rPr>
          <w:rFonts w:eastAsia="SimSun" w:cs="Times New Roman"/>
        </w:rPr>
      </w:pPr>
      <w:r>
        <w:rPr>
          <w:rFonts w:eastAsia="SimSun" w:cs="Times New Roman"/>
          <w:noProof/>
        </w:rPr>
        <w:drawing>
          <wp:inline distT="0" distB="0" distL="0" distR="0" wp14:anchorId="07963897" wp14:editId="1B82FBE6">
            <wp:extent cx="4882517" cy="28528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917535" cy="2873305"/>
                    </a:xfrm>
                    <a:prstGeom prst="rect">
                      <a:avLst/>
                    </a:prstGeom>
                    <a:noFill/>
                  </pic:spPr>
                </pic:pic>
              </a:graphicData>
            </a:graphic>
          </wp:inline>
        </w:drawing>
      </w:r>
    </w:p>
    <w:p w14:paraId="24DD5C01" w14:textId="1C9D20CB" w:rsidR="004108E9" w:rsidRPr="004108E9" w:rsidRDefault="004108E9" w:rsidP="00835EB9">
      <w:pPr>
        <w:pStyle w:val="Caption"/>
      </w:pPr>
      <w:bookmarkStart w:id="124" w:name="_Toc121265887"/>
      <w:r>
        <w:t xml:space="preserve">Figure </w:t>
      </w:r>
      <w:fldSimple w:instr=" SEQ Figure \* ARABIC ">
        <w:r w:rsidR="00955725">
          <w:rPr>
            <w:noProof/>
          </w:rPr>
          <w:t>44</w:t>
        </w:r>
      </w:fldSimple>
      <w:r>
        <w:t xml:space="preserve">: </w:t>
      </w:r>
      <w:r w:rsidRPr="0044739B">
        <w:t>Map of Wellington Site in</w:t>
      </w:r>
      <w:r w:rsidR="003E6468">
        <w:t xml:space="preserve"> the</w:t>
      </w:r>
      <w:r w:rsidRPr="0044739B">
        <w:t xml:space="preserve"> Arbuckle </w:t>
      </w:r>
      <w:r w:rsidR="003E6468">
        <w:t>Group</w:t>
      </w:r>
      <w:r w:rsidRPr="0044739B">
        <w:t xml:space="preserve">. </w:t>
      </w:r>
      <w:r w:rsidR="0010061D">
        <w:t>Modified from</w:t>
      </w:r>
      <w:r w:rsidRPr="0044739B">
        <w:t xml:space="preserve"> </w:t>
      </w:r>
      <w:sdt>
        <w:sdtPr>
          <w:id w:val="-1427801711"/>
          <w:citation/>
        </w:sdtPr>
        <w:sdtContent>
          <w:r>
            <w:fldChar w:fldCharType="begin"/>
          </w:r>
          <w:r>
            <w:instrText xml:space="preserve"> CITATION Bir22 \l 1033 </w:instrText>
          </w:r>
          <w:r>
            <w:fldChar w:fldCharType="separate"/>
          </w:r>
          <w:r w:rsidR="00C84822">
            <w:rPr>
              <w:noProof/>
            </w:rPr>
            <w:t>(Birdie, et al., Assessing Induced Seismicity Risk at the Wellington Geologic Sequestration Site, 2022)</w:t>
          </w:r>
          <w:r>
            <w:fldChar w:fldCharType="end"/>
          </w:r>
        </w:sdtContent>
      </w:sdt>
      <w:bookmarkEnd w:id="124"/>
    </w:p>
    <w:p w14:paraId="679BED74" w14:textId="5BDC2585" w:rsidR="004108E9" w:rsidRDefault="000F6143" w:rsidP="004108E9">
      <w:pPr>
        <w:suppressAutoHyphens/>
        <w:overflowPunct w:val="0"/>
        <w:autoSpaceDE w:val="0"/>
        <w:autoSpaceDN w:val="0"/>
        <w:adjustRightInd w:val="0"/>
        <w:spacing w:after="0"/>
        <w:textAlignment w:val="baseline"/>
        <w:rPr>
          <w:rFonts w:eastAsia="SimSun" w:cs="Times New Roman"/>
        </w:rPr>
      </w:pPr>
      <w:r w:rsidRPr="0032667E">
        <w:rPr>
          <w:rFonts w:eastAsia="SimSun" w:cs="Times New Roman"/>
        </w:rPr>
        <w:t xml:space="preserve">Kansas </w:t>
      </w:r>
      <w:r w:rsidR="0032667E" w:rsidRPr="0032667E">
        <w:rPr>
          <w:rFonts w:eastAsia="SimSun" w:cs="Times New Roman"/>
        </w:rPr>
        <w:t>was</w:t>
      </w:r>
      <w:r w:rsidRPr="0032667E">
        <w:rPr>
          <w:rFonts w:eastAsia="SimSun" w:cs="Times New Roman"/>
        </w:rPr>
        <w:t xml:space="preserve"> historically </w:t>
      </w:r>
      <w:r w:rsidR="0032667E" w:rsidRPr="0032667E">
        <w:rPr>
          <w:rFonts w:eastAsia="SimSun" w:cs="Times New Roman"/>
        </w:rPr>
        <w:t xml:space="preserve">considered a </w:t>
      </w:r>
      <w:r w:rsidRPr="0032667E">
        <w:rPr>
          <w:rFonts w:eastAsia="SimSun" w:cs="Times New Roman"/>
        </w:rPr>
        <w:t xml:space="preserve">seismically benign </w:t>
      </w:r>
      <w:r w:rsidR="0032667E" w:rsidRPr="0032667E">
        <w:rPr>
          <w:rFonts w:eastAsia="SimSun" w:cs="Times New Roman"/>
        </w:rPr>
        <w:t>region, however, t</w:t>
      </w:r>
      <w:r w:rsidRPr="0032667E">
        <w:rPr>
          <w:rFonts w:eastAsia="SimSun" w:cs="Times New Roman"/>
        </w:rPr>
        <w:t>he</w:t>
      </w:r>
      <w:r w:rsidR="0032667E" w:rsidRPr="0032667E">
        <w:rPr>
          <w:rFonts w:eastAsia="SimSun" w:cs="Times New Roman"/>
        </w:rPr>
        <w:t>re has been an increasing</w:t>
      </w:r>
      <w:r w:rsidRPr="0032667E">
        <w:rPr>
          <w:rFonts w:eastAsia="SimSun" w:cs="Times New Roman"/>
        </w:rPr>
        <w:t xml:space="preserve"> number of earthquakes</w:t>
      </w:r>
      <w:r w:rsidR="0032667E" w:rsidRPr="0032667E">
        <w:rPr>
          <w:rFonts w:eastAsia="SimSun" w:cs="Times New Roman"/>
        </w:rPr>
        <w:t xml:space="preserve"> since </w:t>
      </w:r>
      <w:r w:rsidRPr="0032667E">
        <w:rPr>
          <w:rFonts w:eastAsia="SimSun" w:cs="Times New Roman"/>
        </w:rPr>
        <w:t>2014. Th</w:t>
      </w:r>
      <w:r w:rsidR="0032667E" w:rsidRPr="0032667E">
        <w:rPr>
          <w:rFonts w:eastAsia="SimSun" w:cs="Times New Roman"/>
        </w:rPr>
        <w:t xml:space="preserve">is is due to an increase in the quantity </w:t>
      </w:r>
      <w:r w:rsidRPr="0032667E">
        <w:rPr>
          <w:rFonts w:eastAsia="SimSun" w:cs="Times New Roman"/>
        </w:rPr>
        <w:t>of wate</w:t>
      </w:r>
      <w:r w:rsidR="0032667E" w:rsidRPr="0032667E">
        <w:rPr>
          <w:rFonts w:eastAsia="SimSun" w:cs="Times New Roman"/>
        </w:rPr>
        <w:t>r</w:t>
      </w:r>
      <w:r w:rsidRPr="0032667E">
        <w:rPr>
          <w:rFonts w:eastAsia="SimSun" w:cs="Times New Roman"/>
        </w:rPr>
        <w:t xml:space="preserve"> disposal in the Arbuckle aquifer </w:t>
      </w:r>
      <w:r w:rsidR="0032667E" w:rsidRPr="0032667E">
        <w:rPr>
          <w:rFonts w:eastAsia="SimSun" w:cs="Times New Roman"/>
        </w:rPr>
        <w:t>as a result of the</w:t>
      </w:r>
      <w:r w:rsidRPr="0032667E">
        <w:rPr>
          <w:rFonts w:eastAsia="SimSun" w:cs="Times New Roman"/>
        </w:rPr>
        <w:t xml:space="preserve"> oil and gas operations</w:t>
      </w:r>
      <w:r w:rsidR="00452583" w:rsidRPr="0032667E">
        <w:rPr>
          <w:rFonts w:eastAsia="SimSun" w:cs="Times New Roman"/>
        </w:rPr>
        <w:t xml:space="preserve"> </w:t>
      </w:r>
      <w:r w:rsidRPr="0032667E">
        <w:rPr>
          <w:rFonts w:eastAsia="SimSun" w:cs="Times New Roman"/>
        </w:rPr>
        <w:t xml:space="preserve">in the </w:t>
      </w:r>
      <w:r w:rsidR="0032667E" w:rsidRPr="0032667E">
        <w:rPr>
          <w:rFonts w:eastAsia="SimSun" w:cs="Times New Roman"/>
        </w:rPr>
        <w:t>area</w:t>
      </w:r>
      <w:r w:rsidRPr="0032667E">
        <w:rPr>
          <w:rFonts w:eastAsia="SimSun" w:cs="Times New Roman"/>
        </w:rPr>
        <w:t>.</w:t>
      </w:r>
      <w:r w:rsidR="004108E9">
        <w:rPr>
          <w:rFonts w:eastAsia="SimSun" w:cs="Times New Roman"/>
        </w:rPr>
        <w:t xml:space="preserve"> To commence</w:t>
      </w:r>
      <w:r w:rsidR="004108E9" w:rsidRPr="004108E9">
        <w:rPr>
          <w:rFonts w:eastAsia="SimSun" w:cs="Times New Roman"/>
        </w:rPr>
        <w:t xml:space="preserve"> CO</w:t>
      </w:r>
      <w:r w:rsidR="004108E9" w:rsidRPr="004108E9">
        <w:rPr>
          <w:rFonts w:eastAsia="SimSun" w:cs="Times New Roman"/>
          <w:vertAlign w:val="subscript"/>
        </w:rPr>
        <w:t xml:space="preserve">2 </w:t>
      </w:r>
      <w:r w:rsidR="004108E9" w:rsidRPr="004108E9">
        <w:rPr>
          <w:rFonts w:eastAsia="SimSun" w:cs="Times New Roman"/>
        </w:rPr>
        <w:t xml:space="preserve">injection at the Wellington site, the US EPA, as part of the permitting process, </w:t>
      </w:r>
      <w:r w:rsidR="004108E9" w:rsidRPr="004108E9">
        <w:rPr>
          <w:rFonts w:eastAsia="SimSun" w:cs="Times New Roman"/>
        </w:rPr>
        <w:lastRenderedPageBreak/>
        <w:t xml:space="preserve">required </w:t>
      </w:r>
      <w:r w:rsidR="004108E9">
        <w:rPr>
          <w:rFonts w:eastAsia="SimSun" w:cs="Times New Roman"/>
        </w:rPr>
        <w:t xml:space="preserve">an analysis to show that the injection of </w:t>
      </w:r>
      <w:r w:rsidR="004108E9" w:rsidRPr="004108E9">
        <w:rPr>
          <w:rFonts w:eastAsia="SimSun" w:cs="Times New Roman"/>
        </w:rPr>
        <w:t>CO</w:t>
      </w:r>
      <w:r w:rsidR="004108E9" w:rsidRPr="004108E9">
        <w:rPr>
          <w:rFonts w:eastAsia="SimSun" w:cs="Times New Roman"/>
          <w:vertAlign w:val="subscript"/>
        </w:rPr>
        <w:t>2</w:t>
      </w:r>
      <w:r w:rsidR="004108E9">
        <w:rPr>
          <w:rFonts w:eastAsia="SimSun" w:cs="Times New Roman"/>
        </w:rPr>
        <w:t xml:space="preserve"> into the formation would not induce seismicity. This became particularly eminent when an 8,00ft long fault was found near the injection site </w:t>
      </w:r>
      <w:sdt>
        <w:sdtPr>
          <w:rPr>
            <w:rFonts w:eastAsia="SimSun" w:cs="Times New Roman"/>
          </w:rPr>
          <w:id w:val="-912233091"/>
          <w:citation/>
        </w:sdtPr>
        <w:sdtContent>
          <w:r w:rsidR="004108E9">
            <w:rPr>
              <w:rFonts w:eastAsia="SimSun" w:cs="Times New Roman"/>
            </w:rPr>
            <w:fldChar w:fldCharType="begin"/>
          </w:r>
          <w:r w:rsidR="004108E9">
            <w:rPr>
              <w:rFonts w:eastAsia="SimSun" w:cs="Times New Roman"/>
            </w:rPr>
            <w:instrText xml:space="preserve"> CITATION Bir22 \l 1033 </w:instrText>
          </w:r>
          <w:r w:rsidR="004108E9">
            <w:rPr>
              <w:rFonts w:eastAsia="SimSun" w:cs="Times New Roman"/>
            </w:rPr>
            <w:fldChar w:fldCharType="separate"/>
          </w:r>
          <w:r w:rsidR="00C84822" w:rsidRPr="00C84822">
            <w:rPr>
              <w:rFonts w:eastAsia="SimSun" w:cs="Times New Roman"/>
              <w:noProof/>
            </w:rPr>
            <w:t>(Birdie, et al., Assessing Induced Seismicity Risk at the Wellington Geologic Sequestration Site, 2022)</w:t>
          </w:r>
          <w:r w:rsidR="004108E9">
            <w:rPr>
              <w:rFonts w:eastAsia="SimSun" w:cs="Times New Roman"/>
            </w:rPr>
            <w:fldChar w:fldCharType="end"/>
          </w:r>
        </w:sdtContent>
      </w:sdt>
      <w:r w:rsidR="004108E9">
        <w:rPr>
          <w:rFonts w:eastAsia="SimSun" w:cs="Times New Roman"/>
        </w:rPr>
        <w:t xml:space="preserve">. </w:t>
      </w:r>
    </w:p>
    <w:p w14:paraId="79EA3373" w14:textId="77777777" w:rsidR="004108E9" w:rsidRPr="004108E9" w:rsidRDefault="004108E9" w:rsidP="004108E9">
      <w:pPr>
        <w:suppressAutoHyphens/>
        <w:overflowPunct w:val="0"/>
        <w:autoSpaceDE w:val="0"/>
        <w:autoSpaceDN w:val="0"/>
        <w:adjustRightInd w:val="0"/>
        <w:spacing w:after="0"/>
        <w:textAlignment w:val="baseline"/>
        <w:rPr>
          <w:rFonts w:eastAsia="SimSun" w:cs="Times New Roman"/>
        </w:rPr>
      </w:pPr>
    </w:p>
    <w:p w14:paraId="30162840" w14:textId="3162B498" w:rsidR="004108E9" w:rsidRDefault="008F09D6" w:rsidP="004108E9">
      <w:pPr>
        <w:pStyle w:val="Caption"/>
        <w:keepNext/>
      </w:pPr>
      <w:r>
        <w:rPr>
          <w:noProof/>
        </w:rPr>
        <w:drawing>
          <wp:inline distT="0" distB="0" distL="0" distR="0" wp14:anchorId="1208B8A8" wp14:editId="497D226C">
            <wp:extent cx="6014915" cy="335391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38218" cy="3366911"/>
                    </a:xfrm>
                    <a:prstGeom prst="rect">
                      <a:avLst/>
                    </a:prstGeom>
                    <a:noFill/>
                  </pic:spPr>
                </pic:pic>
              </a:graphicData>
            </a:graphic>
          </wp:inline>
        </w:drawing>
      </w:r>
    </w:p>
    <w:p w14:paraId="06449D89" w14:textId="15B0E024" w:rsidR="004108E9" w:rsidRDefault="004108E9" w:rsidP="004108E9">
      <w:pPr>
        <w:pStyle w:val="Caption"/>
      </w:pPr>
      <w:bookmarkStart w:id="125" w:name="_Toc121265888"/>
      <w:r>
        <w:t xml:space="preserve">Figure </w:t>
      </w:r>
      <w:fldSimple w:instr=" SEQ Figure \* ARABIC ">
        <w:r w:rsidR="00955725">
          <w:rPr>
            <w:noProof/>
          </w:rPr>
          <w:t>45</w:t>
        </w:r>
      </w:fldSimple>
      <w:r>
        <w:t xml:space="preserve">: </w:t>
      </w:r>
      <w:r w:rsidRPr="001D170F">
        <w:t xml:space="preserve">8000ft Long Fault in Wellington Site. </w:t>
      </w:r>
      <w:r w:rsidR="008F09D6">
        <w:t>Modified from</w:t>
      </w:r>
      <w:r w:rsidRPr="001D170F">
        <w:t xml:space="preserve"> </w:t>
      </w:r>
      <w:sdt>
        <w:sdtPr>
          <w:id w:val="1913967172"/>
          <w:citation/>
        </w:sdtPr>
        <w:sdtContent>
          <w:r>
            <w:fldChar w:fldCharType="begin"/>
          </w:r>
          <w:r>
            <w:instrText xml:space="preserve"> CITATION Bir22 \l 1033 </w:instrText>
          </w:r>
          <w:r>
            <w:fldChar w:fldCharType="separate"/>
          </w:r>
          <w:r w:rsidR="00C84822">
            <w:rPr>
              <w:noProof/>
            </w:rPr>
            <w:t>(Birdie, et al., Assessing Induced Seismicity Risk at the Wellington Geologic Sequestration Site, 2022)</w:t>
          </w:r>
          <w:r>
            <w:fldChar w:fldCharType="end"/>
          </w:r>
        </w:sdtContent>
      </w:sdt>
      <w:bookmarkEnd w:id="125"/>
    </w:p>
    <w:p w14:paraId="13ECBB08" w14:textId="115C3C3B" w:rsidR="00452583" w:rsidRDefault="00452583" w:rsidP="004108E9">
      <w:pPr>
        <w:pStyle w:val="Caption"/>
        <w:rPr>
          <w:rFonts w:eastAsia="SimSun" w:cs="Times New Roman"/>
        </w:rPr>
      </w:pPr>
    </w:p>
    <w:p w14:paraId="349E2D83" w14:textId="151291EF" w:rsidR="00835EB9" w:rsidRDefault="00420853" w:rsidP="00B07616">
      <w:pPr>
        <w:suppressAutoHyphens/>
        <w:overflowPunct w:val="0"/>
        <w:autoSpaceDE w:val="0"/>
        <w:autoSpaceDN w:val="0"/>
        <w:adjustRightInd w:val="0"/>
        <w:spacing w:after="0"/>
        <w:textAlignment w:val="baseline"/>
        <w:rPr>
          <w:rFonts w:eastAsia="SimSun" w:cs="Times New Roman"/>
        </w:rPr>
      </w:pPr>
      <w:r w:rsidRPr="37DBAC1B">
        <w:rPr>
          <w:rFonts w:eastAsia="SimSun" w:cs="Times New Roman"/>
        </w:rPr>
        <w:t xml:space="preserve">The </w:t>
      </w:r>
      <w:r>
        <w:rPr>
          <w:rFonts w:eastAsia="SimSun" w:cs="Times New Roman"/>
        </w:rPr>
        <w:t>data</w:t>
      </w:r>
      <w:r w:rsidR="00835EB9">
        <w:rPr>
          <w:rFonts w:eastAsia="SimSun" w:cs="Times New Roman"/>
        </w:rPr>
        <w:t xml:space="preserve"> for the model is shown in the tables below.</w:t>
      </w:r>
    </w:p>
    <w:p w14:paraId="7DD87AC1" w14:textId="15AF7B0F" w:rsidR="00835EB9" w:rsidRDefault="00835EB9" w:rsidP="00835EB9">
      <w:pPr>
        <w:pStyle w:val="Caption"/>
        <w:keepNext/>
        <w:jc w:val="left"/>
      </w:pPr>
      <w:bookmarkStart w:id="126" w:name="_Toc120839867"/>
      <w:r>
        <w:t xml:space="preserve">Table </w:t>
      </w:r>
      <w:fldSimple w:instr=" SEQ Table \* ARABIC ">
        <w:r w:rsidR="00955725">
          <w:rPr>
            <w:noProof/>
          </w:rPr>
          <w:t>9</w:t>
        </w:r>
      </w:fldSimple>
      <w:r>
        <w:t xml:space="preserve">: </w:t>
      </w:r>
      <w:r w:rsidR="00420853">
        <w:t xml:space="preserve">Site </w:t>
      </w:r>
      <w:r>
        <w:t>Reservoir properties</w:t>
      </w:r>
      <w:bookmarkEnd w:id="126"/>
    </w:p>
    <w:tbl>
      <w:tblPr>
        <w:tblStyle w:val="TableGrid"/>
        <w:tblW w:w="9582" w:type="dxa"/>
        <w:tblLook w:val="0420" w:firstRow="1" w:lastRow="0" w:firstColumn="0" w:lastColumn="0" w:noHBand="0" w:noVBand="1"/>
      </w:tblPr>
      <w:tblGrid>
        <w:gridCol w:w="2844"/>
        <w:gridCol w:w="2664"/>
        <w:gridCol w:w="4074"/>
      </w:tblGrid>
      <w:tr w:rsidR="00835EB9" w:rsidRPr="00835EB9" w14:paraId="597E728C" w14:textId="77777777" w:rsidTr="009F6F03">
        <w:trPr>
          <w:trHeight w:val="511"/>
        </w:trPr>
        <w:tc>
          <w:tcPr>
            <w:tcW w:w="2844" w:type="dxa"/>
            <w:hideMark/>
          </w:tcPr>
          <w:p w14:paraId="401378C9" w14:textId="77777777" w:rsidR="00835EB9" w:rsidRPr="00835EB9" w:rsidRDefault="00835EB9" w:rsidP="00835EB9">
            <w:pPr>
              <w:spacing w:before="0" w:after="0" w:line="240" w:lineRule="auto"/>
              <w:jc w:val="left"/>
              <w:rPr>
                <w:rFonts w:eastAsia="Times New Roman" w:cs="Times New Roman"/>
                <w:sz w:val="24"/>
                <w:szCs w:val="24"/>
              </w:rPr>
            </w:pPr>
            <w:r w:rsidRPr="00835EB9">
              <w:rPr>
                <w:rFonts w:eastAsia="Times New Roman" w:cs="Times New Roman"/>
                <w:b/>
                <w:bCs/>
                <w:kern w:val="24"/>
                <w:sz w:val="24"/>
                <w:szCs w:val="24"/>
              </w:rPr>
              <w:t>Parameter</w:t>
            </w:r>
          </w:p>
        </w:tc>
        <w:tc>
          <w:tcPr>
            <w:tcW w:w="2664" w:type="dxa"/>
            <w:hideMark/>
          </w:tcPr>
          <w:p w14:paraId="460D9488" w14:textId="77777777" w:rsidR="00835EB9" w:rsidRPr="00835EB9" w:rsidRDefault="00835EB9" w:rsidP="00835EB9">
            <w:pPr>
              <w:spacing w:before="0" w:after="0" w:line="240" w:lineRule="auto"/>
              <w:jc w:val="left"/>
              <w:rPr>
                <w:rFonts w:eastAsia="Times New Roman" w:cs="Times New Roman"/>
                <w:sz w:val="24"/>
                <w:szCs w:val="24"/>
              </w:rPr>
            </w:pPr>
            <w:r w:rsidRPr="00835EB9">
              <w:rPr>
                <w:rFonts w:eastAsia="Times New Roman" w:cs="Times New Roman"/>
                <w:b/>
                <w:bCs/>
                <w:kern w:val="24"/>
                <w:sz w:val="24"/>
                <w:szCs w:val="24"/>
              </w:rPr>
              <w:t>Values</w:t>
            </w:r>
          </w:p>
        </w:tc>
        <w:tc>
          <w:tcPr>
            <w:tcW w:w="4074" w:type="dxa"/>
            <w:hideMark/>
          </w:tcPr>
          <w:p w14:paraId="12080A43" w14:textId="77777777" w:rsidR="00835EB9" w:rsidRPr="00835EB9" w:rsidRDefault="00835EB9" w:rsidP="00835EB9">
            <w:pPr>
              <w:spacing w:before="0" w:after="0" w:line="240" w:lineRule="auto"/>
              <w:jc w:val="left"/>
              <w:rPr>
                <w:rFonts w:eastAsia="Times New Roman" w:cs="Times New Roman"/>
                <w:sz w:val="24"/>
                <w:szCs w:val="24"/>
              </w:rPr>
            </w:pPr>
            <w:r w:rsidRPr="00835EB9">
              <w:rPr>
                <w:rFonts w:eastAsia="Times New Roman" w:cs="Times New Roman"/>
                <w:b/>
                <w:bCs/>
                <w:kern w:val="24"/>
                <w:sz w:val="24"/>
                <w:szCs w:val="24"/>
              </w:rPr>
              <w:t>Method</w:t>
            </w:r>
          </w:p>
        </w:tc>
      </w:tr>
      <w:tr w:rsidR="00835EB9" w:rsidRPr="00835EB9" w14:paraId="7CBFF192" w14:textId="77777777" w:rsidTr="009F6F03">
        <w:trPr>
          <w:trHeight w:val="659"/>
        </w:trPr>
        <w:tc>
          <w:tcPr>
            <w:tcW w:w="2844" w:type="dxa"/>
            <w:hideMark/>
          </w:tcPr>
          <w:p w14:paraId="62FD4644" w14:textId="77777777" w:rsidR="00835EB9" w:rsidRPr="00835EB9" w:rsidRDefault="00835EB9" w:rsidP="00835EB9">
            <w:pPr>
              <w:spacing w:before="0" w:after="0" w:line="240" w:lineRule="auto"/>
              <w:jc w:val="left"/>
              <w:rPr>
                <w:rFonts w:eastAsia="Times New Roman" w:cs="Times New Roman"/>
                <w:sz w:val="24"/>
                <w:szCs w:val="24"/>
              </w:rPr>
            </w:pPr>
            <w:r w:rsidRPr="00835EB9">
              <w:rPr>
                <w:rFonts w:eastAsia="Times New Roman" w:cs="Times New Roman"/>
                <w:color w:val="000000" w:themeColor="dark1"/>
                <w:kern w:val="24"/>
                <w:sz w:val="24"/>
                <w:szCs w:val="24"/>
              </w:rPr>
              <w:t>Reservoir Depth</w:t>
            </w:r>
          </w:p>
        </w:tc>
        <w:tc>
          <w:tcPr>
            <w:tcW w:w="2664" w:type="dxa"/>
            <w:hideMark/>
          </w:tcPr>
          <w:p w14:paraId="297D7DA4" w14:textId="77777777" w:rsidR="00835EB9" w:rsidRPr="00835EB9" w:rsidRDefault="00835EB9" w:rsidP="00835EB9">
            <w:pPr>
              <w:spacing w:before="0" w:after="0" w:line="240" w:lineRule="auto"/>
              <w:jc w:val="left"/>
              <w:rPr>
                <w:rFonts w:eastAsia="Times New Roman" w:cs="Times New Roman"/>
                <w:sz w:val="24"/>
                <w:szCs w:val="24"/>
              </w:rPr>
            </w:pPr>
            <w:r w:rsidRPr="00835EB9">
              <w:rPr>
                <w:rFonts w:eastAsia="Times New Roman" w:cs="Times New Roman"/>
                <w:color w:val="000000" w:themeColor="dark1"/>
                <w:kern w:val="24"/>
                <w:sz w:val="24"/>
                <w:szCs w:val="24"/>
              </w:rPr>
              <w:t xml:space="preserve"> 4980ft</w:t>
            </w:r>
          </w:p>
        </w:tc>
        <w:tc>
          <w:tcPr>
            <w:tcW w:w="4074" w:type="dxa"/>
            <w:hideMark/>
          </w:tcPr>
          <w:p w14:paraId="4E49B560" w14:textId="77777777" w:rsidR="00835EB9" w:rsidRPr="00835EB9" w:rsidRDefault="00835EB9" w:rsidP="00835EB9">
            <w:pPr>
              <w:spacing w:before="0" w:after="0" w:line="240" w:lineRule="auto"/>
              <w:jc w:val="left"/>
              <w:rPr>
                <w:rFonts w:eastAsia="Times New Roman" w:cs="Times New Roman"/>
                <w:sz w:val="24"/>
                <w:szCs w:val="24"/>
              </w:rPr>
            </w:pPr>
            <w:r w:rsidRPr="00835EB9">
              <w:rPr>
                <w:rFonts w:eastAsia="Times New Roman" w:cs="Times New Roman"/>
                <w:color w:val="000000" w:themeColor="dark1"/>
                <w:kern w:val="24"/>
                <w:sz w:val="24"/>
                <w:szCs w:val="24"/>
              </w:rPr>
              <w:t>Injection depth</w:t>
            </w:r>
          </w:p>
        </w:tc>
      </w:tr>
      <w:tr w:rsidR="00835EB9" w:rsidRPr="00835EB9" w14:paraId="40BEC853" w14:textId="77777777" w:rsidTr="009F6F03">
        <w:trPr>
          <w:trHeight w:val="192"/>
        </w:trPr>
        <w:tc>
          <w:tcPr>
            <w:tcW w:w="2844" w:type="dxa"/>
            <w:hideMark/>
          </w:tcPr>
          <w:p w14:paraId="6AA37C1A" w14:textId="77777777" w:rsidR="00835EB9" w:rsidRPr="00835EB9" w:rsidRDefault="00835EB9" w:rsidP="00835EB9">
            <w:pPr>
              <w:spacing w:before="0" w:after="0" w:line="240" w:lineRule="auto"/>
              <w:jc w:val="left"/>
              <w:rPr>
                <w:rFonts w:eastAsia="Times New Roman" w:cs="Times New Roman"/>
                <w:sz w:val="24"/>
                <w:szCs w:val="24"/>
              </w:rPr>
            </w:pPr>
            <w:r w:rsidRPr="00835EB9">
              <w:rPr>
                <w:rFonts w:eastAsia="Times New Roman" w:cs="Times New Roman"/>
                <w:color w:val="000000" w:themeColor="dark1"/>
                <w:kern w:val="24"/>
                <w:sz w:val="24"/>
                <w:szCs w:val="24"/>
              </w:rPr>
              <w:t>Pore pressure gradient</w:t>
            </w:r>
          </w:p>
        </w:tc>
        <w:tc>
          <w:tcPr>
            <w:tcW w:w="2664" w:type="dxa"/>
            <w:hideMark/>
          </w:tcPr>
          <w:p w14:paraId="1CDCDA46" w14:textId="77777777" w:rsidR="00835EB9" w:rsidRPr="00835EB9" w:rsidRDefault="00835EB9" w:rsidP="00835EB9">
            <w:pPr>
              <w:spacing w:before="0" w:after="0" w:line="240" w:lineRule="auto"/>
              <w:jc w:val="left"/>
              <w:rPr>
                <w:rFonts w:eastAsia="Times New Roman" w:cs="Times New Roman"/>
                <w:sz w:val="24"/>
                <w:szCs w:val="24"/>
              </w:rPr>
            </w:pPr>
            <w:r w:rsidRPr="00835EB9">
              <w:rPr>
                <w:rFonts w:eastAsia="Times New Roman" w:cs="Times New Roman"/>
                <w:color w:val="000000" w:themeColor="dark1"/>
                <w:kern w:val="24"/>
                <w:sz w:val="24"/>
                <w:szCs w:val="24"/>
              </w:rPr>
              <w:t>0.42psi/ft</w:t>
            </w:r>
          </w:p>
        </w:tc>
        <w:tc>
          <w:tcPr>
            <w:tcW w:w="4074" w:type="dxa"/>
            <w:hideMark/>
          </w:tcPr>
          <w:p w14:paraId="5FAE6753" w14:textId="77777777" w:rsidR="00835EB9" w:rsidRPr="00835EB9" w:rsidRDefault="00835EB9" w:rsidP="00835EB9">
            <w:pPr>
              <w:spacing w:before="0" w:after="0" w:line="240" w:lineRule="auto"/>
              <w:jc w:val="left"/>
              <w:rPr>
                <w:rFonts w:eastAsia="Times New Roman" w:cs="Times New Roman"/>
                <w:sz w:val="24"/>
                <w:szCs w:val="24"/>
              </w:rPr>
            </w:pPr>
            <w:r w:rsidRPr="00835EB9">
              <w:rPr>
                <w:rFonts w:eastAsia="Times New Roman" w:cs="Times New Roman"/>
                <w:color w:val="000000" w:themeColor="dark1"/>
                <w:kern w:val="24"/>
                <w:sz w:val="24"/>
                <w:szCs w:val="24"/>
              </w:rPr>
              <w:t>Measured pressure gradient at KGS 1-32 and KGS 1-28</w:t>
            </w:r>
          </w:p>
        </w:tc>
      </w:tr>
      <w:tr w:rsidR="00835EB9" w:rsidRPr="00835EB9" w14:paraId="53B43123" w14:textId="77777777" w:rsidTr="009F6F03">
        <w:trPr>
          <w:trHeight w:val="1021"/>
        </w:trPr>
        <w:tc>
          <w:tcPr>
            <w:tcW w:w="2844" w:type="dxa"/>
            <w:hideMark/>
          </w:tcPr>
          <w:p w14:paraId="7217E494" w14:textId="77777777" w:rsidR="00835EB9" w:rsidRPr="00835EB9" w:rsidRDefault="00835EB9" w:rsidP="00835EB9">
            <w:pPr>
              <w:spacing w:before="0" w:after="0" w:line="240" w:lineRule="auto"/>
              <w:jc w:val="left"/>
              <w:rPr>
                <w:rFonts w:eastAsia="Times New Roman" w:cs="Times New Roman"/>
                <w:sz w:val="24"/>
                <w:szCs w:val="24"/>
              </w:rPr>
            </w:pPr>
            <w:r w:rsidRPr="00835EB9">
              <w:rPr>
                <w:rFonts w:eastAsia="Times New Roman" w:cs="Times New Roman"/>
                <w:color w:val="000000" w:themeColor="dark1"/>
                <w:kern w:val="24"/>
                <w:sz w:val="24"/>
                <w:szCs w:val="24"/>
              </w:rPr>
              <w:lastRenderedPageBreak/>
              <w:t>Average overburden density</w:t>
            </w:r>
          </w:p>
        </w:tc>
        <w:tc>
          <w:tcPr>
            <w:tcW w:w="2664" w:type="dxa"/>
            <w:hideMark/>
          </w:tcPr>
          <w:p w14:paraId="19A8E619" w14:textId="77777777" w:rsidR="00835EB9" w:rsidRPr="00835EB9" w:rsidRDefault="00835EB9" w:rsidP="00835EB9">
            <w:pPr>
              <w:spacing w:before="0" w:after="0" w:line="240" w:lineRule="auto"/>
              <w:jc w:val="left"/>
              <w:rPr>
                <w:rFonts w:eastAsia="Times New Roman" w:cs="Times New Roman"/>
                <w:sz w:val="24"/>
                <w:szCs w:val="24"/>
              </w:rPr>
            </w:pPr>
            <w:r w:rsidRPr="00835EB9">
              <w:rPr>
                <w:rFonts w:eastAsia="Times New Roman" w:cs="Times New Roman"/>
                <w:color w:val="000000" w:themeColor="dark1"/>
                <w:kern w:val="24"/>
                <w:sz w:val="24"/>
                <w:szCs w:val="24"/>
              </w:rPr>
              <w:t>1.12psi/ft</w:t>
            </w:r>
          </w:p>
        </w:tc>
        <w:tc>
          <w:tcPr>
            <w:tcW w:w="4074" w:type="dxa"/>
            <w:hideMark/>
          </w:tcPr>
          <w:p w14:paraId="7F9008F2" w14:textId="77777777" w:rsidR="00835EB9" w:rsidRPr="00835EB9" w:rsidRDefault="00835EB9" w:rsidP="00835EB9">
            <w:pPr>
              <w:spacing w:before="0" w:after="0" w:line="240" w:lineRule="auto"/>
              <w:jc w:val="left"/>
              <w:rPr>
                <w:rFonts w:eastAsia="Times New Roman" w:cs="Times New Roman"/>
                <w:sz w:val="24"/>
                <w:szCs w:val="24"/>
              </w:rPr>
            </w:pPr>
            <w:r w:rsidRPr="00835EB9">
              <w:rPr>
                <w:rFonts w:eastAsia="Times New Roman" w:cs="Times New Roman"/>
                <w:color w:val="000000" w:themeColor="dark1"/>
                <w:kern w:val="24"/>
                <w:sz w:val="24"/>
                <w:szCs w:val="24"/>
              </w:rPr>
              <w:t>From density log of Arbuckle formation, compared with knowledge of lithology of area</w:t>
            </w:r>
          </w:p>
        </w:tc>
      </w:tr>
      <w:tr w:rsidR="00835EB9" w:rsidRPr="00835EB9" w14:paraId="455AF13A" w14:textId="77777777" w:rsidTr="009F6F03">
        <w:trPr>
          <w:trHeight w:val="1021"/>
        </w:trPr>
        <w:tc>
          <w:tcPr>
            <w:tcW w:w="2844" w:type="dxa"/>
            <w:hideMark/>
          </w:tcPr>
          <w:p w14:paraId="42CDE40E" w14:textId="77777777" w:rsidR="00835EB9" w:rsidRPr="00835EB9" w:rsidRDefault="00835EB9" w:rsidP="00835EB9">
            <w:pPr>
              <w:spacing w:before="0" w:after="0" w:line="240" w:lineRule="auto"/>
              <w:jc w:val="left"/>
              <w:rPr>
                <w:rFonts w:eastAsia="Times New Roman" w:cs="Times New Roman"/>
                <w:sz w:val="24"/>
                <w:szCs w:val="24"/>
              </w:rPr>
            </w:pPr>
            <w:r w:rsidRPr="00835EB9">
              <w:rPr>
                <w:rFonts w:eastAsia="Times New Roman" w:cs="Times New Roman"/>
                <w:color w:val="000000" w:themeColor="dark1"/>
                <w:kern w:val="24"/>
                <w:sz w:val="24"/>
                <w:szCs w:val="24"/>
              </w:rPr>
              <w:t>Maximum injection pressure</w:t>
            </w:r>
          </w:p>
        </w:tc>
        <w:tc>
          <w:tcPr>
            <w:tcW w:w="2664" w:type="dxa"/>
            <w:hideMark/>
          </w:tcPr>
          <w:p w14:paraId="6FB2CCD7" w14:textId="77777777" w:rsidR="00835EB9" w:rsidRPr="00835EB9" w:rsidRDefault="00835EB9" w:rsidP="00835EB9">
            <w:pPr>
              <w:spacing w:before="0" w:after="0" w:line="240" w:lineRule="auto"/>
              <w:jc w:val="left"/>
              <w:rPr>
                <w:rFonts w:eastAsia="Times New Roman" w:cs="Times New Roman"/>
                <w:sz w:val="24"/>
                <w:szCs w:val="24"/>
              </w:rPr>
            </w:pPr>
            <w:r w:rsidRPr="00835EB9">
              <w:rPr>
                <w:rFonts w:eastAsia="Times New Roman" w:cs="Times New Roman"/>
                <w:color w:val="000000" w:themeColor="dark1"/>
                <w:kern w:val="24"/>
                <w:sz w:val="24"/>
                <w:szCs w:val="24"/>
              </w:rPr>
              <w:t>2690 psi</w:t>
            </w:r>
          </w:p>
        </w:tc>
        <w:tc>
          <w:tcPr>
            <w:tcW w:w="4074" w:type="dxa"/>
            <w:hideMark/>
          </w:tcPr>
          <w:p w14:paraId="3969598E" w14:textId="77777777" w:rsidR="00835EB9" w:rsidRPr="00835EB9" w:rsidRDefault="00835EB9" w:rsidP="00835EB9">
            <w:pPr>
              <w:spacing w:before="0" w:after="0" w:line="240" w:lineRule="auto"/>
              <w:jc w:val="left"/>
              <w:rPr>
                <w:rFonts w:eastAsia="Times New Roman" w:cs="Times New Roman"/>
                <w:sz w:val="24"/>
                <w:szCs w:val="24"/>
              </w:rPr>
            </w:pPr>
            <w:r w:rsidRPr="00835EB9">
              <w:rPr>
                <w:rFonts w:eastAsia="Times New Roman" w:cs="Times New Roman"/>
                <w:color w:val="000000" w:themeColor="dark1"/>
                <w:kern w:val="24"/>
                <w:sz w:val="24"/>
                <w:szCs w:val="24"/>
              </w:rPr>
              <w:t>Average fracture gradient in Arbuckle formation = 0.6 psi/ft</w:t>
            </w:r>
          </w:p>
          <w:p w14:paraId="199D6365" w14:textId="77777777" w:rsidR="00835EB9" w:rsidRPr="00835EB9" w:rsidRDefault="00835EB9" w:rsidP="00835EB9">
            <w:pPr>
              <w:spacing w:before="0" w:after="0" w:line="240" w:lineRule="auto"/>
              <w:jc w:val="left"/>
              <w:rPr>
                <w:rFonts w:eastAsia="Times New Roman" w:cs="Times New Roman"/>
                <w:sz w:val="24"/>
                <w:szCs w:val="24"/>
              </w:rPr>
            </w:pPr>
            <w:r w:rsidRPr="00835EB9">
              <w:rPr>
                <w:rFonts w:eastAsia="Times New Roman" w:cs="Times New Roman"/>
                <w:color w:val="000000" w:themeColor="dark1"/>
                <w:kern w:val="24"/>
                <w:sz w:val="24"/>
                <w:szCs w:val="24"/>
              </w:rPr>
              <w:t>According UIC Class IV Requirements, the injection pressure should be less than 90% of formation gradient</w:t>
            </w:r>
          </w:p>
          <w:p w14:paraId="45FAE61E" w14:textId="77777777" w:rsidR="00835EB9" w:rsidRPr="00835EB9" w:rsidRDefault="00835EB9" w:rsidP="00835EB9">
            <w:pPr>
              <w:spacing w:before="0" w:after="0" w:line="240" w:lineRule="auto"/>
              <w:jc w:val="left"/>
              <w:rPr>
                <w:rFonts w:eastAsia="Times New Roman" w:cs="Times New Roman"/>
                <w:sz w:val="24"/>
                <w:szCs w:val="24"/>
              </w:rPr>
            </w:pPr>
            <w:r w:rsidRPr="00835EB9">
              <w:rPr>
                <w:rFonts w:eastAsia="Times New Roman" w:cs="Times New Roman"/>
                <w:color w:val="000000" w:themeColor="dark1"/>
                <w:kern w:val="24"/>
                <w:sz w:val="24"/>
                <w:szCs w:val="24"/>
              </w:rPr>
              <w:t>0.6 * 0.9 * Average Depth</w:t>
            </w:r>
          </w:p>
        </w:tc>
      </w:tr>
      <w:tr w:rsidR="00835EB9" w:rsidRPr="00835EB9" w14:paraId="607681A8" w14:textId="77777777" w:rsidTr="009F6F03">
        <w:trPr>
          <w:trHeight w:val="515"/>
        </w:trPr>
        <w:tc>
          <w:tcPr>
            <w:tcW w:w="2844" w:type="dxa"/>
            <w:hideMark/>
          </w:tcPr>
          <w:p w14:paraId="4CE5203A" w14:textId="77777777" w:rsidR="00835EB9" w:rsidRPr="00835EB9" w:rsidRDefault="00835EB9" w:rsidP="00835EB9">
            <w:pPr>
              <w:spacing w:before="0" w:after="0" w:line="240" w:lineRule="auto"/>
              <w:jc w:val="left"/>
              <w:rPr>
                <w:rFonts w:eastAsia="Times New Roman" w:cs="Times New Roman"/>
                <w:sz w:val="24"/>
                <w:szCs w:val="24"/>
              </w:rPr>
            </w:pPr>
            <w:r w:rsidRPr="00835EB9">
              <w:rPr>
                <w:rFonts w:eastAsia="Times New Roman" w:cs="Times New Roman"/>
                <w:color w:val="000000" w:themeColor="dark1"/>
                <w:kern w:val="24"/>
                <w:sz w:val="24"/>
                <w:szCs w:val="24"/>
              </w:rPr>
              <w:t xml:space="preserve">Median friction coefficient </w:t>
            </w:r>
          </w:p>
        </w:tc>
        <w:tc>
          <w:tcPr>
            <w:tcW w:w="2664" w:type="dxa"/>
            <w:hideMark/>
          </w:tcPr>
          <w:p w14:paraId="0D1228F7" w14:textId="77777777" w:rsidR="00835EB9" w:rsidRPr="00835EB9" w:rsidRDefault="00835EB9" w:rsidP="00835EB9">
            <w:pPr>
              <w:spacing w:before="0" w:after="0" w:line="240" w:lineRule="auto"/>
              <w:jc w:val="left"/>
              <w:rPr>
                <w:rFonts w:eastAsia="Times New Roman" w:cs="Times New Roman"/>
                <w:sz w:val="24"/>
                <w:szCs w:val="24"/>
              </w:rPr>
            </w:pPr>
            <w:r w:rsidRPr="00835EB9">
              <w:rPr>
                <w:rFonts w:eastAsia="Times New Roman" w:cs="Times New Roman"/>
                <w:color w:val="000000" w:themeColor="dark1"/>
                <w:kern w:val="24"/>
                <w:sz w:val="24"/>
                <w:szCs w:val="24"/>
              </w:rPr>
              <w:t>0.8</w:t>
            </w:r>
          </w:p>
        </w:tc>
        <w:tc>
          <w:tcPr>
            <w:tcW w:w="4074" w:type="dxa"/>
            <w:hideMark/>
          </w:tcPr>
          <w:p w14:paraId="40328E93" w14:textId="77777777" w:rsidR="00BB3204" w:rsidRPr="00BB3204" w:rsidRDefault="00835EB9" w:rsidP="00BB3204">
            <w:pPr>
              <w:spacing w:before="0" w:after="0" w:line="240" w:lineRule="auto"/>
              <w:jc w:val="left"/>
              <w:rPr>
                <w:rFonts w:eastAsia="Times New Roman" w:cs="Times New Roman"/>
                <w:color w:val="000000" w:themeColor="dark1"/>
                <w:kern w:val="24"/>
                <w:sz w:val="24"/>
                <w:szCs w:val="24"/>
              </w:rPr>
            </w:pPr>
            <w:r w:rsidRPr="00835EB9">
              <w:rPr>
                <w:rFonts w:eastAsia="Times New Roman" w:cs="Times New Roman"/>
                <w:color w:val="000000" w:themeColor="dark1"/>
                <w:kern w:val="24"/>
                <w:sz w:val="24"/>
                <w:szCs w:val="24"/>
              </w:rPr>
              <w:t xml:space="preserve">derived from </w:t>
            </w:r>
            <w:r w:rsidR="00BB3204" w:rsidRPr="00BB3204">
              <w:rPr>
                <w:rFonts w:eastAsia="Times New Roman" w:cs="Times New Roman"/>
                <w:color w:val="000000" w:themeColor="dark1"/>
                <w:kern w:val="24"/>
                <w:sz w:val="24"/>
                <w:szCs w:val="24"/>
              </w:rPr>
              <w:t>3-D stress</w:t>
            </w:r>
          </w:p>
          <w:p w14:paraId="0CBA41AF" w14:textId="4E81B049" w:rsidR="00835EB9" w:rsidRPr="00835EB9" w:rsidRDefault="00BB3204" w:rsidP="00BB3204">
            <w:pPr>
              <w:spacing w:before="0" w:after="0" w:line="240" w:lineRule="auto"/>
              <w:jc w:val="left"/>
              <w:rPr>
                <w:rFonts w:eastAsia="Times New Roman" w:cs="Times New Roman"/>
                <w:sz w:val="24"/>
                <w:szCs w:val="24"/>
              </w:rPr>
            </w:pPr>
            <w:r w:rsidRPr="00BB3204">
              <w:rPr>
                <w:rFonts w:eastAsia="Times New Roman" w:cs="Times New Roman"/>
                <w:color w:val="000000" w:themeColor="dark1"/>
                <w:kern w:val="24"/>
                <w:sz w:val="24"/>
                <w:szCs w:val="24"/>
              </w:rPr>
              <w:t>analysis</w:t>
            </w:r>
            <w:r>
              <w:rPr>
                <w:rFonts w:eastAsia="Times New Roman" w:cs="Times New Roman"/>
                <w:color w:val="000000" w:themeColor="dark1"/>
                <w:kern w:val="24"/>
                <w:sz w:val="24"/>
                <w:szCs w:val="24"/>
              </w:rPr>
              <w:t xml:space="preserve"> </w:t>
            </w:r>
            <w:r w:rsidR="00835EB9" w:rsidRPr="00835EB9">
              <w:rPr>
                <w:rFonts w:eastAsia="Times New Roman" w:cs="Times New Roman"/>
                <w:color w:val="000000" w:themeColor="dark1"/>
                <w:kern w:val="24"/>
                <w:sz w:val="24"/>
                <w:szCs w:val="24"/>
              </w:rPr>
              <w:t>tress envelope</w:t>
            </w:r>
          </w:p>
        </w:tc>
      </w:tr>
      <w:tr w:rsidR="00835EB9" w:rsidRPr="00835EB9" w14:paraId="2C6804FC" w14:textId="77777777" w:rsidTr="009F6F03">
        <w:trPr>
          <w:trHeight w:val="1021"/>
        </w:trPr>
        <w:tc>
          <w:tcPr>
            <w:tcW w:w="2844" w:type="dxa"/>
            <w:hideMark/>
          </w:tcPr>
          <w:p w14:paraId="3D58F4E1" w14:textId="77777777" w:rsidR="00835EB9" w:rsidRPr="00835EB9" w:rsidRDefault="00835EB9" w:rsidP="00835EB9">
            <w:pPr>
              <w:spacing w:before="0" w:after="0" w:line="240" w:lineRule="auto"/>
              <w:jc w:val="left"/>
              <w:rPr>
                <w:rFonts w:eastAsia="Times New Roman" w:cs="Times New Roman"/>
                <w:sz w:val="24"/>
                <w:szCs w:val="24"/>
              </w:rPr>
            </w:pPr>
            <w:r w:rsidRPr="00835EB9">
              <w:rPr>
                <w:rFonts w:eastAsia="Times New Roman" w:cs="Times New Roman"/>
                <w:color w:val="000000" w:themeColor="dark1"/>
                <w:kern w:val="24"/>
                <w:sz w:val="24"/>
                <w:szCs w:val="24"/>
              </w:rPr>
              <w:t>Standard Deviation of logarithm of fault friction coefficient</w:t>
            </w:r>
          </w:p>
        </w:tc>
        <w:tc>
          <w:tcPr>
            <w:tcW w:w="2664" w:type="dxa"/>
            <w:hideMark/>
          </w:tcPr>
          <w:p w14:paraId="18B73654" w14:textId="77777777" w:rsidR="00835EB9" w:rsidRPr="00835EB9" w:rsidRDefault="00835EB9" w:rsidP="00835EB9">
            <w:pPr>
              <w:spacing w:before="0" w:after="0" w:line="240" w:lineRule="auto"/>
              <w:jc w:val="left"/>
              <w:rPr>
                <w:rFonts w:eastAsia="Times New Roman" w:cs="Times New Roman"/>
                <w:sz w:val="24"/>
                <w:szCs w:val="24"/>
              </w:rPr>
            </w:pPr>
            <w:r w:rsidRPr="00835EB9">
              <w:rPr>
                <w:rFonts w:eastAsia="Times New Roman" w:cs="Times New Roman"/>
                <w:color w:val="000000" w:themeColor="dark1"/>
                <w:kern w:val="24"/>
                <w:sz w:val="24"/>
                <w:szCs w:val="24"/>
              </w:rPr>
              <w:t>0.15</w:t>
            </w:r>
          </w:p>
        </w:tc>
        <w:tc>
          <w:tcPr>
            <w:tcW w:w="4074" w:type="dxa"/>
            <w:hideMark/>
          </w:tcPr>
          <w:p w14:paraId="47ABFF25" w14:textId="77777777" w:rsidR="00835EB9" w:rsidRPr="00835EB9" w:rsidRDefault="00835EB9" w:rsidP="00835EB9">
            <w:pPr>
              <w:spacing w:before="0" w:after="0" w:line="240" w:lineRule="auto"/>
              <w:jc w:val="left"/>
              <w:rPr>
                <w:rFonts w:eastAsia="Times New Roman" w:cs="Times New Roman"/>
                <w:sz w:val="24"/>
                <w:szCs w:val="24"/>
              </w:rPr>
            </w:pPr>
            <w:r w:rsidRPr="00835EB9">
              <w:rPr>
                <w:rFonts w:eastAsia="Times New Roman" w:cs="Times New Roman"/>
                <w:color w:val="000000" w:themeColor="dark1"/>
                <w:kern w:val="24"/>
                <w:sz w:val="24"/>
                <w:szCs w:val="24"/>
              </w:rPr>
              <w:t xml:space="preserve">default values in the SOSAT </w:t>
            </w:r>
          </w:p>
        </w:tc>
      </w:tr>
      <w:tr w:rsidR="00835EB9" w:rsidRPr="000F2134" w14:paraId="05F3053F" w14:textId="77777777" w:rsidTr="009F6F03">
        <w:trPr>
          <w:trHeight w:val="1021"/>
        </w:trPr>
        <w:tc>
          <w:tcPr>
            <w:tcW w:w="2844" w:type="dxa"/>
            <w:hideMark/>
          </w:tcPr>
          <w:p w14:paraId="2D940985" w14:textId="77777777" w:rsidR="00835EB9" w:rsidRPr="000F2134" w:rsidRDefault="00835EB9" w:rsidP="00835EB9">
            <w:pPr>
              <w:spacing w:before="0" w:after="0" w:line="240" w:lineRule="auto"/>
              <w:jc w:val="left"/>
              <w:rPr>
                <w:rFonts w:eastAsia="Times New Roman" w:cs="Times New Roman"/>
                <w:sz w:val="24"/>
                <w:szCs w:val="24"/>
              </w:rPr>
            </w:pPr>
            <w:r w:rsidRPr="000F2134">
              <w:rPr>
                <w:rFonts w:eastAsia="Times New Roman" w:cs="Times New Roman"/>
                <w:color w:val="000000" w:themeColor="dark1"/>
                <w:kern w:val="24"/>
                <w:sz w:val="24"/>
                <w:szCs w:val="24"/>
              </w:rPr>
              <w:t>Maximum possible friction coefficient</w:t>
            </w:r>
          </w:p>
        </w:tc>
        <w:tc>
          <w:tcPr>
            <w:tcW w:w="2664" w:type="dxa"/>
            <w:hideMark/>
          </w:tcPr>
          <w:p w14:paraId="233E0238" w14:textId="77777777" w:rsidR="00835EB9" w:rsidRPr="000F2134" w:rsidRDefault="00835EB9" w:rsidP="00835EB9">
            <w:pPr>
              <w:spacing w:before="0" w:after="0" w:line="240" w:lineRule="auto"/>
              <w:jc w:val="left"/>
              <w:rPr>
                <w:rFonts w:eastAsia="Times New Roman" w:cs="Times New Roman"/>
                <w:sz w:val="24"/>
                <w:szCs w:val="24"/>
              </w:rPr>
            </w:pPr>
            <w:r w:rsidRPr="000F2134">
              <w:rPr>
                <w:rFonts w:eastAsia="Times New Roman" w:cs="Times New Roman"/>
                <w:color w:val="000000" w:themeColor="dark1"/>
                <w:kern w:val="24"/>
                <w:sz w:val="24"/>
                <w:szCs w:val="24"/>
              </w:rPr>
              <w:t>1.0</w:t>
            </w:r>
          </w:p>
        </w:tc>
        <w:tc>
          <w:tcPr>
            <w:tcW w:w="4074" w:type="dxa"/>
            <w:hideMark/>
          </w:tcPr>
          <w:p w14:paraId="1CE7DC16" w14:textId="77777777" w:rsidR="00835EB9" w:rsidRPr="000F2134" w:rsidRDefault="00835EB9" w:rsidP="00835EB9">
            <w:pPr>
              <w:spacing w:before="0" w:after="0" w:line="240" w:lineRule="auto"/>
              <w:jc w:val="left"/>
              <w:rPr>
                <w:rFonts w:eastAsia="Times New Roman" w:cs="Times New Roman"/>
                <w:sz w:val="24"/>
                <w:szCs w:val="24"/>
              </w:rPr>
            </w:pPr>
            <w:r w:rsidRPr="000F2134">
              <w:rPr>
                <w:rFonts w:eastAsia="Times New Roman" w:cs="Times New Roman"/>
                <w:color w:val="000000" w:themeColor="dark1"/>
                <w:kern w:val="24"/>
                <w:sz w:val="24"/>
                <w:szCs w:val="24"/>
              </w:rPr>
              <w:t>Obtained from Literature by Schulz et al.</w:t>
            </w:r>
          </w:p>
        </w:tc>
      </w:tr>
    </w:tbl>
    <w:p w14:paraId="4D8A6C25" w14:textId="77777777" w:rsidR="00835EB9" w:rsidRPr="000F2134" w:rsidRDefault="00835EB9" w:rsidP="00835EB9">
      <w:pPr>
        <w:pStyle w:val="Caption"/>
        <w:keepNext/>
        <w:jc w:val="left"/>
        <w:rPr>
          <w:szCs w:val="24"/>
        </w:rPr>
      </w:pPr>
    </w:p>
    <w:p w14:paraId="43420410" w14:textId="567BC936" w:rsidR="00835EB9" w:rsidRPr="000F2134" w:rsidRDefault="00835EB9" w:rsidP="00835EB9">
      <w:pPr>
        <w:pStyle w:val="Caption"/>
        <w:keepNext/>
        <w:jc w:val="left"/>
        <w:rPr>
          <w:szCs w:val="24"/>
        </w:rPr>
      </w:pPr>
      <w:bookmarkStart w:id="127" w:name="_Toc120839868"/>
      <w:r w:rsidRPr="000F2134">
        <w:rPr>
          <w:szCs w:val="24"/>
        </w:rPr>
        <w:t xml:space="preserve">Table </w:t>
      </w:r>
      <w:r w:rsidRPr="000F2134">
        <w:rPr>
          <w:szCs w:val="24"/>
        </w:rPr>
        <w:fldChar w:fldCharType="begin"/>
      </w:r>
      <w:r w:rsidRPr="000F2134">
        <w:rPr>
          <w:szCs w:val="24"/>
        </w:rPr>
        <w:instrText xml:space="preserve"> SEQ Table \* ARABIC </w:instrText>
      </w:r>
      <w:r w:rsidRPr="000F2134">
        <w:rPr>
          <w:szCs w:val="24"/>
        </w:rPr>
        <w:fldChar w:fldCharType="separate"/>
      </w:r>
      <w:r w:rsidR="00955725">
        <w:rPr>
          <w:noProof/>
          <w:szCs w:val="24"/>
        </w:rPr>
        <w:t>10</w:t>
      </w:r>
      <w:r w:rsidRPr="000F2134">
        <w:rPr>
          <w:noProof/>
          <w:szCs w:val="24"/>
        </w:rPr>
        <w:fldChar w:fldCharType="end"/>
      </w:r>
      <w:r w:rsidRPr="000F2134">
        <w:rPr>
          <w:szCs w:val="24"/>
        </w:rPr>
        <w:t xml:space="preserve">: </w:t>
      </w:r>
      <w:r w:rsidR="00420853" w:rsidRPr="000F2134">
        <w:rPr>
          <w:szCs w:val="24"/>
        </w:rPr>
        <w:t xml:space="preserve">Site </w:t>
      </w:r>
      <w:r w:rsidRPr="000F2134">
        <w:rPr>
          <w:szCs w:val="24"/>
        </w:rPr>
        <w:t>Regional Stress Info Parameters</w:t>
      </w:r>
      <w:bookmarkEnd w:id="127"/>
    </w:p>
    <w:tbl>
      <w:tblPr>
        <w:tblStyle w:val="TableGrid"/>
        <w:tblW w:w="9558" w:type="dxa"/>
        <w:tblLook w:val="0420" w:firstRow="1" w:lastRow="0" w:firstColumn="0" w:lastColumn="0" w:noHBand="0" w:noVBand="1"/>
      </w:tblPr>
      <w:tblGrid>
        <w:gridCol w:w="2934"/>
        <w:gridCol w:w="2574"/>
        <w:gridCol w:w="4050"/>
      </w:tblGrid>
      <w:tr w:rsidR="00835EB9" w:rsidRPr="000F2134" w14:paraId="3948431F" w14:textId="77777777" w:rsidTr="009F6F03">
        <w:trPr>
          <w:trHeight w:val="1021"/>
        </w:trPr>
        <w:tc>
          <w:tcPr>
            <w:tcW w:w="2934" w:type="dxa"/>
            <w:hideMark/>
          </w:tcPr>
          <w:p w14:paraId="0E70F41C" w14:textId="77777777" w:rsidR="00835EB9" w:rsidRPr="000F2134" w:rsidRDefault="00835EB9" w:rsidP="00835EB9">
            <w:pPr>
              <w:suppressAutoHyphens/>
              <w:overflowPunct w:val="0"/>
              <w:autoSpaceDE w:val="0"/>
              <w:autoSpaceDN w:val="0"/>
              <w:adjustRightInd w:val="0"/>
              <w:spacing w:after="0" w:line="240" w:lineRule="auto"/>
              <w:textAlignment w:val="baseline"/>
              <w:rPr>
                <w:rFonts w:eastAsia="SimSun" w:cs="Times New Roman"/>
                <w:sz w:val="24"/>
                <w:szCs w:val="24"/>
              </w:rPr>
            </w:pPr>
            <w:r w:rsidRPr="000F2134">
              <w:rPr>
                <w:rFonts w:eastAsia="SimSun" w:cs="Times New Roman"/>
                <w:b/>
                <w:bCs/>
                <w:sz w:val="24"/>
                <w:szCs w:val="24"/>
              </w:rPr>
              <w:t>Parameter</w:t>
            </w:r>
          </w:p>
        </w:tc>
        <w:tc>
          <w:tcPr>
            <w:tcW w:w="2574" w:type="dxa"/>
            <w:hideMark/>
          </w:tcPr>
          <w:p w14:paraId="1E5193FD" w14:textId="77777777" w:rsidR="00835EB9" w:rsidRPr="000F2134" w:rsidRDefault="00835EB9" w:rsidP="00835EB9">
            <w:pPr>
              <w:suppressAutoHyphens/>
              <w:overflowPunct w:val="0"/>
              <w:autoSpaceDE w:val="0"/>
              <w:autoSpaceDN w:val="0"/>
              <w:adjustRightInd w:val="0"/>
              <w:spacing w:after="0" w:line="240" w:lineRule="auto"/>
              <w:textAlignment w:val="baseline"/>
              <w:rPr>
                <w:rFonts w:eastAsia="SimSun" w:cs="Times New Roman"/>
                <w:sz w:val="24"/>
                <w:szCs w:val="24"/>
              </w:rPr>
            </w:pPr>
            <w:r w:rsidRPr="000F2134">
              <w:rPr>
                <w:rFonts w:eastAsia="SimSun" w:cs="Times New Roman"/>
                <w:b/>
                <w:bCs/>
                <w:sz w:val="24"/>
                <w:szCs w:val="24"/>
              </w:rPr>
              <w:t>Values</w:t>
            </w:r>
          </w:p>
        </w:tc>
        <w:tc>
          <w:tcPr>
            <w:tcW w:w="4050" w:type="dxa"/>
            <w:hideMark/>
          </w:tcPr>
          <w:p w14:paraId="3AA72521" w14:textId="77777777" w:rsidR="00835EB9" w:rsidRPr="000F2134" w:rsidRDefault="00835EB9" w:rsidP="00835EB9">
            <w:pPr>
              <w:suppressAutoHyphens/>
              <w:overflowPunct w:val="0"/>
              <w:autoSpaceDE w:val="0"/>
              <w:autoSpaceDN w:val="0"/>
              <w:adjustRightInd w:val="0"/>
              <w:spacing w:after="0" w:line="240" w:lineRule="auto"/>
              <w:textAlignment w:val="baseline"/>
              <w:rPr>
                <w:rFonts w:eastAsia="SimSun" w:cs="Times New Roman"/>
                <w:sz w:val="24"/>
                <w:szCs w:val="24"/>
              </w:rPr>
            </w:pPr>
            <w:r w:rsidRPr="000F2134">
              <w:rPr>
                <w:rFonts w:eastAsia="SimSun" w:cs="Times New Roman"/>
                <w:b/>
                <w:bCs/>
                <w:sz w:val="24"/>
                <w:szCs w:val="24"/>
              </w:rPr>
              <w:t>Method</w:t>
            </w:r>
          </w:p>
        </w:tc>
      </w:tr>
      <w:tr w:rsidR="00835EB9" w:rsidRPr="000F2134" w14:paraId="060DEEC7" w14:textId="77777777" w:rsidTr="009F6F03">
        <w:trPr>
          <w:trHeight w:val="1021"/>
        </w:trPr>
        <w:tc>
          <w:tcPr>
            <w:tcW w:w="2934" w:type="dxa"/>
            <w:hideMark/>
          </w:tcPr>
          <w:p w14:paraId="2443D7D3" w14:textId="77777777" w:rsidR="00835EB9" w:rsidRPr="000F2134" w:rsidRDefault="00835EB9" w:rsidP="00835EB9">
            <w:pPr>
              <w:suppressAutoHyphens/>
              <w:overflowPunct w:val="0"/>
              <w:autoSpaceDE w:val="0"/>
              <w:autoSpaceDN w:val="0"/>
              <w:adjustRightInd w:val="0"/>
              <w:spacing w:after="0" w:line="240" w:lineRule="auto"/>
              <w:textAlignment w:val="baseline"/>
              <w:rPr>
                <w:rFonts w:eastAsia="SimSun" w:cs="Times New Roman"/>
                <w:sz w:val="24"/>
                <w:szCs w:val="24"/>
              </w:rPr>
            </w:pPr>
            <w:r w:rsidRPr="000F2134">
              <w:rPr>
                <w:rFonts w:eastAsia="SimSun" w:cs="Times New Roman"/>
                <w:sz w:val="24"/>
                <w:szCs w:val="24"/>
              </w:rPr>
              <w:t>Normal faulting weight</w:t>
            </w:r>
          </w:p>
        </w:tc>
        <w:tc>
          <w:tcPr>
            <w:tcW w:w="2574" w:type="dxa"/>
            <w:hideMark/>
          </w:tcPr>
          <w:p w14:paraId="59BB9224" w14:textId="77777777" w:rsidR="00835EB9" w:rsidRPr="000F2134" w:rsidRDefault="00835EB9" w:rsidP="00835EB9">
            <w:pPr>
              <w:suppressAutoHyphens/>
              <w:overflowPunct w:val="0"/>
              <w:autoSpaceDE w:val="0"/>
              <w:autoSpaceDN w:val="0"/>
              <w:adjustRightInd w:val="0"/>
              <w:spacing w:after="0" w:line="240" w:lineRule="auto"/>
              <w:textAlignment w:val="baseline"/>
              <w:rPr>
                <w:rFonts w:eastAsia="SimSun" w:cs="Times New Roman"/>
                <w:sz w:val="24"/>
                <w:szCs w:val="24"/>
              </w:rPr>
            </w:pPr>
            <w:r w:rsidRPr="000F2134">
              <w:rPr>
                <w:rFonts w:eastAsia="SimSun" w:cs="Times New Roman"/>
                <w:sz w:val="24"/>
                <w:szCs w:val="24"/>
              </w:rPr>
              <w:t>0.1</w:t>
            </w:r>
          </w:p>
        </w:tc>
        <w:tc>
          <w:tcPr>
            <w:tcW w:w="4050" w:type="dxa"/>
            <w:hideMark/>
          </w:tcPr>
          <w:p w14:paraId="0BE25CC7" w14:textId="7BB12453" w:rsidR="00835EB9" w:rsidRPr="000F2134" w:rsidRDefault="00835EB9" w:rsidP="00835EB9">
            <w:pPr>
              <w:suppressAutoHyphens/>
              <w:overflowPunct w:val="0"/>
              <w:autoSpaceDE w:val="0"/>
              <w:autoSpaceDN w:val="0"/>
              <w:adjustRightInd w:val="0"/>
              <w:spacing w:after="0" w:line="240" w:lineRule="auto"/>
              <w:textAlignment w:val="baseline"/>
              <w:rPr>
                <w:rFonts w:eastAsia="SimSun" w:cs="Times New Roman"/>
                <w:sz w:val="24"/>
                <w:szCs w:val="24"/>
              </w:rPr>
            </w:pPr>
            <w:r w:rsidRPr="000F2134">
              <w:rPr>
                <w:rFonts w:eastAsia="SimSun" w:cs="Times New Roman"/>
                <w:sz w:val="24"/>
                <w:szCs w:val="24"/>
              </w:rPr>
              <w:t>Stress orientations from regional fault in Kansas and Drilling induced fractures from well logs at the Wellington site show SS orientation</w:t>
            </w:r>
            <w:r w:rsidR="000F2134" w:rsidRPr="000F2134">
              <w:rPr>
                <w:rFonts w:eastAsia="SimSun" w:cs="Times New Roman"/>
                <w:sz w:val="24"/>
                <w:szCs w:val="24"/>
              </w:rPr>
              <w:t xml:space="preserve"> </w:t>
            </w:r>
            <w:sdt>
              <w:sdtPr>
                <w:rPr>
                  <w:rFonts w:eastAsia="SimSun" w:cs="Times New Roman"/>
                  <w:szCs w:val="24"/>
                </w:rPr>
                <w:id w:val="-176043574"/>
                <w:citation/>
              </w:sdtPr>
              <w:sdtContent>
                <w:r w:rsidR="000F2134" w:rsidRPr="000F2134">
                  <w:rPr>
                    <w:rFonts w:eastAsia="SimSun" w:cs="Times New Roman"/>
                    <w:szCs w:val="24"/>
                  </w:rPr>
                  <w:fldChar w:fldCharType="begin"/>
                </w:r>
                <w:r w:rsidR="000F2134" w:rsidRPr="000F2134">
                  <w:rPr>
                    <w:rFonts w:eastAsia="SimSun" w:cs="Times New Roman"/>
                    <w:sz w:val="24"/>
                    <w:szCs w:val="24"/>
                  </w:rPr>
                  <w:instrText xml:space="preserve"> CITATION Bir22 \l 1033 </w:instrText>
                </w:r>
                <w:r w:rsidR="000F2134" w:rsidRPr="000F2134">
                  <w:rPr>
                    <w:rFonts w:eastAsia="SimSun" w:cs="Times New Roman"/>
                    <w:szCs w:val="24"/>
                  </w:rPr>
                  <w:fldChar w:fldCharType="separate"/>
                </w:r>
                <w:r w:rsidR="00C84822" w:rsidRPr="00C84822">
                  <w:rPr>
                    <w:rFonts w:eastAsia="SimSun" w:cs="Times New Roman"/>
                    <w:noProof/>
                    <w:sz w:val="24"/>
                    <w:szCs w:val="24"/>
                  </w:rPr>
                  <w:t>(Birdie, et al., Assessing Induced Seismicity Risk at the Wellington Geologic Sequestration Site, 2022)</w:t>
                </w:r>
                <w:r w:rsidR="000F2134" w:rsidRPr="000F2134">
                  <w:rPr>
                    <w:rFonts w:eastAsia="SimSun" w:cs="Times New Roman"/>
                    <w:szCs w:val="24"/>
                  </w:rPr>
                  <w:fldChar w:fldCharType="end"/>
                </w:r>
              </w:sdtContent>
            </w:sdt>
            <w:r w:rsidRPr="000F2134">
              <w:rPr>
                <w:rFonts w:eastAsia="SimSun" w:cs="Times New Roman"/>
                <w:sz w:val="24"/>
                <w:szCs w:val="24"/>
              </w:rPr>
              <w:t>. Based on these weighted values were assigned.</w:t>
            </w:r>
          </w:p>
        </w:tc>
      </w:tr>
      <w:tr w:rsidR="00835EB9" w:rsidRPr="000F2134" w14:paraId="37FB4CC5" w14:textId="77777777" w:rsidTr="009F6F03">
        <w:trPr>
          <w:trHeight w:val="768"/>
        </w:trPr>
        <w:tc>
          <w:tcPr>
            <w:tcW w:w="2934" w:type="dxa"/>
            <w:hideMark/>
          </w:tcPr>
          <w:p w14:paraId="5F8DE969" w14:textId="77777777" w:rsidR="00835EB9" w:rsidRPr="000F2134" w:rsidRDefault="00835EB9" w:rsidP="00835EB9">
            <w:pPr>
              <w:suppressAutoHyphens/>
              <w:overflowPunct w:val="0"/>
              <w:autoSpaceDE w:val="0"/>
              <w:autoSpaceDN w:val="0"/>
              <w:adjustRightInd w:val="0"/>
              <w:spacing w:after="0" w:line="240" w:lineRule="auto"/>
              <w:textAlignment w:val="baseline"/>
              <w:rPr>
                <w:rFonts w:eastAsia="SimSun" w:cs="Times New Roman"/>
                <w:sz w:val="24"/>
                <w:szCs w:val="24"/>
              </w:rPr>
            </w:pPr>
            <w:r w:rsidRPr="000F2134">
              <w:rPr>
                <w:rFonts w:eastAsia="SimSun" w:cs="Times New Roman"/>
                <w:sz w:val="24"/>
                <w:szCs w:val="24"/>
              </w:rPr>
              <w:t xml:space="preserve">Strike-slip faulting weight </w:t>
            </w:r>
          </w:p>
        </w:tc>
        <w:tc>
          <w:tcPr>
            <w:tcW w:w="2574" w:type="dxa"/>
            <w:hideMark/>
          </w:tcPr>
          <w:p w14:paraId="624045EC" w14:textId="77777777" w:rsidR="00835EB9" w:rsidRPr="000F2134" w:rsidRDefault="00835EB9" w:rsidP="00835EB9">
            <w:pPr>
              <w:suppressAutoHyphens/>
              <w:overflowPunct w:val="0"/>
              <w:autoSpaceDE w:val="0"/>
              <w:autoSpaceDN w:val="0"/>
              <w:adjustRightInd w:val="0"/>
              <w:spacing w:after="0" w:line="240" w:lineRule="auto"/>
              <w:textAlignment w:val="baseline"/>
              <w:rPr>
                <w:rFonts w:eastAsia="SimSun" w:cs="Times New Roman"/>
                <w:sz w:val="24"/>
                <w:szCs w:val="24"/>
              </w:rPr>
            </w:pPr>
            <w:r w:rsidRPr="000F2134">
              <w:rPr>
                <w:rFonts w:eastAsia="SimSun" w:cs="Times New Roman"/>
                <w:sz w:val="24"/>
                <w:szCs w:val="24"/>
              </w:rPr>
              <w:t>15</w:t>
            </w:r>
          </w:p>
        </w:tc>
        <w:tc>
          <w:tcPr>
            <w:tcW w:w="4050" w:type="dxa"/>
            <w:hideMark/>
          </w:tcPr>
          <w:p w14:paraId="56C75456" w14:textId="3B3DD0C5" w:rsidR="00835EB9" w:rsidRPr="000F2134" w:rsidRDefault="00835EB9" w:rsidP="00835EB9">
            <w:pPr>
              <w:suppressAutoHyphens/>
              <w:overflowPunct w:val="0"/>
              <w:autoSpaceDE w:val="0"/>
              <w:autoSpaceDN w:val="0"/>
              <w:adjustRightInd w:val="0"/>
              <w:spacing w:after="0" w:line="240" w:lineRule="auto"/>
              <w:textAlignment w:val="baseline"/>
              <w:rPr>
                <w:rFonts w:eastAsia="SimSun" w:cs="Times New Roman"/>
                <w:sz w:val="24"/>
                <w:szCs w:val="24"/>
              </w:rPr>
            </w:pPr>
            <w:r w:rsidRPr="000F2134">
              <w:rPr>
                <w:rFonts w:eastAsia="SimSun" w:cs="Times New Roman"/>
                <w:sz w:val="24"/>
                <w:szCs w:val="24"/>
              </w:rPr>
              <w:t>Wellington site show SS orientation. Based on these weighted values were assigned.</w:t>
            </w:r>
            <w:r w:rsidR="000F2134">
              <w:rPr>
                <w:rFonts w:eastAsia="SimSun" w:cs="Times New Roman"/>
                <w:sz w:val="24"/>
                <w:szCs w:val="24"/>
              </w:rPr>
              <w:t xml:space="preserve"> </w:t>
            </w:r>
            <w:sdt>
              <w:sdtPr>
                <w:rPr>
                  <w:rFonts w:eastAsia="SimSun" w:cs="Times New Roman"/>
                  <w:szCs w:val="24"/>
                </w:rPr>
                <w:id w:val="-169258559"/>
                <w:citation/>
              </w:sdtPr>
              <w:sdtContent>
                <w:r w:rsidR="000F2134" w:rsidRPr="000F2134">
                  <w:rPr>
                    <w:rFonts w:eastAsia="SimSun" w:cs="Times New Roman"/>
                    <w:szCs w:val="24"/>
                  </w:rPr>
                  <w:fldChar w:fldCharType="begin"/>
                </w:r>
                <w:r w:rsidR="000F2134" w:rsidRPr="000F2134">
                  <w:rPr>
                    <w:rFonts w:eastAsia="SimSun" w:cs="Times New Roman"/>
                    <w:sz w:val="24"/>
                    <w:szCs w:val="24"/>
                  </w:rPr>
                  <w:instrText xml:space="preserve"> CITATION Bir22 \l 1033 </w:instrText>
                </w:r>
                <w:r w:rsidR="000F2134" w:rsidRPr="000F2134">
                  <w:rPr>
                    <w:rFonts w:eastAsia="SimSun" w:cs="Times New Roman"/>
                    <w:szCs w:val="24"/>
                  </w:rPr>
                  <w:fldChar w:fldCharType="separate"/>
                </w:r>
                <w:r w:rsidR="00C84822" w:rsidRPr="00C84822">
                  <w:rPr>
                    <w:rFonts w:eastAsia="SimSun" w:cs="Times New Roman"/>
                    <w:noProof/>
                    <w:sz w:val="24"/>
                    <w:szCs w:val="24"/>
                  </w:rPr>
                  <w:t>(Birdie, et al., Assessing Induced Seismicity Risk at the Wellington Geologic Sequestration Site, 2022)</w:t>
                </w:r>
                <w:r w:rsidR="000F2134" w:rsidRPr="000F2134">
                  <w:rPr>
                    <w:rFonts w:eastAsia="SimSun" w:cs="Times New Roman"/>
                    <w:szCs w:val="24"/>
                  </w:rPr>
                  <w:fldChar w:fldCharType="end"/>
                </w:r>
              </w:sdtContent>
            </w:sdt>
            <w:r w:rsidR="000F2134" w:rsidRPr="000F2134">
              <w:rPr>
                <w:rFonts w:eastAsia="SimSun" w:cs="Times New Roman"/>
                <w:sz w:val="24"/>
                <w:szCs w:val="24"/>
              </w:rPr>
              <w:t>. Based on these weighted values were assigned.</w:t>
            </w:r>
          </w:p>
        </w:tc>
      </w:tr>
      <w:tr w:rsidR="00835EB9" w:rsidRPr="000F2134" w14:paraId="1AC72169" w14:textId="77777777" w:rsidTr="009F6F03">
        <w:trPr>
          <w:trHeight w:val="1021"/>
        </w:trPr>
        <w:tc>
          <w:tcPr>
            <w:tcW w:w="2934" w:type="dxa"/>
            <w:hideMark/>
          </w:tcPr>
          <w:p w14:paraId="3EBD0020" w14:textId="77777777" w:rsidR="00835EB9" w:rsidRPr="000F2134" w:rsidRDefault="00835EB9" w:rsidP="00835EB9">
            <w:pPr>
              <w:suppressAutoHyphens/>
              <w:overflowPunct w:val="0"/>
              <w:autoSpaceDE w:val="0"/>
              <w:autoSpaceDN w:val="0"/>
              <w:adjustRightInd w:val="0"/>
              <w:spacing w:after="0" w:line="240" w:lineRule="auto"/>
              <w:textAlignment w:val="baseline"/>
              <w:rPr>
                <w:rFonts w:eastAsia="SimSun" w:cs="Times New Roman"/>
                <w:sz w:val="24"/>
                <w:szCs w:val="24"/>
              </w:rPr>
            </w:pPr>
            <w:r w:rsidRPr="000F2134">
              <w:rPr>
                <w:rFonts w:eastAsia="SimSun" w:cs="Times New Roman"/>
                <w:sz w:val="24"/>
                <w:szCs w:val="24"/>
              </w:rPr>
              <w:lastRenderedPageBreak/>
              <w:t>Thrust faulting weight</w:t>
            </w:r>
          </w:p>
        </w:tc>
        <w:tc>
          <w:tcPr>
            <w:tcW w:w="2574" w:type="dxa"/>
            <w:hideMark/>
          </w:tcPr>
          <w:p w14:paraId="73BAAE4D" w14:textId="77777777" w:rsidR="00835EB9" w:rsidRPr="000F2134" w:rsidRDefault="00835EB9" w:rsidP="00835EB9">
            <w:pPr>
              <w:suppressAutoHyphens/>
              <w:overflowPunct w:val="0"/>
              <w:autoSpaceDE w:val="0"/>
              <w:autoSpaceDN w:val="0"/>
              <w:adjustRightInd w:val="0"/>
              <w:spacing w:after="0" w:line="240" w:lineRule="auto"/>
              <w:textAlignment w:val="baseline"/>
              <w:rPr>
                <w:rFonts w:eastAsia="SimSun" w:cs="Times New Roman"/>
                <w:sz w:val="24"/>
                <w:szCs w:val="24"/>
              </w:rPr>
            </w:pPr>
            <w:r w:rsidRPr="000F2134">
              <w:rPr>
                <w:rFonts w:eastAsia="SimSun" w:cs="Times New Roman"/>
                <w:sz w:val="24"/>
                <w:szCs w:val="24"/>
              </w:rPr>
              <w:t>0.1</w:t>
            </w:r>
          </w:p>
        </w:tc>
        <w:tc>
          <w:tcPr>
            <w:tcW w:w="4050" w:type="dxa"/>
            <w:hideMark/>
          </w:tcPr>
          <w:p w14:paraId="5BBDC8A4" w14:textId="51E611F3" w:rsidR="00835EB9" w:rsidRPr="000F2134" w:rsidRDefault="00835EB9" w:rsidP="00835EB9">
            <w:pPr>
              <w:suppressAutoHyphens/>
              <w:overflowPunct w:val="0"/>
              <w:autoSpaceDE w:val="0"/>
              <w:autoSpaceDN w:val="0"/>
              <w:adjustRightInd w:val="0"/>
              <w:spacing w:after="0" w:line="240" w:lineRule="auto"/>
              <w:textAlignment w:val="baseline"/>
              <w:rPr>
                <w:rFonts w:eastAsia="SimSun" w:cs="Times New Roman"/>
                <w:sz w:val="24"/>
                <w:szCs w:val="24"/>
              </w:rPr>
            </w:pPr>
            <w:r w:rsidRPr="000F2134">
              <w:rPr>
                <w:rFonts w:eastAsia="SimSun" w:cs="Times New Roman"/>
                <w:sz w:val="24"/>
                <w:szCs w:val="24"/>
              </w:rPr>
              <w:t>Wellington site show SS orientation. Based on these weighted values were assigned.</w:t>
            </w:r>
            <w:r w:rsidR="000F2134">
              <w:rPr>
                <w:rFonts w:eastAsia="SimSun" w:cs="Times New Roman"/>
                <w:sz w:val="24"/>
                <w:szCs w:val="24"/>
              </w:rPr>
              <w:t xml:space="preserve"> </w:t>
            </w:r>
            <w:sdt>
              <w:sdtPr>
                <w:rPr>
                  <w:rFonts w:eastAsia="SimSun" w:cs="Times New Roman"/>
                  <w:szCs w:val="24"/>
                </w:rPr>
                <w:id w:val="723877209"/>
                <w:citation/>
              </w:sdtPr>
              <w:sdtContent>
                <w:r w:rsidR="000F2134" w:rsidRPr="000F2134">
                  <w:rPr>
                    <w:rFonts w:eastAsia="SimSun" w:cs="Times New Roman"/>
                    <w:szCs w:val="24"/>
                  </w:rPr>
                  <w:fldChar w:fldCharType="begin"/>
                </w:r>
                <w:r w:rsidR="000F2134" w:rsidRPr="000F2134">
                  <w:rPr>
                    <w:rFonts w:eastAsia="SimSun" w:cs="Times New Roman"/>
                    <w:sz w:val="24"/>
                    <w:szCs w:val="24"/>
                  </w:rPr>
                  <w:instrText xml:space="preserve"> CITATION Bir22 \l 1033 </w:instrText>
                </w:r>
                <w:r w:rsidR="000F2134" w:rsidRPr="000F2134">
                  <w:rPr>
                    <w:rFonts w:eastAsia="SimSun" w:cs="Times New Roman"/>
                    <w:szCs w:val="24"/>
                  </w:rPr>
                  <w:fldChar w:fldCharType="separate"/>
                </w:r>
                <w:r w:rsidR="00C84822" w:rsidRPr="00C84822">
                  <w:rPr>
                    <w:rFonts w:eastAsia="SimSun" w:cs="Times New Roman"/>
                    <w:noProof/>
                    <w:sz w:val="24"/>
                    <w:szCs w:val="24"/>
                  </w:rPr>
                  <w:t>(Birdie, et al., Assessing Induced Seismicity Risk at the Wellington Geologic Sequestration Site, 2022)</w:t>
                </w:r>
                <w:r w:rsidR="000F2134" w:rsidRPr="000F2134">
                  <w:rPr>
                    <w:rFonts w:eastAsia="SimSun" w:cs="Times New Roman"/>
                    <w:szCs w:val="24"/>
                  </w:rPr>
                  <w:fldChar w:fldCharType="end"/>
                </w:r>
              </w:sdtContent>
            </w:sdt>
            <w:r w:rsidR="000F2134" w:rsidRPr="000F2134">
              <w:rPr>
                <w:rFonts w:eastAsia="SimSun" w:cs="Times New Roman"/>
                <w:sz w:val="24"/>
                <w:szCs w:val="24"/>
              </w:rPr>
              <w:t>. Based on these weighted values were assigned.</w:t>
            </w:r>
          </w:p>
        </w:tc>
      </w:tr>
      <w:tr w:rsidR="00835EB9" w:rsidRPr="000F2134" w14:paraId="25E17318" w14:textId="77777777" w:rsidTr="009F6F03">
        <w:trPr>
          <w:trHeight w:val="1021"/>
        </w:trPr>
        <w:tc>
          <w:tcPr>
            <w:tcW w:w="2934" w:type="dxa"/>
            <w:hideMark/>
          </w:tcPr>
          <w:p w14:paraId="645966D9" w14:textId="77777777" w:rsidR="00835EB9" w:rsidRPr="000F2134" w:rsidRDefault="00835EB9" w:rsidP="00835EB9">
            <w:pPr>
              <w:suppressAutoHyphens/>
              <w:overflowPunct w:val="0"/>
              <w:autoSpaceDE w:val="0"/>
              <w:autoSpaceDN w:val="0"/>
              <w:adjustRightInd w:val="0"/>
              <w:spacing w:after="0" w:line="240" w:lineRule="auto"/>
              <w:textAlignment w:val="baseline"/>
              <w:rPr>
                <w:rFonts w:eastAsia="SimSun" w:cs="Times New Roman"/>
                <w:sz w:val="24"/>
                <w:szCs w:val="24"/>
              </w:rPr>
            </w:pPr>
            <w:r w:rsidRPr="000F2134">
              <w:rPr>
                <w:rFonts w:eastAsia="SimSun" w:cs="Times New Roman"/>
                <w:sz w:val="24"/>
                <w:szCs w:val="24"/>
              </w:rPr>
              <w:t>K-thrust</w:t>
            </w:r>
          </w:p>
        </w:tc>
        <w:tc>
          <w:tcPr>
            <w:tcW w:w="2574" w:type="dxa"/>
            <w:hideMark/>
          </w:tcPr>
          <w:p w14:paraId="54CB8B64" w14:textId="77777777" w:rsidR="00835EB9" w:rsidRPr="000F2134" w:rsidRDefault="00835EB9" w:rsidP="00835EB9">
            <w:pPr>
              <w:suppressAutoHyphens/>
              <w:overflowPunct w:val="0"/>
              <w:autoSpaceDE w:val="0"/>
              <w:autoSpaceDN w:val="0"/>
              <w:adjustRightInd w:val="0"/>
              <w:spacing w:after="0" w:line="240" w:lineRule="auto"/>
              <w:textAlignment w:val="baseline"/>
              <w:rPr>
                <w:rFonts w:eastAsia="SimSun" w:cs="Times New Roman"/>
                <w:sz w:val="24"/>
                <w:szCs w:val="24"/>
              </w:rPr>
            </w:pPr>
            <w:r w:rsidRPr="000F2134">
              <w:rPr>
                <w:rFonts w:eastAsia="SimSun" w:cs="Times New Roman"/>
                <w:sz w:val="24"/>
                <w:szCs w:val="24"/>
              </w:rPr>
              <w:t>100</w:t>
            </w:r>
          </w:p>
        </w:tc>
        <w:tc>
          <w:tcPr>
            <w:tcW w:w="4050" w:type="dxa"/>
            <w:hideMark/>
          </w:tcPr>
          <w:p w14:paraId="1FAF5F23" w14:textId="77777777" w:rsidR="00835EB9" w:rsidRPr="000F2134" w:rsidRDefault="00835EB9" w:rsidP="00835EB9">
            <w:pPr>
              <w:suppressAutoHyphens/>
              <w:overflowPunct w:val="0"/>
              <w:autoSpaceDE w:val="0"/>
              <w:autoSpaceDN w:val="0"/>
              <w:adjustRightInd w:val="0"/>
              <w:spacing w:after="0" w:line="240" w:lineRule="auto"/>
              <w:textAlignment w:val="baseline"/>
              <w:rPr>
                <w:rFonts w:eastAsia="SimSun" w:cs="Times New Roman"/>
                <w:sz w:val="24"/>
                <w:szCs w:val="24"/>
              </w:rPr>
            </w:pPr>
            <w:r w:rsidRPr="000F2134">
              <w:rPr>
                <w:rFonts w:eastAsia="SimSun" w:cs="Times New Roman"/>
                <w:sz w:val="24"/>
                <w:szCs w:val="24"/>
              </w:rPr>
              <w:t xml:space="preserve">default values in the SOSAT </w:t>
            </w:r>
          </w:p>
        </w:tc>
      </w:tr>
      <w:tr w:rsidR="00835EB9" w:rsidRPr="000F2134" w14:paraId="6094245E" w14:textId="77777777" w:rsidTr="009F6F03">
        <w:trPr>
          <w:trHeight w:val="1021"/>
        </w:trPr>
        <w:tc>
          <w:tcPr>
            <w:tcW w:w="2934" w:type="dxa"/>
            <w:hideMark/>
          </w:tcPr>
          <w:p w14:paraId="55092E18" w14:textId="77777777" w:rsidR="00835EB9" w:rsidRPr="000F2134" w:rsidRDefault="00835EB9" w:rsidP="00835EB9">
            <w:pPr>
              <w:suppressAutoHyphens/>
              <w:overflowPunct w:val="0"/>
              <w:autoSpaceDE w:val="0"/>
              <w:autoSpaceDN w:val="0"/>
              <w:adjustRightInd w:val="0"/>
              <w:spacing w:after="0" w:line="240" w:lineRule="auto"/>
              <w:textAlignment w:val="baseline"/>
              <w:rPr>
                <w:rFonts w:eastAsia="SimSun" w:cs="Times New Roman"/>
                <w:sz w:val="24"/>
                <w:szCs w:val="24"/>
              </w:rPr>
            </w:pPr>
            <w:r w:rsidRPr="000F2134">
              <w:rPr>
                <w:rFonts w:eastAsia="SimSun" w:cs="Times New Roman"/>
                <w:sz w:val="24"/>
                <w:szCs w:val="24"/>
              </w:rPr>
              <w:t>K-SS</w:t>
            </w:r>
          </w:p>
        </w:tc>
        <w:tc>
          <w:tcPr>
            <w:tcW w:w="2574" w:type="dxa"/>
            <w:hideMark/>
          </w:tcPr>
          <w:p w14:paraId="5C3A2868" w14:textId="77777777" w:rsidR="00835EB9" w:rsidRPr="000F2134" w:rsidRDefault="00835EB9" w:rsidP="00835EB9">
            <w:pPr>
              <w:suppressAutoHyphens/>
              <w:overflowPunct w:val="0"/>
              <w:autoSpaceDE w:val="0"/>
              <w:autoSpaceDN w:val="0"/>
              <w:adjustRightInd w:val="0"/>
              <w:spacing w:after="0" w:line="240" w:lineRule="auto"/>
              <w:textAlignment w:val="baseline"/>
              <w:rPr>
                <w:rFonts w:eastAsia="SimSun" w:cs="Times New Roman"/>
                <w:sz w:val="24"/>
                <w:szCs w:val="24"/>
              </w:rPr>
            </w:pPr>
            <w:r w:rsidRPr="000F2134">
              <w:rPr>
                <w:rFonts w:eastAsia="SimSun" w:cs="Times New Roman"/>
                <w:sz w:val="24"/>
                <w:szCs w:val="24"/>
              </w:rPr>
              <w:t>100</w:t>
            </w:r>
          </w:p>
        </w:tc>
        <w:tc>
          <w:tcPr>
            <w:tcW w:w="4050" w:type="dxa"/>
            <w:hideMark/>
          </w:tcPr>
          <w:p w14:paraId="3E2D07E1" w14:textId="77777777" w:rsidR="00835EB9" w:rsidRPr="000F2134" w:rsidRDefault="00835EB9" w:rsidP="00835EB9">
            <w:pPr>
              <w:suppressAutoHyphens/>
              <w:overflowPunct w:val="0"/>
              <w:autoSpaceDE w:val="0"/>
              <w:autoSpaceDN w:val="0"/>
              <w:adjustRightInd w:val="0"/>
              <w:spacing w:after="0" w:line="240" w:lineRule="auto"/>
              <w:textAlignment w:val="baseline"/>
              <w:rPr>
                <w:rFonts w:eastAsia="SimSun" w:cs="Times New Roman"/>
                <w:sz w:val="24"/>
                <w:szCs w:val="24"/>
              </w:rPr>
            </w:pPr>
            <w:r w:rsidRPr="000F2134">
              <w:rPr>
                <w:rFonts w:eastAsia="SimSun" w:cs="Times New Roman"/>
                <w:sz w:val="24"/>
                <w:szCs w:val="24"/>
              </w:rPr>
              <w:t xml:space="preserve">default values in the SOSAT </w:t>
            </w:r>
          </w:p>
        </w:tc>
      </w:tr>
    </w:tbl>
    <w:p w14:paraId="2AAE61C2" w14:textId="77777777" w:rsidR="00835EB9" w:rsidRPr="000F2134" w:rsidRDefault="00835EB9" w:rsidP="00835EB9">
      <w:pPr>
        <w:pStyle w:val="Caption"/>
        <w:keepNext/>
        <w:jc w:val="left"/>
        <w:rPr>
          <w:szCs w:val="24"/>
        </w:rPr>
      </w:pPr>
    </w:p>
    <w:p w14:paraId="6D778D48" w14:textId="7BBCFE7B" w:rsidR="00835EB9" w:rsidRPr="000F2134" w:rsidRDefault="00835EB9" w:rsidP="00835EB9">
      <w:pPr>
        <w:pStyle w:val="Caption"/>
        <w:keepNext/>
        <w:jc w:val="left"/>
        <w:rPr>
          <w:szCs w:val="24"/>
        </w:rPr>
      </w:pPr>
      <w:bookmarkStart w:id="128" w:name="_Toc120839869"/>
      <w:r w:rsidRPr="000F2134">
        <w:rPr>
          <w:szCs w:val="24"/>
        </w:rPr>
        <w:t xml:space="preserve">Table </w:t>
      </w:r>
      <w:r w:rsidRPr="000F2134">
        <w:rPr>
          <w:szCs w:val="24"/>
        </w:rPr>
        <w:fldChar w:fldCharType="begin"/>
      </w:r>
      <w:r w:rsidRPr="000F2134">
        <w:rPr>
          <w:szCs w:val="24"/>
        </w:rPr>
        <w:instrText xml:space="preserve"> SEQ Table \* ARABIC </w:instrText>
      </w:r>
      <w:r w:rsidRPr="000F2134">
        <w:rPr>
          <w:szCs w:val="24"/>
        </w:rPr>
        <w:fldChar w:fldCharType="separate"/>
      </w:r>
      <w:r w:rsidR="00955725">
        <w:rPr>
          <w:noProof/>
          <w:szCs w:val="24"/>
        </w:rPr>
        <w:t>11</w:t>
      </w:r>
      <w:r w:rsidRPr="000F2134">
        <w:rPr>
          <w:noProof/>
          <w:szCs w:val="24"/>
        </w:rPr>
        <w:fldChar w:fldCharType="end"/>
      </w:r>
      <w:r w:rsidRPr="000F2134">
        <w:rPr>
          <w:szCs w:val="24"/>
        </w:rPr>
        <w:t>:</w:t>
      </w:r>
      <w:r w:rsidR="00420853" w:rsidRPr="000F2134">
        <w:rPr>
          <w:szCs w:val="24"/>
        </w:rPr>
        <w:t xml:space="preserve"> Site</w:t>
      </w:r>
      <w:r w:rsidRPr="000F2134">
        <w:rPr>
          <w:szCs w:val="24"/>
        </w:rPr>
        <w:t xml:space="preserve"> Stress Measurement Parameters</w:t>
      </w:r>
      <w:bookmarkEnd w:id="128"/>
    </w:p>
    <w:tbl>
      <w:tblPr>
        <w:tblStyle w:val="TableGrid"/>
        <w:tblW w:w="9648" w:type="dxa"/>
        <w:tblLook w:val="0420" w:firstRow="1" w:lastRow="0" w:firstColumn="0" w:lastColumn="0" w:noHBand="0" w:noVBand="1"/>
      </w:tblPr>
      <w:tblGrid>
        <w:gridCol w:w="2930"/>
        <w:gridCol w:w="2578"/>
        <w:gridCol w:w="4140"/>
      </w:tblGrid>
      <w:tr w:rsidR="000F2134" w:rsidRPr="000F2134" w14:paraId="213A53FC" w14:textId="77777777" w:rsidTr="000F2134">
        <w:trPr>
          <w:trHeight w:val="1021"/>
        </w:trPr>
        <w:tc>
          <w:tcPr>
            <w:tcW w:w="2930" w:type="dxa"/>
            <w:hideMark/>
          </w:tcPr>
          <w:p w14:paraId="29D37729" w14:textId="77777777" w:rsidR="000F2134" w:rsidRPr="000F2134" w:rsidRDefault="000F2134" w:rsidP="000F2134">
            <w:pPr>
              <w:rPr>
                <w:sz w:val="24"/>
                <w:szCs w:val="24"/>
              </w:rPr>
            </w:pPr>
            <w:r w:rsidRPr="000F2134">
              <w:rPr>
                <w:b/>
                <w:bCs/>
                <w:sz w:val="24"/>
                <w:szCs w:val="24"/>
              </w:rPr>
              <w:t>Parameter</w:t>
            </w:r>
          </w:p>
        </w:tc>
        <w:tc>
          <w:tcPr>
            <w:tcW w:w="2578" w:type="dxa"/>
            <w:hideMark/>
          </w:tcPr>
          <w:p w14:paraId="308F1B3D" w14:textId="77777777" w:rsidR="000F2134" w:rsidRPr="000F2134" w:rsidRDefault="000F2134" w:rsidP="000F2134">
            <w:pPr>
              <w:rPr>
                <w:sz w:val="24"/>
                <w:szCs w:val="24"/>
              </w:rPr>
            </w:pPr>
            <w:r w:rsidRPr="000F2134">
              <w:rPr>
                <w:b/>
                <w:bCs/>
                <w:sz w:val="24"/>
                <w:szCs w:val="24"/>
              </w:rPr>
              <w:t>Values</w:t>
            </w:r>
          </w:p>
        </w:tc>
        <w:tc>
          <w:tcPr>
            <w:tcW w:w="4140" w:type="dxa"/>
            <w:hideMark/>
          </w:tcPr>
          <w:p w14:paraId="7D14C79A" w14:textId="77777777" w:rsidR="000F2134" w:rsidRPr="000F2134" w:rsidRDefault="000F2134" w:rsidP="000F2134">
            <w:pPr>
              <w:rPr>
                <w:sz w:val="24"/>
                <w:szCs w:val="24"/>
              </w:rPr>
            </w:pPr>
            <w:r w:rsidRPr="000F2134">
              <w:rPr>
                <w:b/>
                <w:bCs/>
                <w:sz w:val="24"/>
                <w:szCs w:val="24"/>
              </w:rPr>
              <w:t>Method</w:t>
            </w:r>
          </w:p>
        </w:tc>
      </w:tr>
      <w:tr w:rsidR="000F2134" w:rsidRPr="000F2134" w14:paraId="6FFF8D25" w14:textId="77777777" w:rsidTr="000F2134">
        <w:trPr>
          <w:trHeight w:val="1021"/>
        </w:trPr>
        <w:tc>
          <w:tcPr>
            <w:tcW w:w="2930" w:type="dxa"/>
            <w:hideMark/>
          </w:tcPr>
          <w:p w14:paraId="55B4B9E5" w14:textId="77777777" w:rsidR="000F2134" w:rsidRPr="000F2134" w:rsidRDefault="000F2134" w:rsidP="000F2134">
            <w:pPr>
              <w:spacing w:line="240" w:lineRule="auto"/>
              <w:rPr>
                <w:sz w:val="24"/>
                <w:szCs w:val="24"/>
              </w:rPr>
            </w:pPr>
            <w:r w:rsidRPr="000F2134">
              <w:rPr>
                <w:sz w:val="24"/>
                <w:szCs w:val="24"/>
              </w:rPr>
              <w:t xml:space="preserve">Mean of the minimum principal stress measurement </w:t>
            </w:r>
          </w:p>
        </w:tc>
        <w:tc>
          <w:tcPr>
            <w:tcW w:w="2578" w:type="dxa"/>
            <w:hideMark/>
          </w:tcPr>
          <w:p w14:paraId="114C6DBF" w14:textId="77777777" w:rsidR="000F2134" w:rsidRPr="000F2134" w:rsidRDefault="000F2134" w:rsidP="000F2134">
            <w:pPr>
              <w:spacing w:line="240" w:lineRule="auto"/>
              <w:rPr>
                <w:sz w:val="24"/>
                <w:szCs w:val="24"/>
              </w:rPr>
            </w:pPr>
            <w:r w:rsidRPr="000F2134">
              <w:rPr>
                <w:sz w:val="24"/>
                <w:szCs w:val="24"/>
              </w:rPr>
              <w:t>2887 psi</w:t>
            </w:r>
          </w:p>
        </w:tc>
        <w:tc>
          <w:tcPr>
            <w:tcW w:w="4140" w:type="dxa"/>
            <w:hideMark/>
          </w:tcPr>
          <w:p w14:paraId="3C1AECE9" w14:textId="3E15B4DC" w:rsidR="000F2134" w:rsidRPr="000F2134" w:rsidRDefault="000F2134" w:rsidP="000F2134">
            <w:pPr>
              <w:spacing w:line="240" w:lineRule="auto"/>
              <w:rPr>
                <w:sz w:val="24"/>
                <w:szCs w:val="24"/>
              </w:rPr>
            </w:pPr>
            <w:r w:rsidRPr="000F2134">
              <w:rPr>
                <w:sz w:val="24"/>
                <w:szCs w:val="24"/>
              </w:rPr>
              <w:t xml:space="preserve">A pulse test, which is a variant of a leak-off test was conducted </w:t>
            </w:r>
            <w:sdt>
              <w:sdtPr>
                <w:rPr>
                  <w:szCs w:val="24"/>
                </w:rPr>
                <w:id w:val="1746540906"/>
                <w:citation/>
              </w:sdtPr>
              <w:sdtContent>
                <w:r w:rsidRPr="000F2134">
                  <w:rPr>
                    <w:szCs w:val="24"/>
                  </w:rPr>
                  <w:fldChar w:fldCharType="begin"/>
                </w:r>
                <w:r w:rsidRPr="000F2134">
                  <w:rPr>
                    <w:sz w:val="24"/>
                    <w:szCs w:val="24"/>
                  </w:rPr>
                  <w:instrText xml:space="preserve"> CITATION Bir22 \l 1033 </w:instrText>
                </w:r>
                <w:r w:rsidRPr="000F2134">
                  <w:rPr>
                    <w:szCs w:val="24"/>
                  </w:rPr>
                  <w:fldChar w:fldCharType="separate"/>
                </w:r>
                <w:r w:rsidR="00C84822" w:rsidRPr="00C84822">
                  <w:rPr>
                    <w:noProof/>
                    <w:sz w:val="24"/>
                    <w:szCs w:val="24"/>
                  </w:rPr>
                  <w:t>(Birdie, et al., Assessing Induced Seismicity Risk at the Wellington Geologic Sequestration Site, 2022)</w:t>
                </w:r>
                <w:r w:rsidRPr="000F2134">
                  <w:rPr>
                    <w:szCs w:val="24"/>
                  </w:rPr>
                  <w:fldChar w:fldCharType="end"/>
                </w:r>
              </w:sdtContent>
            </w:sdt>
          </w:p>
        </w:tc>
      </w:tr>
      <w:tr w:rsidR="000F2134" w:rsidRPr="000F2134" w14:paraId="1892AF56" w14:textId="77777777" w:rsidTr="000F2134">
        <w:trPr>
          <w:trHeight w:val="1021"/>
        </w:trPr>
        <w:tc>
          <w:tcPr>
            <w:tcW w:w="2930" w:type="dxa"/>
            <w:hideMark/>
          </w:tcPr>
          <w:p w14:paraId="39D6B0DD" w14:textId="77777777" w:rsidR="000F2134" w:rsidRPr="000F2134" w:rsidRDefault="000F2134" w:rsidP="000F2134">
            <w:pPr>
              <w:spacing w:line="240" w:lineRule="auto"/>
              <w:rPr>
                <w:sz w:val="24"/>
                <w:szCs w:val="24"/>
              </w:rPr>
            </w:pPr>
            <w:r w:rsidRPr="000F2134">
              <w:rPr>
                <w:sz w:val="24"/>
                <w:szCs w:val="24"/>
              </w:rPr>
              <w:t>Standard deviation of minimum principal stress measurement</w:t>
            </w:r>
          </w:p>
        </w:tc>
        <w:tc>
          <w:tcPr>
            <w:tcW w:w="2578" w:type="dxa"/>
            <w:hideMark/>
          </w:tcPr>
          <w:p w14:paraId="7C4BE1D4" w14:textId="77777777" w:rsidR="000F2134" w:rsidRPr="000F2134" w:rsidRDefault="000F2134" w:rsidP="000F2134">
            <w:pPr>
              <w:spacing w:line="240" w:lineRule="auto"/>
              <w:rPr>
                <w:sz w:val="24"/>
                <w:szCs w:val="24"/>
              </w:rPr>
            </w:pPr>
            <w:r w:rsidRPr="000F2134">
              <w:rPr>
                <w:sz w:val="24"/>
                <w:szCs w:val="24"/>
              </w:rPr>
              <w:t>220 psi</w:t>
            </w:r>
          </w:p>
        </w:tc>
        <w:tc>
          <w:tcPr>
            <w:tcW w:w="4140" w:type="dxa"/>
            <w:hideMark/>
          </w:tcPr>
          <w:p w14:paraId="0623702A" w14:textId="77777777" w:rsidR="000F2134" w:rsidRPr="000F2134" w:rsidRDefault="000F2134" w:rsidP="000F2134">
            <w:pPr>
              <w:spacing w:line="240" w:lineRule="auto"/>
              <w:rPr>
                <w:sz w:val="24"/>
                <w:szCs w:val="24"/>
              </w:rPr>
            </w:pPr>
            <w:r w:rsidRPr="000F2134">
              <w:rPr>
                <w:sz w:val="24"/>
                <w:szCs w:val="24"/>
              </w:rPr>
              <w:t xml:space="preserve">default values in the SOSAT </w:t>
            </w:r>
          </w:p>
        </w:tc>
      </w:tr>
      <w:tr w:rsidR="000F2134" w:rsidRPr="000F2134" w14:paraId="3EE95522" w14:textId="77777777" w:rsidTr="000F2134">
        <w:trPr>
          <w:trHeight w:val="1021"/>
        </w:trPr>
        <w:tc>
          <w:tcPr>
            <w:tcW w:w="2930" w:type="dxa"/>
            <w:hideMark/>
          </w:tcPr>
          <w:p w14:paraId="4E5D32EF" w14:textId="77777777" w:rsidR="000F2134" w:rsidRPr="000F2134" w:rsidRDefault="000F2134" w:rsidP="000F2134">
            <w:pPr>
              <w:spacing w:line="240" w:lineRule="auto"/>
              <w:rPr>
                <w:sz w:val="24"/>
                <w:szCs w:val="24"/>
              </w:rPr>
            </w:pPr>
            <w:r w:rsidRPr="000F2134">
              <w:rPr>
                <w:sz w:val="24"/>
                <w:szCs w:val="24"/>
              </w:rPr>
              <w:t>Minimum value of stress path coefficient</w:t>
            </w:r>
          </w:p>
        </w:tc>
        <w:tc>
          <w:tcPr>
            <w:tcW w:w="2578" w:type="dxa"/>
            <w:hideMark/>
          </w:tcPr>
          <w:p w14:paraId="6877D99B" w14:textId="77777777" w:rsidR="000F2134" w:rsidRPr="000F2134" w:rsidRDefault="000F2134" w:rsidP="000F2134">
            <w:pPr>
              <w:spacing w:line="240" w:lineRule="auto"/>
              <w:rPr>
                <w:sz w:val="24"/>
                <w:szCs w:val="24"/>
              </w:rPr>
            </w:pPr>
            <w:r w:rsidRPr="000F2134">
              <w:rPr>
                <w:sz w:val="24"/>
                <w:szCs w:val="24"/>
              </w:rPr>
              <w:t>0.4</w:t>
            </w:r>
          </w:p>
        </w:tc>
        <w:tc>
          <w:tcPr>
            <w:tcW w:w="4140" w:type="dxa"/>
            <w:hideMark/>
          </w:tcPr>
          <w:p w14:paraId="58E406E5" w14:textId="77777777" w:rsidR="000F2134" w:rsidRPr="000F2134" w:rsidRDefault="000F2134" w:rsidP="000F2134">
            <w:pPr>
              <w:spacing w:line="240" w:lineRule="auto"/>
              <w:rPr>
                <w:sz w:val="24"/>
                <w:szCs w:val="24"/>
              </w:rPr>
            </w:pPr>
            <w:r w:rsidRPr="000F2134">
              <w:rPr>
                <w:sz w:val="24"/>
                <w:szCs w:val="24"/>
              </w:rPr>
              <w:t xml:space="preserve">default values in the SOSAT </w:t>
            </w:r>
          </w:p>
        </w:tc>
      </w:tr>
      <w:tr w:rsidR="000F2134" w:rsidRPr="000F2134" w14:paraId="6BFC770A" w14:textId="77777777" w:rsidTr="000F2134">
        <w:trPr>
          <w:trHeight w:val="1021"/>
        </w:trPr>
        <w:tc>
          <w:tcPr>
            <w:tcW w:w="2930" w:type="dxa"/>
            <w:hideMark/>
          </w:tcPr>
          <w:p w14:paraId="1873E04E" w14:textId="77777777" w:rsidR="000F2134" w:rsidRPr="000F2134" w:rsidRDefault="000F2134" w:rsidP="000F2134">
            <w:pPr>
              <w:spacing w:line="240" w:lineRule="auto"/>
              <w:rPr>
                <w:sz w:val="24"/>
                <w:szCs w:val="24"/>
              </w:rPr>
            </w:pPr>
            <w:r w:rsidRPr="000F2134">
              <w:rPr>
                <w:sz w:val="24"/>
                <w:szCs w:val="24"/>
              </w:rPr>
              <w:t>Minimum value of stress path coefficient</w:t>
            </w:r>
          </w:p>
        </w:tc>
        <w:tc>
          <w:tcPr>
            <w:tcW w:w="2578" w:type="dxa"/>
            <w:hideMark/>
          </w:tcPr>
          <w:p w14:paraId="3070D9D8" w14:textId="77777777" w:rsidR="000F2134" w:rsidRPr="000F2134" w:rsidRDefault="000F2134" w:rsidP="000F2134">
            <w:pPr>
              <w:spacing w:line="240" w:lineRule="auto"/>
              <w:rPr>
                <w:sz w:val="24"/>
                <w:szCs w:val="24"/>
              </w:rPr>
            </w:pPr>
            <w:r w:rsidRPr="000F2134">
              <w:rPr>
                <w:sz w:val="24"/>
                <w:szCs w:val="24"/>
              </w:rPr>
              <w:t>0.7</w:t>
            </w:r>
          </w:p>
        </w:tc>
        <w:tc>
          <w:tcPr>
            <w:tcW w:w="4140" w:type="dxa"/>
            <w:hideMark/>
          </w:tcPr>
          <w:p w14:paraId="7461EE36" w14:textId="77777777" w:rsidR="000F2134" w:rsidRPr="000F2134" w:rsidRDefault="000F2134" w:rsidP="000F2134">
            <w:pPr>
              <w:spacing w:line="240" w:lineRule="auto"/>
              <w:rPr>
                <w:sz w:val="24"/>
                <w:szCs w:val="24"/>
              </w:rPr>
            </w:pPr>
            <w:r w:rsidRPr="000F2134">
              <w:rPr>
                <w:sz w:val="24"/>
                <w:szCs w:val="24"/>
              </w:rPr>
              <w:t xml:space="preserve">default values in the SOSAT </w:t>
            </w:r>
          </w:p>
        </w:tc>
      </w:tr>
    </w:tbl>
    <w:p w14:paraId="5ADEBAD5" w14:textId="0C1ADA1A" w:rsidR="002E6737" w:rsidRDefault="002E6737" w:rsidP="00971470">
      <w:pPr>
        <w:suppressAutoHyphens/>
        <w:overflowPunct w:val="0"/>
        <w:autoSpaceDE w:val="0"/>
        <w:autoSpaceDN w:val="0"/>
        <w:adjustRightInd w:val="0"/>
        <w:spacing w:after="0"/>
        <w:textAlignment w:val="baseline"/>
        <w:rPr>
          <w:rFonts w:eastAsia="SimSun" w:cs="Times New Roman"/>
        </w:rPr>
      </w:pPr>
      <w:r w:rsidRPr="37DBAC1B">
        <w:rPr>
          <w:rFonts w:eastAsia="SimSun" w:cs="Times New Roman"/>
        </w:rPr>
        <w:t>Introducing these stress state constraints from the Arbuckle formation in Kansas State, the risk of seismicity reduced to 1</w:t>
      </w:r>
      <w:r w:rsidR="00835EB9">
        <w:rPr>
          <w:rFonts w:eastAsia="SimSun" w:cs="Times New Roman"/>
        </w:rPr>
        <w:t>2</w:t>
      </w:r>
      <w:r w:rsidRPr="37DBAC1B">
        <w:rPr>
          <w:rFonts w:eastAsia="SimSun" w:cs="Times New Roman"/>
        </w:rPr>
        <w:t xml:space="preserve">% as shown in figure </w:t>
      </w:r>
      <w:r w:rsidR="00835EB9">
        <w:rPr>
          <w:rFonts w:eastAsia="SimSun" w:cs="Times New Roman"/>
        </w:rPr>
        <w:t>4</w:t>
      </w:r>
      <w:r w:rsidR="00E70472">
        <w:rPr>
          <w:rFonts w:eastAsia="SimSun" w:cs="Times New Roman"/>
        </w:rPr>
        <w:t xml:space="preserve">7 </w:t>
      </w:r>
      <w:r w:rsidRPr="37DBAC1B">
        <w:rPr>
          <w:rFonts w:eastAsia="SimSun" w:cs="Times New Roman"/>
        </w:rPr>
        <w:t xml:space="preserve">below. </w:t>
      </w:r>
      <w:r w:rsidR="005305B2" w:rsidRPr="005305B2">
        <w:rPr>
          <w:rFonts w:eastAsia="SimSun" w:cs="Times New Roman"/>
        </w:rPr>
        <w:t xml:space="preserve">The uncertainty in the maximum </w:t>
      </w:r>
      <w:r w:rsidR="005305B2" w:rsidRPr="005305B2">
        <w:rPr>
          <w:rFonts w:eastAsia="SimSun" w:cs="Times New Roman"/>
        </w:rPr>
        <w:lastRenderedPageBreak/>
        <w:t>horizontal stress ranges from 40 – 48 psi</w:t>
      </w:r>
      <w:r w:rsidR="005305B2">
        <w:rPr>
          <w:rFonts w:eastAsia="SimSun" w:cs="Times New Roman"/>
        </w:rPr>
        <w:t xml:space="preserve"> shown in figure 4</w:t>
      </w:r>
      <w:r w:rsidR="00E70472">
        <w:rPr>
          <w:rFonts w:eastAsia="SimSun" w:cs="Times New Roman"/>
        </w:rPr>
        <w:t>6</w:t>
      </w:r>
      <w:r w:rsidR="005305B2" w:rsidRPr="005305B2">
        <w:rPr>
          <w:rFonts w:eastAsia="SimSun" w:cs="Times New Roman"/>
        </w:rPr>
        <w:t xml:space="preserve">, </w:t>
      </w:r>
      <w:r w:rsidR="005305B2">
        <w:rPr>
          <w:rFonts w:eastAsia="SimSun" w:cs="Times New Roman"/>
        </w:rPr>
        <w:t xml:space="preserve">indicating that the </w:t>
      </w:r>
      <w:r w:rsidR="005305B2" w:rsidRPr="005305B2">
        <w:rPr>
          <w:rFonts w:eastAsia="SimSun" w:cs="Times New Roman"/>
        </w:rPr>
        <w:t>stress state is better constrained.</w:t>
      </w:r>
      <w:r w:rsidR="005305B2">
        <w:rPr>
          <w:rFonts w:eastAsia="SimSun" w:cs="Times New Roman"/>
        </w:rPr>
        <w:t xml:space="preserve"> </w:t>
      </w:r>
      <w:r w:rsidRPr="37DBAC1B">
        <w:rPr>
          <w:rFonts w:eastAsia="SimSun" w:cs="Times New Roman"/>
        </w:rPr>
        <w:t>This shows that the geological storage of CO</w:t>
      </w:r>
      <w:r w:rsidRPr="37DBAC1B">
        <w:rPr>
          <w:rFonts w:eastAsia="SimSun" w:cs="Times New Roman"/>
          <w:vertAlign w:val="subscript"/>
        </w:rPr>
        <w:t>2</w:t>
      </w:r>
      <w:r w:rsidRPr="37DBAC1B">
        <w:rPr>
          <w:rFonts w:eastAsia="SimSun" w:cs="Times New Roman"/>
        </w:rPr>
        <w:t xml:space="preserve"> at reduced rates in the Arbuckle formation can be a feasible safe strategy towards achieving climate goals in selected areas and there is value of information in obtaining stress data in these areas. </w:t>
      </w:r>
    </w:p>
    <w:p w14:paraId="2F870C54" w14:textId="77777777" w:rsidR="00835EB9" w:rsidRDefault="00835EB9" w:rsidP="00DE3D6A">
      <w:pPr>
        <w:pStyle w:val="Caption"/>
      </w:pPr>
      <w:r w:rsidRPr="00835EB9">
        <w:rPr>
          <w:noProof/>
        </w:rPr>
        <w:drawing>
          <wp:inline distT="0" distB="0" distL="0" distR="0" wp14:anchorId="05F2A5CC" wp14:editId="3AE39D9A">
            <wp:extent cx="4317262" cy="3019778"/>
            <wp:effectExtent l="0" t="0" r="0" b="0"/>
            <wp:docPr id="78" name="Picture 5" descr="Chart&#10;&#10;Description automatically generated">
              <a:extLst xmlns:a="http://schemas.openxmlformats.org/drawingml/2006/main">
                <a:ext uri="{FF2B5EF4-FFF2-40B4-BE49-F238E27FC236}">
                  <a16:creationId xmlns:a16="http://schemas.microsoft.com/office/drawing/2014/main" id="{CFFE9A00-BBCB-F5A6-1D9E-F171A0C7FF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5" descr="Chart&#10;&#10;Description automatically generated">
                      <a:extLst>
                        <a:ext uri="{FF2B5EF4-FFF2-40B4-BE49-F238E27FC236}">
                          <a16:creationId xmlns:a16="http://schemas.microsoft.com/office/drawing/2014/main" id="{CFFE9A00-BBCB-F5A6-1D9E-F171A0C7FF92}"/>
                        </a:ext>
                      </a:extLst>
                    </pic:cNvPr>
                    <pic:cNvPicPr>
                      <a:picLocks noChangeAspect="1"/>
                    </pic:cNvPicPr>
                  </pic:nvPicPr>
                  <pic:blipFill>
                    <a:blip r:embed="rId62"/>
                    <a:stretch>
                      <a:fillRect/>
                    </a:stretch>
                  </pic:blipFill>
                  <pic:spPr>
                    <a:xfrm>
                      <a:off x="0" y="0"/>
                      <a:ext cx="4328611" cy="3027717"/>
                    </a:xfrm>
                    <a:prstGeom prst="rect">
                      <a:avLst/>
                    </a:prstGeom>
                  </pic:spPr>
                </pic:pic>
              </a:graphicData>
            </a:graphic>
          </wp:inline>
        </w:drawing>
      </w:r>
    </w:p>
    <w:p w14:paraId="7B78C7F6" w14:textId="73CEB6C7" w:rsidR="00835EB9" w:rsidRPr="00971470" w:rsidRDefault="00835EB9" w:rsidP="00835EB9">
      <w:pPr>
        <w:pStyle w:val="Caption"/>
      </w:pPr>
      <w:bookmarkStart w:id="129" w:name="_Toc121265889"/>
      <w:r>
        <w:t xml:space="preserve">Figure </w:t>
      </w:r>
      <w:fldSimple w:instr=" SEQ Figure \* ARABIC ">
        <w:r w:rsidR="00955725">
          <w:rPr>
            <w:noProof/>
          </w:rPr>
          <w:t>46</w:t>
        </w:r>
      </w:fldSimple>
      <w:r>
        <w:t>:</w:t>
      </w:r>
      <w:r w:rsidRPr="006C3651">
        <w:t>Posterior stress distribution plot</w:t>
      </w:r>
      <w:bookmarkEnd w:id="129"/>
    </w:p>
    <w:p w14:paraId="2DB2629C" w14:textId="77777777" w:rsidR="002E6737" w:rsidRPr="002E6737" w:rsidRDefault="002E6737" w:rsidP="002E6737">
      <w:pPr>
        <w:keepNext/>
        <w:suppressAutoHyphens/>
        <w:overflowPunct w:val="0"/>
        <w:autoSpaceDE w:val="0"/>
        <w:autoSpaceDN w:val="0"/>
        <w:adjustRightInd w:val="0"/>
        <w:spacing w:after="0"/>
        <w:ind w:firstLine="288"/>
        <w:jc w:val="center"/>
        <w:textAlignment w:val="baseline"/>
        <w:rPr>
          <w:rFonts w:eastAsia="SimSun" w:cs="Times New Roman"/>
          <w:szCs w:val="20"/>
        </w:rPr>
      </w:pPr>
      <w:r w:rsidRPr="002E6737">
        <w:rPr>
          <w:rFonts w:eastAsia="SimSun" w:cs="Times New Roman"/>
          <w:noProof/>
          <w:szCs w:val="20"/>
        </w:rPr>
        <w:drawing>
          <wp:inline distT="0" distB="0" distL="0" distR="0" wp14:anchorId="6F7297D9" wp14:editId="08379FFD">
            <wp:extent cx="3962956" cy="2769898"/>
            <wp:effectExtent l="0" t="0" r="0" b="0"/>
            <wp:docPr id="20" name="Picture 2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line chart&#10;&#10;Description automatically generated"/>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975998" cy="2779014"/>
                    </a:xfrm>
                    <a:prstGeom prst="rect">
                      <a:avLst/>
                    </a:prstGeom>
                    <a:noFill/>
                    <a:ln>
                      <a:noFill/>
                    </a:ln>
                  </pic:spPr>
                </pic:pic>
              </a:graphicData>
            </a:graphic>
          </wp:inline>
        </w:drawing>
      </w:r>
    </w:p>
    <w:p w14:paraId="0B4A85C7" w14:textId="33A6DDF4" w:rsidR="00835EB9" w:rsidRPr="00835EB9" w:rsidRDefault="002E6737" w:rsidP="00835EB9">
      <w:pPr>
        <w:pStyle w:val="Caption"/>
      </w:pPr>
      <w:bookmarkStart w:id="130" w:name="_Toc112856570"/>
      <w:bookmarkStart w:id="131" w:name="_Toc121265890"/>
      <w:r w:rsidRPr="002E6737">
        <w:t xml:space="preserve">Figure </w:t>
      </w:r>
      <w:fldSimple w:instr=" SEQ Figure \* ARABIC ">
        <w:r w:rsidR="00955725">
          <w:rPr>
            <w:noProof/>
          </w:rPr>
          <w:t>47</w:t>
        </w:r>
      </w:fldSimple>
      <w:r w:rsidRPr="002E6737">
        <w:t xml:space="preserve">: </w:t>
      </w:r>
      <w:bookmarkEnd w:id="130"/>
      <w:r w:rsidR="00835EB9" w:rsidRPr="00835EB9">
        <w:t>Probability of Fault Activation with Site Specific Stress Data</w:t>
      </w:r>
      <w:bookmarkEnd w:id="131"/>
    </w:p>
    <w:p w14:paraId="4BF22F3E" w14:textId="44FAC769" w:rsidR="009F2CF1" w:rsidRPr="009F2CF1" w:rsidRDefault="009F2CF1" w:rsidP="00835EB9">
      <w:pPr>
        <w:pStyle w:val="Caption"/>
      </w:pPr>
    </w:p>
    <w:p w14:paraId="0C27D948" w14:textId="77777777" w:rsidR="00B31DAF" w:rsidRDefault="003B3F35">
      <w:pPr>
        <w:rPr>
          <w:b/>
          <w:bCs/>
        </w:rPr>
      </w:pPr>
      <w:r w:rsidRPr="00000A09">
        <w:rPr>
          <w:b/>
          <w:bCs/>
        </w:rPr>
        <w:t>Future work</w:t>
      </w:r>
    </w:p>
    <w:p w14:paraId="190B17B4" w14:textId="5C82089A" w:rsidR="00276172" w:rsidRPr="00B31DAF" w:rsidRDefault="005305B2">
      <w:pPr>
        <w:rPr>
          <w:rFonts w:eastAsiaTheme="majorEastAsia" w:cstheme="majorBidi"/>
          <w:szCs w:val="32"/>
        </w:rPr>
      </w:pPr>
      <w:r w:rsidRPr="005305B2">
        <w:t>Future area of this research entails obtaining site-specific stress data from Oklahoma to reduce uncertainties in maximum horizontal stresses.</w:t>
      </w:r>
      <w:r w:rsidR="00276172" w:rsidRPr="00B31DAF">
        <w:br w:type="page"/>
      </w:r>
    </w:p>
    <w:p w14:paraId="58BC8A90" w14:textId="45E45835" w:rsidR="009E45B6" w:rsidRDefault="00276172" w:rsidP="009F2CF1">
      <w:pPr>
        <w:pStyle w:val="Heading1"/>
      </w:pPr>
      <w:bookmarkStart w:id="132" w:name="_Toc121265839"/>
      <w:r>
        <w:lastRenderedPageBreak/>
        <w:t xml:space="preserve">CHAPTER </w:t>
      </w:r>
      <w:r w:rsidR="00FB22E3">
        <w:t>5</w:t>
      </w:r>
      <w:r>
        <w:t xml:space="preserve">: </w:t>
      </w:r>
      <w:r w:rsidR="009F2CF1">
        <w:t>Conclusion</w:t>
      </w:r>
      <w:bookmarkEnd w:id="132"/>
    </w:p>
    <w:p w14:paraId="2AB154C2" w14:textId="5807FC77" w:rsidR="006500CB" w:rsidRDefault="0032667E" w:rsidP="002E6737">
      <w:r>
        <w:t xml:space="preserve">The </w:t>
      </w:r>
      <w:r w:rsidR="006500CB">
        <w:t>data analysis shows that there is a relationship between the injection of fluid into Arbuckle Group and seismicity, hence, to commence sequestration in the formation, there is need to understand the probability of introducing seismicity in the formation.</w:t>
      </w:r>
    </w:p>
    <w:p w14:paraId="78085B79" w14:textId="21638A7F" w:rsidR="002E6737" w:rsidRDefault="002E6737" w:rsidP="002E6737">
      <w:r w:rsidRPr="002E6737">
        <w:t xml:space="preserve">The results suggest that we can estimate the probability of inducing seismicity in the formation. </w:t>
      </w:r>
      <w:r w:rsidR="005305B2" w:rsidRPr="005305B2">
        <w:t>Based on our modelling results, at initial injection pressures there is risk of introducing seismicity in the Arbuckle Group, due to the stress state being poorly constrained.</w:t>
      </w:r>
      <w:r w:rsidR="005305B2">
        <w:t xml:space="preserve"> S</w:t>
      </w:r>
      <w:r w:rsidRPr="002E6737">
        <w:t>ensitivity analysis determine</w:t>
      </w:r>
      <w:r w:rsidR="005305B2">
        <w:t>d that the stress regimes, coefficient</w:t>
      </w:r>
      <w:r w:rsidR="00BB3204">
        <w:t xml:space="preserve"> of friction and stress path had an effect on the shear failure.</w:t>
      </w:r>
      <w:r w:rsidR="005305B2">
        <w:t xml:space="preserve"> </w:t>
      </w:r>
      <w:r w:rsidRPr="002E6737">
        <w:t xml:space="preserve">In most cases analyzed the risk of induced seismicity by injection is still greater than </w:t>
      </w:r>
      <w:r w:rsidR="005305B2">
        <w:t>2</w:t>
      </w:r>
      <w:r w:rsidRPr="002E6737">
        <w:t xml:space="preserve">0% due to the stress state being poorly constrained. Introducing </w:t>
      </w:r>
      <w:r w:rsidR="005305B2">
        <w:t>s</w:t>
      </w:r>
      <w:r w:rsidR="005305B2" w:rsidRPr="005305B2">
        <w:t xml:space="preserve">ite specific stress </w:t>
      </w:r>
      <w:r w:rsidRPr="002E6737">
        <w:t xml:space="preserve">from the Arbuckle formation in Kansas State, </w:t>
      </w:r>
      <w:r w:rsidR="005305B2" w:rsidRPr="005305B2">
        <w:t>introduces defined stress state constraints to the model hence reducing risk of seismicity to 12%.</w:t>
      </w:r>
      <w:r w:rsidR="005305B2">
        <w:t xml:space="preserve"> </w:t>
      </w:r>
      <w:r w:rsidRPr="002E6737">
        <w:t>Prospect operators and industry stakeholders in the region can enhance their site screening criteria and collect additional data to constrain inherent uncertainties in evaluation of geomechanical risks. Using commonly available data, the Bayesian models which are data-driven can be used for geomechanical risk analysis. This provides value when screening sites and characterizing for GCS, especially when stress data is available. It enables operators</w:t>
      </w:r>
      <w:r>
        <w:t xml:space="preserve"> </w:t>
      </w:r>
      <w:r w:rsidR="4F326F62">
        <w:t>to</w:t>
      </w:r>
      <w:r w:rsidRPr="002E6737">
        <w:t xml:space="preserve"> minimize seismicity risks and enables optimized decision-making during operations. The result from this work </w:t>
      </w:r>
      <w:r w:rsidR="00FB22E3" w:rsidRPr="002E6737">
        <w:t>shows</w:t>
      </w:r>
      <w:r w:rsidRPr="002E6737">
        <w:t xml:space="preserve"> that geological storage of </w:t>
      </w:r>
      <w:r w:rsidR="00FB22E3">
        <w:rPr>
          <w:rFonts w:cs="Times New Roman"/>
          <w:szCs w:val="24"/>
        </w:rPr>
        <w:t>with attention to seismicity risks</w:t>
      </w:r>
      <w:r w:rsidR="00FB22E3" w:rsidRPr="002E6737">
        <w:t xml:space="preserve"> </w:t>
      </w:r>
      <w:r w:rsidRPr="002E6737">
        <w:t xml:space="preserve">the Arbuckle </w:t>
      </w:r>
      <w:r w:rsidR="00FB22E3">
        <w:t xml:space="preserve">Group </w:t>
      </w:r>
      <w:r w:rsidRPr="002E6737">
        <w:t>can be a feasible safe strategy towards achieving climate goals in selected areas and there is value of information in obtaining stress data in these areas.</w:t>
      </w:r>
    </w:p>
    <w:bookmarkEnd w:id="7"/>
    <w:p w14:paraId="50300EBD" w14:textId="5EB24E69" w:rsidR="002E6737" w:rsidRDefault="002E6737">
      <w:r>
        <w:br w:type="page"/>
      </w:r>
    </w:p>
    <w:bookmarkStart w:id="133" w:name="_Toc121265840" w:displacedByCustomXml="next"/>
    <w:sdt>
      <w:sdtPr>
        <w:rPr>
          <w:rFonts w:eastAsiaTheme="minorHAnsi" w:cstheme="minorBidi"/>
          <w:b w:val="0"/>
          <w:sz w:val="24"/>
          <w:szCs w:val="22"/>
        </w:rPr>
        <w:id w:val="-2001879745"/>
        <w:docPartObj>
          <w:docPartGallery w:val="Bibliographies"/>
          <w:docPartUnique/>
        </w:docPartObj>
      </w:sdtPr>
      <w:sdtContent>
        <w:p w14:paraId="23FDFF80" w14:textId="5E537FB5" w:rsidR="002E6737" w:rsidRDefault="002E6737" w:rsidP="0032667E">
          <w:pPr>
            <w:pStyle w:val="Heading1"/>
          </w:pPr>
          <w:r>
            <w:t>References</w:t>
          </w:r>
          <w:bookmarkEnd w:id="133"/>
        </w:p>
        <w:sdt>
          <w:sdtPr>
            <w:id w:val="-573587230"/>
            <w:bibliography/>
          </w:sdtPr>
          <w:sdtContent>
            <w:p w14:paraId="7DF83410" w14:textId="77777777" w:rsidR="00C84822" w:rsidRDefault="002E6737" w:rsidP="00C84822">
              <w:pPr>
                <w:pStyle w:val="Bibliography"/>
                <w:ind w:left="720" w:hanging="720"/>
                <w:rPr>
                  <w:noProof/>
                  <w:szCs w:val="24"/>
                </w:rPr>
              </w:pPr>
              <w:r>
                <w:fldChar w:fldCharType="begin"/>
              </w:r>
              <w:r>
                <w:instrText xml:space="preserve"> BIBLIOGRAPHY </w:instrText>
              </w:r>
              <w:r>
                <w:fldChar w:fldCharType="separate"/>
              </w:r>
              <w:r w:rsidR="00C84822">
                <w:rPr>
                  <w:noProof/>
                </w:rPr>
                <w:t xml:space="preserve">Ajayi, T., Gomes, J., &amp; Bera, A. (2019). A review of CO2 storage in geological formations emphasizing modeling, monitoring and capacity estimation approaches. </w:t>
              </w:r>
              <w:r w:rsidR="00C84822">
                <w:rPr>
                  <w:i/>
                  <w:iCs/>
                  <w:noProof/>
                </w:rPr>
                <w:t>Pet. Sci., 16</w:t>
              </w:r>
              <w:r w:rsidR="00C84822">
                <w:rPr>
                  <w:noProof/>
                </w:rPr>
                <w:t>, 1028-1063. doi:https://doi.org/10.1007/s12182-019-0340-8</w:t>
              </w:r>
            </w:p>
            <w:p w14:paraId="35F2554B" w14:textId="77777777" w:rsidR="00C84822" w:rsidRDefault="00C84822" w:rsidP="00C84822">
              <w:pPr>
                <w:pStyle w:val="Bibliography"/>
                <w:ind w:left="720" w:hanging="720"/>
                <w:rPr>
                  <w:noProof/>
                </w:rPr>
              </w:pPr>
              <w:r>
                <w:rPr>
                  <w:noProof/>
                </w:rPr>
                <w:t xml:space="preserve">Alcalde, J., Flude, S., Wilkinson, M., Johnson, G., Edlmann, K., Bond, C. E., . . . Haszeldine, R. S. (2018). Estimating geological CO2 storage security to deliver on climate mitigation. </w:t>
              </w:r>
              <w:r>
                <w:rPr>
                  <w:i/>
                  <w:iCs/>
                  <w:noProof/>
                </w:rPr>
                <w:t>Nature Communications, 9</w:t>
              </w:r>
              <w:r>
                <w:rPr>
                  <w:noProof/>
                </w:rPr>
                <w:t>, 2201. doi:https://doi.org/10.1038/s41467-018-04423</w:t>
              </w:r>
            </w:p>
            <w:p w14:paraId="2CBEE9B3" w14:textId="77777777" w:rsidR="00C84822" w:rsidRDefault="00C84822" w:rsidP="00C84822">
              <w:pPr>
                <w:pStyle w:val="Bibliography"/>
                <w:ind w:left="720" w:hanging="720"/>
                <w:rPr>
                  <w:noProof/>
                </w:rPr>
              </w:pPr>
              <w:r>
                <w:rPr>
                  <w:noProof/>
                </w:rPr>
                <w:t xml:space="preserve">Appriou, D. (2019). </w:t>
              </w:r>
              <w:r>
                <w:rPr>
                  <w:i/>
                  <w:iCs/>
                  <w:noProof/>
                </w:rPr>
                <w:t>Assessment of the Geomechanical Risks Associated with CO2 Injection at the FutureGen 2.0 Site.</w:t>
              </w:r>
              <w:r>
                <w:rPr>
                  <w:noProof/>
                </w:rPr>
                <w:t xml:space="preserve"> PACIFIC NORTHWEST NATIONAL LABORATORY.</w:t>
              </w:r>
            </w:p>
            <w:p w14:paraId="33184E7F" w14:textId="77777777" w:rsidR="00C84822" w:rsidRDefault="00C84822" w:rsidP="00C84822">
              <w:pPr>
                <w:pStyle w:val="Bibliography"/>
                <w:ind w:left="720" w:hanging="720"/>
                <w:rPr>
                  <w:noProof/>
                </w:rPr>
              </w:pPr>
              <w:r>
                <w:rPr>
                  <w:noProof/>
                </w:rPr>
                <w:t xml:space="preserve">Bachu, S. (2008). Storage in Geological Media: Role, Means, Status and Barriers to Deployment. </w:t>
              </w:r>
              <w:r>
                <w:rPr>
                  <w:i/>
                  <w:iCs/>
                  <w:noProof/>
                </w:rPr>
                <w:t>Process in Energy and Combustion Science</w:t>
              </w:r>
              <w:r>
                <w:rPr>
                  <w:noProof/>
                </w:rPr>
                <w:t>, 254-273.</w:t>
              </w:r>
            </w:p>
            <w:p w14:paraId="46882924" w14:textId="77777777" w:rsidR="00C84822" w:rsidRDefault="00C84822" w:rsidP="00C84822">
              <w:pPr>
                <w:pStyle w:val="Bibliography"/>
                <w:ind w:left="720" w:hanging="720"/>
                <w:rPr>
                  <w:noProof/>
                </w:rPr>
              </w:pPr>
              <w:r>
                <w:rPr>
                  <w:noProof/>
                </w:rPr>
                <w:t xml:space="preserve">Bandilla, K. W., Celia, M. A., Birkholzer, J. T., Cihan, A., &amp; Leister, E. C. (2015). Multiphase Modeling of Geologic Carbon Sequestration in Saline Aquifers. </w:t>
              </w:r>
              <w:r>
                <w:rPr>
                  <w:i/>
                  <w:iCs/>
                  <w:noProof/>
                </w:rPr>
                <w:t>NATIONAL GROUNDWATER ASSOCIATION</w:t>
              </w:r>
              <w:r>
                <w:rPr>
                  <w:noProof/>
                </w:rPr>
                <w:t>. doi:https://doi.org/10.1111/gwat.12315</w:t>
              </w:r>
            </w:p>
            <w:p w14:paraId="709F1D19" w14:textId="77777777" w:rsidR="00C84822" w:rsidRDefault="00C84822" w:rsidP="00C84822">
              <w:pPr>
                <w:pStyle w:val="Bibliography"/>
                <w:ind w:left="720" w:hanging="720"/>
                <w:rPr>
                  <w:noProof/>
                </w:rPr>
              </w:pPr>
              <w:r>
                <w:rPr>
                  <w:noProof/>
                </w:rPr>
                <w:t xml:space="preserve">Barrufet, M. A., Bacquet, A., &amp; Falcone, G. (2010). Analysis of the Storage Capacity for CO2 Sequestration of a Depleted Gas Condensate Reservoir and a Saline Aquifer. </w:t>
              </w:r>
              <w:r>
                <w:rPr>
                  <w:i/>
                  <w:iCs/>
                  <w:noProof/>
                </w:rPr>
                <w:t>The Journal of Canadian petroleum technology, 49</w:t>
              </w:r>
              <w:r>
                <w:rPr>
                  <w:noProof/>
                </w:rPr>
                <w:t>, 23-31. doi:https://doi.org/10.2118/139771-PA</w:t>
              </w:r>
            </w:p>
            <w:p w14:paraId="232C2BD0" w14:textId="77777777" w:rsidR="00C84822" w:rsidRDefault="00C84822" w:rsidP="00C84822">
              <w:pPr>
                <w:pStyle w:val="Bibliography"/>
                <w:ind w:left="720" w:hanging="720"/>
                <w:rPr>
                  <w:noProof/>
                </w:rPr>
              </w:pPr>
              <w:r>
                <w:rPr>
                  <w:noProof/>
                </w:rPr>
                <w:t xml:space="preserve">Battelle, I. (2018, June 5). </w:t>
              </w:r>
              <w:r>
                <w:rPr>
                  <w:i/>
                  <w:iCs/>
                  <w:noProof/>
                </w:rPr>
                <w:t>Energy &amp; Environment</w:t>
              </w:r>
              <w:r>
                <w:rPr>
                  <w:noProof/>
                </w:rPr>
                <w:t>. Retrieved from Inside Battelle: https://inside.battelle.org/blog-details/carbon-capture-sequestration-is-worth-pursuing?keyword_session_id=vt~adwords|kt~|mt~b|ta~496274902983&amp;_vsrefdom=wor</w:t>
              </w:r>
              <w:r>
                <w:rPr>
                  <w:noProof/>
                </w:rPr>
                <w:lastRenderedPageBreak/>
                <w:t>dstream&amp;gclid=Cj0KCQjwiNSLBhCPARIsAKNS4_dlFUVoYbcC0mSgrfXK4_uxMsRaPRpHD8iUx9DhVJTJe_sVgosxz4gaAqq2E</w:t>
              </w:r>
            </w:p>
            <w:p w14:paraId="70999B68" w14:textId="77777777" w:rsidR="00C84822" w:rsidRDefault="00C84822" w:rsidP="00C84822">
              <w:pPr>
                <w:pStyle w:val="Bibliography"/>
                <w:ind w:left="720" w:hanging="720"/>
                <w:rPr>
                  <w:noProof/>
                </w:rPr>
              </w:pPr>
              <w:r>
                <w:rPr>
                  <w:noProof/>
                </w:rPr>
                <w:t xml:space="preserve">Benson, S., &amp; Cole, D. (2008). CO2 Sequestration in Deep Sedimentary Formations. </w:t>
              </w:r>
              <w:r>
                <w:rPr>
                  <w:i/>
                  <w:iCs/>
                  <w:noProof/>
                </w:rPr>
                <w:t>Elements</w:t>
              </w:r>
              <w:r>
                <w:rPr>
                  <w:noProof/>
                </w:rPr>
                <w:t>, 325-331. doi:http://dx.doi.org/10.2113/gselements.4.5.325</w:t>
              </w:r>
            </w:p>
            <w:p w14:paraId="4FEBE49C" w14:textId="77777777" w:rsidR="00C84822" w:rsidRDefault="00C84822" w:rsidP="00C84822">
              <w:pPr>
                <w:pStyle w:val="Bibliography"/>
                <w:ind w:left="720" w:hanging="720"/>
                <w:rPr>
                  <w:noProof/>
                </w:rPr>
              </w:pPr>
              <w:r>
                <w:rPr>
                  <w:noProof/>
                </w:rPr>
                <w:t xml:space="preserve">Birdie, T., Holubnyak, E., Watney, L., &amp; Hollenbach, J. (2022, 11 25). </w:t>
              </w:r>
              <w:r>
                <w:rPr>
                  <w:i/>
                  <w:iCs/>
                  <w:noProof/>
                </w:rPr>
                <w:t>Methodology for Constructing Reservoir Maximum Pore Pressure Maps to Meet Class VI Constraints and Prevent Earthquakes.</w:t>
              </w:r>
              <w:r>
                <w:rPr>
                  <w:noProof/>
                </w:rPr>
                <w:t xml:space="preserve"> Retrieved from US Department of Energy: https://www.netl.doe.gov/sites/default/files/netl-file/T-Birdie-Methodology-for-Constructing.pdf</w:t>
              </w:r>
            </w:p>
            <w:p w14:paraId="27AE0A04" w14:textId="77777777" w:rsidR="00C84822" w:rsidRDefault="00C84822" w:rsidP="00C84822">
              <w:pPr>
                <w:pStyle w:val="Bibliography"/>
                <w:ind w:left="720" w:hanging="720"/>
                <w:rPr>
                  <w:noProof/>
                </w:rPr>
              </w:pPr>
              <w:r>
                <w:rPr>
                  <w:noProof/>
                </w:rPr>
                <w:t>Birdie, T., Holubnyak, E., Watney, L., Bidgoli, T., Hollenbach, J., &amp; Fazelalavi, M. (2022). Assessing Induced Seismicity Risk at the Wellington Geologic Sequestration Site.</w:t>
              </w:r>
            </w:p>
            <w:p w14:paraId="5AC31105" w14:textId="77777777" w:rsidR="00C84822" w:rsidRDefault="00C84822" w:rsidP="00C84822">
              <w:pPr>
                <w:pStyle w:val="Bibliography"/>
                <w:ind w:left="720" w:hanging="720"/>
                <w:rPr>
                  <w:noProof/>
                </w:rPr>
              </w:pPr>
              <w:r>
                <w:rPr>
                  <w:noProof/>
                </w:rPr>
                <w:t xml:space="preserve">Bissell, R. C., Vasco, D. W., Atbi, M., Hamdani, M., Okwelegbe, M., &amp; Goldwater, M. H. (2011). A full field simulation of the In Salah gas production and CO2 storage project using a coupled geo-mechanical and thermal fluid flow simulator. </w:t>
              </w:r>
              <w:r>
                <w:rPr>
                  <w:i/>
                  <w:iCs/>
                  <w:noProof/>
                </w:rPr>
                <w:t>Energy Procedia, 4</w:t>
              </w:r>
              <w:r>
                <w:rPr>
                  <w:noProof/>
                </w:rPr>
                <w:t>, 3290-3297. doi:https://doi.org/10.1016/j.egypro.2011.02.249</w:t>
              </w:r>
            </w:p>
            <w:p w14:paraId="0870D74B" w14:textId="77777777" w:rsidR="00C84822" w:rsidRDefault="00C84822" w:rsidP="00C84822">
              <w:pPr>
                <w:pStyle w:val="Bibliography"/>
                <w:ind w:left="720" w:hanging="720"/>
                <w:rPr>
                  <w:noProof/>
                </w:rPr>
              </w:pPr>
              <w:r>
                <w:rPr>
                  <w:i/>
                  <w:iCs/>
                  <w:noProof/>
                </w:rPr>
                <w:t xml:space="preserve">BP Statistical Review of World Energy </w:t>
              </w:r>
              <w:r>
                <w:rPr>
                  <w:noProof/>
                </w:rPr>
                <w:t>. (2021). Retrieved from https://www.bp.com/content/dam/bp/business-sites/en/global/corporate/pdfs/energy-economics/statistical-review/bp-stats-review-2021-full-report.pdf</w:t>
              </w:r>
            </w:p>
            <w:p w14:paraId="6C000FFE" w14:textId="77777777" w:rsidR="00C84822" w:rsidRDefault="00C84822" w:rsidP="00C84822">
              <w:pPr>
                <w:pStyle w:val="Bibliography"/>
                <w:ind w:left="720" w:hanging="720"/>
                <w:rPr>
                  <w:noProof/>
                </w:rPr>
              </w:pPr>
              <w:r>
                <w:rPr>
                  <w:noProof/>
                </w:rPr>
                <w:t xml:space="preserve">Burghardt, J. (2018). Geomechanical Risk Assessment for. </w:t>
              </w:r>
              <w:r>
                <w:rPr>
                  <w:i/>
                  <w:iCs/>
                  <w:noProof/>
                </w:rPr>
                <w:t>Rock Mechanics and Rock Engineering</w:t>
              </w:r>
              <w:r>
                <w:rPr>
                  <w:noProof/>
                </w:rPr>
                <w:t>, 1-26. doi:10.1007/s00603-018-1409-1</w:t>
              </w:r>
            </w:p>
            <w:p w14:paraId="59726282" w14:textId="77777777" w:rsidR="00C84822" w:rsidRDefault="00C84822" w:rsidP="00C84822">
              <w:pPr>
                <w:pStyle w:val="Bibliography"/>
                <w:ind w:left="720" w:hanging="720"/>
                <w:rPr>
                  <w:noProof/>
                </w:rPr>
              </w:pPr>
              <w:r>
                <w:rPr>
                  <w:noProof/>
                </w:rPr>
                <w:lastRenderedPageBreak/>
                <w:t>Burghardt, J. (2021). SOSAT.</w:t>
              </w:r>
            </w:p>
            <w:p w14:paraId="1439E9F9" w14:textId="77777777" w:rsidR="00C84822" w:rsidRDefault="00C84822" w:rsidP="00C84822">
              <w:pPr>
                <w:pStyle w:val="Bibliography"/>
                <w:ind w:left="720" w:hanging="720"/>
                <w:rPr>
                  <w:noProof/>
                </w:rPr>
              </w:pPr>
              <w:r>
                <w:rPr>
                  <w:noProof/>
                </w:rPr>
                <w:t xml:space="preserve">Burghardt, J., &amp; Appriou, D. (2021). State of Stress Uncertainty Quantification and Geomechanical Risk Analysis for Subsurface Engineering. </w:t>
              </w:r>
              <w:r>
                <w:rPr>
                  <w:i/>
                  <w:iCs/>
                  <w:noProof/>
                </w:rPr>
                <w:t>US Rock Mechanics/Geomechanics Symposium.</w:t>
              </w:r>
              <w:r>
                <w:rPr>
                  <w:noProof/>
                </w:rPr>
                <w:t xml:space="preserve"> Houston, Texas, USA: America Rock Mechanics Association.</w:t>
              </w:r>
            </w:p>
            <w:p w14:paraId="0CD1B9A5" w14:textId="77777777" w:rsidR="00C84822" w:rsidRDefault="00C84822" w:rsidP="00C84822">
              <w:pPr>
                <w:pStyle w:val="Bibliography"/>
                <w:ind w:left="720" w:hanging="720"/>
                <w:rPr>
                  <w:noProof/>
                </w:rPr>
              </w:pPr>
              <w:r>
                <w:rPr>
                  <w:noProof/>
                </w:rPr>
                <w:t xml:space="preserve">Chiaramonte, L., Zoback, M. D., Friedmann, J., &amp; Stamp, V. (2008). Seal integrity and feasibility of CO2 sequestration in the Teapot Dome EOR pilot: geomechanical site characterization. </w:t>
              </w:r>
              <w:r>
                <w:rPr>
                  <w:i/>
                  <w:iCs/>
                  <w:noProof/>
                </w:rPr>
                <w:t>Environmental Geology, 54</w:t>
              </w:r>
              <w:r>
                <w:rPr>
                  <w:noProof/>
                </w:rPr>
                <w:t>(8), 1667-1675. Retrieved from https://idp.springer.com/authorize/casa?redirect_uri=https://link.springer.com/article/10.1007/s00254-007-0948-7&amp;casa_token=RqQmuvF-YcYAAAAA:LSGfogyYy-j6rsjltAO9d13GGnjmOzcBCxluyhH6oO2Esl9731kAQqyHwDUUX82kdeOy6p_Sj9VWwmOzNw</w:t>
              </w:r>
            </w:p>
            <w:p w14:paraId="64CBADA8" w14:textId="77777777" w:rsidR="00C84822" w:rsidRDefault="00C84822" w:rsidP="00C84822">
              <w:pPr>
                <w:pStyle w:val="Bibliography"/>
                <w:ind w:left="720" w:hanging="720"/>
                <w:rPr>
                  <w:noProof/>
                </w:rPr>
              </w:pPr>
              <w:r>
                <w:rPr>
                  <w:noProof/>
                </w:rPr>
                <w:t xml:space="preserve">Chidambaram, P., Tewari, R. D., Ali, S. S., Tan, C. P., &amp; PETRONAS, R. S. (2021). Understanding the Effect of Rock Compressibility on CO2 Storage Capacity Estimation in a Depleted Carbonate Gas Reservoir. </w:t>
              </w:r>
              <w:r>
                <w:rPr>
                  <w:i/>
                  <w:iCs/>
                  <w:noProof/>
                </w:rPr>
                <w:t>International Petroleum Technology Conference.</w:t>
              </w:r>
              <w:r>
                <w:rPr>
                  <w:noProof/>
                </w:rPr>
                <w:t xml:space="preserve"> Virtual: IPTC. Retrieved from https://onepetro.org/IPTCONF/proceedings-pdf/21IPTC/2-21IPTC/D021S003R001/2423471/iptc-21207-ms.pdf</w:t>
              </w:r>
            </w:p>
            <w:p w14:paraId="74D1E124" w14:textId="77777777" w:rsidR="00C84822" w:rsidRDefault="00C84822" w:rsidP="00C84822">
              <w:pPr>
                <w:pStyle w:val="Bibliography"/>
                <w:ind w:left="720" w:hanging="720"/>
                <w:rPr>
                  <w:noProof/>
                </w:rPr>
              </w:pPr>
              <w:r>
                <w:rPr>
                  <w:noProof/>
                </w:rPr>
                <w:t xml:space="preserve">Ching, B. Y., &amp; Friedman, G. M. (2000). Subsurface Arbuckle Group Cambro-Ordovician in the Bowman Well of the Wilburton Field in the Arkoma Basin, Oklahoma; depositional facies, diagenetic signatures, petrophysical aspects, and economic potential. </w:t>
              </w:r>
              <w:r>
                <w:rPr>
                  <w:i/>
                  <w:iCs/>
                  <w:noProof/>
                </w:rPr>
                <w:t>Carbonates and Evaporites, 15</w:t>
              </w:r>
              <w:r>
                <w:rPr>
                  <w:noProof/>
                </w:rPr>
                <w:t>(1), 49-80. doi:10.1007/bf03175648</w:t>
              </w:r>
            </w:p>
            <w:p w14:paraId="32B71D7C" w14:textId="77777777" w:rsidR="00C84822" w:rsidRDefault="00C84822" w:rsidP="00C84822">
              <w:pPr>
                <w:pStyle w:val="Bibliography"/>
                <w:ind w:left="720" w:hanging="720"/>
                <w:rPr>
                  <w:noProof/>
                </w:rPr>
              </w:pPr>
              <w:r>
                <w:rPr>
                  <w:noProof/>
                </w:rPr>
                <w:lastRenderedPageBreak/>
                <w:t xml:space="preserve">Coyle, P. (2018, Nov 1). </w:t>
              </w:r>
              <w:r>
                <w:rPr>
                  <w:i/>
                  <w:iCs/>
                  <w:noProof/>
                </w:rPr>
                <w:t>What is Bayesian Statistics used for?</w:t>
              </w:r>
              <w:r>
                <w:rPr>
                  <w:noProof/>
                </w:rPr>
                <w:t xml:space="preserve"> Retrieved from Towards Datascience: https://towardsdatascience.com/what-is-bayesian-statistics-used-for-37b91c2c257c</w:t>
              </w:r>
            </w:p>
            <w:p w14:paraId="35F2FE2E" w14:textId="77777777" w:rsidR="00C84822" w:rsidRDefault="00C84822" w:rsidP="00C84822">
              <w:pPr>
                <w:pStyle w:val="Bibliography"/>
                <w:ind w:left="720" w:hanging="720"/>
                <w:rPr>
                  <w:noProof/>
                </w:rPr>
              </w:pPr>
              <w:r>
                <w:rPr>
                  <w:noProof/>
                </w:rPr>
                <w:t xml:space="preserve">Daneshfar, J., Hughes, R. G., &amp; Civan, F. (2009). Feasibility Investigation and Modeling Analysis of CO2 Sequestration in Arbuckle Formation Utilizing Salt Water Disposal Wells . </w:t>
              </w:r>
              <w:r>
                <w:rPr>
                  <w:i/>
                  <w:iCs/>
                  <w:noProof/>
                </w:rPr>
                <w:t>Journal of Energy Resources Technology</w:t>
              </w:r>
              <w:r>
                <w:rPr>
                  <w:noProof/>
                </w:rPr>
                <w:t>, 023301-10. doi:10.1115/1.3124115</w:t>
              </w:r>
            </w:p>
            <w:p w14:paraId="460E0646" w14:textId="77777777" w:rsidR="00C84822" w:rsidRDefault="00C84822" w:rsidP="00C84822">
              <w:pPr>
                <w:pStyle w:val="Bibliography"/>
                <w:ind w:left="720" w:hanging="720"/>
                <w:rPr>
                  <w:noProof/>
                </w:rPr>
              </w:pPr>
              <w:r>
                <w:rPr>
                  <w:noProof/>
                </w:rPr>
                <w:t xml:space="preserve">EPA. (2018). </w:t>
              </w:r>
              <w:r>
                <w:rPr>
                  <w:i/>
                  <w:iCs/>
                  <w:noProof/>
                </w:rPr>
                <w:t>Geologic Sequenstration of Carbon Dioxide. Underground Injection Control (UIC) Program Class VI Implementaion Manual for UIC Program Directors.</w:t>
              </w:r>
              <w:r>
                <w:rPr>
                  <w:noProof/>
                </w:rPr>
                <w:t xml:space="preserve"> </w:t>
              </w:r>
            </w:p>
            <w:p w14:paraId="231383EC" w14:textId="77777777" w:rsidR="00C84822" w:rsidRDefault="00C84822" w:rsidP="00C84822">
              <w:pPr>
                <w:pStyle w:val="Bibliography"/>
                <w:ind w:left="720" w:hanging="720"/>
                <w:rPr>
                  <w:noProof/>
                </w:rPr>
              </w:pPr>
              <w:r>
                <w:rPr>
                  <w:noProof/>
                </w:rPr>
                <w:t xml:space="preserve">EPA. (2021). </w:t>
              </w:r>
              <w:r>
                <w:rPr>
                  <w:i/>
                  <w:iCs/>
                  <w:noProof/>
                </w:rPr>
                <w:t>Subpart UU – Injection of Carbon Dioxide</w:t>
              </w:r>
              <w:r>
                <w:rPr>
                  <w:noProof/>
                </w:rPr>
                <w:t>. Retrieved from United States Environmental Protection Agency: https://www.epa.gov/ghgreporting/subpart-uu-injection-carbon-dioxide#:~:text=This%20rule%20requires%20reporting%20of,purpose%20other%20than%20geologic%20sequestration.</w:t>
              </w:r>
            </w:p>
            <w:p w14:paraId="3EB8BC11" w14:textId="77777777" w:rsidR="00C84822" w:rsidRDefault="00C84822" w:rsidP="00C84822">
              <w:pPr>
                <w:pStyle w:val="Bibliography"/>
                <w:ind w:left="720" w:hanging="720"/>
                <w:rPr>
                  <w:noProof/>
                </w:rPr>
              </w:pPr>
              <w:r>
                <w:rPr>
                  <w:noProof/>
                </w:rPr>
                <w:t xml:space="preserve">Espinoza, N. D. (2020). </w:t>
              </w:r>
              <w:r>
                <w:rPr>
                  <w:i/>
                  <w:iCs/>
                  <w:noProof/>
                </w:rPr>
                <w:t>Horizontal Stresses.</w:t>
              </w:r>
              <w:r>
                <w:rPr>
                  <w:noProof/>
                </w:rPr>
                <w:t xml:space="preserve"> Retrieved from Introduction to Energy Geomechanics: https://dnicolasespinoza.github.io/node10.html</w:t>
              </w:r>
            </w:p>
            <w:p w14:paraId="5013AF04" w14:textId="77777777" w:rsidR="00C84822" w:rsidRDefault="00C84822" w:rsidP="00C84822">
              <w:pPr>
                <w:pStyle w:val="Bibliography"/>
                <w:ind w:left="720" w:hanging="720"/>
                <w:rPr>
                  <w:noProof/>
                </w:rPr>
              </w:pPr>
              <w:r>
                <w:rPr>
                  <w:noProof/>
                </w:rPr>
                <w:t xml:space="preserve">Fakher, S., &amp; Imqam, A. (2020). A Review of Carbon Dioxide Adsorption to Unconventional Shale Rocks Methodology, Measurement, and Calculation. </w:t>
              </w:r>
              <w:r>
                <w:rPr>
                  <w:i/>
                  <w:iCs/>
                  <w:noProof/>
                </w:rPr>
                <w:t>SN Applied Sciences, 2</w:t>
              </w:r>
              <w:r>
                <w:rPr>
                  <w:noProof/>
                </w:rPr>
                <w:t>(1). doi:https://doi.org/10.1007/s42452-019-1810-8</w:t>
              </w:r>
            </w:p>
            <w:p w14:paraId="1E2E1A4D" w14:textId="77777777" w:rsidR="00C84822" w:rsidRDefault="00C84822" w:rsidP="00C84822">
              <w:pPr>
                <w:pStyle w:val="Bibliography"/>
                <w:ind w:left="720" w:hanging="720"/>
                <w:rPr>
                  <w:noProof/>
                </w:rPr>
              </w:pPr>
              <w:r>
                <w:rPr>
                  <w:noProof/>
                </w:rPr>
                <w:t xml:space="preserve">Fakher, S., Abdelaal, H., Elgahawy, Y., &amp; El-Tonbary, A. (2020). A Review of Long-Term Carbon Dioxide Storage in Shale Reservoirs. </w:t>
              </w:r>
              <w:r>
                <w:rPr>
                  <w:i/>
                  <w:iCs/>
                  <w:noProof/>
                </w:rPr>
                <w:t xml:space="preserve">Unconventional Resources Technology </w:t>
              </w:r>
              <w:r>
                <w:rPr>
                  <w:i/>
                  <w:iCs/>
                  <w:noProof/>
                </w:rPr>
                <w:lastRenderedPageBreak/>
                <w:t>Conferenc.</w:t>
              </w:r>
              <w:r>
                <w:rPr>
                  <w:noProof/>
                </w:rPr>
                <w:t xml:space="preserve"> Virtual: Society of Exploration Geophysicists. doi:https://doi.org/10.15530/urtec-2020-1074</w:t>
              </w:r>
            </w:p>
            <w:p w14:paraId="69B3BA63" w14:textId="77777777" w:rsidR="00C84822" w:rsidRDefault="00C84822" w:rsidP="00C84822">
              <w:pPr>
                <w:pStyle w:val="Bibliography"/>
                <w:ind w:left="720" w:hanging="720"/>
                <w:rPr>
                  <w:noProof/>
                </w:rPr>
              </w:pPr>
              <w:r>
                <w:rPr>
                  <w:noProof/>
                </w:rPr>
                <w:t xml:space="preserve">Global Change Data Lab. (2022). </w:t>
              </w:r>
              <w:r>
                <w:rPr>
                  <w:i/>
                  <w:iCs/>
                  <w:noProof/>
                </w:rPr>
                <w:t>Our World in Data</w:t>
              </w:r>
              <w:r>
                <w:rPr>
                  <w:noProof/>
                </w:rPr>
                <w:t>. Retrieved from Annual CO₂ emissions from fossil fuels, by world region: https://ourworldindata.org/grapher/annual-co-emissions-by-region</w:t>
              </w:r>
            </w:p>
            <w:p w14:paraId="2F024D92" w14:textId="77777777" w:rsidR="00C84822" w:rsidRDefault="00C84822" w:rsidP="00C84822">
              <w:pPr>
                <w:pStyle w:val="Bibliography"/>
                <w:ind w:left="720" w:hanging="720"/>
                <w:rPr>
                  <w:noProof/>
                </w:rPr>
              </w:pPr>
              <w:r>
                <w:rPr>
                  <w:noProof/>
                </w:rPr>
                <w:t xml:space="preserve">Gorucu, F. B., Jikich, S. A., Bromhal, G. S., Sams, W. N., Ertekin, T., &amp; Smith, D. H. (2005). Matrix shrinkage and swelling effects on economics of enhanced coalbed methane production and CO 2 sequestration in coal. </w:t>
              </w:r>
              <w:r>
                <w:rPr>
                  <w:i/>
                  <w:iCs/>
                  <w:noProof/>
                </w:rPr>
                <w:t>Society of Petroleum Engineers Eastern Regional Meeting.</w:t>
              </w:r>
              <w:r>
                <w:rPr>
                  <w:noProof/>
                </w:rPr>
                <w:t xml:space="preserve"> Morgantown, West VA, United States: Society of Petroleum Engineers. Retrieved from https://pennstate.pure.elsevier.com/en/publications/matrix-shrinkage-and-swelling-effects-on-economics-of-enhanced-co</w:t>
              </w:r>
            </w:p>
            <w:p w14:paraId="06669935" w14:textId="77777777" w:rsidR="00C84822" w:rsidRDefault="00C84822" w:rsidP="00C84822">
              <w:pPr>
                <w:pStyle w:val="Bibliography"/>
                <w:ind w:left="720" w:hanging="720"/>
                <w:rPr>
                  <w:noProof/>
                </w:rPr>
              </w:pPr>
              <w:r>
                <w:rPr>
                  <w:noProof/>
                </w:rPr>
                <w:t xml:space="preserve">IEAGHG. (2022). </w:t>
              </w:r>
              <w:r>
                <w:rPr>
                  <w:i/>
                  <w:iCs/>
                  <w:noProof/>
                </w:rPr>
                <w:t>A Brief History of CCS and Current Status</w:t>
              </w:r>
              <w:r>
                <w:rPr>
                  <w:noProof/>
                </w:rPr>
                <w:t>. Retrieved from CCS Information Seet: https://ieaghg.org/docs/General_Docs/Publications/Information_Sheets_for_CCS_2.pdf</w:t>
              </w:r>
            </w:p>
            <w:p w14:paraId="29103E74" w14:textId="77777777" w:rsidR="00C84822" w:rsidRDefault="00C84822" w:rsidP="00C84822">
              <w:pPr>
                <w:pStyle w:val="Bibliography"/>
                <w:ind w:left="720" w:hanging="720"/>
                <w:rPr>
                  <w:noProof/>
                </w:rPr>
              </w:pPr>
              <w:r>
                <w:rPr>
                  <w:noProof/>
                </w:rPr>
                <w:t xml:space="preserve">Intergovernmental Panel on Climate Change. (2005). </w:t>
              </w:r>
              <w:r>
                <w:rPr>
                  <w:i/>
                  <w:iCs/>
                  <w:noProof/>
                </w:rPr>
                <w:t>IPSS Special Report onCarbon Dioxide Capture and Storage.</w:t>
              </w:r>
              <w:r>
                <w:rPr>
                  <w:noProof/>
                </w:rPr>
                <w:t xml:space="preserve"> New York: Cambridge University Press. Retrieved from https://www.google.com/url?sa=i&amp;url=https%3A%2F%2Fwww.ipcc.ch%2Fsite%2Fassets%2Fuploads%2F2018%2F03%2Fsrccs_wholereport-1.pdf&amp;psig=AOvVaw1RuofI65_dbVAXQFrgAFD-&amp;ust=1667621358339000&amp;source=images&amp;cd=vfe&amp;ved=0CA0QjhxqFwoTCIiRnOjTk_sCFQAAAAAdAAAAABAR</w:t>
              </w:r>
            </w:p>
            <w:p w14:paraId="6F38A475" w14:textId="77777777" w:rsidR="00C84822" w:rsidRDefault="00C84822" w:rsidP="00C84822">
              <w:pPr>
                <w:pStyle w:val="Bibliography"/>
                <w:ind w:left="720" w:hanging="720"/>
                <w:rPr>
                  <w:noProof/>
                </w:rPr>
              </w:pPr>
              <w:r>
                <w:rPr>
                  <w:noProof/>
                </w:rPr>
                <w:lastRenderedPageBreak/>
                <w:t xml:space="preserve">International Energy Agency. (2016). </w:t>
              </w:r>
              <w:r>
                <w:rPr>
                  <w:i/>
                  <w:iCs/>
                  <w:noProof/>
                </w:rPr>
                <w:t>20 Years of Carbonn Capture and Storage - Accelerationg Future Deployment.</w:t>
              </w:r>
              <w:r>
                <w:rPr>
                  <w:noProof/>
                </w:rPr>
                <w:t xml:space="preserve"> Cedex, France: OEDC/IEA. Retrieved from chrome-extension://efaidnbmnnnibpcajpcglclefindmkaj/https://iea.blob.core.windows.net/assets/24c3d26b-aa44-4b54-b9c0-5201d4d86a04/20YearsofCarbonCaptureandStorage_WEB.pdf</w:t>
              </w:r>
            </w:p>
            <w:p w14:paraId="6B09FECF" w14:textId="77777777" w:rsidR="00C84822" w:rsidRDefault="00C84822" w:rsidP="00C84822">
              <w:pPr>
                <w:pStyle w:val="Bibliography"/>
                <w:ind w:left="720" w:hanging="720"/>
                <w:rPr>
                  <w:noProof/>
                </w:rPr>
              </w:pPr>
              <w:r>
                <w:rPr>
                  <w:noProof/>
                </w:rPr>
                <w:t xml:space="preserve">Jaffar, H., &amp; Abdulnaby, W. (2018). Stress Regime of Rumaila Oilfield in Southern Iraq from Borehole Breakouts. </w:t>
              </w:r>
              <w:r>
                <w:rPr>
                  <w:i/>
                  <w:iCs/>
                  <w:noProof/>
                </w:rPr>
                <w:t>IOSR Journal of Applied Geology and Geophysics</w:t>
              </w:r>
              <w:r>
                <w:rPr>
                  <w:noProof/>
                </w:rPr>
                <w:t>, 25-35. doi:10.9790/0990-0604022535</w:t>
              </w:r>
            </w:p>
            <w:p w14:paraId="79813106" w14:textId="77777777" w:rsidR="00C84822" w:rsidRDefault="00C84822" w:rsidP="00C84822">
              <w:pPr>
                <w:pStyle w:val="Bibliography"/>
                <w:ind w:left="720" w:hanging="720"/>
                <w:rPr>
                  <w:noProof/>
                </w:rPr>
              </w:pPr>
              <w:r>
                <w:rPr>
                  <w:noProof/>
                </w:rPr>
                <w:t xml:space="preserve">Jiang, K., Dou, H., Shen, P., &amp; Sun, T. (2015). China's CCUS Progresses and a New Evaluation Method of CO2 Storage Capacity in Coalbed Reservoirs. </w:t>
              </w:r>
              <w:r>
                <w:rPr>
                  <w:i/>
                  <w:iCs/>
                  <w:noProof/>
                </w:rPr>
                <w:t>Carbon Management Technology Conference.</w:t>
              </w:r>
              <w:r>
                <w:rPr>
                  <w:noProof/>
                </w:rPr>
                <w:t xml:space="preserve"> Sugar Land, Texas: Society of Petroleum Engineers. doi:https://doi.org/10.7122/440095-MS</w:t>
              </w:r>
            </w:p>
            <w:p w14:paraId="6C42ADAF" w14:textId="77777777" w:rsidR="00C84822" w:rsidRDefault="00C84822" w:rsidP="00C84822">
              <w:pPr>
                <w:pStyle w:val="Bibliography"/>
                <w:ind w:left="720" w:hanging="720"/>
                <w:rPr>
                  <w:noProof/>
                </w:rPr>
              </w:pPr>
              <w:r>
                <w:rPr>
                  <w:noProof/>
                </w:rPr>
                <w:t xml:space="preserve">Kolawole, F., Johnston, C. S., Morgan, C. B., Chang, J. C., Marfurt, K. J., L. D., . . . M., C. B. (2019). The susceptibiliy of Oklahoma's basement to seismic reactivation. </w:t>
              </w:r>
              <w:r>
                <w:rPr>
                  <w:i/>
                  <w:iCs/>
                  <w:noProof/>
                </w:rPr>
                <w:t>Nature Geoscience, 12</w:t>
              </w:r>
              <w:r>
                <w:rPr>
                  <w:noProof/>
                </w:rPr>
                <w:t>, 839-844. doi:https://doi.org/10.1038/s41561-019-0440-5</w:t>
              </w:r>
            </w:p>
            <w:p w14:paraId="550E122D" w14:textId="77777777" w:rsidR="00C84822" w:rsidRDefault="00C84822" w:rsidP="00C84822">
              <w:pPr>
                <w:pStyle w:val="Bibliography"/>
                <w:ind w:left="720" w:hanging="720"/>
                <w:rPr>
                  <w:noProof/>
                </w:rPr>
              </w:pPr>
              <w:r>
                <w:rPr>
                  <w:noProof/>
                </w:rPr>
                <w:t xml:space="preserve">Lakirouhani, A., Detournay, E., &amp; Bunger, A. (2016). A reassessment of in situ stress determination by hydraulic fracturing. </w:t>
              </w:r>
              <w:r>
                <w:rPr>
                  <w:i/>
                  <w:iCs/>
                  <w:noProof/>
                </w:rPr>
                <w:t>Geophysical Journal International, 205</w:t>
              </w:r>
              <w:r>
                <w:rPr>
                  <w:noProof/>
                </w:rPr>
                <w:t>(3), 1859-1873. doi: https://doi.org/10.1093/gji/ggw132</w:t>
              </w:r>
            </w:p>
            <w:p w14:paraId="17DC2F14" w14:textId="77777777" w:rsidR="00C84822" w:rsidRDefault="00C84822" w:rsidP="00C84822">
              <w:pPr>
                <w:pStyle w:val="Bibliography"/>
                <w:ind w:left="720" w:hanging="720"/>
                <w:rPr>
                  <w:noProof/>
                </w:rPr>
              </w:pPr>
              <w:r>
                <w:rPr>
                  <w:noProof/>
                </w:rPr>
                <w:t xml:space="preserve">McGarr, A., &amp; Barbour, A. J. (2017, September 28). Wastewater Disposal and the Earthquake Sequences During 2016 Near Fairview, Pawnee, and Cushing, Oklahoma. </w:t>
              </w:r>
              <w:r>
                <w:rPr>
                  <w:i/>
                  <w:iCs/>
                  <w:noProof/>
                </w:rPr>
                <w:t>Geophysical Research Letters, 44</w:t>
              </w:r>
              <w:r>
                <w:rPr>
                  <w:noProof/>
                </w:rPr>
                <w:t>(18). doi:https://doi.org/10.1002/2017GL075258</w:t>
              </w:r>
            </w:p>
            <w:p w14:paraId="7506C6DD" w14:textId="77777777" w:rsidR="00C84822" w:rsidRDefault="00C84822" w:rsidP="00C84822">
              <w:pPr>
                <w:pStyle w:val="Bibliography"/>
                <w:ind w:left="720" w:hanging="720"/>
                <w:rPr>
                  <w:noProof/>
                </w:rPr>
              </w:pPr>
              <w:r>
                <w:rPr>
                  <w:noProof/>
                </w:rPr>
                <w:lastRenderedPageBreak/>
                <w:t xml:space="preserve">Murray, K. E. (2013). State-scale perspective on water use and production associated with oil. </w:t>
              </w:r>
              <w:r>
                <w:rPr>
                  <w:i/>
                  <w:iCs/>
                  <w:noProof/>
                </w:rPr>
                <w:t>Environ. Sci. Technol.,, 47</w:t>
              </w:r>
              <w:r>
                <w:rPr>
                  <w:noProof/>
                </w:rPr>
                <w:t>(9), 4918–4925. doi:https://doi.org/10.1021/es4000593</w:t>
              </w:r>
            </w:p>
            <w:p w14:paraId="2007F9C2" w14:textId="77777777" w:rsidR="00C84822" w:rsidRDefault="00C84822" w:rsidP="00C84822">
              <w:pPr>
                <w:pStyle w:val="Bibliography"/>
                <w:ind w:left="720" w:hanging="720"/>
                <w:rPr>
                  <w:noProof/>
                </w:rPr>
              </w:pPr>
              <w:r>
                <w:rPr>
                  <w:noProof/>
                </w:rPr>
                <w:t xml:space="preserve">Nelidov, V. (2021, Novmber 30). </w:t>
              </w:r>
              <w:r>
                <w:rPr>
                  <w:i/>
                  <w:iCs/>
                  <w:noProof/>
                </w:rPr>
                <w:t>Doing business, the Bayesian way (Part 1)</w:t>
              </w:r>
              <w:r>
                <w:rPr>
                  <w:noProof/>
                </w:rPr>
                <w:t xml:space="preserve">. Retrieved from Data Driven: https://godatadriven.com/blog/doing-business-the-bayesian-way-part-1/ </w:t>
              </w:r>
            </w:p>
            <w:p w14:paraId="6D05497C" w14:textId="77777777" w:rsidR="00C84822" w:rsidRDefault="00C84822" w:rsidP="00C84822">
              <w:pPr>
                <w:pStyle w:val="Bibliography"/>
                <w:ind w:left="720" w:hanging="720"/>
                <w:rPr>
                  <w:noProof/>
                </w:rPr>
              </w:pPr>
              <w:r>
                <w:rPr>
                  <w:noProof/>
                </w:rPr>
                <w:t xml:space="preserve">Oklahoma Corporation Comission. (2021, February 25). </w:t>
              </w:r>
              <w:r>
                <w:rPr>
                  <w:i/>
                  <w:iCs/>
                  <w:noProof/>
                </w:rPr>
                <w:t>Response to Oklahoma earthquakes</w:t>
              </w:r>
              <w:r>
                <w:rPr>
                  <w:noProof/>
                </w:rPr>
                <w:t>. Retrieved from Oklahoma Corporation Comission: https://oklahoma.gov/occ/divisions/oil-gas/induced-seismicity-and-uic-department/response-oklahoma-earthquakes.html</w:t>
              </w:r>
            </w:p>
            <w:p w14:paraId="7EE11B38" w14:textId="77777777" w:rsidR="00C84822" w:rsidRDefault="00C84822" w:rsidP="00C84822">
              <w:pPr>
                <w:pStyle w:val="Bibliography"/>
                <w:ind w:left="720" w:hanging="720"/>
                <w:rPr>
                  <w:noProof/>
                </w:rPr>
              </w:pPr>
              <w:r>
                <w:rPr>
                  <w:noProof/>
                </w:rPr>
                <w:t xml:space="preserve">Oklahoma Geological Survey. (2022, 06 12). </w:t>
              </w:r>
              <w:r>
                <w:rPr>
                  <w:i/>
                  <w:iCs/>
                  <w:noProof/>
                </w:rPr>
                <w:t>Maps</w:t>
              </w:r>
              <w:r>
                <w:rPr>
                  <w:noProof/>
                </w:rPr>
                <w:t>. Retrieved from Basic Oklahoma Maps: https://www.ou.edu/ogs/maps</w:t>
              </w:r>
            </w:p>
            <w:p w14:paraId="1CDE393E" w14:textId="77777777" w:rsidR="00C84822" w:rsidRDefault="00C84822" w:rsidP="00C84822">
              <w:pPr>
                <w:pStyle w:val="Bibliography"/>
                <w:ind w:left="720" w:hanging="720"/>
                <w:rPr>
                  <w:noProof/>
                </w:rPr>
              </w:pPr>
              <w:r>
                <w:rPr>
                  <w:noProof/>
                </w:rPr>
                <w:t xml:space="preserve">Oldenburg, C. M., Bryant, S. L., &amp; Nicot, J.-P. (2009). Certification framework based on effective trapping for geologic carbon sequestration. </w:t>
              </w:r>
              <w:r>
                <w:rPr>
                  <w:i/>
                  <w:iCs/>
                  <w:noProof/>
                </w:rPr>
                <w:t>International Journal of Greenhouse Gas Control, 3</w:t>
              </w:r>
              <w:r>
                <w:rPr>
                  <w:noProof/>
                </w:rPr>
                <w:t>(4), 444-457. doi:https://doi.org/10.1016/j.ijggc.2009.02.009</w:t>
              </w:r>
            </w:p>
            <w:p w14:paraId="1446C9C8" w14:textId="77777777" w:rsidR="00C84822" w:rsidRDefault="00C84822" w:rsidP="00C84822">
              <w:pPr>
                <w:pStyle w:val="Bibliography"/>
                <w:ind w:left="720" w:hanging="720"/>
                <w:rPr>
                  <w:noProof/>
                </w:rPr>
              </w:pPr>
              <w:r>
                <w:rPr>
                  <w:noProof/>
                </w:rPr>
                <w:t xml:space="preserve">Open Data Science. (2021, Aug 5). </w:t>
              </w:r>
              <w:r>
                <w:rPr>
                  <w:i/>
                  <w:iCs/>
                  <w:noProof/>
                </w:rPr>
                <w:t>6 Applications of Bayesian Methods That You Should Know</w:t>
              </w:r>
              <w:r>
                <w:rPr>
                  <w:noProof/>
                </w:rPr>
                <w:t>. Retrieved from Towards Data Science: https://odsc.medium.com/6-applications-of-bayesian-methods-that-you-should-know-31553f886fe4</w:t>
              </w:r>
            </w:p>
            <w:p w14:paraId="7AB7B15B" w14:textId="77777777" w:rsidR="00C84822" w:rsidRDefault="00C84822" w:rsidP="00C84822">
              <w:pPr>
                <w:pStyle w:val="Bibliography"/>
                <w:ind w:left="720" w:hanging="720"/>
                <w:rPr>
                  <w:noProof/>
                </w:rPr>
              </w:pPr>
              <w:r>
                <w:rPr>
                  <w:noProof/>
                </w:rPr>
                <w:t xml:space="preserve">Ringrose, P., Mathieson, A., Wright, I., Selama, F., Hansen, O., Bissell, R., . . . Midgley, J. (2013). The In Salah CO2 storage project: lessons learned and knowledge transfer. </w:t>
              </w:r>
              <w:r>
                <w:rPr>
                  <w:i/>
                  <w:iCs/>
                  <w:noProof/>
                </w:rPr>
                <w:t>Energy Procedia</w:t>
              </w:r>
              <w:r>
                <w:rPr>
                  <w:noProof/>
                </w:rPr>
                <w:t>, 6226-6236.</w:t>
              </w:r>
            </w:p>
            <w:p w14:paraId="741BD6A2" w14:textId="77777777" w:rsidR="00C84822" w:rsidRDefault="00C84822" w:rsidP="00C84822">
              <w:pPr>
                <w:pStyle w:val="Bibliography"/>
                <w:ind w:left="720" w:hanging="720"/>
                <w:rPr>
                  <w:noProof/>
                </w:rPr>
              </w:pPr>
              <w:r>
                <w:rPr>
                  <w:noProof/>
                </w:rPr>
                <w:lastRenderedPageBreak/>
                <w:t xml:space="preserve">Rottmann, K. (2018). </w:t>
              </w:r>
              <w:r>
                <w:rPr>
                  <w:i/>
                  <w:iCs/>
                  <w:noProof/>
                </w:rPr>
                <w:t>Well-Log Characterization of the Arbuckle Group in Central and Northern Oklahoma: Interpretation of the Impact of its Depositional and Post-Depositional History on Injection Induced Seismicity.</w:t>
              </w:r>
              <w:r>
                <w:rPr>
                  <w:noProof/>
                </w:rPr>
                <w:t xml:space="preserve"> Norman: OGS.</w:t>
              </w:r>
            </w:p>
            <w:p w14:paraId="6B05F850" w14:textId="77777777" w:rsidR="00C84822" w:rsidRDefault="00C84822" w:rsidP="00C84822">
              <w:pPr>
                <w:pStyle w:val="Bibliography"/>
                <w:ind w:left="720" w:hanging="720"/>
                <w:rPr>
                  <w:noProof/>
                </w:rPr>
              </w:pPr>
              <w:r>
                <w:rPr>
                  <w:noProof/>
                </w:rPr>
                <w:t xml:space="preserve">Rubinstein, J. L., &amp; Mahani, A. B. (2015). Myths and Facts on Wastewater Injection, Hydraulic Fracturing, Enhanced Oil Recovery, and Induced Seismicity. </w:t>
              </w:r>
              <w:r>
                <w:rPr>
                  <w:i/>
                  <w:iCs/>
                  <w:noProof/>
                </w:rPr>
                <w:t>Seismological Research Letters, 86</w:t>
              </w:r>
              <w:r>
                <w:rPr>
                  <w:noProof/>
                </w:rPr>
                <w:t>(4), 1060-1067. doi: https://doi.org/10.1785/0220150067</w:t>
              </w:r>
            </w:p>
            <w:p w14:paraId="5F1411D1" w14:textId="77777777" w:rsidR="00C84822" w:rsidRDefault="00C84822" w:rsidP="00C84822">
              <w:pPr>
                <w:pStyle w:val="Bibliography"/>
                <w:ind w:left="720" w:hanging="720"/>
                <w:rPr>
                  <w:noProof/>
                </w:rPr>
              </w:pPr>
              <w:r>
                <w:rPr>
                  <w:noProof/>
                </w:rPr>
                <w:t xml:space="preserve">Rutqvist, J. (2012). The Geomechanics of CO2 Storage in Deep Sedimentary Formations. </w:t>
              </w:r>
              <w:r>
                <w:rPr>
                  <w:i/>
                  <w:iCs/>
                  <w:noProof/>
                </w:rPr>
                <w:t>Geotech Geol Eng, 30</w:t>
              </w:r>
              <w:r>
                <w:rPr>
                  <w:noProof/>
                </w:rPr>
                <w:t>, 525-551. doi:https://doi.org/10.1007/s10706-011-9491-0</w:t>
              </w:r>
            </w:p>
            <w:p w14:paraId="1FFC6967" w14:textId="77777777" w:rsidR="00C84822" w:rsidRDefault="00C84822" w:rsidP="00C84822">
              <w:pPr>
                <w:pStyle w:val="Bibliography"/>
                <w:ind w:left="720" w:hanging="720"/>
                <w:rPr>
                  <w:noProof/>
                </w:rPr>
              </w:pPr>
              <w:r>
                <w:rPr>
                  <w:noProof/>
                </w:rPr>
                <w:t xml:space="preserve">Schulz, M., Müller, B., Röckel, T., &amp; Schilling, F. (2020). </w:t>
              </w:r>
              <w:r>
                <w:rPr>
                  <w:i/>
                  <w:iCs/>
                  <w:noProof/>
                </w:rPr>
                <w:t>Analysis of injection data for pore pressure and minimum horizontal stress magnitude estimates in the Arbuckle Formation.</w:t>
              </w:r>
              <w:r>
                <w:rPr>
                  <w:noProof/>
                </w:rPr>
                <w:t xml:space="preserve"> Karlsruhe Institute of Technology, Institute of Applied Geosciences Division of Technical Petrophysics. doi:DOI: 10.5445/IR/1000105298</w:t>
              </w:r>
            </w:p>
            <w:p w14:paraId="31644C2A" w14:textId="77777777" w:rsidR="00C84822" w:rsidRDefault="00C84822" w:rsidP="00C84822">
              <w:pPr>
                <w:pStyle w:val="Bibliography"/>
                <w:ind w:left="720" w:hanging="720"/>
                <w:rPr>
                  <w:noProof/>
                </w:rPr>
              </w:pPr>
              <w:r>
                <w:rPr>
                  <w:noProof/>
                </w:rPr>
                <w:t xml:space="preserve">Shemeta J. E., Brooks, C. E., &amp; Lord, C. C. (2019). Well Stimulation Seismicity in Oklahoma:. </w:t>
              </w:r>
              <w:r>
                <w:rPr>
                  <w:i/>
                  <w:iCs/>
                  <w:noProof/>
                </w:rPr>
                <w:t>SEG URTEC Global Meeting</w:t>
              </w:r>
              <w:r>
                <w:rPr>
                  <w:noProof/>
                </w:rPr>
                <w:t>, 95-106. doi:,https://doi.org/10.15530/AP-URTEC-2019-198283</w:t>
              </w:r>
            </w:p>
            <w:p w14:paraId="6FCAC67D" w14:textId="77777777" w:rsidR="00C84822" w:rsidRDefault="00C84822" w:rsidP="00C84822">
              <w:pPr>
                <w:pStyle w:val="Bibliography"/>
                <w:ind w:left="720" w:hanging="720"/>
                <w:rPr>
                  <w:noProof/>
                </w:rPr>
              </w:pPr>
              <w:r>
                <w:rPr>
                  <w:noProof/>
                </w:rPr>
                <w:t xml:space="preserve">Skoumal, R. J., Ries, R., Brudzinski, M. R., Barbour, A. J., &amp; Currie, B. S. (2018). Earthquakes induced by hydraulic fracturing are pervasive in oklahoma. </w:t>
              </w:r>
              <w:r>
                <w:rPr>
                  <w:i/>
                  <w:iCs/>
                  <w:noProof/>
                </w:rPr>
                <w:t>Journal of Geophysical Research: Solid Earth, 123</w:t>
              </w:r>
              <w:r>
                <w:rPr>
                  <w:noProof/>
                </w:rPr>
                <w:t>(12), 10-918.</w:t>
              </w:r>
            </w:p>
            <w:p w14:paraId="512DA471" w14:textId="77777777" w:rsidR="00C84822" w:rsidRDefault="00C84822" w:rsidP="00C84822">
              <w:pPr>
                <w:pStyle w:val="Bibliography"/>
                <w:ind w:left="720" w:hanging="720"/>
                <w:rPr>
                  <w:noProof/>
                </w:rPr>
              </w:pPr>
              <w:r>
                <w:rPr>
                  <w:noProof/>
                </w:rPr>
                <w:lastRenderedPageBreak/>
                <w:t xml:space="preserve">Snee, J.-E. L., &amp; Zoback, M. (2020). Multiscale variations of the crustal stress field throughout North America. </w:t>
              </w:r>
              <w:r>
                <w:rPr>
                  <w:i/>
                  <w:iCs/>
                  <w:noProof/>
                </w:rPr>
                <w:t>Nature Communications, 11</w:t>
              </w:r>
              <w:r>
                <w:rPr>
                  <w:noProof/>
                </w:rPr>
                <w:t>, 1951. doi:, https://doi.org/10.1038/s41467-020-15841-5</w:t>
              </w:r>
            </w:p>
            <w:p w14:paraId="5F0A66C7" w14:textId="77777777" w:rsidR="00C84822" w:rsidRDefault="00C84822" w:rsidP="00C84822">
              <w:pPr>
                <w:pStyle w:val="Bibliography"/>
                <w:ind w:left="720" w:hanging="720"/>
                <w:rPr>
                  <w:noProof/>
                </w:rPr>
              </w:pPr>
              <w:r>
                <w:rPr>
                  <w:noProof/>
                </w:rPr>
                <w:t xml:space="preserve">Stauffer, P. H., Viswanathan, H. S., Pawar, R. J., &amp; Guthrie, G. D. (2009). A system model for geologic sequestration of carbon dioxide. </w:t>
              </w:r>
              <w:r>
                <w:rPr>
                  <w:i/>
                  <w:iCs/>
                  <w:noProof/>
                </w:rPr>
                <w:t>Environmental Science &amp; Technology, 43</w:t>
              </w:r>
              <w:r>
                <w:rPr>
                  <w:noProof/>
                </w:rPr>
                <w:t>(3), 565-570. doi:https://doi.org/10.1021/es800403w</w:t>
              </w:r>
            </w:p>
            <w:p w14:paraId="2D15D76E" w14:textId="77777777" w:rsidR="00C84822" w:rsidRDefault="00C84822" w:rsidP="00C84822">
              <w:pPr>
                <w:pStyle w:val="Bibliography"/>
                <w:ind w:left="720" w:hanging="720"/>
                <w:rPr>
                  <w:noProof/>
                </w:rPr>
              </w:pPr>
              <w:r>
                <w:rPr>
                  <w:noProof/>
                </w:rPr>
                <w:t xml:space="preserve">Verdon, J. P., Kendall, J. M., White, D. J., &amp; Angus, D. A. (2011). Linking microseismic event observations with geomechanical models to minimise the risks of storing CO2 in geological formations. </w:t>
              </w:r>
              <w:r>
                <w:rPr>
                  <w:i/>
                  <w:iCs/>
                  <w:noProof/>
                </w:rPr>
                <w:t>Earth and Planetary Science Letters, 305</w:t>
              </w:r>
              <w:r>
                <w:rPr>
                  <w:noProof/>
                </w:rPr>
                <w:t>(1-2), 143-152. doi:https://doi.org/10.1016/j.epsl.2011.02.048</w:t>
              </w:r>
            </w:p>
            <w:p w14:paraId="39F66975" w14:textId="77777777" w:rsidR="00C84822" w:rsidRDefault="00C84822" w:rsidP="00C84822">
              <w:pPr>
                <w:pStyle w:val="Bibliography"/>
                <w:ind w:left="720" w:hanging="720"/>
                <w:rPr>
                  <w:noProof/>
                </w:rPr>
              </w:pPr>
              <w:r>
                <w:rPr>
                  <w:noProof/>
                </w:rPr>
                <w:t xml:space="preserve">Walsh, F. R., &amp; Zoback, M. D. (2015). Oklahoma’s recent earthquakes and saltwater disposal. </w:t>
              </w:r>
              <w:r>
                <w:rPr>
                  <w:i/>
                  <w:iCs/>
                  <w:noProof/>
                </w:rPr>
                <w:t>Science advances, 1</w:t>
              </w:r>
              <w:r>
                <w:rPr>
                  <w:noProof/>
                </w:rPr>
                <w:t>(5).</w:t>
              </w:r>
            </w:p>
            <w:p w14:paraId="3D3886D2" w14:textId="77777777" w:rsidR="00C84822" w:rsidRDefault="00C84822" w:rsidP="00C84822">
              <w:pPr>
                <w:pStyle w:val="Bibliography"/>
                <w:ind w:left="720" w:hanging="720"/>
                <w:rPr>
                  <w:noProof/>
                </w:rPr>
              </w:pPr>
              <w:r>
                <w:rPr>
                  <w:noProof/>
                </w:rPr>
                <w:t xml:space="preserve">Weingarten, M., Ge, S., Godt, J. W., Bekins, B. A., &amp; Rubinstein, J. L. (2015). High-rate injection is associated with the increase in us mid-continent seismicity. </w:t>
              </w:r>
              <w:r>
                <w:rPr>
                  <w:i/>
                  <w:iCs/>
                  <w:noProof/>
                </w:rPr>
                <w:t>Science, 348</w:t>
              </w:r>
              <w:r>
                <w:rPr>
                  <w:noProof/>
                </w:rPr>
                <w:t>(6241), 1336-1340.</w:t>
              </w:r>
            </w:p>
            <w:p w14:paraId="3C98ED8C" w14:textId="77777777" w:rsidR="00C84822" w:rsidRDefault="00C84822" w:rsidP="00C84822">
              <w:pPr>
                <w:pStyle w:val="Bibliography"/>
                <w:ind w:left="720" w:hanging="720"/>
                <w:rPr>
                  <w:noProof/>
                </w:rPr>
              </w:pPr>
              <w:r>
                <w:rPr>
                  <w:noProof/>
                </w:rPr>
                <w:t xml:space="preserve">White, J. A., Foxall, W., C. Bachmann, L. C., &amp; Daley, T. (2015). </w:t>
              </w:r>
              <w:r>
                <w:rPr>
                  <w:i/>
                  <w:iCs/>
                  <w:noProof/>
                </w:rPr>
                <w:t>Induced seismicity and carbon storage: Risk assessment and mitigation strategies.</w:t>
              </w:r>
              <w:r>
                <w:rPr>
                  <w:noProof/>
                </w:rPr>
                <w:t xml:space="preserve"> Lawrence Livermore National Security, LLC.</w:t>
              </w:r>
            </w:p>
            <w:p w14:paraId="51DDE3BB" w14:textId="77777777" w:rsidR="00C84822" w:rsidRDefault="00C84822" w:rsidP="00C84822">
              <w:pPr>
                <w:pStyle w:val="Bibliography"/>
                <w:ind w:left="720" w:hanging="720"/>
                <w:rPr>
                  <w:noProof/>
                </w:rPr>
              </w:pPr>
              <w:r>
                <w:rPr>
                  <w:noProof/>
                </w:rPr>
                <w:t xml:space="preserve">Wikipedia. (2022, Feb 23). </w:t>
              </w:r>
              <w:r>
                <w:rPr>
                  <w:i/>
                  <w:iCs/>
                  <w:noProof/>
                </w:rPr>
                <w:t>Bayesian network</w:t>
              </w:r>
              <w:r>
                <w:rPr>
                  <w:noProof/>
                </w:rPr>
                <w:t>. Retrieved from https://simple.wikipedia.org/wiki/Bayesian_network</w:t>
              </w:r>
            </w:p>
            <w:p w14:paraId="48766EE6" w14:textId="77777777" w:rsidR="00C84822" w:rsidRDefault="00C84822" w:rsidP="00C84822">
              <w:pPr>
                <w:pStyle w:val="Bibliography"/>
                <w:ind w:left="720" w:hanging="720"/>
                <w:rPr>
                  <w:noProof/>
                </w:rPr>
              </w:pPr>
              <w:r>
                <w:rPr>
                  <w:noProof/>
                </w:rPr>
                <w:lastRenderedPageBreak/>
                <w:t xml:space="preserve">Wikipedia. (2022, October 19). </w:t>
              </w:r>
              <w:r>
                <w:rPr>
                  <w:i/>
                  <w:iCs/>
                  <w:noProof/>
                </w:rPr>
                <w:t>Cluster analysis</w:t>
              </w:r>
              <w:r>
                <w:rPr>
                  <w:noProof/>
                </w:rPr>
                <w:t>. Retrieved from Wikipedia: https://en.wikipedia.org/wiki/Cluster_analysis</w:t>
              </w:r>
            </w:p>
            <w:p w14:paraId="028951F6" w14:textId="77777777" w:rsidR="00C84822" w:rsidRDefault="00C84822" w:rsidP="00C84822">
              <w:pPr>
                <w:pStyle w:val="Bibliography"/>
                <w:ind w:left="720" w:hanging="720"/>
                <w:rPr>
                  <w:noProof/>
                </w:rPr>
              </w:pPr>
              <w:r>
                <w:rPr>
                  <w:noProof/>
                </w:rPr>
                <w:t xml:space="preserve">Zhou, Q., Birkholzer, J. T., Mehnert, E., Lin, Y. F., &amp; Zhang, K. (2010). Modeling basin‐and plume‐scale processes of CO2 storage for full‐scale deployment. </w:t>
              </w:r>
              <w:r>
                <w:rPr>
                  <w:i/>
                  <w:iCs/>
                  <w:noProof/>
                </w:rPr>
                <w:t>Groundwater, 48</w:t>
              </w:r>
              <w:r>
                <w:rPr>
                  <w:noProof/>
                </w:rPr>
                <w:t>(4), 494-514. doi:https://doi.org/10.1111/j.1745-6584.2009.00657.x</w:t>
              </w:r>
            </w:p>
            <w:p w14:paraId="691A0D20" w14:textId="77777777" w:rsidR="00C84822" w:rsidRDefault="00C84822" w:rsidP="00C84822">
              <w:pPr>
                <w:pStyle w:val="Bibliography"/>
                <w:ind w:left="720" w:hanging="720"/>
                <w:rPr>
                  <w:noProof/>
                </w:rPr>
              </w:pPr>
              <w:r>
                <w:rPr>
                  <w:noProof/>
                </w:rPr>
                <w:t xml:space="preserve">Zoback, M. D., Barton, C. A., Brudy, M., Castillo, D. A., Finkbeiner, T., Grollimund, B. R., . . . Wiprut, D. J. (2003). Determination of stress orientation and magnitude in deep wells. </w:t>
              </w:r>
              <w:r>
                <w:rPr>
                  <w:i/>
                  <w:iCs/>
                  <w:noProof/>
                </w:rPr>
                <w:t>International Journal of Rock Mechanics and Mining Sciences, 40</w:t>
              </w:r>
              <w:r>
                <w:rPr>
                  <w:noProof/>
                </w:rPr>
                <w:t>(7-8), 1049-1076. Retrieved from https://www.sciencedirect.com/science/article/pii/S1365160903001175?casa_token=RYGyEByIyeQAAAAA:tEGwyhOEPIpfGp78Y-skeK_HH0Piy0wDSRIVzJJ2Flh0LQgXAbyG9a0rKw1Td30KaORdxJi_RVM</w:t>
              </w:r>
            </w:p>
            <w:p w14:paraId="623FA9B0" w14:textId="355A253E" w:rsidR="002E6737" w:rsidRDefault="002E6737" w:rsidP="00C84822">
              <w:r>
                <w:rPr>
                  <w:b/>
                  <w:bCs/>
                  <w:noProof/>
                </w:rPr>
                <w:fldChar w:fldCharType="end"/>
              </w:r>
            </w:p>
          </w:sdtContent>
        </w:sdt>
      </w:sdtContent>
    </w:sdt>
    <w:p w14:paraId="7977059B" w14:textId="177FA2B6" w:rsidR="006500CB" w:rsidRDefault="006500CB">
      <w:r>
        <w:br w:type="page"/>
      </w:r>
    </w:p>
    <w:p w14:paraId="552C6C30" w14:textId="77777777" w:rsidR="00BC1557" w:rsidRDefault="00BC1557" w:rsidP="006500CB">
      <w:pPr>
        <w:pStyle w:val="Heading1"/>
      </w:pPr>
      <w:bookmarkStart w:id="134" w:name="_Toc121265841"/>
      <w:r>
        <w:lastRenderedPageBreak/>
        <w:t>NOMENCLEATURE</w:t>
      </w:r>
      <w:bookmarkEnd w:id="134"/>
    </w:p>
    <w:p w14:paraId="18FBAFA8" w14:textId="7B0288BF" w:rsidR="00BC1557" w:rsidRDefault="00BC1557" w:rsidP="00BC1557">
      <w:pPr>
        <w:spacing w:before="0" w:after="160" w:line="259" w:lineRule="auto"/>
        <w:jc w:val="left"/>
      </w:pPr>
      <w:r>
        <w:rPr>
          <w:rFonts w:ascii="Cambria Math" w:hAnsi="Cambria Math" w:cs="Cambria Math"/>
        </w:rPr>
        <w:t>𝜎</w:t>
      </w:r>
      <w:r>
        <w:t>h</w:t>
      </w:r>
      <w:r>
        <w:tab/>
        <w:t xml:space="preserve"> </w:t>
      </w:r>
      <w:r>
        <w:tab/>
      </w:r>
      <w:r w:rsidR="00F0155B">
        <w:t xml:space="preserve">principal </w:t>
      </w:r>
      <w:r>
        <w:t>minimum horizontal stress</w:t>
      </w:r>
    </w:p>
    <w:p w14:paraId="0A8E7768" w14:textId="46903614" w:rsidR="00BC1557" w:rsidRDefault="00BC1557" w:rsidP="00BC1557">
      <w:pPr>
        <w:spacing w:before="0" w:after="160" w:line="259" w:lineRule="auto"/>
        <w:jc w:val="left"/>
      </w:pPr>
      <w:r>
        <w:rPr>
          <w:rFonts w:ascii="Cambria Math" w:hAnsi="Cambria Math" w:cs="Cambria Math"/>
        </w:rPr>
        <w:t>𝜎𝐻</w:t>
      </w:r>
      <w:r>
        <w:tab/>
        <w:t xml:space="preserve"> </w:t>
      </w:r>
      <w:r>
        <w:tab/>
      </w:r>
      <w:r w:rsidR="00F0155B">
        <w:t xml:space="preserve">principal </w:t>
      </w:r>
      <w:r>
        <w:t xml:space="preserve">maximum horizontal stress </w:t>
      </w:r>
    </w:p>
    <w:p w14:paraId="16878D2D" w14:textId="6BDB511B" w:rsidR="00BC1557" w:rsidRDefault="00BC1557" w:rsidP="00BC1557">
      <w:pPr>
        <w:spacing w:before="0" w:after="160" w:line="259" w:lineRule="auto"/>
        <w:jc w:val="left"/>
      </w:pPr>
      <w:r>
        <w:rPr>
          <w:rFonts w:ascii="Cambria Math" w:hAnsi="Cambria Math" w:cs="Cambria Math"/>
        </w:rPr>
        <w:t>𝜎</w:t>
      </w:r>
      <w:r>
        <w:t xml:space="preserve">v </w:t>
      </w:r>
      <w:r>
        <w:tab/>
        <w:t xml:space="preserve"> </w:t>
      </w:r>
      <w:r>
        <w:tab/>
      </w:r>
      <w:r w:rsidR="00F0155B">
        <w:t xml:space="preserve">principal </w:t>
      </w:r>
      <w:r>
        <w:t>vertical stress</w:t>
      </w:r>
    </w:p>
    <w:p w14:paraId="0B419BA7" w14:textId="77777777" w:rsidR="003E6468" w:rsidRDefault="003E6468" w:rsidP="00BC1557">
      <w:pPr>
        <w:spacing w:before="0" w:after="160" w:line="259" w:lineRule="auto"/>
        <w:jc w:val="left"/>
        <w:rPr>
          <w:rFonts w:eastAsia="SimSun" w:cs="Times New Roman"/>
        </w:rPr>
      </w:pPr>
      <w:r w:rsidRPr="00F86B22">
        <w:t>μ</w:t>
      </w:r>
      <w:r>
        <w:tab/>
      </w:r>
      <w:r>
        <w:tab/>
      </w:r>
      <w:r>
        <w:rPr>
          <w:rFonts w:eastAsia="SimSun" w:cs="Times New Roman"/>
        </w:rPr>
        <w:t>friction coefficient</w:t>
      </w:r>
    </w:p>
    <w:p w14:paraId="57C3659A" w14:textId="2EE834E8" w:rsidR="003E6468" w:rsidRDefault="003E6468" w:rsidP="00BC1557">
      <w:pPr>
        <w:spacing w:before="0" w:after="160" w:line="259" w:lineRule="auto"/>
        <w:jc w:val="left"/>
      </w:pPr>
      <w:r w:rsidRPr="00F86B22">
        <w:t>Γh</w:t>
      </w:r>
      <w:r>
        <w:tab/>
      </w:r>
      <w:r>
        <w:tab/>
        <w:t>stress path coefficient</w:t>
      </w:r>
    </w:p>
    <w:p w14:paraId="693FBA42" w14:textId="2DE1C56D" w:rsidR="00BC1557" w:rsidRDefault="00BC1557" w:rsidP="00BC1557">
      <w:pPr>
        <w:spacing w:before="0" w:after="160" w:line="259" w:lineRule="auto"/>
        <w:jc w:val="left"/>
      </w:pPr>
      <w:r>
        <w:t>CO</w:t>
      </w:r>
      <w:r w:rsidRPr="00BC1557">
        <w:rPr>
          <w:vertAlign w:val="subscript"/>
        </w:rPr>
        <w:t xml:space="preserve">2 </w:t>
      </w:r>
      <w:r>
        <w:tab/>
      </w:r>
      <w:r>
        <w:tab/>
        <w:t xml:space="preserve">Carbon dioxide </w:t>
      </w:r>
    </w:p>
    <w:p w14:paraId="4CD957AF" w14:textId="72520409" w:rsidR="00BC1557" w:rsidRDefault="00BC1557" w:rsidP="00BC1557">
      <w:pPr>
        <w:spacing w:before="0" w:after="160" w:line="259" w:lineRule="auto"/>
        <w:jc w:val="left"/>
      </w:pPr>
      <w:r>
        <w:t>COP</w:t>
      </w:r>
      <w:r w:rsidR="00F0155B">
        <w:t>26</w:t>
      </w:r>
      <w:r>
        <w:tab/>
      </w:r>
      <w:r>
        <w:tab/>
      </w:r>
      <w:r w:rsidR="00F0155B" w:rsidRPr="00DE7C5B">
        <w:rPr>
          <w:rFonts w:cs="Times New Roman"/>
        </w:rPr>
        <w:t>United Nations Climate Change Conference</w:t>
      </w:r>
    </w:p>
    <w:p w14:paraId="4905A905" w14:textId="34B55456" w:rsidR="00BC1557" w:rsidRDefault="00BC1557" w:rsidP="00BC1557">
      <w:pPr>
        <w:spacing w:before="0" w:after="160" w:line="259" w:lineRule="auto"/>
        <w:jc w:val="left"/>
      </w:pPr>
      <w:r>
        <w:t>CUSP</w:t>
      </w:r>
      <w:r>
        <w:tab/>
      </w:r>
      <w:r>
        <w:tab/>
        <w:t>Carbon, Utilization, Storage Partnership</w:t>
      </w:r>
    </w:p>
    <w:p w14:paraId="7931F37D" w14:textId="538869DF" w:rsidR="00BC1557" w:rsidRDefault="00BC1557" w:rsidP="00BC1557">
      <w:pPr>
        <w:spacing w:before="0" w:after="160" w:line="259" w:lineRule="auto"/>
        <w:jc w:val="left"/>
      </w:pPr>
      <w:r>
        <w:t xml:space="preserve">EOR </w:t>
      </w:r>
      <w:r>
        <w:tab/>
      </w:r>
      <w:r>
        <w:tab/>
        <w:t>Enhanced Oil Recovery</w:t>
      </w:r>
    </w:p>
    <w:p w14:paraId="0C56F7FA" w14:textId="33526E1F" w:rsidR="00BC1557" w:rsidRDefault="00BC1557" w:rsidP="00BC1557">
      <w:pPr>
        <w:spacing w:before="0" w:after="160" w:line="259" w:lineRule="auto"/>
        <w:jc w:val="left"/>
      </w:pPr>
      <w:r>
        <w:t xml:space="preserve">GCS </w:t>
      </w:r>
      <w:r>
        <w:tab/>
      </w:r>
      <w:r>
        <w:tab/>
        <w:t>Geological Carbon Storage</w:t>
      </w:r>
    </w:p>
    <w:p w14:paraId="7F73E525" w14:textId="750D9738" w:rsidR="00BC1557" w:rsidRDefault="00BC1557" w:rsidP="00BC1557">
      <w:pPr>
        <w:spacing w:before="0" w:after="160" w:line="259" w:lineRule="auto"/>
        <w:jc w:val="left"/>
      </w:pPr>
      <w:r>
        <w:t xml:space="preserve">MPa </w:t>
      </w:r>
      <w:r>
        <w:tab/>
      </w:r>
      <w:r>
        <w:tab/>
        <w:t xml:space="preserve">Megapascals </w:t>
      </w:r>
    </w:p>
    <w:p w14:paraId="1C2AA68B" w14:textId="77777777" w:rsidR="00BC1557" w:rsidRDefault="00BC1557" w:rsidP="00BC1557">
      <w:pPr>
        <w:spacing w:before="0" w:after="160" w:line="259" w:lineRule="auto"/>
        <w:jc w:val="left"/>
      </w:pPr>
      <w:r>
        <w:t>Psi</w:t>
      </w:r>
      <w:r>
        <w:tab/>
      </w:r>
      <w:r>
        <w:tab/>
        <w:t>Pound square inch</w:t>
      </w:r>
    </w:p>
    <w:p w14:paraId="70CFEA13" w14:textId="3EE24D06" w:rsidR="003E6468" w:rsidRDefault="003E6468" w:rsidP="003E6468">
      <w:pPr>
        <w:spacing w:before="0" w:after="160" w:line="259" w:lineRule="auto"/>
        <w:jc w:val="left"/>
      </w:pPr>
      <w:r>
        <w:rPr>
          <w:rFonts w:ascii="Cambria Math" w:hAnsi="Cambria Math" w:cs="Cambria Math"/>
        </w:rPr>
        <w:t>S</w:t>
      </w:r>
      <w:r>
        <w:t>hmin</w:t>
      </w:r>
      <w:r>
        <w:tab/>
        <w:t xml:space="preserve"> </w:t>
      </w:r>
      <w:r>
        <w:tab/>
        <w:t>principal minimum horizontal stress</w:t>
      </w:r>
    </w:p>
    <w:p w14:paraId="7353C7C5" w14:textId="7402A27E" w:rsidR="003E6468" w:rsidRDefault="003E6468" w:rsidP="003E6468">
      <w:pPr>
        <w:spacing w:before="0" w:after="160" w:line="259" w:lineRule="auto"/>
        <w:jc w:val="left"/>
      </w:pPr>
      <w:r>
        <w:rPr>
          <w:rFonts w:ascii="Cambria Math" w:hAnsi="Cambria Math" w:cs="Cambria Math"/>
        </w:rPr>
        <w:t>S𝐻max</w:t>
      </w:r>
      <w:r>
        <w:t xml:space="preserve"> </w:t>
      </w:r>
      <w:r>
        <w:tab/>
        <w:t xml:space="preserve">principal maximum horizontal stress </w:t>
      </w:r>
    </w:p>
    <w:p w14:paraId="142376D0" w14:textId="77777777" w:rsidR="003E6468" w:rsidRDefault="003E6468" w:rsidP="003E6468">
      <w:pPr>
        <w:spacing w:before="0" w:after="160" w:line="259" w:lineRule="auto"/>
        <w:jc w:val="left"/>
      </w:pPr>
      <w:r>
        <w:t xml:space="preserve">SOSAT </w:t>
      </w:r>
      <w:r>
        <w:tab/>
        <w:t>State of Stress Analysis Tool</w:t>
      </w:r>
    </w:p>
    <w:p w14:paraId="7023CDEB" w14:textId="2DFA3513" w:rsidR="003E6468" w:rsidRDefault="003E6468" w:rsidP="003E6468">
      <w:pPr>
        <w:spacing w:before="0" w:after="160" w:line="259" w:lineRule="auto"/>
        <w:jc w:val="left"/>
      </w:pPr>
      <w:r>
        <w:rPr>
          <w:rFonts w:ascii="Cambria Math" w:hAnsi="Cambria Math" w:cs="Cambria Math"/>
        </w:rPr>
        <w:t>S</w:t>
      </w:r>
      <w:r>
        <w:t xml:space="preserve">v </w:t>
      </w:r>
      <w:r>
        <w:tab/>
        <w:t xml:space="preserve"> </w:t>
      </w:r>
      <w:r>
        <w:tab/>
        <w:t>principal vertical stress</w:t>
      </w:r>
    </w:p>
    <w:p w14:paraId="72D2EDD2" w14:textId="77777777" w:rsidR="003E6468" w:rsidRDefault="003E6468" w:rsidP="003E6468">
      <w:pPr>
        <w:spacing w:before="0" w:after="160" w:line="259" w:lineRule="auto"/>
        <w:jc w:val="left"/>
      </w:pPr>
    </w:p>
    <w:p w14:paraId="217C34B4" w14:textId="0DE6F84A" w:rsidR="003E6468" w:rsidRDefault="003E6468" w:rsidP="00BC1557">
      <w:pPr>
        <w:spacing w:before="0" w:after="160" w:line="259" w:lineRule="auto"/>
        <w:jc w:val="left"/>
        <w:rPr>
          <w:rFonts w:eastAsiaTheme="majorEastAsia" w:cstheme="majorBidi"/>
          <w:b/>
          <w:sz w:val="26"/>
          <w:szCs w:val="32"/>
        </w:rPr>
      </w:pPr>
      <w:r>
        <w:tab/>
      </w:r>
    </w:p>
    <w:p w14:paraId="0CE6868E" w14:textId="77777777" w:rsidR="00BC1557" w:rsidRDefault="00BC1557">
      <w:pPr>
        <w:spacing w:before="0" w:after="160" w:line="259" w:lineRule="auto"/>
        <w:jc w:val="left"/>
        <w:rPr>
          <w:rFonts w:eastAsiaTheme="majorEastAsia" w:cstheme="majorBidi"/>
          <w:b/>
          <w:sz w:val="26"/>
          <w:szCs w:val="32"/>
        </w:rPr>
      </w:pPr>
      <w:r>
        <w:br w:type="page"/>
      </w:r>
    </w:p>
    <w:p w14:paraId="052EF719" w14:textId="44C2C84C" w:rsidR="006500CB" w:rsidRPr="006500CB" w:rsidRDefault="006500CB" w:rsidP="00B703A0">
      <w:pPr>
        <w:pStyle w:val="Heading1"/>
      </w:pPr>
      <w:bookmarkStart w:id="135" w:name="_Toc121265842"/>
      <w:r>
        <w:lastRenderedPageBreak/>
        <w:t>APPENDIX</w:t>
      </w:r>
      <w:bookmarkEnd w:id="135"/>
      <w:r>
        <w:t xml:space="preserve"> </w:t>
      </w:r>
    </w:p>
    <w:p w14:paraId="56C2DCCB" w14:textId="29276E59" w:rsidR="006500CB" w:rsidRDefault="006500CB" w:rsidP="006500CB">
      <w:pPr>
        <w:pStyle w:val="Heading2"/>
      </w:pPr>
      <w:bookmarkStart w:id="136" w:name="_Toc121265843"/>
      <w:r>
        <w:t>SOSAT</w:t>
      </w:r>
      <w:bookmarkEnd w:id="136"/>
    </w:p>
    <w:p w14:paraId="44BC7F89" w14:textId="77777777" w:rsidR="00CD5B52" w:rsidRDefault="00CD5B52" w:rsidP="00EA4E56">
      <w:pPr>
        <w:rPr>
          <w:b/>
          <w:bCs/>
        </w:rPr>
      </w:pPr>
      <w:r>
        <w:rPr>
          <w:b/>
          <w:bCs/>
        </w:rPr>
        <w:t>Hardware requirements</w:t>
      </w:r>
    </w:p>
    <w:p w14:paraId="471F7568" w14:textId="1DDF91C5" w:rsidR="00CD5B52" w:rsidRDefault="00CD5B52" w:rsidP="00CD5B52">
      <w:pPr>
        <w:pStyle w:val="ListParagraph"/>
        <w:numPr>
          <w:ilvl w:val="0"/>
          <w:numId w:val="6"/>
        </w:numPr>
      </w:pPr>
      <w:r>
        <w:t>64-bits Windows Operating System</w:t>
      </w:r>
    </w:p>
    <w:p w14:paraId="24E7E2D2" w14:textId="57D6BD94" w:rsidR="00CD5B52" w:rsidRDefault="00CD5B52" w:rsidP="00CD5B52">
      <w:pPr>
        <w:pStyle w:val="ListParagraph"/>
        <w:numPr>
          <w:ilvl w:val="0"/>
          <w:numId w:val="6"/>
        </w:numPr>
      </w:pPr>
      <w:r>
        <w:t>Space is not a major constraint</w:t>
      </w:r>
    </w:p>
    <w:p w14:paraId="6F18A744" w14:textId="69F7C9E3" w:rsidR="00CD5B52" w:rsidRDefault="00CD5B52" w:rsidP="00EA4E56">
      <w:pPr>
        <w:rPr>
          <w:b/>
          <w:bCs/>
        </w:rPr>
      </w:pPr>
      <w:r>
        <w:rPr>
          <w:b/>
          <w:bCs/>
        </w:rPr>
        <w:t>Software requirements</w:t>
      </w:r>
    </w:p>
    <w:p w14:paraId="1EE48E04" w14:textId="0DDF84D6" w:rsidR="00CD5B52" w:rsidRDefault="00CD5B52" w:rsidP="00CD5B52">
      <w:pPr>
        <w:pStyle w:val="ListParagraph"/>
        <w:numPr>
          <w:ilvl w:val="0"/>
          <w:numId w:val="5"/>
        </w:numPr>
      </w:pPr>
      <w:r>
        <w:t>Java Runtime Environment (JRE)</w:t>
      </w:r>
      <w:r w:rsidR="00233410">
        <w:t xml:space="preserve"> – 8</w:t>
      </w:r>
      <w:r>
        <w:t xml:space="preserve"> or </w:t>
      </w:r>
      <w:r w:rsidR="00233410">
        <w:t>a later version</w:t>
      </w:r>
    </w:p>
    <w:p w14:paraId="7FDD29D5" w14:textId="77777777" w:rsidR="00CD5B52" w:rsidRDefault="00CD5B52" w:rsidP="00CD5B52">
      <w:pPr>
        <w:pStyle w:val="ListParagraph"/>
        <w:numPr>
          <w:ilvl w:val="0"/>
          <w:numId w:val="5"/>
        </w:numPr>
      </w:pPr>
      <w:r>
        <w:t>Steps to download included below</w:t>
      </w:r>
    </w:p>
    <w:p w14:paraId="0CF4E96B" w14:textId="006D658B" w:rsidR="00EA4E56" w:rsidRPr="00CD5B52" w:rsidRDefault="00EA4E56" w:rsidP="00EA4E56">
      <w:r w:rsidRPr="00EA4E56">
        <w:rPr>
          <w:b/>
          <w:bCs/>
        </w:rPr>
        <w:t>Installation</w:t>
      </w:r>
    </w:p>
    <w:p w14:paraId="48026D82" w14:textId="1F22BBD4" w:rsidR="00EA4E56" w:rsidRPr="00EA4E56" w:rsidRDefault="00EA4E56" w:rsidP="00EA4E56">
      <w:pPr>
        <w:pStyle w:val="ListParagraph"/>
        <w:numPr>
          <w:ilvl w:val="0"/>
          <w:numId w:val="4"/>
        </w:numPr>
      </w:pPr>
      <w:r w:rsidRPr="00EA4E56">
        <w:t xml:space="preserve">SOSAT version 1.0 is available </w:t>
      </w:r>
      <w:r w:rsidR="00F0155B" w:rsidRPr="00EA4E56">
        <w:t xml:space="preserve">at the National Energy Technology Laboratory (NETL) Energy Data Exchange (EDX) platform </w:t>
      </w:r>
      <w:r w:rsidRPr="00EA4E56">
        <w:t xml:space="preserve">for download </w:t>
      </w:r>
    </w:p>
    <w:p w14:paraId="2C063489" w14:textId="57D9D24A" w:rsidR="00EA6B53" w:rsidRPr="00EA6B53" w:rsidRDefault="00EA4E56" w:rsidP="002A38B4">
      <w:pPr>
        <w:pStyle w:val="ListParagraph"/>
        <w:numPr>
          <w:ilvl w:val="0"/>
          <w:numId w:val="4"/>
        </w:numPr>
        <w:rPr>
          <w:rFonts w:ascii="TimesNewRomanPSMT" w:hAnsi="TimesNewRomanPSMT" w:cs="TimesNewRomanPSMT"/>
          <w:szCs w:val="24"/>
        </w:rPr>
      </w:pPr>
      <w:r w:rsidRPr="00EA4E56">
        <w:t xml:space="preserve">First step is to sign into EDX </w:t>
      </w:r>
      <w:hyperlink r:id="rId64" w:history="1">
        <w:r w:rsidRPr="000A2714">
          <w:rPr>
            <w:rStyle w:val="Hyperlink"/>
          </w:rPr>
          <w:t>https://edx.netl.doe.gov/</w:t>
        </w:r>
      </w:hyperlink>
    </w:p>
    <w:p w14:paraId="4530ECC7" w14:textId="0AC4693E" w:rsidR="00EA4E56" w:rsidRPr="00EA4E56" w:rsidRDefault="00EA4E56" w:rsidP="002A38B4">
      <w:pPr>
        <w:pStyle w:val="ListParagraph"/>
        <w:numPr>
          <w:ilvl w:val="0"/>
          <w:numId w:val="4"/>
        </w:numPr>
        <w:rPr>
          <w:rFonts w:ascii="TimesNewRomanPSMT" w:hAnsi="TimesNewRomanPSMT" w:cs="TimesNewRomanPSMT"/>
          <w:szCs w:val="24"/>
        </w:rPr>
      </w:pPr>
      <w:r>
        <w:t xml:space="preserve">You might need access from </w:t>
      </w:r>
      <w:r w:rsidRPr="00EA4E56">
        <w:t>NETL to be able to sign in</w:t>
      </w:r>
    </w:p>
    <w:p w14:paraId="7EDD8CCA" w14:textId="1A957A9F" w:rsidR="00EA4E56" w:rsidRPr="00EA4E56" w:rsidRDefault="00EA4E56" w:rsidP="00EA4E56">
      <w:pPr>
        <w:pStyle w:val="ListParagraph"/>
        <w:numPr>
          <w:ilvl w:val="0"/>
          <w:numId w:val="4"/>
        </w:numPr>
        <w:rPr>
          <w:rFonts w:ascii="TimesNewRomanPSMT" w:hAnsi="TimesNewRomanPSMT" w:cs="TimesNewRomanPSMT"/>
          <w:szCs w:val="24"/>
        </w:rPr>
      </w:pPr>
      <w:r w:rsidRPr="00EA4E56">
        <w:t xml:space="preserve">After signing in, </w:t>
      </w:r>
      <w:r w:rsidR="007A3DFB">
        <w:t>navigate</w:t>
      </w:r>
      <w:r>
        <w:t xml:space="preserve"> to the zipped folder SOSAT </w:t>
      </w:r>
      <w:r w:rsidR="007A3DFB">
        <w:t xml:space="preserve">folder </w:t>
      </w:r>
      <w:r>
        <w:t xml:space="preserve">at </w:t>
      </w:r>
      <w:hyperlink r:id="rId65" w:history="1">
        <w:r w:rsidRPr="00EA4E56">
          <w:rPr>
            <w:rStyle w:val="Hyperlink"/>
            <w:rFonts w:ascii="TimesNewRomanPSMT" w:hAnsi="TimesNewRomanPSMT" w:cs="TimesNewRomanPSMT"/>
            <w:szCs w:val="24"/>
          </w:rPr>
          <w:t>https://edx.netl.doe.gov/dataset/sosat-state-of-stress-analysis-tool-v2019-07-1-0</w:t>
        </w:r>
      </w:hyperlink>
    </w:p>
    <w:p w14:paraId="27554B7C" w14:textId="04CAED55" w:rsidR="00EA4E56" w:rsidRPr="007A3DFB" w:rsidRDefault="00EA4E56" w:rsidP="00EA4E56">
      <w:pPr>
        <w:pStyle w:val="ListParagraph"/>
        <w:numPr>
          <w:ilvl w:val="0"/>
          <w:numId w:val="4"/>
        </w:numPr>
        <w:rPr>
          <w:rFonts w:ascii="TimesNewRomanPSMT" w:hAnsi="TimesNewRomanPSMT" w:cs="TimesNewRomanPSMT"/>
          <w:szCs w:val="24"/>
        </w:rPr>
      </w:pPr>
      <w:r w:rsidRPr="00EA4E56">
        <w:rPr>
          <w:rFonts w:ascii="TimesNewRomanPSMT" w:hAnsi="TimesNewRomanPSMT" w:cs="TimesNewRomanPSMT"/>
          <w:szCs w:val="24"/>
        </w:rPr>
        <w:t>Th</w:t>
      </w:r>
      <w:r w:rsidR="007A3DFB">
        <w:rPr>
          <w:rFonts w:ascii="TimesNewRomanPSMT" w:hAnsi="TimesNewRomanPSMT" w:cs="TimesNewRomanPSMT"/>
          <w:szCs w:val="24"/>
        </w:rPr>
        <w:t xml:space="preserve">en download the </w:t>
      </w:r>
      <w:r w:rsidR="00F0155B">
        <w:rPr>
          <w:rFonts w:ascii="TimesNewRomanPSMT" w:hAnsi="TimesNewRomanPSMT" w:cs="TimesNewRomanPSMT"/>
          <w:szCs w:val="24"/>
        </w:rPr>
        <w:t xml:space="preserve">zipped folder named </w:t>
      </w:r>
      <w:r w:rsidR="007A3DFB">
        <w:rPr>
          <w:rFonts w:ascii="TimesNewRomanPSMT" w:hAnsi="TimesNewRomanPSMT" w:cs="TimesNewRomanPSMT"/>
          <w:szCs w:val="24"/>
        </w:rPr>
        <w:t>nrap-sosat-v2019.07-1.0.zip</w:t>
      </w:r>
      <w:r w:rsidR="007A3DFB" w:rsidRPr="007A3DFB">
        <w:t xml:space="preserve"> </w:t>
      </w:r>
      <w:r w:rsidR="007A3DFB">
        <w:t xml:space="preserve">to </w:t>
      </w:r>
      <w:r w:rsidR="00F0155B">
        <w:t xml:space="preserve">the hard drive of </w:t>
      </w:r>
      <w:r w:rsidR="007A3DFB">
        <w:t xml:space="preserve">your </w:t>
      </w:r>
    </w:p>
    <w:p w14:paraId="36EC83DC" w14:textId="6BB5BD91" w:rsidR="007A3DFB" w:rsidRPr="007A3DFB" w:rsidRDefault="007A3DFB" w:rsidP="00EA4E56">
      <w:pPr>
        <w:pStyle w:val="ListParagraph"/>
        <w:numPr>
          <w:ilvl w:val="0"/>
          <w:numId w:val="4"/>
        </w:numPr>
        <w:rPr>
          <w:rFonts w:ascii="TimesNewRomanPSMT" w:hAnsi="TimesNewRomanPSMT" w:cs="TimesNewRomanPSMT"/>
          <w:szCs w:val="24"/>
        </w:rPr>
      </w:pPr>
      <w:r>
        <w:t>Extract the files from the folder in preparation for installation</w:t>
      </w:r>
    </w:p>
    <w:p w14:paraId="36365797" w14:textId="5E69BCF1" w:rsidR="007A3DFB" w:rsidRPr="007A3DFB" w:rsidRDefault="007A3DFB" w:rsidP="00EA4E56">
      <w:pPr>
        <w:pStyle w:val="ListParagraph"/>
        <w:numPr>
          <w:ilvl w:val="0"/>
          <w:numId w:val="4"/>
        </w:numPr>
        <w:rPr>
          <w:rFonts w:ascii="TimesNewRomanPSMT" w:hAnsi="TimesNewRomanPSMT" w:cs="TimesNewRomanPSMT"/>
          <w:szCs w:val="24"/>
        </w:rPr>
      </w:pPr>
      <w:r>
        <w:lastRenderedPageBreak/>
        <w:t xml:space="preserve">Download Java Runtime Environment (JRE) </w:t>
      </w:r>
      <w:r w:rsidR="00BD67B6">
        <w:t>8 or a later version</w:t>
      </w:r>
      <w:r>
        <w:t>. If you have JRE already on your computer skip the next couple of steps.</w:t>
      </w:r>
    </w:p>
    <w:p w14:paraId="1DB3BBFF" w14:textId="5A18E532" w:rsidR="007A3DFB" w:rsidRPr="007A3DFB" w:rsidRDefault="007A3DFB" w:rsidP="00EA4E56">
      <w:pPr>
        <w:pStyle w:val="ListParagraph"/>
        <w:numPr>
          <w:ilvl w:val="0"/>
          <w:numId w:val="4"/>
        </w:numPr>
        <w:rPr>
          <w:rFonts w:ascii="TimesNewRomanPSMT" w:hAnsi="TimesNewRomanPSMT" w:cs="TimesNewRomanPSMT"/>
          <w:szCs w:val="24"/>
        </w:rPr>
      </w:pPr>
      <w:r>
        <w:t xml:space="preserve">Navigate to </w:t>
      </w:r>
      <w:hyperlink r:id="rId66" w:history="1">
        <w:r w:rsidRPr="000A2714">
          <w:rPr>
            <w:rStyle w:val="Hyperlink"/>
          </w:rPr>
          <w:t>https://www.oracle.com/java/technologies/downloads/</w:t>
        </w:r>
      </w:hyperlink>
      <w:r>
        <w:t xml:space="preserve"> </w:t>
      </w:r>
    </w:p>
    <w:p w14:paraId="1901FECD" w14:textId="77777777" w:rsidR="00EA6B53" w:rsidRDefault="007A3DFB" w:rsidP="007A3DFB">
      <w:pPr>
        <w:pStyle w:val="ListParagraph"/>
        <w:numPr>
          <w:ilvl w:val="0"/>
          <w:numId w:val="4"/>
        </w:numPr>
        <w:rPr>
          <w:rFonts w:ascii="TimesNewRomanPSMT" w:hAnsi="TimesNewRomanPSMT" w:cs="TimesNewRomanPSMT"/>
          <w:szCs w:val="24"/>
        </w:rPr>
      </w:pPr>
      <w:r>
        <w:rPr>
          <w:rFonts w:ascii="TimesNewRomanPSMT" w:hAnsi="TimesNewRomanPSMT" w:cs="TimesNewRomanPSMT"/>
          <w:szCs w:val="24"/>
        </w:rPr>
        <w:t>S</w:t>
      </w:r>
      <w:r w:rsidR="00EA6B53">
        <w:rPr>
          <w:rFonts w:ascii="TimesNewRomanPSMT" w:hAnsi="TimesNewRomanPSMT" w:cs="TimesNewRomanPSMT"/>
          <w:szCs w:val="24"/>
        </w:rPr>
        <w:t>croll down to Java SE Development Kit</w:t>
      </w:r>
    </w:p>
    <w:p w14:paraId="0392ED6D" w14:textId="0C08E542" w:rsidR="007A3DFB" w:rsidRDefault="00EA6B53" w:rsidP="007A3DFB">
      <w:pPr>
        <w:pStyle w:val="ListParagraph"/>
        <w:numPr>
          <w:ilvl w:val="0"/>
          <w:numId w:val="4"/>
        </w:numPr>
        <w:rPr>
          <w:rFonts w:ascii="TimesNewRomanPSMT" w:hAnsi="TimesNewRomanPSMT" w:cs="TimesNewRomanPSMT"/>
          <w:szCs w:val="24"/>
        </w:rPr>
      </w:pPr>
      <w:r>
        <w:rPr>
          <w:rFonts w:ascii="TimesNewRomanPSMT" w:hAnsi="TimesNewRomanPSMT" w:cs="TimesNewRomanPSMT"/>
          <w:szCs w:val="24"/>
        </w:rPr>
        <w:t>S</w:t>
      </w:r>
      <w:r w:rsidR="007A3DFB">
        <w:rPr>
          <w:rFonts w:ascii="TimesNewRomanPSMT" w:hAnsi="TimesNewRomanPSMT" w:cs="TimesNewRomanPSMT"/>
          <w:szCs w:val="24"/>
        </w:rPr>
        <w:t xml:space="preserve">elect the operating system, </w:t>
      </w:r>
      <w:r>
        <w:rPr>
          <w:rFonts w:ascii="TimesNewRomanPSMT" w:hAnsi="TimesNewRomanPSMT" w:cs="TimesNewRomanPSMT"/>
          <w:szCs w:val="24"/>
        </w:rPr>
        <w:t xml:space="preserve">SOSAT has been designed to run on </w:t>
      </w:r>
      <w:r w:rsidR="007A3DFB">
        <w:rPr>
          <w:rFonts w:ascii="TimesNewRomanPSMT" w:hAnsi="TimesNewRomanPSMT" w:cs="TimesNewRomanPSMT"/>
          <w:szCs w:val="24"/>
        </w:rPr>
        <w:t>Windows</w:t>
      </w:r>
    </w:p>
    <w:p w14:paraId="4C4FD5A4" w14:textId="6283CC64" w:rsidR="00EA6B53" w:rsidRDefault="00EA6B53" w:rsidP="007A3DFB">
      <w:pPr>
        <w:pStyle w:val="ListParagraph"/>
        <w:numPr>
          <w:ilvl w:val="0"/>
          <w:numId w:val="4"/>
        </w:numPr>
        <w:rPr>
          <w:rFonts w:ascii="TimesNewRomanPSMT" w:hAnsi="TimesNewRomanPSMT" w:cs="TimesNewRomanPSMT"/>
          <w:szCs w:val="24"/>
        </w:rPr>
      </w:pPr>
      <w:r>
        <w:rPr>
          <w:rFonts w:ascii="TimesNewRomanPSMT" w:hAnsi="TimesNewRomanPSMT" w:cs="TimesNewRomanPSMT"/>
          <w:szCs w:val="24"/>
        </w:rPr>
        <w:t>SOSAT requires a 64-bit environment so select the x64 Installer</w:t>
      </w:r>
    </w:p>
    <w:p w14:paraId="7544F7B5" w14:textId="4D174599" w:rsidR="005A3AB0" w:rsidRDefault="005A3AB0" w:rsidP="007A3DFB">
      <w:pPr>
        <w:pStyle w:val="ListParagraph"/>
        <w:numPr>
          <w:ilvl w:val="0"/>
          <w:numId w:val="4"/>
        </w:numPr>
        <w:rPr>
          <w:rFonts w:ascii="TimesNewRomanPSMT" w:hAnsi="TimesNewRomanPSMT" w:cs="TimesNewRomanPSMT"/>
          <w:szCs w:val="24"/>
        </w:rPr>
      </w:pPr>
      <w:r>
        <w:rPr>
          <w:rFonts w:ascii="TimesNewRomanPSMT" w:hAnsi="TimesNewRomanPSMT" w:cs="TimesNewRomanPSMT"/>
          <w:szCs w:val="24"/>
        </w:rPr>
        <w:t>If you had java before, ensure your JAVA-HOME is set to the version 8 runtime environment</w:t>
      </w:r>
    </w:p>
    <w:p w14:paraId="10D5EE61" w14:textId="720FEE90" w:rsidR="005A3AB0" w:rsidRDefault="005A3AB0" w:rsidP="007A3DFB">
      <w:pPr>
        <w:pStyle w:val="ListParagraph"/>
        <w:numPr>
          <w:ilvl w:val="0"/>
          <w:numId w:val="4"/>
        </w:numPr>
        <w:rPr>
          <w:rFonts w:ascii="TimesNewRomanPSMT" w:hAnsi="TimesNewRomanPSMT" w:cs="TimesNewRomanPSMT"/>
          <w:szCs w:val="24"/>
        </w:rPr>
      </w:pPr>
      <w:r>
        <w:rPr>
          <w:rFonts w:ascii="TimesNewRomanPSMT" w:hAnsi="TimesNewRomanPSMT" w:cs="TimesNewRomanPSMT"/>
          <w:szCs w:val="24"/>
        </w:rPr>
        <w:t>To do this, in your PC search bar, search for environment variables</w:t>
      </w:r>
    </w:p>
    <w:p w14:paraId="74AE713C" w14:textId="77777777" w:rsidR="005A3AB0" w:rsidRDefault="00000000" w:rsidP="005A3AB0">
      <w:pPr>
        <w:pStyle w:val="ListParagraph"/>
        <w:keepNext/>
        <w:jc w:val="center"/>
      </w:pPr>
      <w:r>
        <w:rPr>
          <w:noProof/>
        </w:rPr>
        <w:pict w14:anchorId="493D990F">
          <v:oval id="_x0000_s2057" style="position:absolute;left:0;text-align:left;margin-left:279.5pt;margin-top:260.6pt;width:106.5pt;height:40.5pt;z-index:251663360" filled="f" strokecolor="#ff5050"/>
        </w:pict>
      </w:r>
      <w:r w:rsidR="005A3AB0">
        <w:rPr>
          <w:noProof/>
        </w:rPr>
        <w:drawing>
          <wp:inline distT="0" distB="0" distL="0" distR="0" wp14:anchorId="25ACAF45" wp14:editId="5CC3A6EC">
            <wp:extent cx="3641828" cy="4241800"/>
            <wp:effectExtent l="0" t="0" r="0" b="0"/>
            <wp:docPr id="17" name="Picture 1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 application&#10;&#10;Description automatically generated"/>
                    <pic:cNvPicPr/>
                  </pic:nvPicPr>
                  <pic:blipFill>
                    <a:blip r:embed="rId67"/>
                    <a:stretch>
                      <a:fillRect/>
                    </a:stretch>
                  </pic:blipFill>
                  <pic:spPr>
                    <a:xfrm>
                      <a:off x="0" y="0"/>
                      <a:ext cx="3647469" cy="4248371"/>
                    </a:xfrm>
                    <a:prstGeom prst="rect">
                      <a:avLst/>
                    </a:prstGeom>
                  </pic:spPr>
                </pic:pic>
              </a:graphicData>
            </a:graphic>
          </wp:inline>
        </w:drawing>
      </w:r>
    </w:p>
    <w:p w14:paraId="1711970D" w14:textId="6290ACFC" w:rsidR="005A3AB0" w:rsidRDefault="005A3AB0" w:rsidP="005A3AB0">
      <w:pPr>
        <w:pStyle w:val="Caption"/>
      </w:pPr>
      <w:bookmarkStart w:id="137" w:name="_Toc121265891"/>
      <w:r>
        <w:t xml:space="preserve">Figure </w:t>
      </w:r>
      <w:fldSimple w:instr=" SEQ Figure \* ARABIC ">
        <w:r w:rsidR="00955725">
          <w:rPr>
            <w:noProof/>
          </w:rPr>
          <w:t>48</w:t>
        </w:r>
      </w:fldSimple>
      <w:r>
        <w:t>: Environment Variables</w:t>
      </w:r>
      <w:bookmarkEnd w:id="137"/>
    </w:p>
    <w:p w14:paraId="254B9120" w14:textId="0C20386D" w:rsidR="005A3AB0" w:rsidRDefault="005A3AB0" w:rsidP="007A3DFB">
      <w:pPr>
        <w:pStyle w:val="ListParagraph"/>
        <w:numPr>
          <w:ilvl w:val="0"/>
          <w:numId w:val="4"/>
        </w:numPr>
        <w:rPr>
          <w:rFonts w:ascii="TimesNewRomanPSMT" w:hAnsi="TimesNewRomanPSMT" w:cs="TimesNewRomanPSMT"/>
          <w:szCs w:val="24"/>
        </w:rPr>
      </w:pPr>
      <w:r>
        <w:rPr>
          <w:rFonts w:ascii="TimesNewRomanPSMT" w:hAnsi="TimesNewRomanPSMT" w:cs="TimesNewRomanPSMT"/>
          <w:szCs w:val="24"/>
        </w:rPr>
        <w:lastRenderedPageBreak/>
        <w:t>Select Environment Variables as highlighted above</w:t>
      </w:r>
    </w:p>
    <w:p w14:paraId="4B215CE1" w14:textId="30A92513" w:rsidR="005A3AB0" w:rsidRDefault="005A3AB0" w:rsidP="007A3DFB">
      <w:pPr>
        <w:pStyle w:val="ListParagraph"/>
        <w:numPr>
          <w:ilvl w:val="0"/>
          <w:numId w:val="4"/>
        </w:numPr>
        <w:rPr>
          <w:rFonts w:ascii="TimesNewRomanPSMT" w:hAnsi="TimesNewRomanPSMT" w:cs="TimesNewRomanPSMT"/>
          <w:szCs w:val="24"/>
        </w:rPr>
      </w:pPr>
      <w:r>
        <w:rPr>
          <w:rFonts w:ascii="TimesNewRomanPSMT" w:hAnsi="TimesNewRomanPSMT" w:cs="TimesNewRomanPSMT"/>
          <w:szCs w:val="24"/>
        </w:rPr>
        <w:t>Ensure the JAVA_HOME and JRE_HOME are set to the java 8 runtime environment as shown below.</w:t>
      </w:r>
    </w:p>
    <w:p w14:paraId="73AA6054" w14:textId="77777777" w:rsidR="005A3AB0" w:rsidRDefault="005A3AB0" w:rsidP="005A3AB0">
      <w:pPr>
        <w:pStyle w:val="ListParagraph"/>
        <w:keepNext/>
      </w:pPr>
      <w:r>
        <w:rPr>
          <w:noProof/>
        </w:rPr>
        <w:drawing>
          <wp:inline distT="0" distB="0" distL="0" distR="0" wp14:anchorId="7426E0A8" wp14:editId="5017A3B1">
            <wp:extent cx="5105400" cy="2525428"/>
            <wp:effectExtent l="0" t="0" r="0" b="0"/>
            <wp:docPr id="26" name="Picture 2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text, application, email&#10;&#10;Description automatically generated"/>
                    <pic:cNvPicPr/>
                  </pic:nvPicPr>
                  <pic:blipFill>
                    <a:blip r:embed="rId68"/>
                    <a:stretch>
                      <a:fillRect/>
                    </a:stretch>
                  </pic:blipFill>
                  <pic:spPr>
                    <a:xfrm>
                      <a:off x="0" y="0"/>
                      <a:ext cx="5116664" cy="2531000"/>
                    </a:xfrm>
                    <a:prstGeom prst="rect">
                      <a:avLst/>
                    </a:prstGeom>
                  </pic:spPr>
                </pic:pic>
              </a:graphicData>
            </a:graphic>
          </wp:inline>
        </w:drawing>
      </w:r>
    </w:p>
    <w:p w14:paraId="07BD863A" w14:textId="51A4D995" w:rsidR="005A3AB0" w:rsidRDefault="005A3AB0" w:rsidP="005A3AB0">
      <w:pPr>
        <w:pStyle w:val="Caption"/>
        <w:rPr>
          <w:rFonts w:ascii="TimesNewRomanPSMT" w:hAnsi="TimesNewRomanPSMT" w:cs="TimesNewRomanPSMT"/>
          <w:szCs w:val="24"/>
        </w:rPr>
      </w:pPr>
      <w:bookmarkStart w:id="138" w:name="_Toc121265892"/>
      <w:r>
        <w:t xml:space="preserve">Figure </w:t>
      </w:r>
      <w:fldSimple w:instr=" SEQ Figure \* ARABIC ">
        <w:r w:rsidR="00955725">
          <w:rPr>
            <w:noProof/>
          </w:rPr>
          <w:t>49</w:t>
        </w:r>
      </w:fldSimple>
      <w:r>
        <w:t xml:space="preserve">: Updating </w:t>
      </w:r>
      <w:r w:rsidRPr="00AF78A8">
        <w:t>JAVA_HOME and JRE_HOME</w:t>
      </w:r>
      <w:bookmarkEnd w:id="138"/>
    </w:p>
    <w:p w14:paraId="40F29C9D" w14:textId="4B19512A" w:rsidR="00EA6B53" w:rsidRDefault="00EA6B53" w:rsidP="007A3DFB">
      <w:pPr>
        <w:pStyle w:val="ListParagraph"/>
        <w:numPr>
          <w:ilvl w:val="0"/>
          <w:numId w:val="4"/>
        </w:numPr>
        <w:rPr>
          <w:rFonts w:ascii="TimesNewRomanPSMT" w:hAnsi="TimesNewRomanPSMT" w:cs="TimesNewRomanPSMT"/>
          <w:szCs w:val="24"/>
        </w:rPr>
      </w:pPr>
      <w:r>
        <w:rPr>
          <w:rFonts w:ascii="TimesNewRomanPSMT" w:hAnsi="TimesNewRomanPSMT" w:cs="TimesNewRomanPSMT"/>
          <w:szCs w:val="24"/>
        </w:rPr>
        <w:t>After downloading and installing Java, go back to your SOSAT downloaded folder</w:t>
      </w:r>
    </w:p>
    <w:p w14:paraId="1CED8CBC" w14:textId="64001248" w:rsidR="00EA6B53" w:rsidRDefault="00CD5B52" w:rsidP="007A3DFB">
      <w:pPr>
        <w:pStyle w:val="ListParagraph"/>
        <w:numPr>
          <w:ilvl w:val="0"/>
          <w:numId w:val="4"/>
        </w:numPr>
        <w:rPr>
          <w:rFonts w:ascii="TimesNewRomanPSMT" w:hAnsi="TimesNewRomanPSMT" w:cs="TimesNewRomanPSMT"/>
          <w:szCs w:val="24"/>
        </w:rPr>
      </w:pPr>
      <w:r>
        <w:rPr>
          <w:rFonts w:ascii="TimesNewRomanPSMT" w:hAnsi="TimesNewRomanPSMT" w:cs="TimesNewRomanPSMT"/>
          <w:szCs w:val="24"/>
        </w:rPr>
        <w:t>Click on the application.bat file in the folder and run</w:t>
      </w:r>
    </w:p>
    <w:p w14:paraId="71CA3FD3" w14:textId="493FB6A5" w:rsidR="005A3AB0" w:rsidRDefault="005A3AB0" w:rsidP="007A3DFB">
      <w:pPr>
        <w:pStyle w:val="ListParagraph"/>
        <w:numPr>
          <w:ilvl w:val="0"/>
          <w:numId w:val="4"/>
        </w:numPr>
        <w:rPr>
          <w:rFonts w:ascii="TimesNewRomanPSMT" w:hAnsi="TimesNewRomanPSMT" w:cs="TimesNewRomanPSMT"/>
          <w:szCs w:val="24"/>
        </w:rPr>
      </w:pPr>
      <w:r>
        <w:rPr>
          <w:rFonts w:ascii="TimesNewRomanPSMT" w:hAnsi="TimesNewRomanPSMT" w:cs="TimesNewRomanPSMT"/>
          <w:szCs w:val="24"/>
        </w:rPr>
        <w:t>If the JAVA_HOME and JRE_HOME are not set to the right version, SOSAT would run into an error and the main page would not appear. Circle back to previous steps and ensure these are set up well</w:t>
      </w:r>
    </w:p>
    <w:p w14:paraId="41CCD436" w14:textId="5278F082" w:rsidR="00CD5B52" w:rsidRDefault="00CD5B52" w:rsidP="007A3DFB">
      <w:pPr>
        <w:pStyle w:val="ListParagraph"/>
        <w:numPr>
          <w:ilvl w:val="0"/>
          <w:numId w:val="4"/>
        </w:numPr>
        <w:rPr>
          <w:rFonts w:ascii="TimesNewRomanPSMT" w:hAnsi="TimesNewRomanPSMT" w:cs="TimesNewRomanPSMT"/>
          <w:szCs w:val="24"/>
        </w:rPr>
      </w:pPr>
      <w:r>
        <w:rPr>
          <w:rFonts w:ascii="TimesNewRomanPSMT" w:hAnsi="TimesNewRomanPSMT" w:cs="TimesNewRomanPSMT"/>
          <w:szCs w:val="24"/>
        </w:rPr>
        <w:t>After installation, you would receive a Notice to User, acknowledge this and you would be redirected to the SOSAT Main Page shown below</w:t>
      </w:r>
    </w:p>
    <w:p w14:paraId="6F082281" w14:textId="77777777" w:rsidR="00EC2DA9" w:rsidRDefault="00EC2DA9" w:rsidP="00EC2DA9">
      <w:pPr>
        <w:pStyle w:val="ListParagraph"/>
        <w:keepNext/>
        <w:jc w:val="center"/>
      </w:pPr>
      <w:r>
        <w:rPr>
          <w:noProof/>
        </w:rPr>
        <w:lastRenderedPageBreak/>
        <w:drawing>
          <wp:inline distT="0" distB="0" distL="0" distR="0" wp14:anchorId="29024DF1" wp14:editId="37FDE8CA">
            <wp:extent cx="4044950" cy="3977870"/>
            <wp:effectExtent l="19050" t="19050" r="0" b="3810"/>
            <wp:docPr id="32" name="Picture 3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text&#10;&#10;Description automatically generated"/>
                    <pic:cNvPicPr/>
                  </pic:nvPicPr>
                  <pic:blipFill>
                    <a:blip r:embed="rId69"/>
                    <a:stretch>
                      <a:fillRect/>
                    </a:stretch>
                  </pic:blipFill>
                  <pic:spPr>
                    <a:xfrm>
                      <a:off x="0" y="0"/>
                      <a:ext cx="4056947" cy="3989668"/>
                    </a:xfrm>
                    <a:prstGeom prst="rect">
                      <a:avLst/>
                    </a:prstGeom>
                    <a:ln>
                      <a:solidFill>
                        <a:schemeClr val="accent1"/>
                      </a:solidFill>
                    </a:ln>
                  </pic:spPr>
                </pic:pic>
              </a:graphicData>
            </a:graphic>
          </wp:inline>
        </w:drawing>
      </w:r>
    </w:p>
    <w:p w14:paraId="04AF9927" w14:textId="2198EAF8" w:rsidR="00EC2DA9" w:rsidRDefault="00EC2DA9" w:rsidP="00EC2DA9">
      <w:pPr>
        <w:pStyle w:val="Caption"/>
        <w:rPr>
          <w:rFonts w:ascii="TimesNewRomanPSMT" w:hAnsi="TimesNewRomanPSMT" w:cs="TimesNewRomanPSMT"/>
          <w:szCs w:val="24"/>
        </w:rPr>
      </w:pPr>
      <w:bookmarkStart w:id="139" w:name="_Toc121265893"/>
      <w:r>
        <w:t xml:space="preserve">Figure </w:t>
      </w:r>
      <w:fldSimple w:instr=" SEQ Figure \* ARABIC ">
        <w:r w:rsidR="00955725">
          <w:rPr>
            <w:noProof/>
          </w:rPr>
          <w:t>50</w:t>
        </w:r>
      </w:fldSimple>
      <w:r>
        <w:t>: Notice to Users</w:t>
      </w:r>
      <w:bookmarkEnd w:id="139"/>
    </w:p>
    <w:p w14:paraId="77FBE234" w14:textId="17A0FE27" w:rsidR="0035213C" w:rsidRPr="005A3AB0" w:rsidRDefault="005A3AB0" w:rsidP="005A3AB0">
      <w:pPr>
        <w:pStyle w:val="ListParagraph"/>
        <w:rPr>
          <w:rFonts w:ascii="TimesNewRomanPSMT" w:hAnsi="TimesNewRomanPSMT" w:cs="TimesNewRomanPSMT"/>
          <w:szCs w:val="24"/>
        </w:rPr>
      </w:pPr>
      <w:r>
        <w:rPr>
          <w:noProof/>
        </w:rPr>
        <w:lastRenderedPageBreak/>
        <w:drawing>
          <wp:inline distT="0" distB="0" distL="0" distR="0" wp14:anchorId="09B8CB7C" wp14:editId="78F823D6">
            <wp:extent cx="5368841" cy="3600450"/>
            <wp:effectExtent l="19050" t="19050" r="3810" b="0"/>
            <wp:docPr id="11" name="Picture 1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10;&#10;Description automatically generated"/>
                    <pic:cNvPicPr/>
                  </pic:nvPicPr>
                  <pic:blipFill>
                    <a:blip r:embed="rId70"/>
                    <a:stretch>
                      <a:fillRect/>
                    </a:stretch>
                  </pic:blipFill>
                  <pic:spPr>
                    <a:xfrm>
                      <a:off x="0" y="0"/>
                      <a:ext cx="5375440" cy="3604875"/>
                    </a:xfrm>
                    <a:prstGeom prst="rect">
                      <a:avLst/>
                    </a:prstGeom>
                    <a:ln>
                      <a:solidFill>
                        <a:schemeClr val="accent1"/>
                      </a:solidFill>
                    </a:ln>
                  </pic:spPr>
                </pic:pic>
              </a:graphicData>
            </a:graphic>
          </wp:inline>
        </w:drawing>
      </w:r>
    </w:p>
    <w:p w14:paraId="35150C1E" w14:textId="3BC7FCE9" w:rsidR="0035213C" w:rsidRDefault="0035213C" w:rsidP="0035213C">
      <w:pPr>
        <w:pStyle w:val="Caption"/>
      </w:pPr>
      <w:bookmarkStart w:id="140" w:name="_Toc121265894"/>
      <w:r>
        <w:t xml:space="preserve">Figure </w:t>
      </w:r>
      <w:fldSimple w:instr=" SEQ Figure \* ARABIC ">
        <w:r w:rsidR="00955725">
          <w:rPr>
            <w:noProof/>
          </w:rPr>
          <w:t>51</w:t>
        </w:r>
      </w:fldSimple>
      <w:r>
        <w:t>: SOSAT Main Page</w:t>
      </w:r>
      <w:bookmarkEnd w:id="140"/>
    </w:p>
    <w:p w14:paraId="574416AD" w14:textId="6E0CABA2" w:rsidR="0035213C" w:rsidRDefault="0035213C" w:rsidP="0035213C">
      <w:pPr>
        <w:pStyle w:val="ListParagraph"/>
        <w:numPr>
          <w:ilvl w:val="0"/>
          <w:numId w:val="7"/>
        </w:numPr>
      </w:pPr>
      <w:r>
        <w:t>The next step is to click on enter parameters in the tab shown below to enter the required parameters as defined in chapter 2 of this report</w:t>
      </w:r>
    </w:p>
    <w:p w14:paraId="21A3F440" w14:textId="3B96CCD8" w:rsidR="0035213C" w:rsidRDefault="001A7B0B" w:rsidP="001A7B0B">
      <w:pPr>
        <w:pStyle w:val="ListParagraph"/>
        <w:keepNext/>
        <w:jc w:val="center"/>
      </w:pPr>
      <w:r>
        <w:rPr>
          <w:noProof/>
        </w:rPr>
        <w:lastRenderedPageBreak/>
        <w:drawing>
          <wp:inline distT="0" distB="0" distL="0" distR="0" wp14:anchorId="233D5B47" wp14:editId="41B0DB9E">
            <wp:extent cx="5081190" cy="5526617"/>
            <wp:effectExtent l="19050" t="19050" r="5715" b="0"/>
            <wp:docPr id="28" name="Picture 2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10;&#10;Description automatically generated"/>
                    <pic:cNvPicPr/>
                  </pic:nvPicPr>
                  <pic:blipFill rotWithShape="1">
                    <a:blip r:embed="rId71"/>
                    <a:srcRect r="997"/>
                    <a:stretch/>
                  </pic:blipFill>
                  <pic:spPr bwMode="auto">
                    <a:xfrm>
                      <a:off x="0" y="0"/>
                      <a:ext cx="5089344" cy="5535486"/>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77215C03" w14:textId="348B7772" w:rsidR="0035213C" w:rsidRDefault="0035213C" w:rsidP="0035213C">
      <w:pPr>
        <w:pStyle w:val="Caption"/>
      </w:pPr>
      <w:bookmarkStart w:id="141" w:name="_Toc121265895"/>
      <w:r>
        <w:t xml:space="preserve">Figure </w:t>
      </w:r>
      <w:fldSimple w:instr=" SEQ Figure \* ARABIC ">
        <w:r w:rsidR="00955725">
          <w:rPr>
            <w:noProof/>
          </w:rPr>
          <w:t>52</w:t>
        </w:r>
      </w:fldSimple>
      <w:r>
        <w:t>: Enter Parameters in SOSAT</w:t>
      </w:r>
      <w:bookmarkEnd w:id="141"/>
    </w:p>
    <w:p w14:paraId="7F540C09" w14:textId="02FAF326" w:rsidR="0035213C" w:rsidRDefault="0035213C" w:rsidP="0035213C">
      <w:pPr>
        <w:pStyle w:val="ListParagraph"/>
        <w:numPr>
          <w:ilvl w:val="0"/>
          <w:numId w:val="7"/>
        </w:numPr>
      </w:pPr>
      <w:r>
        <w:t>Enter the reservoir properties, regional stress information, stress measurement information and the calculate and plot</w:t>
      </w:r>
    </w:p>
    <w:p w14:paraId="704EB1F9" w14:textId="49E4AD19" w:rsidR="00447392" w:rsidRDefault="00447392" w:rsidP="0035213C">
      <w:pPr>
        <w:pStyle w:val="ListParagraph"/>
        <w:numPr>
          <w:ilvl w:val="0"/>
          <w:numId w:val="7"/>
        </w:numPr>
      </w:pPr>
      <w:r>
        <w:t xml:space="preserve">In the calculation and plot tab, don’t forget to specify the directory where the plots would be stored </w:t>
      </w:r>
      <w:r w:rsidR="001A7B0B">
        <w:t>as shown</w:t>
      </w:r>
      <w:r>
        <w:t xml:space="preserve"> below.</w:t>
      </w:r>
    </w:p>
    <w:p w14:paraId="64D17152" w14:textId="074CB11C" w:rsidR="001A7B0B" w:rsidRDefault="001A7B0B" w:rsidP="001A7B0B">
      <w:pPr>
        <w:pStyle w:val="ListParagraph"/>
      </w:pPr>
      <w:r>
        <w:rPr>
          <w:noProof/>
        </w:rPr>
        <w:lastRenderedPageBreak/>
        <w:drawing>
          <wp:inline distT="0" distB="0" distL="0" distR="0" wp14:anchorId="243340BC" wp14:editId="4222F8A2">
            <wp:extent cx="5438832" cy="5856817"/>
            <wp:effectExtent l="19050" t="19050" r="0" b="0"/>
            <wp:docPr id="29" name="Picture 2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text, application&#10;&#10;Description automatically generated"/>
                    <pic:cNvPicPr/>
                  </pic:nvPicPr>
                  <pic:blipFill rotWithShape="1">
                    <a:blip r:embed="rId72"/>
                    <a:srcRect t="755" b="1"/>
                    <a:stretch/>
                  </pic:blipFill>
                  <pic:spPr bwMode="auto">
                    <a:xfrm>
                      <a:off x="0" y="0"/>
                      <a:ext cx="5442796" cy="5861086"/>
                    </a:xfrm>
                    <a:prstGeom prst="rect">
                      <a:avLst/>
                    </a:prstGeom>
                    <a:ln w="9525" cap="flat" cmpd="sng" algn="ctr">
                      <a:solidFill>
                        <a:srgbClr val="4472C4"/>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70EE72F" w14:textId="111EC25A" w:rsidR="00447392" w:rsidRDefault="00447392" w:rsidP="00447392">
      <w:pPr>
        <w:pStyle w:val="Caption"/>
      </w:pPr>
      <w:bookmarkStart w:id="142" w:name="_Toc121265896"/>
      <w:r>
        <w:t xml:space="preserve">Figure </w:t>
      </w:r>
      <w:fldSimple w:instr=" SEQ Figure \* ARABIC ">
        <w:r w:rsidR="00955725">
          <w:rPr>
            <w:noProof/>
          </w:rPr>
          <w:t>53</w:t>
        </w:r>
      </w:fldSimple>
      <w:r>
        <w:t>: Including file directory</w:t>
      </w:r>
      <w:bookmarkEnd w:id="142"/>
    </w:p>
    <w:p w14:paraId="38A4BD4A" w14:textId="65767BB4" w:rsidR="00447392" w:rsidRDefault="00447392" w:rsidP="00447392">
      <w:pPr>
        <w:pStyle w:val="ListParagraph"/>
        <w:numPr>
          <w:ilvl w:val="0"/>
          <w:numId w:val="8"/>
        </w:numPr>
      </w:pPr>
      <w:r>
        <w:t>After clicking save, you would be directed to the Min Page where you click generate and this would launch the analysis routine as shown below</w:t>
      </w:r>
    </w:p>
    <w:p w14:paraId="27780C5D" w14:textId="37BE00DD" w:rsidR="00447392" w:rsidRDefault="003B29AD" w:rsidP="00447392">
      <w:pPr>
        <w:pStyle w:val="Caption"/>
        <w:keepNext/>
      </w:pPr>
      <w:r>
        <w:rPr>
          <w:noProof/>
        </w:rPr>
        <w:lastRenderedPageBreak/>
        <w:drawing>
          <wp:inline distT="0" distB="0" distL="0" distR="0" wp14:anchorId="0F33EEFC" wp14:editId="13B4143A">
            <wp:extent cx="5943600" cy="4689475"/>
            <wp:effectExtent l="19050" t="19050" r="0" b="0"/>
            <wp:docPr id="35" name="Picture 3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ext&#10;&#10;Description automatically generated"/>
                    <pic:cNvPicPr/>
                  </pic:nvPicPr>
                  <pic:blipFill>
                    <a:blip r:embed="rId73"/>
                    <a:stretch>
                      <a:fillRect/>
                    </a:stretch>
                  </pic:blipFill>
                  <pic:spPr>
                    <a:xfrm>
                      <a:off x="0" y="0"/>
                      <a:ext cx="5943600" cy="4689475"/>
                    </a:xfrm>
                    <a:prstGeom prst="rect">
                      <a:avLst/>
                    </a:prstGeom>
                    <a:ln>
                      <a:solidFill>
                        <a:schemeClr val="accent1"/>
                      </a:solidFill>
                    </a:ln>
                  </pic:spPr>
                </pic:pic>
              </a:graphicData>
            </a:graphic>
          </wp:inline>
        </w:drawing>
      </w:r>
    </w:p>
    <w:p w14:paraId="0D748574" w14:textId="1DEEAA1F" w:rsidR="00447392" w:rsidRDefault="00447392" w:rsidP="00447392">
      <w:pPr>
        <w:pStyle w:val="Caption"/>
      </w:pPr>
      <w:bookmarkStart w:id="143" w:name="_Toc121265897"/>
      <w:r>
        <w:t xml:space="preserve">Figure </w:t>
      </w:r>
      <w:fldSimple w:instr=" SEQ Figure \* ARABIC ">
        <w:r w:rsidR="00955725">
          <w:rPr>
            <w:noProof/>
          </w:rPr>
          <w:t>54</w:t>
        </w:r>
      </w:fldSimple>
      <w:r>
        <w:t xml:space="preserve">: </w:t>
      </w:r>
      <w:r w:rsidRPr="001C1DEC">
        <w:t>Running analysis</w:t>
      </w:r>
      <w:bookmarkEnd w:id="143"/>
    </w:p>
    <w:p w14:paraId="17A81195" w14:textId="77777777" w:rsidR="00447392" w:rsidRPr="0035213C" w:rsidRDefault="00447392" w:rsidP="00447392">
      <w:pPr>
        <w:pStyle w:val="ListParagraph"/>
      </w:pPr>
    </w:p>
    <w:p w14:paraId="100E6CB8" w14:textId="31FD76E9" w:rsidR="0035213C" w:rsidRDefault="0035213C" w:rsidP="0035213C">
      <w:pPr>
        <w:pStyle w:val="ListParagraph"/>
        <w:rPr>
          <w:rFonts w:ascii="TimesNewRomanPSMT" w:hAnsi="TimesNewRomanPSMT" w:cs="TimesNewRomanPSMT"/>
          <w:szCs w:val="24"/>
        </w:rPr>
      </w:pPr>
    </w:p>
    <w:p w14:paraId="3A108661" w14:textId="7B249290" w:rsidR="00CD5B52" w:rsidRDefault="00CD5B52" w:rsidP="00CD5B52">
      <w:pPr>
        <w:pStyle w:val="ListParagraph"/>
        <w:rPr>
          <w:rFonts w:ascii="TimesNewRomanPSMT" w:hAnsi="TimesNewRomanPSMT" w:cs="TimesNewRomanPSMT"/>
          <w:szCs w:val="24"/>
        </w:rPr>
      </w:pPr>
    </w:p>
    <w:p w14:paraId="73C7F1AC" w14:textId="77777777" w:rsidR="00EA4E56" w:rsidRPr="00EA4E56" w:rsidRDefault="00EA4E56" w:rsidP="00EA4E56">
      <w:pPr>
        <w:pStyle w:val="ListParagraph"/>
        <w:rPr>
          <w:rFonts w:ascii="TimesNewRomanPSMT" w:hAnsi="TimesNewRomanPSMT" w:cs="TimesNewRomanPSMT"/>
          <w:color w:val="0000FF"/>
          <w:szCs w:val="24"/>
        </w:rPr>
      </w:pPr>
    </w:p>
    <w:p w14:paraId="1FFE25E5" w14:textId="77777777" w:rsidR="00EA4E56" w:rsidRDefault="00EA4E56" w:rsidP="00EA4E56"/>
    <w:p w14:paraId="3E2B249D" w14:textId="77777777" w:rsidR="00EA4E56" w:rsidRDefault="00EA4E56" w:rsidP="00EA4E56"/>
    <w:p w14:paraId="21BEFD38" w14:textId="77777777" w:rsidR="00EA4E56" w:rsidRPr="00EA4E56" w:rsidRDefault="00EA4E56" w:rsidP="00EA4E56"/>
    <w:sectPr w:rsidR="00EA4E56" w:rsidRPr="00EA4E56" w:rsidSect="00E215EC">
      <w:footerReference w:type="first" r:id="rId7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80914" w14:textId="77777777" w:rsidR="00F05CCE" w:rsidRDefault="00F05CCE" w:rsidP="00EB617E">
      <w:pPr>
        <w:spacing w:after="0" w:line="240" w:lineRule="auto"/>
      </w:pPr>
      <w:r>
        <w:separator/>
      </w:r>
    </w:p>
  </w:endnote>
  <w:endnote w:type="continuationSeparator" w:id="0">
    <w:p w14:paraId="7B16C36C" w14:textId="77777777" w:rsidR="00F05CCE" w:rsidRDefault="00F05CCE" w:rsidP="00EB617E">
      <w:pPr>
        <w:spacing w:after="0" w:line="240" w:lineRule="auto"/>
      </w:pPr>
      <w:r>
        <w:continuationSeparator/>
      </w:r>
    </w:p>
  </w:endnote>
  <w:endnote w:type="continuationNotice" w:id="1">
    <w:p w14:paraId="36C78832" w14:textId="77777777" w:rsidR="00F05CCE" w:rsidRDefault="00F05C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1622614"/>
      <w:docPartObj>
        <w:docPartGallery w:val="Page Numbers (Bottom of Page)"/>
        <w:docPartUnique/>
      </w:docPartObj>
    </w:sdtPr>
    <w:sdtEndPr>
      <w:rPr>
        <w:noProof/>
      </w:rPr>
    </w:sdtEndPr>
    <w:sdtContent>
      <w:p w14:paraId="384EC93D" w14:textId="343EBCE8" w:rsidR="008670C9" w:rsidRDefault="00000000">
        <w:pPr>
          <w:pStyle w:val="Footer"/>
          <w:jc w:val="center"/>
        </w:pPr>
      </w:p>
    </w:sdtContent>
  </w:sdt>
  <w:p w14:paraId="1A3CE80C" w14:textId="5C1EC6B9" w:rsidR="00EB617E" w:rsidRDefault="00EB617E" w:rsidP="00564161">
    <w:pPr>
      <w:pStyle w:val="Footer"/>
      <w:tabs>
        <w:tab w:val="clear" w:pos="4680"/>
        <w:tab w:val="clear" w:pos="9360"/>
        <w:tab w:val="left" w:pos="555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4BD64" w14:textId="3216C77F" w:rsidR="00564161" w:rsidRDefault="00564161" w:rsidP="00564161">
    <w:pPr>
      <w:pStyle w:val="Footer"/>
    </w:pPr>
  </w:p>
  <w:p w14:paraId="185CFDD9" w14:textId="77777777" w:rsidR="00564161" w:rsidRDefault="005641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493184"/>
      <w:docPartObj>
        <w:docPartGallery w:val="Page Numbers (Bottom of Page)"/>
        <w:docPartUnique/>
      </w:docPartObj>
    </w:sdtPr>
    <w:sdtEndPr>
      <w:rPr>
        <w:noProof/>
      </w:rPr>
    </w:sdtEndPr>
    <w:sdtContent>
      <w:p w14:paraId="52C895CD" w14:textId="77777777" w:rsidR="008670C9" w:rsidRDefault="008670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27C1B2" w14:textId="77777777" w:rsidR="008670C9" w:rsidRDefault="008670C9" w:rsidP="00564161">
    <w:pPr>
      <w:pStyle w:val="Footer"/>
      <w:tabs>
        <w:tab w:val="clear" w:pos="4680"/>
        <w:tab w:val="clear" w:pos="9360"/>
        <w:tab w:val="left" w:pos="5558"/>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821196"/>
      <w:docPartObj>
        <w:docPartGallery w:val="Page Numbers (Bottom of Page)"/>
        <w:docPartUnique/>
      </w:docPartObj>
    </w:sdtPr>
    <w:sdtEndPr>
      <w:rPr>
        <w:noProof/>
      </w:rPr>
    </w:sdtEndPr>
    <w:sdtContent>
      <w:p w14:paraId="5BC8F5D1" w14:textId="3D44782C" w:rsidR="00E215EC" w:rsidRDefault="00E215EC" w:rsidP="00E215E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48F480" w14:textId="77777777" w:rsidR="00E215EC" w:rsidRDefault="00E215E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3876" w14:textId="5BF7E468" w:rsidR="00E215EC" w:rsidRDefault="00E215EC" w:rsidP="00E215EC">
    <w:pPr>
      <w:pStyle w:val="Footer"/>
      <w:jc w:val="center"/>
    </w:pPr>
    <w:r>
      <w:t>1</w:t>
    </w:r>
  </w:p>
  <w:p w14:paraId="53EBF682" w14:textId="77777777" w:rsidR="00E215EC" w:rsidRDefault="00E215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B7D8C" w14:textId="77777777" w:rsidR="00F05CCE" w:rsidRDefault="00F05CCE" w:rsidP="00EB617E">
      <w:pPr>
        <w:spacing w:after="0" w:line="240" w:lineRule="auto"/>
      </w:pPr>
      <w:r>
        <w:separator/>
      </w:r>
    </w:p>
  </w:footnote>
  <w:footnote w:type="continuationSeparator" w:id="0">
    <w:p w14:paraId="6CCD1736" w14:textId="77777777" w:rsidR="00F05CCE" w:rsidRDefault="00F05CCE" w:rsidP="00EB617E">
      <w:pPr>
        <w:spacing w:after="0" w:line="240" w:lineRule="auto"/>
      </w:pPr>
      <w:r>
        <w:continuationSeparator/>
      </w:r>
    </w:p>
  </w:footnote>
  <w:footnote w:type="continuationNotice" w:id="1">
    <w:p w14:paraId="1036CE17" w14:textId="77777777" w:rsidR="00F05CCE" w:rsidRDefault="00F05CC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8276B"/>
    <w:multiLevelType w:val="multilevel"/>
    <w:tmpl w:val="791A3A0E"/>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82E5628"/>
    <w:multiLevelType w:val="hybridMultilevel"/>
    <w:tmpl w:val="E9BA3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6B6EA4"/>
    <w:multiLevelType w:val="hybridMultilevel"/>
    <w:tmpl w:val="9A483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404758"/>
    <w:multiLevelType w:val="hybridMultilevel"/>
    <w:tmpl w:val="A24A7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1276DD"/>
    <w:multiLevelType w:val="multilevel"/>
    <w:tmpl w:val="B2F4E38C"/>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15904C1"/>
    <w:multiLevelType w:val="hybridMultilevel"/>
    <w:tmpl w:val="4516E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FA0FA0"/>
    <w:multiLevelType w:val="hybridMultilevel"/>
    <w:tmpl w:val="32E61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E07356"/>
    <w:multiLevelType w:val="hybridMultilevel"/>
    <w:tmpl w:val="EB5A7D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D2E0981"/>
    <w:multiLevelType w:val="hybridMultilevel"/>
    <w:tmpl w:val="46B02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C6163D"/>
    <w:multiLevelType w:val="hybridMultilevel"/>
    <w:tmpl w:val="101EB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E6653E"/>
    <w:multiLevelType w:val="hybridMultilevel"/>
    <w:tmpl w:val="8CE6F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EB268E"/>
    <w:multiLevelType w:val="hybridMultilevel"/>
    <w:tmpl w:val="7CCC1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5202950">
    <w:abstractNumId w:val="9"/>
  </w:num>
  <w:num w:numId="2" w16cid:durableId="1762408256">
    <w:abstractNumId w:val="5"/>
  </w:num>
  <w:num w:numId="3" w16cid:durableId="1603030440">
    <w:abstractNumId w:val="10"/>
  </w:num>
  <w:num w:numId="4" w16cid:durableId="1195385369">
    <w:abstractNumId w:val="6"/>
  </w:num>
  <w:num w:numId="5" w16cid:durableId="1931427774">
    <w:abstractNumId w:val="3"/>
  </w:num>
  <w:num w:numId="6" w16cid:durableId="1987590500">
    <w:abstractNumId w:val="11"/>
  </w:num>
  <w:num w:numId="7" w16cid:durableId="1445462870">
    <w:abstractNumId w:val="2"/>
  </w:num>
  <w:num w:numId="8" w16cid:durableId="2077974646">
    <w:abstractNumId w:val="7"/>
  </w:num>
  <w:num w:numId="9" w16cid:durableId="851186999">
    <w:abstractNumId w:val="1"/>
  </w:num>
  <w:num w:numId="10" w16cid:durableId="579218381">
    <w:abstractNumId w:val="0"/>
  </w:num>
  <w:num w:numId="11" w16cid:durableId="2118793588">
    <w:abstractNumId w:val="4"/>
  </w:num>
  <w:num w:numId="12" w16cid:durableId="563239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defaultTabStop w:val="720"/>
  <w:characterSpacingControl w:val="doNotCompress"/>
  <w:hdrShapeDefaults>
    <o:shapedefaults v:ext="edit" spidmax="2058">
      <o:colormru v:ext="edit" colors="#ff5050"/>
    </o:shapedefaults>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253BD1"/>
    <w:rsid w:val="00000A09"/>
    <w:rsid w:val="00001142"/>
    <w:rsid w:val="00006CB2"/>
    <w:rsid w:val="00007254"/>
    <w:rsid w:val="00012039"/>
    <w:rsid w:val="00022817"/>
    <w:rsid w:val="0002528D"/>
    <w:rsid w:val="00025474"/>
    <w:rsid w:val="00027B91"/>
    <w:rsid w:val="000327D4"/>
    <w:rsid w:val="00036A8E"/>
    <w:rsid w:val="0005536C"/>
    <w:rsid w:val="0006661F"/>
    <w:rsid w:val="00066DA9"/>
    <w:rsid w:val="00077B86"/>
    <w:rsid w:val="0008209D"/>
    <w:rsid w:val="000A73A3"/>
    <w:rsid w:val="000B4B3F"/>
    <w:rsid w:val="000D1E12"/>
    <w:rsid w:val="000E4BB0"/>
    <w:rsid w:val="000F2134"/>
    <w:rsid w:val="000F6143"/>
    <w:rsid w:val="0010061D"/>
    <w:rsid w:val="001052D1"/>
    <w:rsid w:val="00107E28"/>
    <w:rsid w:val="00122AC1"/>
    <w:rsid w:val="00122C80"/>
    <w:rsid w:val="00125F2D"/>
    <w:rsid w:val="00126A13"/>
    <w:rsid w:val="001340E6"/>
    <w:rsid w:val="00136BEC"/>
    <w:rsid w:val="00136C8D"/>
    <w:rsid w:val="001370CA"/>
    <w:rsid w:val="00140916"/>
    <w:rsid w:val="00152112"/>
    <w:rsid w:val="00153641"/>
    <w:rsid w:val="0016006C"/>
    <w:rsid w:val="00161B6E"/>
    <w:rsid w:val="00166792"/>
    <w:rsid w:val="00177951"/>
    <w:rsid w:val="0019400C"/>
    <w:rsid w:val="001A3635"/>
    <w:rsid w:val="001A7B0B"/>
    <w:rsid w:val="001D6F0E"/>
    <w:rsid w:val="001E1338"/>
    <w:rsid w:val="001E13CC"/>
    <w:rsid w:val="001E6558"/>
    <w:rsid w:val="001E6D59"/>
    <w:rsid w:val="001F1655"/>
    <w:rsid w:val="001F6A73"/>
    <w:rsid w:val="00213BF9"/>
    <w:rsid w:val="00214C54"/>
    <w:rsid w:val="00215AC8"/>
    <w:rsid w:val="00223AFC"/>
    <w:rsid w:val="00233410"/>
    <w:rsid w:val="00235518"/>
    <w:rsid w:val="0023596B"/>
    <w:rsid w:val="00253BD1"/>
    <w:rsid w:val="00255547"/>
    <w:rsid w:val="00261103"/>
    <w:rsid w:val="002639ED"/>
    <w:rsid w:val="0026453C"/>
    <w:rsid w:val="00266DC7"/>
    <w:rsid w:val="002716B2"/>
    <w:rsid w:val="00275D58"/>
    <w:rsid w:val="00276172"/>
    <w:rsid w:val="00293F13"/>
    <w:rsid w:val="002A08DB"/>
    <w:rsid w:val="002B4D2E"/>
    <w:rsid w:val="002C097C"/>
    <w:rsid w:val="002C1E4D"/>
    <w:rsid w:val="002D548F"/>
    <w:rsid w:val="002E073B"/>
    <w:rsid w:val="002E18FF"/>
    <w:rsid w:val="002E2F3A"/>
    <w:rsid w:val="002E6737"/>
    <w:rsid w:val="002F4AAF"/>
    <w:rsid w:val="00304577"/>
    <w:rsid w:val="003077E3"/>
    <w:rsid w:val="0031585B"/>
    <w:rsid w:val="00320F50"/>
    <w:rsid w:val="00323CEB"/>
    <w:rsid w:val="0032667E"/>
    <w:rsid w:val="00334264"/>
    <w:rsid w:val="00351CD0"/>
    <w:rsid w:val="0035213C"/>
    <w:rsid w:val="00356787"/>
    <w:rsid w:val="00364EAE"/>
    <w:rsid w:val="0037419B"/>
    <w:rsid w:val="003A7CA4"/>
    <w:rsid w:val="003B0AE9"/>
    <w:rsid w:val="003B29AD"/>
    <w:rsid w:val="003B3F35"/>
    <w:rsid w:val="003D6FFD"/>
    <w:rsid w:val="003E6468"/>
    <w:rsid w:val="0040098A"/>
    <w:rsid w:val="004108E9"/>
    <w:rsid w:val="00420853"/>
    <w:rsid w:val="0043086F"/>
    <w:rsid w:val="00431525"/>
    <w:rsid w:val="0043499B"/>
    <w:rsid w:val="00447392"/>
    <w:rsid w:val="00452583"/>
    <w:rsid w:val="004561D9"/>
    <w:rsid w:val="00456F18"/>
    <w:rsid w:val="00460750"/>
    <w:rsid w:val="004729EB"/>
    <w:rsid w:val="004864BC"/>
    <w:rsid w:val="004A4402"/>
    <w:rsid w:val="004B1E8C"/>
    <w:rsid w:val="004B3D4C"/>
    <w:rsid w:val="004B4996"/>
    <w:rsid w:val="004B77E6"/>
    <w:rsid w:val="004E29BD"/>
    <w:rsid w:val="004E6DF0"/>
    <w:rsid w:val="004F11A5"/>
    <w:rsid w:val="004F752E"/>
    <w:rsid w:val="00501EFA"/>
    <w:rsid w:val="00511B27"/>
    <w:rsid w:val="00512334"/>
    <w:rsid w:val="00514171"/>
    <w:rsid w:val="005150B4"/>
    <w:rsid w:val="005305B2"/>
    <w:rsid w:val="00536395"/>
    <w:rsid w:val="005431E2"/>
    <w:rsid w:val="00544FCD"/>
    <w:rsid w:val="00545FC8"/>
    <w:rsid w:val="00547D7E"/>
    <w:rsid w:val="005527FE"/>
    <w:rsid w:val="00564161"/>
    <w:rsid w:val="005827C2"/>
    <w:rsid w:val="00584F0D"/>
    <w:rsid w:val="00590C1E"/>
    <w:rsid w:val="005A3AB0"/>
    <w:rsid w:val="005B228E"/>
    <w:rsid w:val="005B42C2"/>
    <w:rsid w:val="005B52D1"/>
    <w:rsid w:val="005B7737"/>
    <w:rsid w:val="005E6FC5"/>
    <w:rsid w:val="005F3149"/>
    <w:rsid w:val="005F3A60"/>
    <w:rsid w:val="00600355"/>
    <w:rsid w:val="00607EF6"/>
    <w:rsid w:val="006110C8"/>
    <w:rsid w:val="00630869"/>
    <w:rsid w:val="00640837"/>
    <w:rsid w:val="006500CB"/>
    <w:rsid w:val="00653B03"/>
    <w:rsid w:val="006551B7"/>
    <w:rsid w:val="00656B4A"/>
    <w:rsid w:val="00657D0D"/>
    <w:rsid w:val="00664BD6"/>
    <w:rsid w:val="00667E5F"/>
    <w:rsid w:val="0067770F"/>
    <w:rsid w:val="006857CF"/>
    <w:rsid w:val="00685D89"/>
    <w:rsid w:val="0068611A"/>
    <w:rsid w:val="0069299F"/>
    <w:rsid w:val="00693B7A"/>
    <w:rsid w:val="006A0ACF"/>
    <w:rsid w:val="006A410E"/>
    <w:rsid w:val="006A5693"/>
    <w:rsid w:val="006B7C51"/>
    <w:rsid w:val="006E38E6"/>
    <w:rsid w:val="006E673D"/>
    <w:rsid w:val="006E7B7C"/>
    <w:rsid w:val="006F1720"/>
    <w:rsid w:val="0070253A"/>
    <w:rsid w:val="00707420"/>
    <w:rsid w:val="00711405"/>
    <w:rsid w:val="00716A15"/>
    <w:rsid w:val="00721164"/>
    <w:rsid w:val="0072688C"/>
    <w:rsid w:val="00727149"/>
    <w:rsid w:val="0073478A"/>
    <w:rsid w:val="00742392"/>
    <w:rsid w:val="00742B73"/>
    <w:rsid w:val="00753494"/>
    <w:rsid w:val="007543BA"/>
    <w:rsid w:val="007557F9"/>
    <w:rsid w:val="00755D02"/>
    <w:rsid w:val="007567D7"/>
    <w:rsid w:val="0076478D"/>
    <w:rsid w:val="00764E63"/>
    <w:rsid w:val="00766A7A"/>
    <w:rsid w:val="00782142"/>
    <w:rsid w:val="00790CA9"/>
    <w:rsid w:val="007A0A93"/>
    <w:rsid w:val="007A2054"/>
    <w:rsid w:val="007A399A"/>
    <w:rsid w:val="007A3DFB"/>
    <w:rsid w:val="007B75FE"/>
    <w:rsid w:val="007C26E8"/>
    <w:rsid w:val="007E362E"/>
    <w:rsid w:val="007E390A"/>
    <w:rsid w:val="007E4C0F"/>
    <w:rsid w:val="007F7706"/>
    <w:rsid w:val="00800C86"/>
    <w:rsid w:val="00811353"/>
    <w:rsid w:val="00813908"/>
    <w:rsid w:val="0081514A"/>
    <w:rsid w:val="00827A8D"/>
    <w:rsid w:val="00835EB9"/>
    <w:rsid w:val="008443FC"/>
    <w:rsid w:val="00850D0F"/>
    <w:rsid w:val="0085798A"/>
    <w:rsid w:val="00857CE0"/>
    <w:rsid w:val="008661A6"/>
    <w:rsid w:val="008670C9"/>
    <w:rsid w:val="00873B5F"/>
    <w:rsid w:val="00885377"/>
    <w:rsid w:val="00896C8C"/>
    <w:rsid w:val="00896CDF"/>
    <w:rsid w:val="008A4360"/>
    <w:rsid w:val="008A67EE"/>
    <w:rsid w:val="008B03EF"/>
    <w:rsid w:val="008C5F2A"/>
    <w:rsid w:val="008C7EF6"/>
    <w:rsid w:val="008D0C75"/>
    <w:rsid w:val="008D3E8B"/>
    <w:rsid w:val="008D6E8C"/>
    <w:rsid w:val="008E3094"/>
    <w:rsid w:val="008E4E6D"/>
    <w:rsid w:val="008E60A5"/>
    <w:rsid w:val="008F09D6"/>
    <w:rsid w:val="008F4D99"/>
    <w:rsid w:val="008F697A"/>
    <w:rsid w:val="008F6B7F"/>
    <w:rsid w:val="008F6F51"/>
    <w:rsid w:val="00904891"/>
    <w:rsid w:val="00912AEA"/>
    <w:rsid w:val="00913DCF"/>
    <w:rsid w:val="00916321"/>
    <w:rsid w:val="00932B0C"/>
    <w:rsid w:val="009358E1"/>
    <w:rsid w:val="00941244"/>
    <w:rsid w:val="0094353B"/>
    <w:rsid w:val="00955725"/>
    <w:rsid w:val="00963653"/>
    <w:rsid w:val="00967F0F"/>
    <w:rsid w:val="00971470"/>
    <w:rsid w:val="00981B60"/>
    <w:rsid w:val="009962A4"/>
    <w:rsid w:val="00996821"/>
    <w:rsid w:val="009A20F8"/>
    <w:rsid w:val="009A72C5"/>
    <w:rsid w:val="009B16CE"/>
    <w:rsid w:val="009C0FCB"/>
    <w:rsid w:val="009D1F21"/>
    <w:rsid w:val="009D4E78"/>
    <w:rsid w:val="009E3406"/>
    <w:rsid w:val="009E45B6"/>
    <w:rsid w:val="009E7550"/>
    <w:rsid w:val="009F2CF1"/>
    <w:rsid w:val="009F336B"/>
    <w:rsid w:val="009F6F03"/>
    <w:rsid w:val="00A31AF7"/>
    <w:rsid w:val="00A33AD9"/>
    <w:rsid w:val="00A3698B"/>
    <w:rsid w:val="00A45A49"/>
    <w:rsid w:val="00A50168"/>
    <w:rsid w:val="00A60F05"/>
    <w:rsid w:val="00A6152D"/>
    <w:rsid w:val="00A728A9"/>
    <w:rsid w:val="00A75E00"/>
    <w:rsid w:val="00A9020A"/>
    <w:rsid w:val="00AA1842"/>
    <w:rsid w:val="00AB2AE4"/>
    <w:rsid w:val="00AB3369"/>
    <w:rsid w:val="00AB42A1"/>
    <w:rsid w:val="00AB4395"/>
    <w:rsid w:val="00AC60FA"/>
    <w:rsid w:val="00AE5FCB"/>
    <w:rsid w:val="00AF1ACC"/>
    <w:rsid w:val="00B00362"/>
    <w:rsid w:val="00B07616"/>
    <w:rsid w:val="00B17349"/>
    <w:rsid w:val="00B27BDB"/>
    <w:rsid w:val="00B31DAF"/>
    <w:rsid w:val="00B32A6A"/>
    <w:rsid w:val="00B32C58"/>
    <w:rsid w:val="00B33F4F"/>
    <w:rsid w:val="00B36477"/>
    <w:rsid w:val="00B407A7"/>
    <w:rsid w:val="00B41025"/>
    <w:rsid w:val="00B5056F"/>
    <w:rsid w:val="00B509DA"/>
    <w:rsid w:val="00B552D4"/>
    <w:rsid w:val="00B57E2A"/>
    <w:rsid w:val="00B60750"/>
    <w:rsid w:val="00B61678"/>
    <w:rsid w:val="00B703A0"/>
    <w:rsid w:val="00B80630"/>
    <w:rsid w:val="00B93BAB"/>
    <w:rsid w:val="00B950D3"/>
    <w:rsid w:val="00BA2C49"/>
    <w:rsid w:val="00BB0483"/>
    <w:rsid w:val="00BB3204"/>
    <w:rsid w:val="00BB67A7"/>
    <w:rsid w:val="00BC1557"/>
    <w:rsid w:val="00BC740A"/>
    <w:rsid w:val="00BD112B"/>
    <w:rsid w:val="00BD67B6"/>
    <w:rsid w:val="00BE0907"/>
    <w:rsid w:val="00BF0A0E"/>
    <w:rsid w:val="00BF1DC5"/>
    <w:rsid w:val="00BF3454"/>
    <w:rsid w:val="00BF69A4"/>
    <w:rsid w:val="00BF78ED"/>
    <w:rsid w:val="00C0628A"/>
    <w:rsid w:val="00C14728"/>
    <w:rsid w:val="00C21BED"/>
    <w:rsid w:val="00C21C6B"/>
    <w:rsid w:val="00C258BE"/>
    <w:rsid w:val="00C31E40"/>
    <w:rsid w:val="00C33C26"/>
    <w:rsid w:val="00C410AF"/>
    <w:rsid w:val="00C43CD6"/>
    <w:rsid w:val="00C45B66"/>
    <w:rsid w:val="00C5454E"/>
    <w:rsid w:val="00C54B0A"/>
    <w:rsid w:val="00C568F2"/>
    <w:rsid w:val="00C60764"/>
    <w:rsid w:val="00C63186"/>
    <w:rsid w:val="00C66696"/>
    <w:rsid w:val="00C8062F"/>
    <w:rsid w:val="00C83C6A"/>
    <w:rsid w:val="00C84822"/>
    <w:rsid w:val="00C87979"/>
    <w:rsid w:val="00C92D2F"/>
    <w:rsid w:val="00C95EE8"/>
    <w:rsid w:val="00CA62CF"/>
    <w:rsid w:val="00CB2AFF"/>
    <w:rsid w:val="00CB740B"/>
    <w:rsid w:val="00CB7660"/>
    <w:rsid w:val="00CC1859"/>
    <w:rsid w:val="00CD5B52"/>
    <w:rsid w:val="00CF4148"/>
    <w:rsid w:val="00D05578"/>
    <w:rsid w:val="00D1289A"/>
    <w:rsid w:val="00D179BB"/>
    <w:rsid w:val="00D30F32"/>
    <w:rsid w:val="00D34419"/>
    <w:rsid w:val="00D4675B"/>
    <w:rsid w:val="00D46A0B"/>
    <w:rsid w:val="00D51309"/>
    <w:rsid w:val="00D57EA6"/>
    <w:rsid w:val="00D60B4B"/>
    <w:rsid w:val="00D63E90"/>
    <w:rsid w:val="00D71F00"/>
    <w:rsid w:val="00D91902"/>
    <w:rsid w:val="00DA1C17"/>
    <w:rsid w:val="00DB3DFF"/>
    <w:rsid w:val="00DC6C25"/>
    <w:rsid w:val="00DC7618"/>
    <w:rsid w:val="00DD5286"/>
    <w:rsid w:val="00DD6F85"/>
    <w:rsid w:val="00DE3D6A"/>
    <w:rsid w:val="00DE7C5B"/>
    <w:rsid w:val="00DF2B9C"/>
    <w:rsid w:val="00DF4C57"/>
    <w:rsid w:val="00DF7ACD"/>
    <w:rsid w:val="00E075AF"/>
    <w:rsid w:val="00E11609"/>
    <w:rsid w:val="00E15529"/>
    <w:rsid w:val="00E17015"/>
    <w:rsid w:val="00E215EC"/>
    <w:rsid w:val="00E21D36"/>
    <w:rsid w:val="00E245D3"/>
    <w:rsid w:val="00E24D31"/>
    <w:rsid w:val="00E26953"/>
    <w:rsid w:val="00E4063E"/>
    <w:rsid w:val="00E467CD"/>
    <w:rsid w:val="00E5595F"/>
    <w:rsid w:val="00E55C6F"/>
    <w:rsid w:val="00E5691D"/>
    <w:rsid w:val="00E56ED6"/>
    <w:rsid w:val="00E56EDB"/>
    <w:rsid w:val="00E70472"/>
    <w:rsid w:val="00E75B27"/>
    <w:rsid w:val="00E86F36"/>
    <w:rsid w:val="00E9007E"/>
    <w:rsid w:val="00E93003"/>
    <w:rsid w:val="00E9728A"/>
    <w:rsid w:val="00E97B43"/>
    <w:rsid w:val="00EA0B77"/>
    <w:rsid w:val="00EA4E56"/>
    <w:rsid w:val="00EA6080"/>
    <w:rsid w:val="00EA6B53"/>
    <w:rsid w:val="00EB617E"/>
    <w:rsid w:val="00EC1ECF"/>
    <w:rsid w:val="00EC2DA9"/>
    <w:rsid w:val="00EC4D54"/>
    <w:rsid w:val="00EC541C"/>
    <w:rsid w:val="00ED166D"/>
    <w:rsid w:val="00ED2CA7"/>
    <w:rsid w:val="00ED630C"/>
    <w:rsid w:val="00ED6DAA"/>
    <w:rsid w:val="00EE4D7E"/>
    <w:rsid w:val="00EF1B54"/>
    <w:rsid w:val="00EF1E07"/>
    <w:rsid w:val="00EF7AB2"/>
    <w:rsid w:val="00F0155B"/>
    <w:rsid w:val="00F05657"/>
    <w:rsid w:val="00F059FE"/>
    <w:rsid w:val="00F05CCE"/>
    <w:rsid w:val="00F05FCE"/>
    <w:rsid w:val="00F16896"/>
    <w:rsid w:val="00F16E22"/>
    <w:rsid w:val="00F22A5F"/>
    <w:rsid w:val="00F3474F"/>
    <w:rsid w:val="00F54216"/>
    <w:rsid w:val="00F55DBA"/>
    <w:rsid w:val="00F5662C"/>
    <w:rsid w:val="00F56A3A"/>
    <w:rsid w:val="00F7439A"/>
    <w:rsid w:val="00F80D94"/>
    <w:rsid w:val="00F832C7"/>
    <w:rsid w:val="00F83834"/>
    <w:rsid w:val="00F86E88"/>
    <w:rsid w:val="00F9279B"/>
    <w:rsid w:val="00F93B0A"/>
    <w:rsid w:val="00F957A3"/>
    <w:rsid w:val="00F95E65"/>
    <w:rsid w:val="00FA7034"/>
    <w:rsid w:val="00FA7036"/>
    <w:rsid w:val="00FA7558"/>
    <w:rsid w:val="00FB22E3"/>
    <w:rsid w:val="00FC13CC"/>
    <w:rsid w:val="00FD139D"/>
    <w:rsid w:val="00FD1985"/>
    <w:rsid w:val="00FE07D0"/>
    <w:rsid w:val="01C9AF34"/>
    <w:rsid w:val="0243A666"/>
    <w:rsid w:val="024544E3"/>
    <w:rsid w:val="0456E651"/>
    <w:rsid w:val="057B41D3"/>
    <w:rsid w:val="09FD0484"/>
    <w:rsid w:val="0AC11FF3"/>
    <w:rsid w:val="0C48CFD9"/>
    <w:rsid w:val="0DFB87B2"/>
    <w:rsid w:val="0F0E7272"/>
    <w:rsid w:val="104D94BF"/>
    <w:rsid w:val="12FBB480"/>
    <w:rsid w:val="1497A9BD"/>
    <w:rsid w:val="178E4CBB"/>
    <w:rsid w:val="17D8C8B1"/>
    <w:rsid w:val="18F622C4"/>
    <w:rsid w:val="1C4FF915"/>
    <w:rsid w:val="20E07FEF"/>
    <w:rsid w:val="210FD260"/>
    <w:rsid w:val="24DD298C"/>
    <w:rsid w:val="25E641DE"/>
    <w:rsid w:val="29B9ABA3"/>
    <w:rsid w:val="2B42B6FE"/>
    <w:rsid w:val="2BB3E1A2"/>
    <w:rsid w:val="2DA3C0EF"/>
    <w:rsid w:val="2DE784AC"/>
    <w:rsid w:val="2E56527E"/>
    <w:rsid w:val="2EA71D1B"/>
    <w:rsid w:val="2EEB8264"/>
    <w:rsid w:val="308752C5"/>
    <w:rsid w:val="357E7427"/>
    <w:rsid w:val="3582E8A8"/>
    <w:rsid w:val="3585A485"/>
    <w:rsid w:val="37DBAC1B"/>
    <w:rsid w:val="3AD4370D"/>
    <w:rsid w:val="3FD96F50"/>
    <w:rsid w:val="413F6460"/>
    <w:rsid w:val="4416678D"/>
    <w:rsid w:val="46FB9485"/>
    <w:rsid w:val="480B8B33"/>
    <w:rsid w:val="4A68F4A5"/>
    <w:rsid w:val="4A7FF6E4"/>
    <w:rsid w:val="4AE8C5F6"/>
    <w:rsid w:val="4BED663B"/>
    <w:rsid w:val="4CB1A851"/>
    <w:rsid w:val="4F326F62"/>
    <w:rsid w:val="4F74BCE4"/>
    <w:rsid w:val="4F9A7DC0"/>
    <w:rsid w:val="514F7F77"/>
    <w:rsid w:val="52E431C5"/>
    <w:rsid w:val="534CCC60"/>
    <w:rsid w:val="563331EC"/>
    <w:rsid w:val="57321F7A"/>
    <w:rsid w:val="59AFD6F6"/>
    <w:rsid w:val="5AF07D9A"/>
    <w:rsid w:val="5BA6573C"/>
    <w:rsid w:val="6468821B"/>
    <w:rsid w:val="64F312E0"/>
    <w:rsid w:val="662C700F"/>
    <w:rsid w:val="68126C48"/>
    <w:rsid w:val="68227777"/>
    <w:rsid w:val="686922D5"/>
    <w:rsid w:val="6986E744"/>
    <w:rsid w:val="6B4F7A41"/>
    <w:rsid w:val="6C3B941C"/>
    <w:rsid w:val="6C49DBE2"/>
    <w:rsid w:val="6E87349A"/>
    <w:rsid w:val="71114120"/>
    <w:rsid w:val="72813F00"/>
    <w:rsid w:val="75EDAF0F"/>
    <w:rsid w:val="77A3A75D"/>
    <w:rsid w:val="77B8CBBD"/>
    <w:rsid w:val="78532FB4"/>
    <w:rsid w:val="79A5C855"/>
    <w:rsid w:val="7DD69BCB"/>
    <w:rsid w:val="7DF5B8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8">
      <o:colormru v:ext="edit" colors="#ff5050"/>
    </o:shapedefaults>
    <o:shapelayout v:ext="edit">
      <o:idmap v:ext="edit" data="2"/>
    </o:shapelayout>
  </w:shapeDefaults>
  <w:decimalSymbol w:val="."/>
  <w:listSeparator w:val=","/>
  <w14:docId w14:val="576116EE"/>
  <w15:docId w15:val="{C688B0AE-6B18-4A2C-93F9-019398701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F21"/>
    <w:pPr>
      <w:spacing w:before="240" w:after="240"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4B4996"/>
    <w:pPr>
      <w:keepNext/>
      <w:keepLines/>
      <w:spacing w:before="480"/>
      <w:jc w:val="center"/>
      <w:outlineLvl w:val="0"/>
    </w:pPr>
    <w:rPr>
      <w:rFonts w:eastAsiaTheme="majorEastAsia" w:cstheme="majorBidi"/>
      <w:b/>
      <w:sz w:val="26"/>
      <w:szCs w:val="32"/>
    </w:rPr>
  </w:style>
  <w:style w:type="paragraph" w:styleId="Heading2">
    <w:name w:val="heading 2"/>
    <w:basedOn w:val="Normal"/>
    <w:next w:val="Normal"/>
    <w:link w:val="Heading2Char"/>
    <w:uiPriority w:val="9"/>
    <w:unhideWhenUsed/>
    <w:qFormat/>
    <w:rsid w:val="004B4996"/>
    <w:pPr>
      <w:keepNext/>
      <w:keepLines/>
      <w:spacing w:before="28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FD1985"/>
    <w:pPr>
      <w:keepNext/>
      <w:keepLines/>
      <w:spacing w:before="28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B439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4B4996"/>
    <w:rPr>
      <w:rFonts w:ascii="Times New Roman" w:eastAsiaTheme="majorEastAsia" w:hAnsi="Times New Roman" w:cstheme="majorBidi"/>
      <w:b/>
      <w:sz w:val="26"/>
      <w:szCs w:val="32"/>
    </w:rPr>
  </w:style>
  <w:style w:type="paragraph" w:styleId="Caption">
    <w:name w:val="caption"/>
    <w:basedOn w:val="Normal"/>
    <w:next w:val="Normal"/>
    <w:unhideWhenUsed/>
    <w:qFormat/>
    <w:rsid w:val="00CA62CF"/>
    <w:pPr>
      <w:spacing w:before="0" w:after="0" w:line="240" w:lineRule="auto"/>
      <w:jc w:val="center"/>
    </w:pPr>
    <w:rPr>
      <w:i/>
      <w:iCs/>
      <w:szCs w:val="18"/>
    </w:rPr>
  </w:style>
  <w:style w:type="paragraph" w:styleId="Bibliography">
    <w:name w:val="Bibliography"/>
    <w:basedOn w:val="Normal"/>
    <w:next w:val="Normal"/>
    <w:uiPriority w:val="37"/>
    <w:unhideWhenUsed/>
    <w:rsid w:val="002E6737"/>
  </w:style>
  <w:style w:type="paragraph" w:customStyle="1" w:styleId="Head1">
    <w:name w:val="Head1"/>
    <w:basedOn w:val="Normal"/>
    <w:next w:val="Normal"/>
    <w:rsid w:val="00B07616"/>
    <w:pPr>
      <w:keepNext/>
      <w:widowControl w:val="0"/>
      <w:suppressAutoHyphens/>
      <w:overflowPunct w:val="0"/>
      <w:autoSpaceDE w:val="0"/>
      <w:autoSpaceDN w:val="0"/>
      <w:adjustRightInd w:val="0"/>
      <w:spacing w:after="0" w:line="240" w:lineRule="auto"/>
      <w:ind w:firstLine="288"/>
      <w:textAlignment w:val="baseline"/>
    </w:pPr>
    <w:rPr>
      <w:rFonts w:ascii="Arial" w:eastAsia="SimSun" w:hAnsi="Arial" w:cs="Times New Roman"/>
      <w:b/>
      <w:sz w:val="28"/>
      <w:szCs w:val="20"/>
    </w:rPr>
  </w:style>
  <w:style w:type="character" w:customStyle="1" w:styleId="Heading2Char">
    <w:name w:val="Heading 2 Char"/>
    <w:basedOn w:val="DefaultParagraphFont"/>
    <w:link w:val="Heading2"/>
    <w:uiPriority w:val="9"/>
    <w:rsid w:val="004B4996"/>
    <w:rPr>
      <w:rFonts w:ascii="Times New Roman" w:eastAsiaTheme="majorEastAsia" w:hAnsi="Times New Roman" w:cstheme="majorBidi"/>
      <w:b/>
      <w:sz w:val="26"/>
      <w:szCs w:val="26"/>
    </w:rPr>
  </w:style>
  <w:style w:type="paragraph" w:styleId="ListParagraph">
    <w:name w:val="List Paragraph"/>
    <w:basedOn w:val="Normal"/>
    <w:uiPriority w:val="34"/>
    <w:qFormat/>
    <w:rsid w:val="004B4996"/>
    <w:pPr>
      <w:ind w:left="720"/>
      <w:contextualSpacing/>
    </w:pPr>
  </w:style>
  <w:style w:type="paragraph" w:styleId="Header">
    <w:name w:val="header"/>
    <w:basedOn w:val="Normal"/>
    <w:link w:val="HeaderChar"/>
    <w:uiPriority w:val="99"/>
    <w:unhideWhenUsed/>
    <w:rsid w:val="00EB61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617E"/>
    <w:rPr>
      <w:rFonts w:ascii="Times New Roman" w:hAnsi="Times New Roman"/>
      <w:sz w:val="24"/>
    </w:rPr>
  </w:style>
  <w:style w:type="paragraph" w:styleId="Footer">
    <w:name w:val="footer"/>
    <w:basedOn w:val="Normal"/>
    <w:link w:val="FooterChar"/>
    <w:uiPriority w:val="99"/>
    <w:unhideWhenUsed/>
    <w:rsid w:val="00EB61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617E"/>
    <w:rPr>
      <w:rFonts w:ascii="Times New Roman" w:hAnsi="Times New Roman"/>
      <w:sz w:val="24"/>
    </w:rPr>
  </w:style>
  <w:style w:type="character" w:styleId="PlaceholderText">
    <w:name w:val="Placeholder Text"/>
    <w:basedOn w:val="DefaultParagraphFont"/>
    <w:uiPriority w:val="99"/>
    <w:semiHidden/>
    <w:rsid w:val="00564161"/>
    <w:rPr>
      <w:color w:val="808080"/>
    </w:rPr>
  </w:style>
  <w:style w:type="character" w:customStyle="1" w:styleId="Heading3Char">
    <w:name w:val="Heading 3 Char"/>
    <w:basedOn w:val="DefaultParagraphFont"/>
    <w:link w:val="Heading3"/>
    <w:uiPriority w:val="9"/>
    <w:rsid w:val="00FD1985"/>
    <w:rPr>
      <w:rFonts w:ascii="Times New Roman" w:eastAsiaTheme="majorEastAsia" w:hAnsi="Times New Roman" w:cstheme="majorBidi"/>
      <w:b/>
      <w:sz w:val="24"/>
      <w:szCs w:val="24"/>
    </w:rPr>
  </w:style>
  <w:style w:type="paragraph" w:styleId="TOCHeading">
    <w:name w:val="TOC Heading"/>
    <w:basedOn w:val="Heading1"/>
    <w:next w:val="Normal"/>
    <w:uiPriority w:val="39"/>
    <w:unhideWhenUsed/>
    <w:qFormat/>
    <w:rsid w:val="00B93BAB"/>
    <w:pPr>
      <w:jc w:val="left"/>
      <w:outlineLvl w:val="9"/>
    </w:pPr>
    <w:rPr>
      <w:color w:val="000000" w:themeColor="text1"/>
    </w:rPr>
  </w:style>
  <w:style w:type="paragraph" w:styleId="TOC1">
    <w:name w:val="toc 1"/>
    <w:basedOn w:val="Normal"/>
    <w:next w:val="Normal"/>
    <w:autoRedefine/>
    <w:uiPriority w:val="39"/>
    <w:unhideWhenUsed/>
    <w:rsid w:val="00FB22E3"/>
    <w:pPr>
      <w:tabs>
        <w:tab w:val="right" w:leader="dot" w:pos="9350"/>
      </w:tabs>
      <w:spacing w:after="100" w:line="276" w:lineRule="auto"/>
    </w:pPr>
  </w:style>
  <w:style w:type="paragraph" w:styleId="TOC2">
    <w:name w:val="toc 2"/>
    <w:basedOn w:val="Normal"/>
    <w:next w:val="Normal"/>
    <w:autoRedefine/>
    <w:uiPriority w:val="39"/>
    <w:unhideWhenUsed/>
    <w:rsid w:val="00B93BAB"/>
    <w:pPr>
      <w:spacing w:after="100"/>
      <w:ind w:left="240"/>
    </w:pPr>
  </w:style>
  <w:style w:type="paragraph" w:styleId="TOC3">
    <w:name w:val="toc 3"/>
    <w:basedOn w:val="Normal"/>
    <w:next w:val="Normal"/>
    <w:autoRedefine/>
    <w:uiPriority w:val="39"/>
    <w:unhideWhenUsed/>
    <w:rsid w:val="00B93BAB"/>
    <w:pPr>
      <w:spacing w:after="100"/>
      <w:ind w:left="480"/>
    </w:pPr>
  </w:style>
  <w:style w:type="character" w:styleId="Hyperlink">
    <w:name w:val="Hyperlink"/>
    <w:basedOn w:val="DefaultParagraphFont"/>
    <w:uiPriority w:val="99"/>
    <w:unhideWhenUsed/>
    <w:rsid w:val="00B93BAB"/>
    <w:rPr>
      <w:color w:val="0563C1" w:themeColor="hyperlink"/>
      <w:u w:val="single"/>
    </w:rPr>
  </w:style>
  <w:style w:type="paragraph" w:customStyle="1" w:styleId="para1">
    <w:name w:val="para1"/>
    <w:basedOn w:val="Normal"/>
    <w:link w:val="para1Char"/>
    <w:rsid w:val="009E3406"/>
    <w:pPr>
      <w:suppressAutoHyphens/>
      <w:overflowPunct w:val="0"/>
      <w:autoSpaceDE w:val="0"/>
      <w:autoSpaceDN w:val="0"/>
      <w:adjustRightInd w:val="0"/>
      <w:spacing w:after="0" w:line="240" w:lineRule="auto"/>
      <w:ind w:firstLine="288"/>
      <w:textAlignment w:val="baseline"/>
    </w:pPr>
    <w:rPr>
      <w:rFonts w:eastAsia="SimSun" w:cs="Times New Roman"/>
      <w:szCs w:val="20"/>
    </w:rPr>
  </w:style>
  <w:style w:type="character" w:customStyle="1" w:styleId="para1Char">
    <w:name w:val="para1 Char"/>
    <w:basedOn w:val="DefaultParagraphFont"/>
    <w:link w:val="para1"/>
    <w:rsid w:val="009E3406"/>
    <w:rPr>
      <w:rFonts w:ascii="Times New Roman" w:eastAsia="SimSun" w:hAnsi="Times New Roman" w:cs="Times New Roman"/>
      <w:sz w:val="24"/>
      <w:szCs w:val="20"/>
    </w:rPr>
  </w:style>
  <w:style w:type="paragraph" w:styleId="TableofFigures">
    <w:name w:val="table of figures"/>
    <w:basedOn w:val="Normal"/>
    <w:next w:val="Normal"/>
    <w:uiPriority w:val="99"/>
    <w:unhideWhenUsed/>
    <w:rsid w:val="004F11A5"/>
    <w:pPr>
      <w:spacing w:before="120" w:after="120" w:line="360" w:lineRule="auto"/>
    </w:pPr>
  </w:style>
  <w:style w:type="character" w:styleId="UnresolvedMention">
    <w:name w:val="Unresolved Mention"/>
    <w:basedOn w:val="DefaultParagraphFont"/>
    <w:uiPriority w:val="99"/>
    <w:semiHidden/>
    <w:unhideWhenUsed/>
    <w:rsid w:val="006B7C51"/>
    <w:rPr>
      <w:color w:val="605E5C"/>
      <w:shd w:val="clear" w:color="auto" w:fill="E1DFDD"/>
    </w:rPr>
  </w:style>
  <w:style w:type="character" w:styleId="FollowedHyperlink">
    <w:name w:val="FollowedHyperlink"/>
    <w:basedOn w:val="DefaultParagraphFont"/>
    <w:uiPriority w:val="99"/>
    <w:semiHidden/>
    <w:unhideWhenUsed/>
    <w:rsid w:val="00656B4A"/>
    <w:rPr>
      <w:color w:val="954F72" w:themeColor="followedHyperlink"/>
      <w:u w:val="single"/>
    </w:rPr>
  </w:style>
  <w:style w:type="paragraph" w:styleId="NormalWeb">
    <w:name w:val="Normal (Web)"/>
    <w:basedOn w:val="Normal"/>
    <w:uiPriority w:val="99"/>
    <w:semiHidden/>
    <w:unhideWhenUsed/>
    <w:rsid w:val="00FE07D0"/>
    <w:pPr>
      <w:spacing w:before="100" w:beforeAutospacing="1" w:after="100" w:afterAutospacing="1" w:line="240" w:lineRule="auto"/>
    </w:pPr>
    <w:rPr>
      <w:rFonts w:eastAsia="Times New Roman" w:cs="Times New Roman"/>
      <w:szCs w:val="24"/>
    </w:rPr>
  </w:style>
  <w:style w:type="paragraph" w:customStyle="1" w:styleId="pw-post-body-paragraph">
    <w:name w:val="pw-post-body-paragraph"/>
    <w:basedOn w:val="Normal"/>
    <w:rsid w:val="00584F0D"/>
    <w:pPr>
      <w:spacing w:before="100" w:beforeAutospacing="1" w:after="100" w:afterAutospacing="1" w:line="240" w:lineRule="auto"/>
      <w:jc w:val="left"/>
    </w:pPr>
    <w:rPr>
      <w:rFonts w:eastAsia="Times New Roman" w:cs="Times New Roman"/>
      <w:szCs w:val="24"/>
    </w:rPr>
  </w:style>
  <w:style w:type="character" w:styleId="Strong">
    <w:name w:val="Strong"/>
    <w:basedOn w:val="DefaultParagraphFont"/>
    <w:uiPriority w:val="22"/>
    <w:qFormat/>
    <w:rsid w:val="00584F0D"/>
    <w:rPr>
      <w:b/>
      <w:bCs/>
    </w:rPr>
  </w:style>
  <w:style w:type="table" w:styleId="TableGrid">
    <w:name w:val="Table Grid"/>
    <w:basedOn w:val="TableNormal"/>
    <w:uiPriority w:val="39"/>
    <w:rsid w:val="005827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E24D31"/>
    <w:pPr>
      <w:spacing w:before="100" w:beforeAutospacing="1" w:after="100" w:afterAutospacing="1" w:line="240" w:lineRule="auto"/>
      <w:jc w:val="left"/>
    </w:pPr>
    <w:rPr>
      <w:rFonts w:eastAsia="Times New Roman" w:cs="Times New Roman"/>
      <w:szCs w:val="24"/>
    </w:rPr>
  </w:style>
  <w:style w:type="character" w:customStyle="1" w:styleId="cf01">
    <w:name w:val="cf01"/>
    <w:basedOn w:val="DefaultParagraphFont"/>
    <w:rsid w:val="00E24D3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7857">
      <w:bodyDiv w:val="1"/>
      <w:marLeft w:val="0"/>
      <w:marRight w:val="0"/>
      <w:marTop w:val="0"/>
      <w:marBottom w:val="0"/>
      <w:divBdr>
        <w:top w:val="none" w:sz="0" w:space="0" w:color="auto"/>
        <w:left w:val="none" w:sz="0" w:space="0" w:color="auto"/>
        <w:bottom w:val="none" w:sz="0" w:space="0" w:color="auto"/>
        <w:right w:val="none" w:sz="0" w:space="0" w:color="auto"/>
      </w:divBdr>
    </w:div>
    <w:div w:id="14044692">
      <w:bodyDiv w:val="1"/>
      <w:marLeft w:val="0"/>
      <w:marRight w:val="0"/>
      <w:marTop w:val="0"/>
      <w:marBottom w:val="0"/>
      <w:divBdr>
        <w:top w:val="none" w:sz="0" w:space="0" w:color="auto"/>
        <w:left w:val="none" w:sz="0" w:space="0" w:color="auto"/>
        <w:bottom w:val="none" w:sz="0" w:space="0" w:color="auto"/>
        <w:right w:val="none" w:sz="0" w:space="0" w:color="auto"/>
      </w:divBdr>
    </w:div>
    <w:div w:id="15546144">
      <w:bodyDiv w:val="1"/>
      <w:marLeft w:val="0"/>
      <w:marRight w:val="0"/>
      <w:marTop w:val="0"/>
      <w:marBottom w:val="0"/>
      <w:divBdr>
        <w:top w:val="none" w:sz="0" w:space="0" w:color="auto"/>
        <w:left w:val="none" w:sz="0" w:space="0" w:color="auto"/>
        <w:bottom w:val="none" w:sz="0" w:space="0" w:color="auto"/>
        <w:right w:val="none" w:sz="0" w:space="0" w:color="auto"/>
      </w:divBdr>
    </w:div>
    <w:div w:id="26832628">
      <w:bodyDiv w:val="1"/>
      <w:marLeft w:val="0"/>
      <w:marRight w:val="0"/>
      <w:marTop w:val="0"/>
      <w:marBottom w:val="0"/>
      <w:divBdr>
        <w:top w:val="none" w:sz="0" w:space="0" w:color="auto"/>
        <w:left w:val="none" w:sz="0" w:space="0" w:color="auto"/>
        <w:bottom w:val="none" w:sz="0" w:space="0" w:color="auto"/>
        <w:right w:val="none" w:sz="0" w:space="0" w:color="auto"/>
      </w:divBdr>
    </w:div>
    <w:div w:id="28772775">
      <w:bodyDiv w:val="1"/>
      <w:marLeft w:val="0"/>
      <w:marRight w:val="0"/>
      <w:marTop w:val="0"/>
      <w:marBottom w:val="0"/>
      <w:divBdr>
        <w:top w:val="none" w:sz="0" w:space="0" w:color="auto"/>
        <w:left w:val="none" w:sz="0" w:space="0" w:color="auto"/>
        <w:bottom w:val="none" w:sz="0" w:space="0" w:color="auto"/>
        <w:right w:val="none" w:sz="0" w:space="0" w:color="auto"/>
      </w:divBdr>
    </w:div>
    <w:div w:id="41754288">
      <w:bodyDiv w:val="1"/>
      <w:marLeft w:val="0"/>
      <w:marRight w:val="0"/>
      <w:marTop w:val="0"/>
      <w:marBottom w:val="0"/>
      <w:divBdr>
        <w:top w:val="none" w:sz="0" w:space="0" w:color="auto"/>
        <w:left w:val="none" w:sz="0" w:space="0" w:color="auto"/>
        <w:bottom w:val="none" w:sz="0" w:space="0" w:color="auto"/>
        <w:right w:val="none" w:sz="0" w:space="0" w:color="auto"/>
      </w:divBdr>
    </w:div>
    <w:div w:id="50201295">
      <w:bodyDiv w:val="1"/>
      <w:marLeft w:val="0"/>
      <w:marRight w:val="0"/>
      <w:marTop w:val="0"/>
      <w:marBottom w:val="0"/>
      <w:divBdr>
        <w:top w:val="none" w:sz="0" w:space="0" w:color="auto"/>
        <w:left w:val="none" w:sz="0" w:space="0" w:color="auto"/>
        <w:bottom w:val="none" w:sz="0" w:space="0" w:color="auto"/>
        <w:right w:val="none" w:sz="0" w:space="0" w:color="auto"/>
      </w:divBdr>
    </w:div>
    <w:div w:id="54355827">
      <w:bodyDiv w:val="1"/>
      <w:marLeft w:val="0"/>
      <w:marRight w:val="0"/>
      <w:marTop w:val="0"/>
      <w:marBottom w:val="0"/>
      <w:divBdr>
        <w:top w:val="none" w:sz="0" w:space="0" w:color="auto"/>
        <w:left w:val="none" w:sz="0" w:space="0" w:color="auto"/>
        <w:bottom w:val="none" w:sz="0" w:space="0" w:color="auto"/>
        <w:right w:val="none" w:sz="0" w:space="0" w:color="auto"/>
      </w:divBdr>
    </w:div>
    <w:div w:id="64301851">
      <w:bodyDiv w:val="1"/>
      <w:marLeft w:val="0"/>
      <w:marRight w:val="0"/>
      <w:marTop w:val="0"/>
      <w:marBottom w:val="0"/>
      <w:divBdr>
        <w:top w:val="none" w:sz="0" w:space="0" w:color="auto"/>
        <w:left w:val="none" w:sz="0" w:space="0" w:color="auto"/>
        <w:bottom w:val="none" w:sz="0" w:space="0" w:color="auto"/>
        <w:right w:val="none" w:sz="0" w:space="0" w:color="auto"/>
      </w:divBdr>
    </w:div>
    <w:div w:id="79107769">
      <w:bodyDiv w:val="1"/>
      <w:marLeft w:val="0"/>
      <w:marRight w:val="0"/>
      <w:marTop w:val="0"/>
      <w:marBottom w:val="0"/>
      <w:divBdr>
        <w:top w:val="none" w:sz="0" w:space="0" w:color="auto"/>
        <w:left w:val="none" w:sz="0" w:space="0" w:color="auto"/>
        <w:bottom w:val="none" w:sz="0" w:space="0" w:color="auto"/>
        <w:right w:val="none" w:sz="0" w:space="0" w:color="auto"/>
      </w:divBdr>
    </w:div>
    <w:div w:id="86194240">
      <w:bodyDiv w:val="1"/>
      <w:marLeft w:val="0"/>
      <w:marRight w:val="0"/>
      <w:marTop w:val="0"/>
      <w:marBottom w:val="0"/>
      <w:divBdr>
        <w:top w:val="none" w:sz="0" w:space="0" w:color="auto"/>
        <w:left w:val="none" w:sz="0" w:space="0" w:color="auto"/>
        <w:bottom w:val="none" w:sz="0" w:space="0" w:color="auto"/>
        <w:right w:val="none" w:sz="0" w:space="0" w:color="auto"/>
      </w:divBdr>
    </w:div>
    <w:div w:id="86851119">
      <w:bodyDiv w:val="1"/>
      <w:marLeft w:val="0"/>
      <w:marRight w:val="0"/>
      <w:marTop w:val="0"/>
      <w:marBottom w:val="0"/>
      <w:divBdr>
        <w:top w:val="none" w:sz="0" w:space="0" w:color="auto"/>
        <w:left w:val="none" w:sz="0" w:space="0" w:color="auto"/>
        <w:bottom w:val="none" w:sz="0" w:space="0" w:color="auto"/>
        <w:right w:val="none" w:sz="0" w:space="0" w:color="auto"/>
      </w:divBdr>
    </w:div>
    <w:div w:id="88935501">
      <w:bodyDiv w:val="1"/>
      <w:marLeft w:val="0"/>
      <w:marRight w:val="0"/>
      <w:marTop w:val="0"/>
      <w:marBottom w:val="0"/>
      <w:divBdr>
        <w:top w:val="none" w:sz="0" w:space="0" w:color="auto"/>
        <w:left w:val="none" w:sz="0" w:space="0" w:color="auto"/>
        <w:bottom w:val="none" w:sz="0" w:space="0" w:color="auto"/>
        <w:right w:val="none" w:sz="0" w:space="0" w:color="auto"/>
      </w:divBdr>
    </w:div>
    <w:div w:id="89475117">
      <w:bodyDiv w:val="1"/>
      <w:marLeft w:val="0"/>
      <w:marRight w:val="0"/>
      <w:marTop w:val="0"/>
      <w:marBottom w:val="0"/>
      <w:divBdr>
        <w:top w:val="none" w:sz="0" w:space="0" w:color="auto"/>
        <w:left w:val="none" w:sz="0" w:space="0" w:color="auto"/>
        <w:bottom w:val="none" w:sz="0" w:space="0" w:color="auto"/>
        <w:right w:val="none" w:sz="0" w:space="0" w:color="auto"/>
      </w:divBdr>
    </w:div>
    <w:div w:id="102961926">
      <w:bodyDiv w:val="1"/>
      <w:marLeft w:val="0"/>
      <w:marRight w:val="0"/>
      <w:marTop w:val="0"/>
      <w:marBottom w:val="0"/>
      <w:divBdr>
        <w:top w:val="none" w:sz="0" w:space="0" w:color="auto"/>
        <w:left w:val="none" w:sz="0" w:space="0" w:color="auto"/>
        <w:bottom w:val="none" w:sz="0" w:space="0" w:color="auto"/>
        <w:right w:val="none" w:sz="0" w:space="0" w:color="auto"/>
      </w:divBdr>
    </w:div>
    <w:div w:id="104348949">
      <w:bodyDiv w:val="1"/>
      <w:marLeft w:val="0"/>
      <w:marRight w:val="0"/>
      <w:marTop w:val="0"/>
      <w:marBottom w:val="0"/>
      <w:divBdr>
        <w:top w:val="none" w:sz="0" w:space="0" w:color="auto"/>
        <w:left w:val="none" w:sz="0" w:space="0" w:color="auto"/>
        <w:bottom w:val="none" w:sz="0" w:space="0" w:color="auto"/>
        <w:right w:val="none" w:sz="0" w:space="0" w:color="auto"/>
      </w:divBdr>
    </w:div>
    <w:div w:id="105125233">
      <w:bodyDiv w:val="1"/>
      <w:marLeft w:val="0"/>
      <w:marRight w:val="0"/>
      <w:marTop w:val="0"/>
      <w:marBottom w:val="0"/>
      <w:divBdr>
        <w:top w:val="none" w:sz="0" w:space="0" w:color="auto"/>
        <w:left w:val="none" w:sz="0" w:space="0" w:color="auto"/>
        <w:bottom w:val="none" w:sz="0" w:space="0" w:color="auto"/>
        <w:right w:val="none" w:sz="0" w:space="0" w:color="auto"/>
      </w:divBdr>
    </w:div>
    <w:div w:id="111675064">
      <w:bodyDiv w:val="1"/>
      <w:marLeft w:val="0"/>
      <w:marRight w:val="0"/>
      <w:marTop w:val="0"/>
      <w:marBottom w:val="0"/>
      <w:divBdr>
        <w:top w:val="none" w:sz="0" w:space="0" w:color="auto"/>
        <w:left w:val="none" w:sz="0" w:space="0" w:color="auto"/>
        <w:bottom w:val="none" w:sz="0" w:space="0" w:color="auto"/>
        <w:right w:val="none" w:sz="0" w:space="0" w:color="auto"/>
      </w:divBdr>
    </w:div>
    <w:div w:id="117839185">
      <w:bodyDiv w:val="1"/>
      <w:marLeft w:val="0"/>
      <w:marRight w:val="0"/>
      <w:marTop w:val="0"/>
      <w:marBottom w:val="0"/>
      <w:divBdr>
        <w:top w:val="none" w:sz="0" w:space="0" w:color="auto"/>
        <w:left w:val="none" w:sz="0" w:space="0" w:color="auto"/>
        <w:bottom w:val="none" w:sz="0" w:space="0" w:color="auto"/>
        <w:right w:val="none" w:sz="0" w:space="0" w:color="auto"/>
      </w:divBdr>
    </w:div>
    <w:div w:id="117917215">
      <w:bodyDiv w:val="1"/>
      <w:marLeft w:val="0"/>
      <w:marRight w:val="0"/>
      <w:marTop w:val="0"/>
      <w:marBottom w:val="0"/>
      <w:divBdr>
        <w:top w:val="none" w:sz="0" w:space="0" w:color="auto"/>
        <w:left w:val="none" w:sz="0" w:space="0" w:color="auto"/>
        <w:bottom w:val="none" w:sz="0" w:space="0" w:color="auto"/>
        <w:right w:val="none" w:sz="0" w:space="0" w:color="auto"/>
      </w:divBdr>
    </w:div>
    <w:div w:id="120810859">
      <w:bodyDiv w:val="1"/>
      <w:marLeft w:val="0"/>
      <w:marRight w:val="0"/>
      <w:marTop w:val="0"/>
      <w:marBottom w:val="0"/>
      <w:divBdr>
        <w:top w:val="none" w:sz="0" w:space="0" w:color="auto"/>
        <w:left w:val="none" w:sz="0" w:space="0" w:color="auto"/>
        <w:bottom w:val="none" w:sz="0" w:space="0" w:color="auto"/>
        <w:right w:val="none" w:sz="0" w:space="0" w:color="auto"/>
      </w:divBdr>
    </w:div>
    <w:div w:id="138231457">
      <w:bodyDiv w:val="1"/>
      <w:marLeft w:val="0"/>
      <w:marRight w:val="0"/>
      <w:marTop w:val="0"/>
      <w:marBottom w:val="0"/>
      <w:divBdr>
        <w:top w:val="none" w:sz="0" w:space="0" w:color="auto"/>
        <w:left w:val="none" w:sz="0" w:space="0" w:color="auto"/>
        <w:bottom w:val="none" w:sz="0" w:space="0" w:color="auto"/>
        <w:right w:val="none" w:sz="0" w:space="0" w:color="auto"/>
      </w:divBdr>
    </w:div>
    <w:div w:id="142696371">
      <w:bodyDiv w:val="1"/>
      <w:marLeft w:val="0"/>
      <w:marRight w:val="0"/>
      <w:marTop w:val="0"/>
      <w:marBottom w:val="0"/>
      <w:divBdr>
        <w:top w:val="none" w:sz="0" w:space="0" w:color="auto"/>
        <w:left w:val="none" w:sz="0" w:space="0" w:color="auto"/>
        <w:bottom w:val="none" w:sz="0" w:space="0" w:color="auto"/>
        <w:right w:val="none" w:sz="0" w:space="0" w:color="auto"/>
      </w:divBdr>
    </w:div>
    <w:div w:id="145174073">
      <w:bodyDiv w:val="1"/>
      <w:marLeft w:val="0"/>
      <w:marRight w:val="0"/>
      <w:marTop w:val="0"/>
      <w:marBottom w:val="0"/>
      <w:divBdr>
        <w:top w:val="none" w:sz="0" w:space="0" w:color="auto"/>
        <w:left w:val="none" w:sz="0" w:space="0" w:color="auto"/>
        <w:bottom w:val="none" w:sz="0" w:space="0" w:color="auto"/>
        <w:right w:val="none" w:sz="0" w:space="0" w:color="auto"/>
      </w:divBdr>
    </w:div>
    <w:div w:id="146286301">
      <w:bodyDiv w:val="1"/>
      <w:marLeft w:val="0"/>
      <w:marRight w:val="0"/>
      <w:marTop w:val="0"/>
      <w:marBottom w:val="0"/>
      <w:divBdr>
        <w:top w:val="none" w:sz="0" w:space="0" w:color="auto"/>
        <w:left w:val="none" w:sz="0" w:space="0" w:color="auto"/>
        <w:bottom w:val="none" w:sz="0" w:space="0" w:color="auto"/>
        <w:right w:val="none" w:sz="0" w:space="0" w:color="auto"/>
      </w:divBdr>
    </w:div>
    <w:div w:id="157574029">
      <w:bodyDiv w:val="1"/>
      <w:marLeft w:val="0"/>
      <w:marRight w:val="0"/>
      <w:marTop w:val="0"/>
      <w:marBottom w:val="0"/>
      <w:divBdr>
        <w:top w:val="none" w:sz="0" w:space="0" w:color="auto"/>
        <w:left w:val="none" w:sz="0" w:space="0" w:color="auto"/>
        <w:bottom w:val="none" w:sz="0" w:space="0" w:color="auto"/>
        <w:right w:val="none" w:sz="0" w:space="0" w:color="auto"/>
      </w:divBdr>
    </w:div>
    <w:div w:id="165216738">
      <w:bodyDiv w:val="1"/>
      <w:marLeft w:val="0"/>
      <w:marRight w:val="0"/>
      <w:marTop w:val="0"/>
      <w:marBottom w:val="0"/>
      <w:divBdr>
        <w:top w:val="none" w:sz="0" w:space="0" w:color="auto"/>
        <w:left w:val="none" w:sz="0" w:space="0" w:color="auto"/>
        <w:bottom w:val="none" w:sz="0" w:space="0" w:color="auto"/>
        <w:right w:val="none" w:sz="0" w:space="0" w:color="auto"/>
      </w:divBdr>
    </w:div>
    <w:div w:id="166068302">
      <w:bodyDiv w:val="1"/>
      <w:marLeft w:val="0"/>
      <w:marRight w:val="0"/>
      <w:marTop w:val="0"/>
      <w:marBottom w:val="0"/>
      <w:divBdr>
        <w:top w:val="none" w:sz="0" w:space="0" w:color="auto"/>
        <w:left w:val="none" w:sz="0" w:space="0" w:color="auto"/>
        <w:bottom w:val="none" w:sz="0" w:space="0" w:color="auto"/>
        <w:right w:val="none" w:sz="0" w:space="0" w:color="auto"/>
      </w:divBdr>
    </w:div>
    <w:div w:id="168257977">
      <w:bodyDiv w:val="1"/>
      <w:marLeft w:val="0"/>
      <w:marRight w:val="0"/>
      <w:marTop w:val="0"/>
      <w:marBottom w:val="0"/>
      <w:divBdr>
        <w:top w:val="none" w:sz="0" w:space="0" w:color="auto"/>
        <w:left w:val="none" w:sz="0" w:space="0" w:color="auto"/>
        <w:bottom w:val="none" w:sz="0" w:space="0" w:color="auto"/>
        <w:right w:val="none" w:sz="0" w:space="0" w:color="auto"/>
      </w:divBdr>
    </w:div>
    <w:div w:id="169611474">
      <w:bodyDiv w:val="1"/>
      <w:marLeft w:val="0"/>
      <w:marRight w:val="0"/>
      <w:marTop w:val="0"/>
      <w:marBottom w:val="0"/>
      <w:divBdr>
        <w:top w:val="none" w:sz="0" w:space="0" w:color="auto"/>
        <w:left w:val="none" w:sz="0" w:space="0" w:color="auto"/>
        <w:bottom w:val="none" w:sz="0" w:space="0" w:color="auto"/>
        <w:right w:val="none" w:sz="0" w:space="0" w:color="auto"/>
      </w:divBdr>
    </w:div>
    <w:div w:id="178394701">
      <w:bodyDiv w:val="1"/>
      <w:marLeft w:val="0"/>
      <w:marRight w:val="0"/>
      <w:marTop w:val="0"/>
      <w:marBottom w:val="0"/>
      <w:divBdr>
        <w:top w:val="none" w:sz="0" w:space="0" w:color="auto"/>
        <w:left w:val="none" w:sz="0" w:space="0" w:color="auto"/>
        <w:bottom w:val="none" w:sz="0" w:space="0" w:color="auto"/>
        <w:right w:val="none" w:sz="0" w:space="0" w:color="auto"/>
      </w:divBdr>
    </w:div>
    <w:div w:id="187179574">
      <w:bodyDiv w:val="1"/>
      <w:marLeft w:val="0"/>
      <w:marRight w:val="0"/>
      <w:marTop w:val="0"/>
      <w:marBottom w:val="0"/>
      <w:divBdr>
        <w:top w:val="none" w:sz="0" w:space="0" w:color="auto"/>
        <w:left w:val="none" w:sz="0" w:space="0" w:color="auto"/>
        <w:bottom w:val="none" w:sz="0" w:space="0" w:color="auto"/>
        <w:right w:val="none" w:sz="0" w:space="0" w:color="auto"/>
      </w:divBdr>
    </w:div>
    <w:div w:id="189801954">
      <w:bodyDiv w:val="1"/>
      <w:marLeft w:val="0"/>
      <w:marRight w:val="0"/>
      <w:marTop w:val="0"/>
      <w:marBottom w:val="0"/>
      <w:divBdr>
        <w:top w:val="none" w:sz="0" w:space="0" w:color="auto"/>
        <w:left w:val="none" w:sz="0" w:space="0" w:color="auto"/>
        <w:bottom w:val="none" w:sz="0" w:space="0" w:color="auto"/>
        <w:right w:val="none" w:sz="0" w:space="0" w:color="auto"/>
      </w:divBdr>
    </w:div>
    <w:div w:id="190725898">
      <w:bodyDiv w:val="1"/>
      <w:marLeft w:val="0"/>
      <w:marRight w:val="0"/>
      <w:marTop w:val="0"/>
      <w:marBottom w:val="0"/>
      <w:divBdr>
        <w:top w:val="none" w:sz="0" w:space="0" w:color="auto"/>
        <w:left w:val="none" w:sz="0" w:space="0" w:color="auto"/>
        <w:bottom w:val="none" w:sz="0" w:space="0" w:color="auto"/>
        <w:right w:val="none" w:sz="0" w:space="0" w:color="auto"/>
      </w:divBdr>
    </w:div>
    <w:div w:id="191574823">
      <w:bodyDiv w:val="1"/>
      <w:marLeft w:val="0"/>
      <w:marRight w:val="0"/>
      <w:marTop w:val="0"/>
      <w:marBottom w:val="0"/>
      <w:divBdr>
        <w:top w:val="none" w:sz="0" w:space="0" w:color="auto"/>
        <w:left w:val="none" w:sz="0" w:space="0" w:color="auto"/>
        <w:bottom w:val="none" w:sz="0" w:space="0" w:color="auto"/>
        <w:right w:val="none" w:sz="0" w:space="0" w:color="auto"/>
      </w:divBdr>
    </w:div>
    <w:div w:id="191840946">
      <w:bodyDiv w:val="1"/>
      <w:marLeft w:val="0"/>
      <w:marRight w:val="0"/>
      <w:marTop w:val="0"/>
      <w:marBottom w:val="0"/>
      <w:divBdr>
        <w:top w:val="none" w:sz="0" w:space="0" w:color="auto"/>
        <w:left w:val="none" w:sz="0" w:space="0" w:color="auto"/>
        <w:bottom w:val="none" w:sz="0" w:space="0" w:color="auto"/>
        <w:right w:val="none" w:sz="0" w:space="0" w:color="auto"/>
      </w:divBdr>
    </w:div>
    <w:div w:id="194777683">
      <w:bodyDiv w:val="1"/>
      <w:marLeft w:val="0"/>
      <w:marRight w:val="0"/>
      <w:marTop w:val="0"/>
      <w:marBottom w:val="0"/>
      <w:divBdr>
        <w:top w:val="none" w:sz="0" w:space="0" w:color="auto"/>
        <w:left w:val="none" w:sz="0" w:space="0" w:color="auto"/>
        <w:bottom w:val="none" w:sz="0" w:space="0" w:color="auto"/>
        <w:right w:val="none" w:sz="0" w:space="0" w:color="auto"/>
      </w:divBdr>
    </w:div>
    <w:div w:id="197789229">
      <w:bodyDiv w:val="1"/>
      <w:marLeft w:val="0"/>
      <w:marRight w:val="0"/>
      <w:marTop w:val="0"/>
      <w:marBottom w:val="0"/>
      <w:divBdr>
        <w:top w:val="none" w:sz="0" w:space="0" w:color="auto"/>
        <w:left w:val="none" w:sz="0" w:space="0" w:color="auto"/>
        <w:bottom w:val="none" w:sz="0" w:space="0" w:color="auto"/>
        <w:right w:val="none" w:sz="0" w:space="0" w:color="auto"/>
      </w:divBdr>
    </w:div>
    <w:div w:id="197931464">
      <w:bodyDiv w:val="1"/>
      <w:marLeft w:val="0"/>
      <w:marRight w:val="0"/>
      <w:marTop w:val="0"/>
      <w:marBottom w:val="0"/>
      <w:divBdr>
        <w:top w:val="none" w:sz="0" w:space="0" w:color="auto"/>
        <w:left w:val="none" w:sz="0" w:space="0" w:color="auto"/>
        <w:bottom w:val="none" w:sz="0" w:space="0" w:color="auto"/>
        <w:right w:val="none" w:sz="0" w:space="0" w:color="auto"/>
      </w:divBdr>
    </w:div>
    <w:div w:id="199704249">
      <w:bodyDiv w:val="1"/>
      <w:marLeft w:val="0"/>
      <w:marRight w:val="0"/>
      <w:marTop w:val="0"/>
      <w:marBottom w:val="0"/>
      <w:divBdr>
        <w:top w:val="none" w:sz="0" w:space="0" w:color="auto"/>
        <w:left w:val="none" w:sz="0" w:space="0" w:color="auto"/>
        <w:bottom w:val="none" w:sz="0" w:space="0" w:color="auto"/>
        <w:right w:val="none" w:sz="0" w:space="0" w:color="auto"/>
      </w:divBdr>
    </w:div>
    <w:div w:id="199785559">
      <w:bodyDiv w:val="1"/>
      <w:marLeft w:val="0"/>
      <w:marRight w:val="0"/>
      <w:marTop w:val="0"/>
      <w:marBottom w:val="0"/>
      <w:divBdr>
        <w:top w:val="none" w:sz="0" w:space="0" w:color="auto"/>
        <w:left w:val="none" w:sz="0" w:space="0" w:color="auto"/>
        <w:bottom w:val="none" w:sz="0" w:space="0" w:color="auto"/>
        <w:right w:val="none" w:sz="0" w:space="0" w:color="auto"/>
      </w:divBdr>
    </w:div>
    <w:div w:id="212498361">
      <w:bodyDiv w:val="1"/>
      <w:marLeft w:val="0"/>
      <w:marRight w:val="0"/>
      <w:marTop w:val="0"/>
      <w:marBottom w:val="0"/>
      <w:divBdr>
        <w:top w:val="none" w:sz="0" w:space="0" w:color="auto"/>
        <w:left w:val="none" w:sz="0" w:space="0" w:color="auto"/>
        <w:bottom w:val="none" w:sz="0" w:space="0" w:color="auto"/>
        <w:right w:val="none" w:sz="0" w:space="0" w:color="auto"/>
      </w:divBdr>
    </w:div>
    <w:div w:id="212498376">
      <w:bodyDiv w:val="1"/>
      <w:marLeft w:val="0"/>
      <w:marRight w:val="0"/>
      <w:marTop w:val="0"/>
      <w:marBottom w:val="0"/>
      <w:divBdr>
        <w:top w:val="none" w:sz="0" w:space="0" w:color="auto"/>
        <w:left w:val="none" w:sz="0" w:space="0" w:color="auto"/>
        <w:bottom w:val="none" w:sz="0" w:space="0" w:color="auto"/>
        <w:right w:val="none" w:sz="0" w:space="0" w:color="auto"/>
      </w:divBdr>
    </w:div>
    <w:div w:id="218396766">
      <w:bodyDiv w:val="1"/>
      <w:marLeft w:val="0"/>
      <w:marRight w:val="0"/>
      <w:marTop w:val="0"/>
      <w:marBottom w:val="0"/>
      <w:divBdr>
        <w:top w:val="none" w:sz="0" w:space="0" w:color="auto"/>
        <w:left w:val="none" w:sz="0" w:space="0" w:color="auto"/>
        <w:bottom w:val="none" w:sz="0" w:space="0" w:color="auto"/>
        <w:right w:val="none" w:sz="0" w:space="0" w:color="auto"/>
      </w:divBdr>
    </w:div>
    <w:div w:id="218979140">
      <w:bodyDiv w:val="1"/>
      <w:marLeft w:val="0"/>
      <w:marRight w:val="0"/>
      <w:marTop w:val="0"/>
      <w:marBottom w:val="0"/>
      <w:divBdr>
        <w:top w:val="none" w:sz="0" w:space="0" w:color="auto"/>
        <w:left w:val="none" w:sz="0" w:space="0" w:color="auto"/>
        <w:bottom w:val="none" w:sz="0" w:space="0" w:color="auto"/>
        <w:right w:val="none" w:sz="0" w:space="0" w:color="auto"/>
      </w:divBdr>
    </w:div>
    <w:div w:id="226844391">
      <w:bodyDiv w:val="1"/>
      <w:marLeft w:val="0"/>
      <w:marRight w:val="0"/>
      <w:marTop w:val="0"/>
      <w:marBottom w:val="0"/>
      <w:divBdr>
        <w:top w:val="none" w:sz="0" w:space="0" w:color="auto"/>
        <w:left w:val="none" w:sz="0" w:space="0" w:color="auto"/>
        <w:bottom w:val="none" w:sz="0" w:space="0" w:color="auto"/>
        <w:right w:val="none" w:sz="0" w:space="0" w:color="auto"/>
      </w:divBdr>
    </w:div>
    <w:div w:id="226845579">
      <w:bodyDiv w:val="1"/>
      <w:marLeft w:val="0"/>
      <w:marRight w:val="0"/>
      <w:marTop w:val="0"/>
      <w:marBottom w:val="0"/>
      <w:divBdr>
        <w:top w:val="none" w:sz="0" w:space="0" w:color="auto"/>
        <w:left w:val="none" w:sz="0" w:space="0" w:color="auto"/>
        <w:bottom w:val="none" w:sz="0" w:space="0" w:color="auto"/>
        <w:right w:val="none" w:sz="0" w:space="0" w:color="auto"/>
      </w:divBdr>
    </w:div>
    <w:div w:id="227157438">
      <w:bodyDiv w:val="1"/>
      <w:marLeft w:val="0"/>
      <w:marRight w:val="0"/>
      <w:marTop w:val="0"/>
      <w:marBottom w:val="0"/>
      <w:divBdr>
        <w:top w:val="none" w:sz="0" w:space="0" w:color="auto"/>
        <w:left w:val="none" w:sz="0" w:space="0" w:color="auto"/>
        <w:bottom w:val="none" w:sz="0" w:space="0" w:color="auto"/>
        <w:right w:val="none" w:sz="0" w:space="0" w:color="auto"/>
      </w:divBdr>
    </w:div>
    <w:div w:id="228883056">
      <w:bodyDiv w:val="1"/>
      <w:marLeft w:val="0"/>
      <w:marRight w:val="0"/>
      <w:marTop w:val="0"/>
      <w:marBottom w:val="0"/>
      <w:divBdr>
        <w:top w:val="none" w:sz="0" w:space="0" w:color="auto"/>
        <w:left w:val="none" w:sz="0" w:space="0" w:color="auto"/>
        <w:bottom w:val="none" w:sz="0" w:space="0" w:color="auto"/>
        <w:right w:val="none" w:sz="0" w:space="0" w:color="auto"/>
      </w:divBdr>
    </w:div>
    <w:div w:id="229776974">
      <w:bodyDiv w:val="1"/>
      <w:marLeft w:val="0"/>
      <w:marRight w:val="0"/>
      <w:marTop w:val="0"/>
      <w:marBottom w:val="0"/>
      <w:divBdr>
        <w:top w:val="none" w:sz="0" w:space="0" w:color="auto"/>
        <w:left w:val="none" w:sz="0" w:space="0" w:color="auto"/>
        <w:bottom w:val="none" w:sz="0" w:space="0" w:color="auto"/>
        <w:right w:val="none" w:sz="0" w:space="0" w:color="auto"/>
      </w:divBdr>
    </w:div>
    <w:div w:id="238758291">
      <w:bodyDiv w:val="1"/>
      <w:marLeft w:val="0"/>
      <w:marRight w:val="0"/>
      <w:marTop w:val="0"/>
      <w:marBottom w:val="0"/>
      <w:divBdr>
        <w:top w:val="none" w:sz="0" w:space="0" w:color="auto"/>
        <w:left w:val="none" w:sz="0" w:space="0" w:color="auto"/>
        <w:bottom w:val="none" w:sz="0" w:space="0" w:color="auto"/>
        <w:right w:val="none" w:sz="0" w:space="0" w:color="auto"/>
      </w:divBdr>
    </w:div>
    <w:div w:id="240724800">
      <w:bodyDiv w:val="1"/>
      <w:marLeft w:val="0"/>
      <w:marRight w:val="0"/>
      <w:marTop w:val="0"/>
      <w:marBottom w:val="0"/>
      <w:divBdr>
        <w:top w:val="none" w:sz="0" w:space="0" w:color="auto"/>
        <w:left w:val="none" w:sz="0" w:space="0" w:color="auto"/>
        <w:bottom w:val="none" w:sz="0" w:space="0" w:color="auto"/>
        <w:right w:val="none" w:sz="0" w:space="0" w:color="auto"/>
      </w:divBdr>
    </w:div>
    <w:div w:id="241910212">
      <w:bodyDiv w:val="1"/>
      <w:marLeft w:val="0"/>
      <w:marRight w:val="0"/>
      <w:marTop w:val="0"/>
      <w:marBottom w:val="0"/>
      <w:divBdr>
        <w:top w:val="none" w:sz="0" w:space="0" w:color="auto"/>
        <w:left w:val="none" w:sz="0" w:space="0" w:color="auto"/>
        <w:bottom w:val="none" w:sz="0" w:space="0" w:color="auto"/>
        <w:right w:val="none" w:sz="0" w:space="0" w:color="auto"/>
      </w:divBdr>
    </w:div>
    <w:div w:id="242567374">
      <w:bodyDiv w:val="1"/>
      <w:marLeft w:val="0"/>
      <w:marRight w:val="0"/>
      <w:marTop w:val="0"/>
      <w:marBottom w:val="0"/>
      <w:divBdr>
        <w:top w:val="none" w:sz="0" w:space="0" w:color="auto"/>
        <w:left w:val="none" w:sz="0" w:space="0" w:color="auto"/>
        <w:bottom w:val="none" w:sz="0" w:space="0" w:color="auto"/>
        <w:right w:val="none" w:sz="0" w:space="0" w:color="auto"/>
      </w:divBdr>
    </w:div>
    <w:div w:id="243491153">
      <w:bodyDiv w:val="1"/>
      <w:marLeft w:val="0"/>
      <w:marRight w:val="0"/>
      <w:marTop w:val="0"/>
      <w:marBottom w:val="0"/>
      <w:divBdr>
        <w:top w:val="none" w:sz="0" w:space="0" w:color="auto"/>
        <w:left w:val="none" w:sz="0" w:space="0" w:color="auto"/>
        <w:bottom w:val="none" w:sz="0" w:space="0" w:color="auto"/>
        <w:right w:val="none" w:sz="0" w:space="0" w:color="auto"/>
      </w:divBdr>
    </w:div>
    <w:div w:id="248655367">
      <w:bodyDiv w:val="1"/>
      <w:marLeft w:val="0"/>
      <w:marRight w:val="0"/>
      <w:marTop w:val="0"/>
      <w:marBottom w:val="0"/>
      <w:divBdr>
        <w:top w:val="none" w:sz="0" w:space="0" w:color="auto"/>
        <w:left w:val="none" w:sz="0" w:space="0" w:color="auto"/>
        <w:bottom w:val="none" w:sz="0" w:space="0" w:color="auto"/>
        <w:right w:val="none" w:sz="0" w:space="0" w:color="auto"/>
      </w:divBdr>
    </w:div>
    <w:div w:id="251597119">
      <w:bodyDiv w:val="1"/>
      <w:marLeft w:val="0"/>
      <w:marRight w:val="0"/>
      <w:marTop w:val="0"/>
      <w:marBottom w:val="0"/>
      <w:divBdr>
        <w:top w:val="none" w:sz="0" w:space="0" w:color="auto"/>
        <w:left w:val="none" w:sz="0" w:space="0" w:color="auto"/>
        <w:bottom w:val="none" w:sz="0" w:space="0" w:color="auto"/>
        <w:right w:val="none" w:sz="0" w:space="0" w:color="auto"/>
      </w:divBdr>
      <w:divsChild>
        <w:div w:id="1650592155">
          <w:marLeft w:val="547"/>
          <w:marRight w:val="0"/>
          <w:marTop w:val="0"/>
          <w:marBottom w:val="0"/>
          <w:divBdr>
            <w:top w:val="none" w:sz="0" w:space="0" w:color="auto"/>
            <w:left w:val="none" w:sz="0" w:space="0" w:color="auto"/>
            <w:bottom w:val="none" w:sz="0" w:space="0" w:color="auto"/>
            <w:right w:val="none" w:sz="0" w:space="0" w:color="auto"/>
          </w:divBdr>
        </w:div>
      </w:divsChild>
    </w:div>
    <w:div w:id="260072703">
      <w:bodyDiv w:val="1"/>
      <w:marLeft w:val="0"/>
      <w:marRight w:val="0"/>
      <w:marTop w:val="0"/>
      <w:marBottom w:val="0"/>
      <w:divBdr>
        <w:top w:val="none" w:sz="0" w:space="0" w:color="auto"/>
        <w:left w:val="none" w:sz="0" w:space="0" w:color="auto"/>
        <w:bottom w:val="none" w:sz="0" w:space="0" w:color="auto"/>
        <w:right w:val="none" w:sz="0" w:space="0" w:color="auto"/>
      </w:divBdr>
    </w:div>
    <w:div w:id="260727205">
      <w:bodyDiv w:val="1"/>
      <w:marLeft w:val="0"/>
      <w:marRight w:val="0"/>
      <w:marTop w:val="0"/>
      <w:marBottom w:val="0"/>
      <w:divBdr>
        <w:top w:val="none" w:sz="0" w:space="0" w:color="auto"/>
        <w:left w:val="none" w:sz="0" w:space="0" w:color="auto"/>
        <w:bottom w:val="none" w:sz="0" w:space="0" w:color="auto"/>
        <w:right w:val="none" w:sz="0" w:space="0" w:color="auto"/>
      </w:divBdr>
    </w:div>
    <w:div w:id="261107762">
      <w:bodyDiv w:val="1"/>
      <w:marLeft w:val="0"/>
      <w:marRight w:val="0"/>
      <w:marTop w:val="0"/>
      <w:marBottom w:val="0"/>
      <w:divBdr>
        <w:top w:val="none" w:sz="0" w:space="0" w:color="auto"/>
        <w:left w:val="none" w:sz="0" w:space="0" w:color="auto"/>
        <w:bottom w:val="none" w:sz="0" w:space="0" w:color="auto"/>
        <w:right w:val="none" w:sz="0" w:space="0" w:color="auto"/>
      </w:divBdr>
    </w:div>
    <w:div w:id="263341289">
      <w:bodyDiv w:val="1"/>
      <w:marLeft w:val="0"/>
      <w:marRight w:val="0"/>
      <w:marTop w:val="0"/>
      <w:marBottom w:val="0"/>
      <w:divBdr>
        <w:top w:val="none" w:sz="0" w:space="0" w:color="auto"/>
        <w:left w:val="none" w:sz="0" w:space="0" w:color="auto"/>
        <w:bottom w:val="none" w:sz="0" w:space="0" w:color="auto"/>
        <w:right w:val="none" w:sz="0" w:space="0" w:color="auto"/>
      </w:divBdr>
    </w:div>
    <w:div w:id="264191027">
      <w:bodyDiv w:val="1"/>
      <w:marLeft w:val="0"/>
      <w:marRight w:val="0"/>
      <w:marTop w:val="0"/>
      <w:marBottom w:val="0"/>
      <w:divBdr>
        <w:top w:val="none" w:sz="0" w:space="0" w:color="auto"/>
        <w:left w:val="none" w:sz="0" w:space="0" w:color="auto"/>
        <w:bottom w:val="none" w:sz="0" w:space="0" w:color="auto"/>
        <w:right w:val="none" w:sz="0" w:space="0" w:color="auto"/>
      </w:divBdr>
    </w:div>
    <w:div w:id="273220438">
      <w:bodyDiv w:val="1"/>
      <w:marLeft w:val="0"/>
      <w:marRight w:val="0"/>
      <w:marTop w:val="0"/>
      <w:marBottom w:val="0"/>
      <w:divBdr>
        <w:top w:val="none" w:sz="0" w:space="0" w:color="auto"/>
        <w:left w:val="none" w:sz="0" w:space="0" w:color="auto"/>
        <w:bottom w:val="none" w:sz="0" w:space="0" w:color="auto"/>
        <w:right w:val="none" w:sz="0" w:space="0" w:color="auto"/>
      </w:divBdr>
    </w:div>
    <w:div w:id="276445991">
      <w:bodyDiv w:val="1"/>
      <w:marLeft w:val="0"/>
      <w:marRight w:val="0"/>
      <w:marTop w:val="0"/>
      <w:marBottom w:val="0"/>
      <w:divBdr>
        <w:top w:val="none" w:sz="0" w:space="0" w:color="auto"/>
        <w:left w:val="none" w:sz="0" w:space="0" w:color="auto"/>
        <w:bottom w:val="none" w:sz="0" w:space="0" w:color="auto"/>
        <w:right w:val="none" w:sz="0" w:space="0" w:color="auto"/>
      </w:divBdr>
    </w:div>
    <w:div w:id="277765091">
      <w:bodyDiv w:val="1"/>
      <w:marLeft w:val="0"/>
      <w:marRight w:val="0"/>
      <w:marTop w:val="0"/>
      <w:marBottom w:val="0"/>
      <w:divBdr>
        <w:top w:val="none" w:sz="0" w:space="0" w:color="auto"/>
        <w:left w:val="none" w:sz="0" w:space="0" w:color="auto"/>
        <w:bottom w:val="none" w:sz="0" w:space="0" w:color="auto"/>
        <w:right w:val="none" w:sz="0" w:space="0" w:color="auto"/>
      </w:divBdr>
    </w:div>
    <w:div w:id="279147131">
      <w:bodyDiv w:val="1"/>
      <w:marLeft w:val="0"/>
      <w:marRight w:val="0"/>
      <w:marTop w:val="0"/>
      <w:marBottom w:val="0"/>
      <w:divBdr>
        <w:top w:val="none" w:sz="0" w:space="0" w:color="auto"/>
        <w:left w:val="none" w:sz="0" w:space="0" w:color="auto"/>
        <w:bottom w:val="none" w:sz="0" w:space="0" w:color="auto"/>
        <w:right w:val="none" w:sz="0" w:space="0" w:color="auto"/>
      </w:divBdr>
    </w:div>
    <w:div w:id="285816889">
      <w:bodyDiv w:val="1"/>
      <w:marLeft w:val="0"/>
      <w:marRight w:val="0"/>
      <w:marTop w:val="0"/>
      <w:marBottom w:val="0"/>
      <w:divBdr>
        <w:top w:val="none" w:sz="0" w:space="0" w:color="auto"/>
        <w:left w:val="none" w:sz="0" w:space="0" w:color="auto"/>
        <w:bottom w:val="none" w:sz="0" w:space="0" w:color="auto"/>
        <w:right w:val="none" w:sz="0" w:space="0" w:color="auto"/>
      </w:divBdr>
    </w:div>
    <w:div w:id="302807253">
      <w:bodyDiv w:val="1"/>
      <w:marLeft w:val="0"/>
      <w:marRight w:val="0"/>
      <w:marTop w:val="0"/>
      <w:marBottom w:val="0"/>
      <w:divBdr>
        <w:top w:val="none" w:sz="0" w:space="0" w:color="auto"/>
        <w:left w:val="none" w:sz="0" w:space="0" w:color="auto"/>
        <w:bottom w:val="none" w:sz="0" w:space="0" w:color="auto"/>
        <w:right w:val="none" w:sz="0" w:space="0" w:color="auto"/>
      </w:divBdr>
    </w:div>
    <w:div w:id="307128184">
      <w:bodyDiv w:val="1"/>
      <w:marLeft w:val="0"/>
      <w:marRight w:val="0"/>
      <w:marTop w:val="0"/>
      <w:marBottom w:val="0"/>
      <w:divBdr>
        <w:top w:val="none" w:sz="0" w:space="0" w:color="auto"/>
        <w:left w:val="none" w:sz="0" w:space="0" w:color="auto"/>
        <w:bottom w:val="none" w:sz="0" w:space="0" w:color="auto"/>
        <w:right w:val="none" w:sz="0" w:space="0" w:color="auto"/>
      </w:divBdr>
    </w:div>
    <w:div w:id="308292823">
      <w:bodyDiv w:val="1"/>
      <w:marLeft w:val="0"/>
      <w:marRight w:val="0"/>
      <w:marTop w:val="0"/>
      <w:marBottom w:val="0"/>
      <w:divBdr>
        <w:top w:val="none" w:sz="0" w:space="0" w:color="auto"/>
        <w:left w:val="none" w:sz="0" w:space="0" w:color="auto"/>
        <w:bottom w:val="none" w:sz="0" w:space="0" w:color="auto"/>
        <w:right w:val="none" w:sz="0" w:space="0" w:color="auto"/>
      </w:divBdr>
    </w:div>
    <w:div w:id="311524073">
      <w:bodyDiv w:val="1"/>
      <w:marLeft w:val="0"/>
      <w:marRight w:val="0"/>
      <w:marTop w:val="0"/>
      <w:marBottom w:val="0"/>
      <w:divBdr>
        <w:top w:val="none" w:sz="0" w:space="0" w:color="auto"/>
        <w:left w:val="none" w:sz="0" w:space="0" w:color="auto"/>
        <w:bottom w:val="none" w:sz="0" w:space="0" w:color="auto"/>
        <w:right w:val="none" w:sz="0" w:space="0" w:color="auto"/>
      </w:divBdr>
    </w:div>
    <w:div w:id="318071383">
      <w:bodyDiv w:val="1"/>
      <w:marLeft w:val="0"/>
      <w:marRight w:val="0"/>
      <w:marTop w:val="0"/>
      <w:marBottom w:val="0"/>
      <w:divBdr>
        <w:top w:val="none" w:sz="0" w:space="0" w:color="auto"/>
        <w:left w:val="none" w:sz="0" w:space="0" w:color="auto"/>
        <w:bottom w:val="none" w:sz="0" w:space="0" w:color="auto"/>
        <w:right w:val="none" w:sz="0" w:space="0" w:color="auto"/>
      </w:divBdr>
    </w:div>
    <w:div w:id="319047465">
      <w:bodyDiv w:val="1"/>
      <w:marLeft w:val="0"/>
      <w:marRight w:val="0"/>
      <w:marTop w:val="0"/>
      <w:marBottom w:val="0"/>
      <w:divBdr>
        <w:top w:val="none" w:sz="0" w:space="0" w:color="auto"/>
        <w:left w:val="none" w:sz="0" w:space="0" w:color="auto"/>
        <w:bottom w:val="none" w:sz="0" w:space="0" w:color="auto"/>
        <w:right w:val="none" w:sz="0" w:space="0" w:color="auto"/>
      </w:divBdr>
    </w:div>
    <w:div w:id="320543731">
      <w:bodyDiv w:val="1"/>
      <w:marLeft w:val="0"/>
      <w:marRight w:val="0"/>
      <w:marTop w:val="0"/>
      <w:marBottom w:val="0"/>
      <w:divBdr>
        <w:top w:val="none" w:sz="0" w:space="0" w:color="auto"/>
        <w:left w:val="none" w:sz="0" w:space="0" w:color="auto"/>
        <w:bottom w:val="none" w:sz="0" w:space="0" w:color="auto"/>
        <w:right w:val="none" w:sz="0" w:space="0" w:color="auto"/>
      </w:divBdr>
    </w:div>
    <w:div w:id="325405970">
      <w:bodyDiv w:val="1"/>
      <w:marLeft w:val="0"/>
      <w:marRight w:val="0"/>
      <w:marTop w:val="0"/>
      <w:marBottom w:val="0"/>
      <w:divBdr>
        <w:top w:val="none" w:sz="0" w:space="0" w:color="auto"/>
        <w:left w:val="none" w:sz="0" w:space="0" w:color="auto"/>
        <w:bottom w:val="none" w:sz="0" w:space="0" w:color="auto"/>
        <w:right w:val="none" w:sz="0" w:space="0" w:color="auto"/>
      </w:divBdr>
    </w:div>
    <w:div w:id="330451919">
      <w:bodyDiv w:val="1"/>
      <w:marLeft w:val="0"/>
      <w:marRight w:val="0"/>
      <w:marTop w:val="0"/>
      <w:marBottom w:val="0"/>
      <w:divBdr>
        <w:top w:val="none" w:sz="0" w:space="0" w:color="auto"/>
        <w:left w:val="none" w:sz="0" w:space="0" w:color="auto"/>
        <w:bottom w:val="none" w:sz="0" w:space="0" w:color="auto"/>
        <w:right w:val="none" w:sz="0" w:space="0" w:color="auto"/>
      </w:divBdr>
    </w:div>
    <w:div w:id="334497668">
      <w:bodyDiv w:val="1"/>
      <w:marLeft w:val="0"/>
      <w:marRight w:val="0"/>
      <w:marTop w:val="0"/>
      <w:marBottom w:val="0"/>
      <w:divBdr>
        <w:top w:val="none" w:sz="0" w:space="0" w:color="auto"/>
        <w:left w:val="none" w:sz="0" w:space="0" w:color="auto"/>
        <w:bottom w:val="none" w:sz="0" w:space="0" w:color="auto"/>
        <w:right w:val="none" w:sz="0" w:space="0" w:color="auto"/>
      </w:divBdr>
    </w:div>
    <w:div w:id="337075023">
      <w:bodyDiv w:val="1"/>
      <w:marLeft w:val="0"/>
      <w:marRight w:val="0"/>
      <w:marTop w:val="0"/>
      <w:marBottom w:val="0"/>
      <w:divBdr>
        <w:top w:val="none" w:sz="0" w:space="0" w:color="auto"/>
        <w:left w:val="none" w:sz="0" w:space="0" w:color="auto"/>
        <w:bottom w:val="none" w:sz="0" w:space="0" w:color="auto"/>
        <w:right w:val="none" w:sz="0" w:space="0" w:color="auto"/>
      </w:divBdr>
    </w:div>
    <w:div w:id="349264053">
      <w:bodyDiv w:val="1"/>
      <w:marLeft w:val="0"/>
      <w:marRight w:val="0"/>
      <w:marTop w:val="0"/>
      <w:marBottom w:val="0"/>
      <w:divBdr>
        <w:top w:val="none" w:sz="0" w:space="0" w:color="auto"/>
        <w:left w:val="none" w:sz="0" w:space="0" w:color="auto"/>
        <w:bottom w:val="none" w:sz="0" w:space="0" w:color="auto"/>
        <w:right w:val="none" w:sz="0" w:space="0" w:color="auto"/>
      </w:divBdr>
    </w:div>
    <w:div w:id="359160433">
      <w:bodyDiv w:val="1"/>
      <w:marLeft w:val="0"/>
      <w:marRight w:val="0"/>
      <w:marTop w:val="0"/>
      <w:marBottom w:val="0"/>
      <w:divBdr>
        <w:top w:val="none" w:sz="0" w:space="0" w:color="auto"/>
        <w:left w:val="none" w:sz="0" w:space="0" w:color="auto"/>
        <w:bottom w:val="none" w:sz="0" w:space="0" w:color="auto"/>
        <w:right w:val="none" w:sz="0" w:space="0" w:color="auto"/>
      </w:divBdr>
    </w:div>
    <w:div w:id="360328168">
      <w:bodyDiv w:val="1"/>
      <w:marLeft w:val="0"/>
      <w:marRight w:val="0"/>
      <w:marTop w:val="0"/>
      <w:marBottom w:val="0"/>
      <w:divBdr>
        <w:top w:val="none" w:sz="0" w:space="0" w:color="auto"/>
        <w:left w:val="none" w:sz="0" w:space="0" w:color="auto"/>
        <w:bottom w:val="none" w:sz="0" w:space="0" w:color="auto"/>
        <w:right w:val="none" w:sz="0" w:space="0" w:color="auto"/>
      </w:divBdr>
    </w:div>
    <w:div w:id="362561459">
      <w:bodyDiv w:val="1"/>
      <w:marLeft w:val="0"/>
      <w:marRight w:val="0"/>
      <w:marTop w:val="0"/>
      <w:marBottom w:val="0"/>
      <w:divBdr>
        <w:top w:val="none" w:sz="0" w:space="0" w:color="auto"/>
        <w:left w:val="none" w:sz="0" w:space="0" w:color="auto"/>
        <w:bottom w:val="none" w:sz="0" w:space="0" w:color="auto"/>
        <w:right w:val="none" w:sz="0" w:space="0" w:color="auto"/>
      </w:divBdr>
    </w:div>
    <w:div w:id="368603829">
      <w:bodyDiv w:val="1"/>
      <w:marLeft w:val="0"/>
      <w:marRight w:val="0"/>
      <w:marTop w:val="0"/>
      <w:marBottom w:val="0"/>
      <w:divBdr>
        <w:top w:val="none" w:sz="0" w:space="0" w:color="auto"/>
        <w:left w:val="none" w:sz="0" w:space="0" w:color="auto"/>
        <w:bottom w:val="none" w:sz="0" w:space="0" w:color="auto"/>
        <w:right w:val="none" w:sz="0" w:space="0" w:color="auto"/>
      </w:divBdr>
    </w:div>
    <w:div w:id="369915369">
      <w:bodyDiv w:val="1"/>
      <w:marLeft w:val="0"/>
      <w:marRight w:val="0"/>
      <w:marTop w:val="0"/>
      <w:marBottom w:val="0"/>
      <w:divBdr>
        <w:top w:val="none" w:sz="0" w:space="0" w:color="auto"/>
        <w:left w:val="none" w:sz="0" w:space="0" w:color="auto"/>
        <w:bottom w:val="none" w:sz="0" w:space="0" w:color="auto"/>
        <w:right w:val="none" w:sz="0" w:space="0" w:color="auto"/>
      </w:divBdr>
    </w:div>
    <w:div w:id="372074821">
      <w:bodyDiv w:val="1"/>
      <w:marLeft w:val="0"/>
      <w:marRight w:val="0"/>
      <w:marTop w:val="0"/>
      <w:marBottom w:val="0"/>
      <w:divBdr>
        <w:top w:val="none" w:sz="0" w:space="0" w:color="auto"/>
        <w:left w:val="none" w:sz="0" w:space="0" w:color="auto"/>
        <w:bottom w:val="none" w:sz="0" w:space="0" w:color="auto"/>
        <w:right w:val="none" w:sz="0" w:space="0" w:color="auto"/>
      </w:divBdr>
    </w:div>
    <w:div w:id="381516869">
      <w:bodyDiv w:val="1"/>
      <w:marLeft w:val="0"/>
      <w:marRight w:val="0"/>
      <w:marTop w:val="0"/>
      <w:marBottom w:val="0"/>
      <w:divBdr>
        <w:top w:val="none" w:sz="0" w:space="0" w:color="auto"/>
        <w:left w:val="none" w:sz="0" w:space="0" w:color="auto"/>
        <w:bottom w:val="none" w:sz="0" w:space="0" w:color="auto"/>
        <w:right w:val="none" w:sz="0" w:space="0" w:color="auto"/>
      </w:divBdr>
    </w:div>
    <w:div w:id="387384063">
      <w:bodyDiv w:val="1"/>
      <w:marLeft w:val="0"/>
      <w:marRight w:val="0"/>
      <w:marTop w:val="0"/>
      <w:marBottom w:val="0"/>
      <w:divBdr>
        <w:top w:val="none" w:sz="0" w:space="0" w:color="auto"/>
        <w:left w:val="none" w:sz="0" w:space="0" w:color="auto"/>
        <w:bottom w:val="none" w:sz="0" w:space="0" w:color="auto"/>
        <w:right w:val="none" w:sz="0" w:space="0" w:color="auto"/>
      </w:divBdr>
    </w:div>
    <w:div w:id="391121928">
      <w:bodyDiv w:val="1"/>
      <w:marLeft w:val="0"/>
      <w:marRight w:val="0"/>
      <w:marTop w:val="0"/>
      <w:marBottom w:val="0"/>
      <w:divBdr>
        <w:top w:val="none" w:sz="0" w:space="0" w:color="auto"/>
        <w:left w:val="none" w:sz="0" w:space="0" w:color="auto"/>
        <w:bottom w:val="none" w:sz="0" w:space="0" w:color="auto"/>
        <w:right w:val="none" w:sz="0" w:space="0" w:color="auto"/>
      </w:divBdr>
    </w:div>
    <w:div w:id="394284486">
      <w:bodyDiv w:val="1"/>
      <w:marLeft w:val="0"/>
      <w:marRight w:val="0"/>
      <w:marTop w:val="0"/>
      <w:marBottom w:val="0"/>
      <w:divBdr>
        <w:top w:val="none" w:sz="0" w:space="0" w:color="auto"/>
        <w:left w:val="none" w:sz="0" w:space="0" w:color="auto"/>
        <w:bottom w:val="none" w:sz="0" w:space="0" w:color="auto"/>
        <w:right w:val="none" w:sz="0" w:space="0" w:color="auto"/>
      </w:divBdr>
    </w:div>
    <w:div w:id="396781683">
      <w:bodyDiv w:val="1"/>
      <w:marLeft w:val="0"/>
      <w:marRight w:val="0"/>
      <w:marTop w:val="0"/>
      <w:marBottom w:val="0"/>
      <w:divBdr>
        <w:top w:val="none" w:sz="0" w:space="0" w:color="auto"/>
        <w:left w:val="none" w:sz="0" w:space="0" w:color="auto"/>
        <w:bottom w:val="none" w:sz="0" w:space="0" w:color="auto"/>
        <w:right w:val="none" w:sz="0" w:space="0" w:color="auto"/>
      </w:divBdr>
    </w:div>
    <w:div w:id="399180929">
      <w:bodyDiv w:val="1"/>
      <w:marLeft w:val="0"/>
      <w:marRight w:val="0"/>
      <w:marTop w:val="0"/>
      <w:marBottom w:val="0"/>
      <w:divBdr>
        <w:top w:val="none" w:sz="0" w:space="0" w:color="auto"/>
        <w:left w:val="none" w:sz="0" w:space="0" w:color="auto"/>
        <w:bottom w:val="none" w:sz="0" w:space="0" w:color="auto"/>
        <w:right w:val="none" w:sz="0" w:space="0" w:color="auto"/>
      </w:divBdr>
    </w:div>
    <w:div w:id="399207762">
      <w:bodyDiv w:val="1"/>
      <w:marLeft w:val="0"/>
      <w:marRight w:val="0"/>
      <w:marTop w:val="0"/>
      <w:marBottom w:val="0"/>
      <w:divBdr>
        <w:top w:val="none" w:sz="0" w:space="0" w:color="auto"/>
        <w:left w:val="none" w:sz="0" w:space="0" w:color="auto"/>
        <w:bottom w:val="none" w:sz="0" w:space="0" w:color="auto"/>
        <w:right w:val="none" w:sz="0" w:space="0" w:color="auto"/>
      </w:divBdr>
    </w:div>
    <w:div w:id="399518813">
      <w:bodyDiv w:val="1"/>
      <w:marLeft w:val="0"/>
      <w:marRight w:val="0"/>
      <w:marTop w:val="0"/>
      <w:marBottom w:val="0"/>
      <w:divBdr>
        <w:top w:val="none" w:sz="0" w:space="0" w:color="auto"/>
        <w:left w:val="none" w:sz="0" w:space="0" w:color="auto"/>
        <w:bottom w:val="none" w:sz="0" w:space="0" w:color="auto"/>
        <w:right w:val="none" w:sz="0" w:space="0" w:color="auto"/>
      </w:divBdr>
    </w:div>
    <w:div w:id="400568598">
      <w:bodyDiv w:val="1"/>
      <w:marLeft w:val="0"/>
      <w:marRight w:val="0"/>
      <w:marTop w:val="0"/>
      <w:marBottom w:val="0"/>
      <w:divBdr>
        <w:top w:val="none" w:sz="0" w:space="0" w:color="auto"/>
        <w:left w:val="none" w:sz="0" w:space="0" w:color="auto"/>
        <w:bottom w:val="none" w:sz="0" w:space="0" w:color="auto"/>
        <w:right w:val="none" w:sz="0" w:space="0" w:color="auto"/>
      </w:divBdr>
    </w:div>
    <w:div w:id="404038124">
      <w:bodyDiv w:val="1"/>
      <w:marLeft w:val="0"/>
      <w:marRight w:val="0"/>
      <w:marTop w:val="0"/>
      <w:marBottom w:val="0"/>
      <w:divBdr>
        <w:top w:val="none" w:sz="0" w:space="0" w:color="auto"/>
        <w:left w:val="none" w:sz="0" w:space="0" w:color="auto"/>
        <w:bottom w:val="none" w:sz="0" w:space="0" w:color="auto"/>
        <w:right w:val="none" w:sz="0" w:space="0" w:color="auto"/>
      </w:divBdr>
    </w:div>
    <w:div w:id="411925442">
      <w:bodyDiv w:val="1"/>
      <w:marLeft w:val="0"/>
      <w:marRight w:val="0"/>
      <w:marTop w:val="0"/>
      <w:marBottom w:val="0"/>
      <w:divBdr>
        <w:top w:val="none" w:sz="0" w:space="0" w:color="auto"/>
        <w:left w:val="none" w:sz="0" w:space="0" w:color="auto"/>
        <w:bottom w:val="none" w:sz="0" w:space="0" w:color="auto"/>
        <w:right w:val="none" w:sz="0" w:space="0" w:color="auto"/>
      </w:divBdr>
    </w:div>
    <w:div w:id="412356463">
      <w:bodyDiv w:val="1"/>
      <w:marLeft w:val="0"/>
      <w:marRight w:val="0"/>
      <w:marTop w:val="0"/>
      <w:marBottom w:val="0"/>
      <w:divBdr>
        <w:top w:val="none" w:sz="0" w:space="0" w:color="auto"/>
        <w:left w:val="none" w:sz="0" w:space="0" w:color="auto"/>
        <w:bottom w:val="none" w:sz="0" w:space="0" w:color="auto"/>
        <w:right w:val="none" w:sz="0" w:space="0" w:color="auto"/>
      </w:divBdr>
    </w:div>
    <w:div w:id="422073792">
      <w:bodyDiv w:val="1"/>
      <w:marLeft w:val="0"/>
      <w:marRight w:val="0"/>
      <w:marTop w:val="0"/>
      <w:marBottom w:val="0"/>
      <w:divBdr>
        <w:top w:val="none" w:sz="0" w:space="0" w:color="auto"/>
        <w:left w:val="none" w:sz="0" w:space="0" w:color="auto"/>
        <w:bottom w:val="none" w:sz="0" w:space="0" w:color="auto"/>
        <w:right w:val="none" w:sz="0" w:space="0" w:color="auto"/>
      </w:divBdr>
    </w:div>
    <w:div w:id="428736610">
      <w:bodyDiv w:val="1"/>
      <w:marLeft w:val="0"/>
      <w:marRight w:val="0"/>
      <w:marTop w:val="0"/>
      <w:marBottom w:val="0"/>
      <w:divBdr>
        <w:top w:val="none" w:sz="0" w:space="0" w:color="auto"/>
        <w:left w:val="none" w:sz="0" w:space="0" w:color="auto"/>
        <w:bottom w:val="none" w:sz="0" w:space="0" w:color="auto"/>
        <w:right w:val="none" w:sz="0" w:space="0" w:color="auto"/>
      </w:divBdr>
    </w:div>
    <w:div w:id="429667446">
      <w:bodyDiv w:val="1"/>
      <w:marLeft w:val="0"/>
      <w:marRight w:val="0"/>
      <w:marTop w:val="0"/>
      <w:marBottom w:val="0"/>
      <w:divBdr>
        <w:top w:val="none" w:sz="0" w:space="0" w:color="auto"/>
        <w:left w:val="none" w:sz="0" w:space="0" w:color="auto"/>
        <w:bottom w:val="none" w:sz="0" w:space="0" w:color="auto"/>
        <w:right w:val="none" w:sz="0" w:space="0" w:color="auto"/>
      </w:divBdr>
    </w:div>
    <w:div w:id="430012135">
      <w:bodyDiv w:val="1"/>
      <w:marLeft w:val="0"/>
      <w:marRight w:val="0"/>
      <w:marTop w:val="0"/>
      <w:marBottom w:val="0"/>
      <w:divBdr>
        <w:top w:val="none" w:sz="0" w:space="0" w:color="auto"/>
        <w:left w:val="none" w:sz="0" w:space="0" w:color="auto"/>
        <w:bottom w:val="none" w:sz="0" w:space="0" w:color="auto"/>
        <w:right w:val="none" w:sz="0" w:space="0" w:color="auto"/>
      </w:divBdr>
    </w:div>
    <w:div w:id="433869780">
      <w:bodyDiv w:val="1"/>
      <w:marLeft w:val="0"/>
      <w:marRight w:val="0"/>
      <w:marTop w:val="0"/>
      <w:marBottom w:val="0"/>
      <w:divBdr>
        <w:top w:val="none" w:sz="0" w:space="0" w:color="auto"/>
        <w:left w:val="none" w:sz="0" w:space="0" w:color="auto"/>
        <w:bottom w:val="none" w:sz="0" w:space="0" w:color="auto"/>
        <w:right w:val="none" w:sz="0" w:space="0" w:color="auto"/>
      </w:divBdr>
    </w:div>
    <w:div w:id="436366486">
      <w:bodyDiv w:val="1"/>
      <w:marLeft w:val="0"/>
      <w:marRight w:val="0"/>
      <w:marTop w:val="0"/>
      <w:marBottom w:val="0"/>
      <w:divBdr>
        <w:top w:val="none" w:sz="0" w:space="0" w:color="auto"/>
        <w:left w:val="none" w:sz="0" w:space="0" w:color="auto"/>
        <w:bottom w:val="none" w:sz="0" w:space="0" w:color="auto"/>
        <w:right w:val="none" w:sz="0" w:space="0" w:color="auto"/>
      </w:divBdr>
    </w:div>
    <w:div w:id="440876435">
      <w:bodyDiv w:val="1"/>
      <w:marLeft w:val="0"/>
      <w:marRight w:val="0"/>
      <w:marTop w:val="0"/>
      <w:marBottom w:val="0"/>
      <w:divBdr>
        <w:top w:val="none" w:sz="0" w:space="0" w:color="auto"/>
        <w:left w:val="none" w:sz="0" w:space="0" w:color="auto"/>
        <w:bottom w:val="none" w:sz="0" w:space="0" w:color="auto"/>
        <w:right w:val="none" w:sz="0" w:space="0" w:color="auto"/>
      </w:divBdr>
    </w:div>
    <w:div w:id="447814964">
      <w:bodyDiv w:val="1"/>
      <w:marLeft w:val="0"/>
      <w:marRight w:val="0"/>
      <w:marTop w:val="0"/>
      <w:marBottom w:val="0"/>
      <w:divBdr>
        <w:top w:val="none" w:sz="0" w:space="0" w:color="auto"/>
        <w:left w:val="none" w:sz="0" w:space="0" w:color="auto"/>
        <w:bottom w:val="none" w:sz="0" w:space="0" w:color="auto"/>
        <w:right w:val="none" w:sz="0" w:space="0" w:color="auto"/>
      </w:divBdr>
    </w:div>
    <w:div w:id="449935613">
      <w:bodyDiv w:val="1"/>
      <w:marLeft w:val="0"/>
      <w:marRight w:val="0"/>
      <w:marTop w:val="0"/>
      <w:marBottom w:val="0"/>
      <w:divBdr>
        <w:top w:val="none" w:sz="0" w:space="0" w:color="auto"/>
        <w:left w:val="none" w:sz="0" w:space="0" w:color="auto"/>
        <w:bottom w:val="none" w:sz="0" w:space="0" w:color="auto"/>
        <w:right w:val="none" w:sz="0" w:space="0" w:color="auto"/>
      </w:divBdr>
    </w:div>
    <w:div w:id="449980263">
      <w:bodyDiv w:val="1"/>
      <w:marLeft w:val="0"/>
      <w:marRight w:val="0"/>
      <w:marTop w:val="0"/>
      <w:marBottom w:val="0"/>
      <w:divBdr>
        <w:top w:val="none" w:sz="0" w:space="0" w:color="auto"/>
        <w:left w:val="none" w:sz="0" w:space="0" w:color="auto"/>
        <w:bottom w:val="none" w:sz="0" w:space="0" w:color="auto"/>
        <w:right w:val="none" w:sz="0" w:space="0" w:color="auto"/>
      </w:divBdr>
    </w:div>
    <w:div w:id="454105480">
      <w:bodyDiv w:val="1"/>
      <w:marLeft w:val="0"/>
      <w:marRight w:val="0"/>
      <w:marTop w:val="0"/>
      <w:marBottom w:val="0"/>
      <w:divBdr>
        <w:top w:val="none" w:sz="0" w:space="0" w:color="auto"/>
        <w:left w:val="none" w:sz="0" w:space="0" w:color="auto"/>
        <w:bottom w:val="none" w:sz="0" w:space="0" w:color="auto"/>
        <w:right w:val="none" w:sz="0" w:space="0" w:color="auto"/>
      </w:divBdr>
    </w:div>
    <w:div w:id="455608661">
      <w:bodyDiv w:val="1"/>
      <w:marLeft w:val="0"/>
      <w:marRight w:val="0"/>
      <w:marTop w:val="0"/>
      <w:marBottom w:val="0"/>
      <w:divBdr>
        <w:top w:val="none" w:sz="0" w:space="0" w:color="auto"/>
        <w:left w:val="none" w:sz="0" w:space="0" w:color="auto"/>
        <w:bottom w:val="none" w:sz="0" w:space="0" w:color="auto"/>
        <w:right w:val="none" w:sz="0" w:space="0" w:color="auto"/>
      </w:divBdr>
    </w:div>
    <w:div w:id="457265660">
      <w:bodyDiv w:val="1"/>
      <w:marLeft w:val="0"/>
      <w:marRight w:val="0"/>
      <w:marTop w:val="0"/>
      <w:marBottom w:val="0"/>
      <w:divBdr>
        <w:top w:val="none" w:sz="0" w:space="0" w:color="auto"/>
        <w:left w:val="none" w:sz="0" w:space="0" w:color="auto"/>
        <w:bottom w:val="none" w:sz="0" w:space="0" w:color="auto"/>
        <w:right w:val="none" w:sz="0" w:space="0" w:color="auto"/>
      </w:divBdr>
    </w:div>
    <w:div w:id="458956760">
      <w:bodyDiv w:val="1"/>
      <w:marLeft w:val="0"/>
      <w:marRight w:val="0"/>
      <w:marTop w:val="0"/>
      <w:marBottom w:val="0"/>
      <w:divBdr>
        <w:top w:val="none" w:sz="0" w:space="0" w:color="auto"/>
        <w:left w:val="none" w:sz="0" w:space="0" w:color="auto"/>
        <w:bottom w:val="none" w:sz="0" w:space="0" w:color="auto"/>
        <w:right w:val="none" w:sz="0" w:space="0" w:color="auto"/>
      </w:divBdr>
    </w:div>
    <w:div w:id="462037833">
      <w:bodyDiv w:val="1"/>
      <w:marLeft w:val="0"/>
      <w:marRight w:val="0"/>
      <w:marTop w:val="0"/>
      <w:marBottom w:val="0"/>
      <w:divBdr>
        <w:top w:val="none" w:sz="0" w:space="0" w:color="auto"/>
        <w:left w:val="none" w:sz="0" w:space="0" w:color="auto"/>
        <w:bottom w:val="none" w:sz="0" w:space="0" w:color="auto"/>
        <w:right w:val="none" w:sz="0" w:space="0" w:color="auto"/>
      </w:divBdr>
    </w:div>
    <w:div w:id="462887176">
      <w:bodyDiv w:val="1"/>
      <w:marLeft w:val="0"/>
      <w:marRight w:val="0"/>
      <w:marTop w:val="0"/>
      <w:marBottom w:val="0"/>
      <w:divBdr>
        <w:top w:val="none" w:sz="0" w:space="0" w:color="auto"/>
        <w:left w:val="none" w:sz="0" w:space="0" w:color="auto"/>
        <w:bottom w:val="none" w:sz="0" w:space="0" w:color="auto"/>
        <w:right w:val="none" w:sz="0" w:space="0" w:color="auto"/>
      </w:divBdr>
    </w:div>
    <w:div w:id="463429756">
      <w:bodyDiv w:val="1"/>
      <w:marLeft w:val="0"/>
      <w:marRight w:val="0"/>
      <w:marTop w:val="0"/>
      <w:marBottom w:val="0"/>
      <w:divBdr>
        <w:top w:val="none" w:sz="0" w:space="0" w:color="auto"/>
        <w:left w:val="none" w:sz="0" w:space="0" w:color="auto"/>
        <w:bottom w:val="none" w:sz="0" w:space="0" w:color="auto"/>
        <w:right w:val="none" w:sz="0" w:space="0" w:color="auto"/>
      </w:divBdr>
    </w:div>
    <w:div w:id="465120520">
      <w:bodyDiv w:val="1"/>
      <w:marLeft w:val="0"/>
      <w:marRight w:val="0"/>
      <w:marTop w:val="0"/>
      <w:marBottom w:val="0"/>
      <w:divBdr>
        <w:top w:val="none" w:sz="0" w:space="0" w:color="auto"/>
        <w:left w:val="none" w:sz="0" w:space="0" w:color="auto"/>
        <w:bottom w:val="none" w:sz="0" w:space="0" w:color="auto"/>
        <w:right w:val="none" w:sz="0" w:space="0" w:color="auto"/>
      </w:divBdr>
    </w:div>
    <w:div w:id="467477862">
      <w:bodyDiv w:val="1"/>
      <w:marLeft w:val="0"/>
      <w:marRight w:val="0"/>
      <w:marTop w:val="0"/>
      <w:marBottom w:val="0"/>
      <w:divBdr>
        <w:top w:val="none" w:sz="0" w:space="0" w:color="auto"/>
        <w:left w:val="none" w:sz="0" w:space="0" w:color="auto"/>
        <w:bottom w:val="none" w:sz="0" w:space="0" w:color="auto"/>
        <w:right w:val="none" w:sz="0" w:space="0" w:color="auto"/>
      </w:divBdr>
    </w:div>
    <w:div w:id="474567310">
      <w:bodyDiv w:val="1"/>
      <w:marLeft w:val="0"/>
      <w:marRight w:val="0"/>
      <w:marTop w:val="0"/>
      <w:marBottom w:val="0"/>
      <w:divBdr>
        <w:top w:val="none" w:sz="0" w:space="0" w:color="auto"/>
        <w:left w:val="none" w:sz="0" w:space="0" w:color="auto"/>
        <w:bottom w:val="none" w:sz="0" w:space="0" w:color="auto"/>
        <w:right w:val="none" w:sz="0" w:space="0" w:color="auto"/>
      </w:divBdr>
    </w:div>
    <w:div w:id="476151457">
      <w:bodyDiv w:val="1"/>
      <w:marLeft w:val="0"/>
      <w:marRight w:val="0"/>
      <w:marTop w:val="0"/>
      <w:marBottom w:val="0"/>
      <w:divBdr>
        <w:top w:val="none" w:sz="0" w:space="0" w:color="auto"/>
        <w:left w:val="none" w:sz="0" w:space="0" w:color="auto"/>
        <w:bottom w:val="none" w:sz="0" w:space="0" w:color="auto"/>
        <w:right w:val="none" w:sz="0" w:space="0" w:color="auto"/>
      </w:divBdr>
    </w:div>
    <w:div w:id="476801940">
      <w:bodyDiv w:val="1"/>
      <w:marLeft w:val="0"/>
      <w:marRight w:val="0"/>
      <w:marTop w:val="0"/>
      <w:marBottom w:val="0"/>
      <w:divBdr>
        <w:top w:val="none" w:sz="0" w:space="0" w:color="auto"/>
        <w:left w:val="none" w:sz="0" w:space="0" w:color="auto"/>
        <w:bottom w:val="none" w:sz="0" w:space="0" w:color="auto"/>
        <w:right w:val="none" w:sz="0" w:space="0" w:color="auto"/>
      </w:divBdr>
    </w:div>
    <w:div w:id="476805203">
      <w:bodyDiv w:val="1"/>
      <w:marLeft w:val="0"/>
      <w:marRight w:val="0"/>
      <w:marTop w:val="0"/>
      <w:marBottom w:val="0"/>
      <w:divBdr>
        <w:top w:val="none" w:sz="0" w:space="0" w:color="auto"/>
        <w:left w:val="none" w:sz="0" w:space="0" w:color="auto"/>
        <w:bottom w:val="none" w:sz="0" w:space="0" w:color="auto"/>
        <w:right w:val="none" w:sz="0" w:space="0" w:color="auto"/>
      </w:divBdr>
    </w:div>
    <w:div w:id="478495661">
      <w:bodyDiv w:val="1"/>
      <w:marLeft w:val="0"/>
      <w:marRight w:val="0"/>
      <w:marTop w:val="0"/>
      <w:marBottom w:val="0"/>
      <w:divBdr>
        <w:top w:val="none" w:sz="0" w:space="0" w:color="auto"/>
        <w:left w:val="none" w:sz="0" w:space="0" w:color="auto"/>
        <w:bottom w:val="none" w:sz="0" w:space="0" w:color="auto"/>
        <w:right w:val="none" w:sz="0" w:space="0" w:color="auto"/>
      </w:divBdr>
    </w:div>
    <w:div w:id="480007309">
      <w:bodyDiv w:val="1"/>
      <w:marLeft w:val="0"/>
      <w:marRight w:val="0"/>
      <w:marTop w:val="0"/>
      <w:marBottom w:val="0"/>
      <w:divBdr>
        <w:top w:val="none" w:sz="0" w:space="0" w:color="auto"/>
        <w:left w:val="none" w:sz="0" w:space="0" w:color="auto"/>
        <w:bottom w:val="none" w:sz="0" w:space="0" w:color="auto"/>
        <w:right w:val="none" w:sz="0" w:space="0" w:color="auto"/>
      </w:divBdr>
    </w:div>
    <w:div w:id="481580632">
      <w:bodyDiv w:val="1"/>
      <w:marLeft w:val="0"/>
      <w:marRight w:val="0"/>
      <w:marTop w:val="0"/>
      <w:marBottom w:val="0"/>
      <w:divBdr>
        <w:top w:val="none" w:sz="0" w:space="0" w:color="auto"/>
        <w:left w:val="none" w:sz="0" w:space="0" w:color="auto"/>
        <w:bottom w:val="none" w:sz="0" w:space="0" w:color="auto"/>
        <w:right w:val="none" w:sz="0" w:space="0" w:color="auto"/>
      </w:divBdr>
    </w:div>
    <w:div w:id="488257268">
      <w:bodyDiv w:val="1"/>
      <w:marLeft w:val="0"/>
      <w:marRight w:val="0"/>
      <w:marTop w:val="0"/>
      <w:marBottom w:val="0"/>
      <w:divBdr>
        <w:top w:val="none" w:sz="0" w:space="0" w:color="auto"/>
        <w:left w:val="none" w:sz="0" w:space="0" w:color="auto"/>
        <w:bottom w:val="none" w:sz="0" w:space="0" w:color="auto"/>
        <w:right w:val="none" w:sz="0" w:space="0" w:color="auto"/>
      </w:divBdr>
    </w:div>
    <w:div w:id="493111849">
      <w:bodyDiv w:val="1"/>
      <w:marLeft w:val="0"/>
      <w:marRight w:val="0"/>
      <w:marTop w:val="0"/>
      <w:marBottom w:val="0"/>
      <w:divBdr>
        <w:top w:val="none" w:sz="0" w:space="0" w:color="auto"/>
        <w:left w:val="none" w:sz="0" w:space="0" w:color="auto"/>
        <w:bottom w:val="none" w:sz="0" w:space="0" w:color="auto"/>
        <w:right w:val="none" w:sz="0" w:space="0" w:color="auto"/>
      </w:divBdr>
    </w:div>
    <w:div w:id="500706413">
      <w:bodyDiv w:val="1"/>
      <w:marLeft w:val="0"/>
      <w:marRight w:val="0"/>
      <w:marTop w:val="0"/>
      <w:marBottom w:val="0"/>
      <w:divBdr>
        <w:top w:val="none" w:sz="0" w:space="0" w:color="auto"/>
        <w:left w:val="none" w:sz="0" w:space="0" w:color="auto"/>
        <w:bottom w:val="none" w:sz="0" w:space="0" w:color="auto"/>
        <w:right w:val="none" w:sz="0" w:space="0" w:color="auto"/>
      </w:divBdr>
    </w:div>
    <w:div w:id="504982334">
      <w:bodyDiv w:val="1"/>
      <w:marLeft w:val="0"/>
      <w:marRight w:val="0"/>
      <w:marTop w:val="0"/>
      <w:marBottom w:val="0"/>
      <w:divBdr>
        <w:top w:val="none" w:sz="0" w:space="0" w:color="auto"/>
        <w:left w:val="none" w:sz="0" w:space="0" w:color="auto"/>
        <w:bottom w:val="none" w:sz="0" w:space="0" w:color="auto"/>
        <w:right w:val="none" w:sz="0" w:space="0" w:color="auto"/>
      </w:divBdr>
    </w:div>
    <w:div w:id="505747643">
      <w:bodyDiv w:val="1"/>
      <w:marLeft w:val="0"/>
      <w:marRight w:val="0"/>
      <w:marTop w:val="0"/>
      <w:marBottom w:val="0"/>
      <w:divBdr>
        <w:top w:val="none" w:sz="0" w:space="0" w:color="auto"/>
        <w:left w:val="none" w:sz="0" w:space="0" w:color="auto"/>
        <w:bottom w:val="none" w:sz="0" w:space="0" w:color="auto"/>
        <w:right w:val="none" w:sz="0" w:space="0" w:color="auto"/>
      </w:divBdr>
    </w:div>
    <w:div w:id="510072759">
      <w:bodyDiv w:val="1"/>
      <w:marLeft w:val="0"/>
      <w:marRight w:val="0"/>
      <w:marTop w:val="0"/>
      <w:marBottom w:val="0"/>
      <w:divBdr>
        <w:top w:val="none" w:sz="0" w:space="0" w:color="auto"/>
        <w:left w:val="none" w:sz="0" w:space="0" w:color="auto"/>
        <w:bottom w:val="none" w:sz="0" w:space="0" w:color="auto"/>
        <w:right w:val="none" w:sz="0" w:space="0" w:color="auto"/>
      </w:divBdr>
    </w:div>
    <w:div w:id="515653018">
      <w:bodyDiv w:val="1"/>
      <w:marLeft w:val="0"/>
      <w:marRight w:val="0"/>
      <w:marTop w:val="0"/>
      <w:marBottom w:val="0"/>
      <w:divBdr>
        <w:top w:val="none" w:sz="0" w:space="0" w:color="auto"/>
        <w:left w:val="none" w:sz="0" w:space="0" w:color="auto"/>
        <w:bottom w:val="none" w:sz="0" w:space="0" w:color="auto"/>
        <w:right w:val="none" w:sz="0" w:space="0" w:color="auto"/>
      </w:divBdr>
    </w:div>
    <w:div w:id="515928121">
      <w:bodyDiv w:val="1"/>
      <w:marLeft w:val="0"/>
      <w:marRight w:val="0"/>
      <w:marTop w:val="0"/>
      <w:marBottom w:val="0"/>
      <w:divBdr>
        <w:top w:val="none" w:sz="0" w:space="0" w:color="auto"/>
        <w:left w:val="none" w:sz="0" w:space="0" w:color="auto"/>
        <w:bottom w:val="none" w:sz="0" w:space="0" w:color="auto"/>
        <w:right w:val="none" w:sz="0" w:space="0" w:color="auto"/>
      </w:divBdr>
    </w:div>
    <w:div w:id="516232333">
      <w:bodyDiv w:val="1"/>
      <w:marLeft w:val="0"/>
      <w:marRight w:val="0"/>
      <w:marTop w:val="0"/>
      <w:marBottom w:val="0"/>
      <w:divBdr>
        <w:top w:val="none" w:sz="0" w:space="0" w:color="auto"/>
        <w:left w:val="none" w:sz="0" w:space="0" w:color="auto"/>
        <w:bottom w:val="none" w:sz="0" w:space="0" w:color="auto"/>
        <w:right w:val="none" w:sz="0" w:space="0" w:color="auto"/>
      </w:divBdr>
    </w:div>
    <w:div w:id="518736760">
      <w:bodyDiv w:val="1"/>
      <w:marLeft w:val="0"/>
      <w:marRight w:val="0"/>
      <w:marTop w:val="0"/>
      <w:marBottom w:val="0"/>
      <w:divBdr>
        <w:top w:val="none" w:sz="0" w:space="0" w:color="auto"/>
        <w:left w:val="none" w:sz="0" w:space="0" w:color="auto"/>
        <w:bottom w:val="none" w:sz="0" w:space="0" w:color="auto"/>
        <w:right w:val="none" w:sz="0" w:space="0" w:color="auto"/>
      </w:divBdr>
    </w:div>
    <w:div w:id="523590278">
      <w:bodyDiv w:val="1"/>
      <w:marLeft w:val="0"/>
      <w:marRight w:val="0"/>
      <w:marTop w:val="0"/>
      <w:marBottom w:val="0"/>
      <w:divBdr>
        <w:top w:val="none" w:sz="0" w:space="0" w:color="auto"/>
        <w:left w:val="none" w:sz="0" w:space="0" w:color="auto"/>
        <w:bottom w:val="none" w:sz="0" w:space="0" w:color="auto"/>
        <w:right w:val="none" w:sz="0" w:space="0" w:color="auto"/>
      </w:divBdr>
    </w:div>
    <w:div w:id="529147704">
      <w:bodyDiv w:val="1"/>
      <w:marLeft w:val="0"/>
      <w:marRight w:val="0"/>
      <w:marTop w:val="0"/>
      <w:marBottom w:val="0"/>
      <w:divBdr>
        <w:top w:val="none" w:sz="0" w:space="0" w:color="auto"/>
        <w:left w:val="none" w:sz="0" w:space="0" w:color="auto"/>
        <w:bottom w:val="none" w:sz="0" w:space="0" w:color="auto"/>
        <w:right w:val="none" w:sz="0" w:space="0" w:color="auto"/>
      </w:divBdr>
    </w:div>
    <w:div w:id="535124463">
      <w:bodyDiv w:val="1"/>
      <w:marLeft w:val="0"/>
      <w:marRight w:val="0"/>
      <w:marTop w:val="0"/>
      <w:marBottom w:val="0"/>
      <w:divBdr>
        <w:top w:val="none" w:sz="0" w:space="0" w:color="auto"/>
        <w:left w:val="none" w:sz="0" w:space="0" w:color="auto"/>
        <w:bottom w:val="none" w:sz="0" w:space="0" w:color="auto"/>
        <w:right w:val="none" w:sz="0" w:space="0" w:color="auto"/>
      </w:divBdr>
    </w:div>
    <w:div w:id="535199635">
      <w:bodyDiv w:val="1"/>
      <w:marLeft w:val="0"/>
      <w:marRight w:val="0"/>
      <w:marTop w:val="0"/>
      <w:marBottom w:val="0"/>
      <w:divBdr>
        <w:top w:val="none" w:sz="0" w:space="0" w:color="auto"/>
        <w:left w:val="none" w:sz="0" w:space="0" w:color="auto"/>
        <w:bottom w:val="none" w:sz="0" w:space="0" w:color="auto"/>
        <w:right w:val="none" w:sz="0" w:space="0" w:color="auto"/>
      </w:divBdr>
    </w:div>
    <w:div w:id="538710114">
      <w:bodyDiv w:val="1"/>
      <w:marLeft w:val="0"/>
      <w:marRight w:val="0"/>
      <w:marTop w:val="0"/>
      <w:marBottom w:val="0"/>
      <w:divBdr>
        <w:top w:val="none" w:sz="0" w:space="0" w:color="auto"/>
        <w:left w:val="none" w:sz="0" w:space="0" w:color="auto"/>
        <w:bottom w:val="none" w:sz="0" w:space="0" w:color="auto"/>
        <w:right w:val="none" w:sz="0" w:space="0" w:color="auto"/>
      </w:divBdr>
    </w:div>
    <w:div w:id="538860685">
      <w:bodyDiv w:val="1"/>
      <w:marLeft w:val="0"/>
      <w:marRight w:val="0"/>
      <w:marTop w:val="0"/>
      <w:marBottom w:val="0"/>
      <w:divBdr>
        <w:top w:val="none" w:sz="0" w:space="0" w:color="auto"/>
        <w:left w:val="none" w:sz="0" w:space="0" w:color="auto"/>
        <w:bottom w:val="none" w:sz="0" w:space="0" w:color="auto"/>
        <w:right w:val="none" w:sz="0" w:space="0" w:color="auto"/>
      </w:divBdr>
    </w:div>
    <w:div w:id="539048483">
      <w:bodyDiv w:val="1"/>
      <w:marLeft w:val="0"/>
      <w:marRight w:val="0"/>
      <w:marTop w:val="0"/>
      <w:marBottom w:val="0"/>
      <w:divBdr>
        <w:top w:val="none" w:sz="0" w:space="0" w:color="auto"/>
        <w:left w:val="none" w:sz="0" w:space="0" w:color="auto"/>
        <w:bottom w:val="none" w:sz="0" w:space="0" w:color="auto"/>
        <w:right w:val="none" w:sz="0" w:space="0" w:color="auto"/>
      </w:divBdr>
      <w:divsChild>
        <w:div w:id="269166622">
          <w:marLeft w:val="547"/>
          <w:marRight w:val="0"/>
          <w:marTop w:val="0"/>
          <w:marBottom w:val="0"/>
          <w:divBdr>
            <w:top w:val="none" w:sz="0" w:space="0" w:color="auto"/>
            <w:left w:val="none" w:sz="0" w:space="0" w:color="auto"/>
            <w:bottom w:val="none" w:sz="0" w:space="0" w:color="auto"/>
            <w:right w:val="none" w:sz="0" w:space="0" w:color="auto"/>
          </w:divBdr>
        </w:div>
      </w:divsChild>
    </w:div>
    <w:div w:id="545604293">
      <w:bodyDiv w:val="1"/>
      <w:marLeft w:val="0"/>
      <w:marRight w:val="0"/>
      <w:marTop w:val="0"/>
      <w:marBottom w:val="0"/>
      <w:divBdr>
        <w:top w:val="none" w:sz="0" w:space="0" w:color="auto"/>
        <w:left w:val="none" w:sz="0" w:space="0" w:color="auto"/>
        <w:bottom w:val="none" w:sz="0" w:space="0" w:color="auto"/>
        <w:right w:val="none" w:sz="0" w:space="0" w:color="auto"/>
      </w:divBdr>
    </w:div>
    <w:div w:id="547841089">
      <w:bodyDiv w:val="1"/>
      <w:marLeft w:val="0"/>
      <w:marRight w:val="0"/>
      <w:marTop w:val="0"/>
      <w:marBottom w:val="0"/>
      <w:divBdr>
        <w:top w:val="none" w:sz="0" w:space="0" w:color="auto"/>
        <w:left w:val="none" w:sz="0" w:space="0" w:color="auto"/>
        <w:bottom w:val="none" w:sz="0" w:space="0" w:color="auto"/>
        <w:right w:val="none" w:sz="0" w:space="0" w:color="auto"/>
      </w:divBdr>
    </w:div>
    <w:div w:id="549339461">
      <w:bodyDiv w:val="1"/>
      <w:marLeft w:val="0"/>
      <w:marRight w:val="0"/>
      <w:marTop w:val="0"/>
      <w:marBottom w:val="0"/>
      <w:divBdr>
        <w:top w:val="none" w:sz="0" w:space="0" w:color="auto"/>
        <w:left w:val="none" w:sz="0" w:space="0" w:color="auto"/>
        <w:bottom w:val="none" w:sz="0" w:space="0" w:color="auto"/>
        <w:right w:val="none" w:sz="0" w:space="0" w:color="auto"/>
      </w:divBdr>
    </w:div>
    <w:div w:id="557010413">
      <w:bodyDiv w:val="1"/>
      <w:marLeft w:val="0"/>
      <w:marRight w:val="0"/>
      <w:marTop w:val="0"/>
      <w:marBottom w:val="0"/>
      <w:divBdr>
        <w:top w:val="none" w:sz="0" w:space="0" w:color="auto"/>
        <w:left w:val="none" w:sz="0" w:space="0" w:color="auto"/>
        <w:bottom w:val="none" w:sz="0" w:space="0" w:color="auto"/>
        <w:right w:val="none" w:sz="0" w:space="0" w:color="auto"/>
      </w:divBdr>
    </w:div>
    <w:div w:id="563416029">
      <w:bodyDiv w:val="1"/>
      <w:marLeft w:val="0"/>
      <w:marRight w:val="0"/>
      <w:marTop w:val="0"/>
      <w:marBottom w:val="0"/>
      <w:divBdr>
        <w:top w:val="none" w:sz="0" w:space="0" w:color="auto"/>
        <w:left w:val="none" w:sz="0" w:space="0" w:color="auto"/>
        <w:bottom w:val="none" w:sz="0" w:space="0" w:color="auto"/>
        <w:right w:val="none" w:sz="0" w:space="0" w:color="auto"/>
      </w:divBdr>
    </w:div>
    <w:div w:id="564025815">
      <w:bodyDiv w:val="1"/>
      <w:marLeft w:val="0"/>
      <w:marRight w:val="0"/>
      <w:marTop w:val="0"/>
      <w:marBottom w:val="0"/>
      <w:divBdr>
        <w:top w:val="none" w:sz="0" w:space="0" w:color="auto"/>
        <w:left w:val="none" w:sz="0" w:space="0" w:color="auto"/>
        <w:bottom w:val="none" w:sz="0" w:space="0" w:color="auto"/>
        <w:right w:val="none" w:sz="0" w:space="0" w:color="auto"/>
      </w:divBdr>
    </w:div>
    <w:div w:id="565147424">
      <w:bodyDiv w:val="1"/>
      <w:marLeft w:val="0"/>
      <w:marRight w:val="0"/>
      <w:marTop w:val="0"/>
      <w:marBottom w:val="0"/>
      <w:divBdr>
        <w:top w:val="none" w:sz="0" w:space="0" w:color="auto"/>
        <w:left w:val="none" w:sz="0" w:space="0" w:color="auto"/>
        <w:bottom w:val="none" w:sz="0" w:space="0" w:color="auto"/>
        <w:right w:val="none" w:sz="0" w:space="0" w:color="auto"/>
      </w:divBdr>
    </w:div>
    <w:div w:id="566040703">
      <w:bodyDiv w:val="1"/>
      <w:marLeft w:val="0"/>
      <w:marRight w:val="0"/>
      <w:marTop w:val="0"/>
      <w:marBottom w:val="0"/>
      <w:divBdr>
        <w:top w:val="none" w:sz="0" w:space="0" w:color="auto"/>
        <w:left w:val="none" w:sz="0" w:space="0" w:color="auto"/>
        <w:bottom w:val="none" w:sz="0" w:space="0" w:color="auto"/>
        <w:right w:val="none" w:sz="0" w:space="0" w:color="auto"/>
      </w:divBdr>
    </w:div>
    <w:div w:id="566303049">
      <w:bodyDiv w:val="1"/>
      <w:marLeft w:val="0"/>
      <w:marRight w:val="0"/>
      <w:marTop w:val="0"/>
      <w:marBottom w:val="0"/>
      <w:divBdr>
        <w:top w:val="none" w:sz="0" w:space="0" w:color="auto"/>
        <w:left w:val="none" w:sz="0" w:space="0" w:color="auto"/>
        <w:bottom w:val="none" w:sz="0" w:space="0" w:color="auto"/>
        <w:right w:val="none" w:sz="0" w:space="0" w:color="auto"/>
      </w:divBdr>
    </w:div>
    <w:div w:id="570963003">
      <w:bodyDiv w:val="1"/>
      <w:marLeft w:val="0"/>
      <w:marRight w:val="0"/>
      <w:marTop w:val="0"/>
      <w:marBottom w:val="0"/>
      <w:divBdr>
        <w:top w:val="none" w:sz="0" w:space="0" w:color="auto"/>
        <w:left w:val="none" w:sz="0" w:space="0" w:color="auto"/>
        <w:bottom w:val="none" w:sz="0" w:space="0" w:color="auto"/>
        <w:right w:val="none" w:sz="0" w:space="0" w:color="auto"/>
      </w:divBdr>
    </w:div>
    <w:div w:id="574050261">
      <w:bodyDiv w:val="1"/>
      <w:marLeft w:val="0"/>
      <w:marRight w:val="0"/>
      <w:marTop w:val="0"/>
      <w:marBottom w:val="0"/>
      <w:divBdr>
        <w:top w:val="none" w:sz="0" w:space="0" w:color="auto"/>
        <w:left w:val="none" w:sz="0" w:space="0" w:color="auto"/>
        <w:bottom w:val="none" w:sz="0" w:space="0" w:color="auto"/>
        <w:right w:val="none" w:sz="0" w:space="0" w:color="auto"/>
      </w:divBdr>
    </w:div>
    <w:div w:id="578518831">
      <w:bodyDiv w:val="1"/>
      <w:marLeft w:val="0"/>
      <w:marRight w:val="0"/>
      <w:marTop w:val="0"/>
      <w:marBottom w:val="0"/>
      <w:divBdr>
        <w:top w:val="none" w:sz="0" w:space="0" w:color="auto"/>
        <w:left w:val="none" w:sz="0" w:space="0" w:color="auto"/>
        <w:bottom w:val="none" w:sz="0" w:space="0" w:color="auto"/>
        <w:right w:val="none" w:sz="0" w:space="0" w:color="auto"/>
      </w:divBdr>
      <w:divsChild>
        <w:div w:id="582104082">
          <w:marLeft w:val="0"/>
          <w:marRight w:val="0"/>
          <w:marTop w:val="0"/>
          <w:marBottom w:val="0"/>
          <w:divBdr>
            <w:top w:val="none" w:sz="0" w:space="0" w:color="auto"/>
            <w:left w:val="none" w:sz="0" w:space="0" w:color="auto"/>
            <w:bottom w:val="none" w:sz="0" w:space="0" w:color="auto"/>
            <w:right w:val="none" w:sz="0" w:space="0" w:color="auto"/>
          </w:divBdr>
          <w:divsChild>
            <w:div w:id="71226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14616">
      <w:bodyDiv w:val="1"/>
      <w:marLeft w:val="0"/>
      <w:marRight w:val="0"/>
      <w:marTop w:val="0"/>
      <w:marBottom w:val="0"/>
      <w:divBdr>
        <w:top w:val="none" w:sz="0" w:space="0" w:color="auto"/>
        <w:left w:val="none" w:sz="0" w:space="0" w:color="auto"/>
        <w:bottom w:val="none" w:sz="0" w:space="0" w:color="auto"/>
        <w:right w:val="none" w:sz="0" w:space="0" w:color="auto"/>
      </w:divBdr>
    </w:div>
    <w:div w:id="578946627">
      <w:bodyDiv w:val="1"/>
      <w:marLeft w:val="0"/>
      <w:marRight w:val="0"/>
      <w:marTop w:val="0"/>
      <w:marBottom w:val="0"/>
      <w:divBdr>
        <w:top w:val="none" w:sz="0" w:space="0" w:color="auto"/>
        <w:left w:val="none" w:sz="0" w:space="0" w:color="auto"/>
        <w:bottom w:val="none" w:sz="0" w:space="0" w:color="auto"/>
        <w:right w:val="none" w:sz="0" w:space="0" w:color="auto"/>
      </w:divBdr>
    </w:div>
    <w:div w:id="580484925">
      <w:bodyDiv w:val="1"/>
      <w:marLeft w:val="0"/>
      <w:marRight w:val="0"/>
      <w:marTop w:val="0"/>
      <w:marBottom w:val="0"/>
      <w:divBdr>
        <w:top w:val="none" w:sz="0" w:space="0" w:color="auto"/>
        <w:left w:val="none" w:sz="0" w:space="0" w:color="auto"/>
        <w:bottom w:val="none" w:sz="0" w:space="0" w:color="auto"/>
        <w:right w:val="none" w:sz="0" w:space="0" w:color="auto"/>
      </w:divBdr>
    </w:div>
    <w:div w:id="581526770">
      <w:bodyDiv w:val="1"/>
      <w:marLeft w:val="0"/>
      <w:marRight w:val="0"/>
      <w:marTop w:val="0"/>
      <w:marBottom w:val="0"/>
      <w:divBdr>
        <w:top w:val="none" w:sz="0" w:space="0" w:color="auto"/>
        <w:left w:val="none" w:sz="0" w:space="0" w:color="auto"/>
        <w:bottom w:val="none" w:sz="0" w:space="0" w:color="auto"/>
        <w:right w:val="none" w:sz="0" w:space="0" w:color="auto"/>
      </w:divBdr>
    </w:div>
    <w:div w:id="582689336">
      <w:bodyDiv w:val="1"/>
      <w:marLeft w:val="0"/>
      <w:marRight w:val="0"/>
      <w:marTop w:val="0"/>
      <w:marBottom w:val="0"/>
      <w:divBdr>
        <w:top w:val="none" w:sz="0" w:space="0" w:color="auto"/>
        <w:left w:val="none" w:sz="0" w:space="0" w:color="auto"/>
        <w:bottom w:val="none" w:sz="0" w:space="0" w:color="auto"/>
        <w:right w:val="none" w:sz="0" w:space="0" w:color="auto"/>
      </w:divBdr>
    </w:div>
    <w:div w:id="586424843">
      <w:bodyDiv w:val="1"/>
      <w:marLeft w:val="0"/>
      <w:marRight w:val="0"/>
      <w:marTop w:val="0"/>
      <w:marBottom w:val="0"/>
      <w:divBdr>
        <w:top w:val="none" w:sz="0" w:space="0" w:color="auto"/>
        <w:left w:val="none" w:sz="0" w:space="0" w:color="auto"/>
        <w:bottom w:val="none" w:sz="0" w:space="0" w:color="auto"/>
        <w:right w:val="none" w:sz="0" w:space="0" w:color="auto"/>
      </w:divBdr>
    </w:div>
    <w:div w:id="586691821">
      <w:bodyDiv w:val="1"/>
      <w:marLeft w:val="0"/>
      <w:marRight w:val="0"/>
      <w:marTop w:val="0"/>
      <w:marBottom w:val="0"/>
      <w:divBdr>
        <w:top w:val="none" w:sz="0" w:space="0" w:color="auto"/>
        <w:left w:val="none" w:sz="0" w:space="0" w:color="auto"/>
        <w:bottom w:val="none" w:sz="0" w:space="0" w:color="auto"/>
        <w:right w:val="none" w:sz="0" w:space="0" w:color="auto"/>
      </w:divBdr>
    </w:div>
    <w:div w:id="591427654">
      <w:bodyDiv w:val="1"/>
      <w:marLeft w:val="0"/>
      <w:marRight w:val="0"/>
      <w:marTop w:val="0"/>
      <w:marBottom w:val="0"/>
      <w:divBdr>
        <w:top w:val="none" w:sz="0" w:space="0" w:color="auto"/>
        <w:left w:val="none" w:sz="0" w:space="0" w:color="auto"/>
        <w:bottom w:val="none" w:sz="0" w:space="0" w:color="auto"/>
        <w:right w:val="none" w:sz="0" w:space="0" w:color="auto"/>
      </w:divBdr>
    </w:div>
    <w:div w:id="594288413">
      <w:bodyDiv w:val="1"/>
      <w:marLeft w:val="0"/>
      <w:marRight w:val="0"/>
      <w:marTop w:val="0"/>
      <w:marBottom w:val="0"/>
      <w:divBdr>
        <w:top w:val="none" w:sz="0" w:space="0" w:color="auto"/>
        <w:left w:val="none" w:sz="0" w:space="0" w:color="auto"/>
        <w:bottom w:val="none" w:sz="0" w:space="0" w:color="auto"/>
        <w:right w:val="none" w:sz="0" w:space="0" w:color="auto"/>
      </w:divBdr>
    </w:div>
    <w:div w:id="595599699">
      <w:bodyDiv w:val="1"/>
      <w:marLeft w:val="0"/>
      <w:marRight w:val="0"/>
      <w:marTop w:val="0"/>
      <w:marBottom w:val="0"/>
      <w:divBdr>
        <w:top w:val="none" w:sz="0" w:space="0" w:color="auto"/>
        <w:left w:val="none" w:sz="0" w:space="0" w:color="auto"/>
        <w:bottom w:val="none" w:sz="0" w:space="0" w:color="auto"/>
        <w:right w:val="none" w:sz="0" w:space="0" w:color="auto"/>
      </w:divBdr>
    </w:div>
    <w:div w:id="599609702">
      <w:bodyDiv w:val="1"/>
      <w:marLeft w:val="0"/>
      <w:marRight w:val="0"/>
      <w:marTop w:val="0"/>
      <w:marBottom w:val="0"/>
      <w:divBdr>
        <w:top w:val="none" w:sz="0" w:space="0" w:color="auto"/>
        <w:left w:val="none" w:sz="0" w:space="0" w:color="auto"/>
        <w:bottom w:val="none" w:sz="0" w:space="0" w:color="auto"/>
        <w:right w:val="none" w:sz="0" w:space="0" w:color="auto"/>
      </w:divBdr>
    </w:div>
    <w:div w:id="603222420">
      <w:bodyDiv w:val="1"/>
      <w:marLeft w:val="0"/>
      <w:marRight w:val="0"/>
      <w:marTop w:val="0"/>
      <w:marBottom w:val="0"/>
      <w:divBdr>
        <w:top w:val="none" w:sz="0" w:space="0" w:color="auto"/>
        <w:left w:val="none" w:sz="0" w:space="0" w:color="auto"/>
        <w:bottom w:val="none" w:sz="0" w:space="0" w:color="auto"/>
        <w:right w:val="none" w:sz="0" w:space="0" w:color="auto"/>
      </w:divBdr>
    </w:div>
    <w:div w:id="605382256">
      <w:bodyDiv w:val="1"/>
      <w:marLeft w:val="0"/>
      <w:marRight w:val="0"/>
      <w:marTop w:val="0"/>
      <w:marBottom w:val="0"/>
      <w:divBdr>
        <w:top w:val="none" w:sz="0" w:space="0" w:color="auto"/>
        <w:left w:val="none" w:sz="0" w:space="0" w:color="auto"/>
        <w:bottom w:val="none" w:sz="0" w:space="0" w:color="auto"/>
        <w:right w:val="none" w:sz="0" w:space="0" w:color="auto"/>
      </w:divBdr>
    </w:div>
    <w:div w:id="606277861">
      <w:bodyDiv w:val="1"/>
      <w:marLeft w:val="0"/>
      <w:marRight w:val="0"/>
      <w:marTop w:val="0"/>
      <w:marBottom w:val="0"/>
      <w:divBdr>
        <w:top w:val="none" w:sz="0" w:space="0" w:color="auto"/>
        <w:left w:val="none" w:sz="0" w:space="0" w:color="auto"/>
        <w:bottom w:val="none" w:sz="0" w:space="0" w:color="auto"/>
        <w:right w:val="none" w:sz="0" w:space="0" w:color="auto"/>
      </w:divBdr>
    </w:div>
    <w:div w:id="606306093">
      <w:bodyDiv w:val="1"/>
      <w:marLeft w:val="0"/>
      <w:marRight w:val="0"/>
      <w:marTop w:val="0"/>
      <w:marBottom w:val="0"/>
      <w:divBdr>
        <w:top w:val="none" w:sz="0" w:space="0" w:color="auto"/>
        <w:left w:val="none" w:sz="0" w:space="0" w:color="auto"/>
        <w:bottom w:val="none" w:sz="0" w:space="0" w:color="auto"/>
        <w:right w:val="none" w:sz="0" w:space="0" w:color="auto"/>
      </w:divBdr>
    </w:div>
    <w:div w:id="606616131">
      <w:bodyDiv w:val="1"/>
      <w:marLeft w:val="0"/>
      <w:marRight w:val="0"/>
      <w:marTop w:val="0"/>
      <w:marBottom w:val="0"/>
      <w:divBdr>
        <w:top w:val="none" w:sz="0" w:space="0" w:color="auto"/>
        <w:left w:val="none" w:sz="0" w:space="0" w:color="auto"/>
        <w:bottom w:val="none" w:sz="0" w:space="0" w:color="auto"/>
        <w:right w:val="none" w:sz="0" w:space="0" w:color="auto"/>
      </w:divBdr>
    </w:div>
    <w:div w:id="617877947">
      <w:bodyDiv w:val="1"/>
      <w:marLeft w:val="0"/>
      <w:marRight w:val="0"/>
      <w:marTop w:val="0"/>
      <w:marBottom w:val="0"/>
      <w:divBdr>
        <w:top w:val="none" w:sz="0" w:space="0" w:color="auto"/>
        <w:left w:val="none" w:sz="0" w:space="0" w:color="auto"/>
        <w:bottom w:val="none" w:sz="0" w:space="0" w:color="auto"/>
        <w:right w:val="none" w:sz="0" w:space="0" w:color="auto"/>
      </w:divBdr>
    </w:div>
    <w:div w:id="619145266">
      <w:bodyDiv w:val="1"/>
      <w:marLeft w:val="0"/>
      <w:marRight w:val="0"/>
      <w:marTop w:val="0"/>
      <w:marBottom w:val="0"/>
      <w:divBdr>
        <w:top w:val="none" w:sz="0" w:space="0" w:color="auto"/>
        <w:left w:val="none" w:sz="0" w:space="0" w:color="auto"/>
        <w:bottom w:val="none" w:sz="0" w:space="0" w:color="auto"/>
        <w:right w:val="none" w:sz="0" w:space="0" w:color="auto"/>
      </w:divBdr>
    </w:div>
    <w:div w:id="626473892">
      <w:bodyDiv w:val="1"/>
      <w:marLeft w:val="0"/>
      <w:marRight w:val="0"/>
      <w:marTop w:val="0"/>
      <w:marBottom w:val="0"/>
      <w:divBdr>
        <w:top w:val="none" w:sz="0" w:space="0" w:color="auto"/>
        <w:left w:val="none" w:sz="0" w:space="0" w:color="auto"/>
        <w:bottom w:val="none" w:sz="0" w:space="0" w:color="auto"/>
        <w:right w:val="none" w:sz="0" w:space="0" w:color="auto"/>
      </w:divBdr>
    </w:div>
    <w:div w:id="628435973">
      <w:bodyDiv w:val="1"/>
      <w:marLeft w:val="0"/>
      <w:marRight w:val="0"/>
      <w:marTop w:val="0"/>
      <w:marBottom w:val="0"/>
      <w:divBdr>
        <w:top w:val="none" w:sz="0" w:space="0" w:color="auto"/>
        <w:left w:val="none" w:sz="0" w:space="0" w:color="auto"/>
        <w:bottom w:val="none" w:sz="0" w:space="0" w:color="auto"/>
        <w:right w:val="none" w:sz="0" w:space="0" w:color="auto"/>
      </w:divBdr>
    </w:div>
    <w:div w:id="630020677">
      <w:bodyDiv w:val="1"/>
      <w:marLeft w:val="0"/>
      <w:marRight w:val="0"/>
      <w:marTop w:val="0"/>
      <w:marBottom w:val="0"/>
      <w:divBdr>
        <w:top w:val="none" w:sz="0" w:space="0" w:color="auto"/>
        <w:left w:val="none" w:sz="0" w:space="0" w:color="auto"/>
        <w:bottom w:val="none" w:sz="0" w:space="0" w:color="auto"/>
        <w:right w:val="none" w:sz="0" w:space="0" w:color="auto"/>
      </w:divBdr>
    </w:div>
    <w:div w:id="635918676">
      <w:bodyDiv w:val="1"/>
      <w:marLeft w:val="0"/>
      <w:marRight w:val="0"/>
      <w:marTop w:val="0"/>
      <w:marBottom w:val="0"/>
      <w:divBdr>
        <w:top w:val="none" w:sz="0" w:space="0" w:color="auto"/>
        <w:left w:val="none" w:sz="0" w:space="0" w:color="auto"/>
        <w:bottom w:val="none" w:sz="0" w:space="0" w:color="auto"/>
        <w:right w:val="none" w:sz="0" w:space="0" w:color="auto"/>
      </w:divBdr>
    </w:div>
    <w:div w:id="637032887">
      <w:bodyDiv w:val="1"/>
      <w:marLeft w:val="0"/>
      <w:marRight w:val="0"/>
      <w:marTop w:val="0"/>
      <w:marBottom w:val="0"/>
      <w:divBdr>
        <w:top w:val="none" w:sz="0" w:space="0" w:color="auto"/>
        <w:left w:val="none" w:sz="0" w:space="0" w:color="auto"/>
        <w:bottom w:val="none" w:sz="0" w:space="0" w:color="auto"/>
        <w:right w:val="none" w:sz="0" w:space="0" w:color="auto"/>
      </w:divBdr>
    </w:div>
    <w:div w:id="638654173">
      <w:bodyDiv w:val="1"/>
      <w:marLeft w:val="0"/>
      <w:marRight w:val="0"/>
      <w:marTop w:val="0"/>
      <w:marBottom w:val="0"/>
      <w:divBdr>
        <w:top w:val="none" w:sz="0" w:space="0" w:color="auto"/>
        <w:left w:val="none" w:sz="0" w:space="0" w:color="auto"/>
        <w:bottom w:val="none" w:sz="0" w:space="0" w:color="auto"/>
        <w:right w:val="none" w:sz="0" w:space="0" w:color="auto"/>
      </w:divBdr>
    </w:div>
    <w:div w:id="642659035">
      <w:bodyDiv w:val="1"/>
      <w:marLeft w:val="0"/>
      <w:marRight w:val="0"/>
      <w:marTop w:val="0"/>
      <w:marBottom w:val="0"/>
      <w:divBdr>
        <w:top w:val="none" w:sz="0" w:space="0" w:color="auto"/>
        <w:left w:val="none" w:sz="0" w:space="0" w:color="auto"/>
        <w:bottom w:val="none" w:sz="0" w:space="0" w:color="auto"/>
        <w:right w:val="none" w:sz="0" w:space="0" w:color="auto"/>
      </w:divBdr>
    </w:div>
    <w:div w:id="645402608">
      <w:bodyDiv w:val="1"/>
      <w:marLeft w:val="0"/>
      <w:marRight w:val="0"/>
      <w:marTop w:val="0"/>
      <w:marBottom w:val="0"/>
      <w:divBdr>
        <w:top w:val="none" w:sz="0" w:space="0" w:color="auto"/>
        <w:left w:val="none" w:sz="0" w:space="0" w:color="auto"/>
        <w:bottom w:val="none" w:sz="0" w:space="0" w:color="auto"/>
        <w:right w:val="none" w:sz="0" w:space="0" w:color="auto"/>
      </w:divBdr>
    </w:div>
    <w:div w:id="650600566">
      <w:bodyDiv w:val="1"/>
      <w:marLeft w:val="0"/>
      <w:marRight w:val="0"/>
      <w:marTop w:val="0"/>
      <w:marBottom w:val="0"/>
      <w:divBdr>
        <w:top w:val="none" w:sz="0" w:space="0" w:color="auto"/>
        <w:left w:val="none" w:sz="0" w:space="0" w:color="auto"/>
        <w:bottom w:val="none" w:sz="0" w:space="0" w:color="auto"/>
        <w:right w:val="none" w:sz="0" w:space="0" w:color="auto"/>
      </w:divBdr>
    </w:div>
    <w:div w:id="662010252">
      <w:bodyDiv w:val="1"/>
      <w:marLeft w:val="0"/>
      <w:marRight w:val="0"/>
      <w:marTop w:val="0"/>
      <w:marBottom w:val="0"/>
      <w:divBdr>
        <w:top w:val="none" w:sz="0" w:space="0" w:color="auto"/>
        <w:left w:val="none" w:sz="0" w:space="0" w:color="auto"/>
        <w:bottom w:val="none" w:sz="0" w:space="0" w:color="auto"/>
        <w:right w:val="none" w:sz="0" w:space="0" w:color="auto"/>
      </w:divBdr>
    </w:div>
    <w:div w:id="666710838">
      <w:bodyDiv w:val="1"/>
      <w:marLeft w:val="0"/>
      <w:marRight w:val="0"/>
      <w:marTop w:val="0"/>
      <w:marBottom w:val="0"/>
      <w:divBdr>
        <w:top w:val="none" w:sz="0" w:space="0" w:color="auto"/>
        <w:left w:val="none" w:sz="0" w:space="0" w:color="auto"/>
        <w:bottom w:val="none" w:sz="0" w:space="0" w:color="auto"/>
        <w:right w:val="none" w:sz="0" w:space="0" w:color="auto"/>
      </w:divBdr>
    </w:div>
    <w:div w:id="677390707">
      <w:bodyDiv w:val="1"/>
      <w:marLeft w:val="0"/>
      <w:marRight w:val="0"/>
      <w:marTop w:val="0"/>
      <w:marBottom w:val="0"/>
      <w:divBdr>
        <w:top w:val="none" w:sz="0" w:space="0" w:color="auto"/>
        <w:left w:val="none" w:sz="0" w:space="0" w:color="auto"/>
        <w:bottom w:val="none" w:sz="0" w:space="0" w:color="auto"/>
        <w:right w:val="none" w:sz="0" w:space="0" w:color="auto"/>
      </w:divBdr>
    </w:div>
    <w:div w:id="677729705">
      <w:bodyDiv w:val="1"/>
      <w:marLeft w:val="0"/>
      <w:marRight w:val="0"/>
      <w:marTop w:val="0"/>
      <w:marBottom w:val="0"/>
      <w:divBdr>
        <w:top w:val="none" w:sz="0" w:space="0" w:color="auto"/>
        <w:left w:val="none" w:sz="0" w:space="0" w:color="auto"/>
        <w:bottom w:val="none" w:sz="0" w:space="0" w:color="auto"/>
        <w:right w:val="none" w:sz="0" w:space="0" w:color="auto"/>
      </w:divBdr>
    </w:div>
    <w:div w:id="678971902">
      <w:bodyDiv w:val="1"/>
      <w:marLeft w:val="0"/>
      <w:marRight w:val="0"/>
      <w:marTop w:val="0"/>
      <w:marBottom w:val="0"/>
      <w:divBdr>
        <w:top w:val="none" w:sz="0" w:space="0" w:color="auto"/>
        <w:left w:val="none" w:sz="0" w:space="0" w:color="auto"/>
        <w:bottom w:val="none" w:sz="0" w:space="0" w:color="auto"/>
        <w:right w:val="none" w:sz="0" w:space="0" w:color="auto"/>
      </w:divBdr>
    </w:div>
    <w:div w:id="683021932">
      <w:bodyDiv w:val="1"/>
      <w:marLeft w:val="0"/>
      <w:marRight w:val="0"/>
      <w:marTop w:val="0"/>
      <w:marBottom w:val="0"/>
      <w:divBdr>
        <w:top w:val="none" w:sz="0" w:space="0" w:color="auto"/>
        <w:left w:val="none" w:sz="0" w:space="0" w:color="auto"/>
        <w:bottom w:val="none" w:sz="0" w:space="0" w:color="auto"/>
        <w:right w:val="none" w:sz="0" w:space="0" w:color="auto"/>
      </w:divBdr>
    </w:div>
    <w:div w:id="693382170">
      <w:bodyDiv w:val="1"/>
      <w:marLeft w:val="0"/>
      <w:marRight w:val="0"/>
      <w:marTop w:val="0"/>
      <w:marBottom w:val="0"/>
      <w:divBdr>
        <w:top w:val="none" w:sz="0" w:space="0" w:color="auto"/>
        <w:left w:val="none" w:sz="0" w:space="0" w:color="auto"/>
        <w:bottom w:val="none" w:sz="0" w:space="0" w:color="auto"/>
        <w:right w:val="none" w:sz="0" w:space="0" w:color="auto"/>
      </w:divBdr>
    </w:div>
    <w:div w:id="695934352">
      <w:bodyDiv w:val="1"/>
      <w:marLeft w:val="0"/>
      <w:marRight w:val="0"/>
      <w:marTop w:val="0"/>
      <w:marBottom w:val="0"/>
      <w:divBdr>
        <w:top w:val="none" w:sz="0" w:space="0" w:color="auto"/>
        <w:left w:val="none" w:sz="0" w:space="0" w:color="auto"/>
        <w:bottom w:val="none" w:sz="0" w:space="0" w:color="auto"/>
        <w:right w:val="none" w:sz="0" w:space="0" w:color="auto"/>
      </w:divBdr>
    </w:div>
    <w:div w:id="704142037">
      <w:bodyDiv w:val="1"/>
      <w:marLeft w:val="0"/>
      <w:marRight w:val="0"/>
      <w:marTop w:val="0"/>
      <w:marBottom w:val="0"/>
      <w:divBdr>
        <w:top w:val="none" w:sz="0" w:space="0" w:color="auto"/>
        <w:left w:val="none" w:sz="0" w:space="0" w:color="auto"/>
        <w:bottom w:val="none" w:sz="0" w:space="0" w:color="auto"/>
        <w:right w:val="none" w:sz="0" w:space="0" w:color="auto"/>
      </w:divBdr>
    </w:div>
    <w:div w:id="710302790">
      <w:bodyDiv w:val="1"/>
      <w:marLeft w:val="0"/>
      <w:marRight w:val="0"/>
      <w:marTop w:val="0"/>
      <w:marBottom w:val="0"/>
      <w:divBdr>
        <w:top w:val="none" w:sz="0" w:space="0" w:color="auto"/>
        <w:left w:val="none" w:sz="0" w:space="0" w:color="auto"/>
        <w:bottom w:val="none" w:sz="0" w:space="0" w:color="auto"/>
        <w:right w:val="none" w:sz="0" w:space="0" w:color="auto"/>
      </w:divBdr>
    </w:div>
    <w:div w:id="710570612">
      <w:bodyDiv w:val="1"/>
      <w:marLeft w:val="0"/>
      <w:marRight w:val="0"/>
      <w:marTop w:val="0"/>
      <w:marBottom w:val="0"/>
      <w:divBdr>
        <w:top w:val="none" w:sz="0" w:space="0" w:color="auto"/>
        <w:left w:val="none" w:sz="0" w:space="0" w:color="auto"/>
        <w:bottom w:val="none" w:sz="0" w:space="0" w:color="auto"/>
        <w:right w:val="none" w:sz="0" w:space="0" w:color="auto"/>
      </w:divBdr>
    </w:div>
    <w:div w:id="710963811">
      <w:bodyDiv w:val="1"/>
      <w:marLeft w:val="0"/>
      <w:marRight w:val="0"/>
      <w:marTop w:val="0"/>
      <w:marBottom w:val="0"/>
      <w:divBdr>
        <w:top w:val="none" w:sz="0" w:space="0" w:color="auto"/>
        <w:left w:val="none" w:sz="0" w:space="0" w:color="auto"/>
        <w:bottom w:val="none" w:sz="0" w:space="0" w:color="auto"/>
        <w:right w:val="none" w:sz="0" w:space="0" w:color="auto"/>
      </w:divBdr>
    </w:div>
    <w:div w:id="715275953">
      <w:bodyDiv w:val="1"/>
      <w:marLeft w:val="0"/>
      <w:marRight w:val="0"/>
      <w:marTop w:val="0"/>
      <w:marBottom w:val="0"/>
      <w:divBdr>
        <w:top w:val="none" w:sz="0" w:space="0" w:color="auto"/>
        <w:left w:val="none" w:sz="0" w:space="0" w:color="auto"/>
        <w:bottom w:val="none" w:sz="0" w:space="0" w:color="auto"/>
        <w:right w:val="none" w:sz="0" w:space="0" w:color="auto"/>
      </w:divBdr>
    </w:div>
    <w:div w:id="724991265">
      <w:bodyDiv w:val="1"/>
      <w:marLeft w:val="0"/>
      <w:marRight w:val="0"/>
      <w:marTop w:val="0"/>
      <w:marBottom w:val="0"/>
      <w:divBdr>
        <w:top w:val="none" w:sz="0" w:space="0" w:color="auto"/>
        <w:left w:val="none" w:sz="0" w:space="0" w:color="auto"/>
        <w:bottom w:val="none" w:sz="0" w:space="0" w:color="auto"/>
        <w:right w:val="none" w:sz="0" w:space="0" w:color="auto"/>
      </w:divBdr>
    </w:div>
    <w:div w:id="725035642">
      <w:bodyDiv w:val="1"/>
      <w:marLeft w:val="0"/>
      <w:marRight w:val="0"/>
      <w:marTop w:val="0"/>
      <w:marBottom w:val="0"/>
      <w:divBdr>
        <w:top w:val="none" w:sz="0" w:space="0" w:color="auto"/>
        <w:left w:val="none" w:sz="0" w:space="0" w:color="auto"/>
        <w:bottom w:val="none" w:sz="0" w:space="0" w:color="auto"/>
        <w:right w:val="none" w:sz="0" w:space="0" w:color="auto"/>
      </w:divBdr>
    </w:div>
    <w:div w:id="726076837">
      <w:bodyDiv w:val="1"/>
      <w:marLeft w:val="0"/>
      <w:marRight w:val="0"/>
      <w:marTop w:val="0"/>
      <w:marBottom w:val="0"/>
      <w:divBdr>
        <w:top w:val="none" w:sz="0" w:space="0" w:color="auto"/>
        <w:left w:val="none" w:sz="0" w:space="0" w:color="auto"/>
        <w:bottom w:val="none" w:sz="0" w:space="0" w:color="auto"/>
        <w:right w:val="none" w:sz="0" w:space="0" w:color="auto"/>
      </w:divBdr>
    </w:div>
    <w:div w:id="729693472">
      <w:bodyDiv w:val="1"/>
      <w:marLeft w:val="0"/>
      <w:marRight w:val="0"/>
      <w:marTop w:val="0"/>
      <w:marBottom w:val="0"/>
      <w:divBdr>
        <w:top w:val="none" w:sz="0" w:space="0" w:color="auto"/>
        <w:left w:val="none" w:sz="0" w:space="0" w:color="auto"/>
        <w:bottom w:val="none" w:sz="0" w:space="0" w:color="auto"/>
        <w:right w:val="none" w:sz="0" w:space="0" w:color="auto"/>
      </w:divBdr>
    </w:div>
    <w:div w:id="730614291">
      <w:bodyDiv w:val="1"/>
      <w:marLeft w:val="0"/>
      <w:marRight w:val="0"/>
      <w:marTop w:val="0"/>
      <w:marBottom w:val="0"/>
      <w:divBdr>
        <w:top w:val="none" w:sz="0" w:space="0" w:color="auto"/>
        <w:left w:val="none" w:sz="0" w:space="0" w:color="auto"/>
        <w:bottom w:val="none" w:sz="0" w:space="0" w:color="auto"/>
        <w:right w:val="none" w:sz="0" w:space="0" w:color="auto"/>
      </w:divBdr>
    </w:div>
    <w:div w:id="730733585">
      <w:bodyDiv w:val="1"/>
      <w:marLeft w:val="0"/>
      <w:marRight w:val="0"/>
      <w:marTop w:val="0"/>
      <w:marBottom w:val="0"/>
      <w:divBdr>
        <w:top w:val="none" w:sz="0" w:space="0" w:color="auto"/>
        <w:left w:val="none" w:sz="0" w:space="0" w:color="auto"/>
        <w:bottom w:val="none" w:sz="0" w:space="0" w:color="auto"/>
        <w:right w:val="none" w:sz="0" w:space="0" w:color="auto"/>
      </w:divBdr>
    </w:div>
    <w:div w:id="733822897">
      <w:bodyDiv w:val="1"/>
      <w:marLeft w:val="0"/>
      <w:marRight w:val="0"/>
      <w:marTop w:val="0"/>
      <w:marBottom w:val="0"/>
      <w:divBdr>
        <w:top w:val="none" w:sz="0" w:space="0" w:color="auto"/>
        <w:left w:val="none" w:sz="0" w:space="0" w:color="auto"/>
        <w:bottom w:val="none" w:sz="0" w:space="0" w:color="auto"/>
        <w:right w:val="none" w:sz="0" w:space="0" w:color="auto"/>
      </w:divBdr>
    </w:div>
    <w:div w:id="734353111">
      <w:bodyDiv w:val="1"/>
      <w:marLeft w:val="0"/>
      <w:marRight w:val="0"/>
      <w:marTop w:val="0"/>
      <w:marBottom w:val="0"/>
      <w:divBdr>
        <w:top w:val="none" w:sz="0" w:space="0" w:color="auto"/>
        <w:left w:val="none" w:sz="0" w:space="0" w:color="auto"/>
        <w:bottom w:val="none" w:sz="0" w:space="0" w:color="auto"/>
        <w:right w:val="none" w:sz="0" w:space="0" w:color="auto"/>
      </w:divBdr>
    </w:div>
    <w:div w:id="734547864">
      <w:bodyDiv w:val="1"/>
      <w:marLeft w:val="0"/>
      <w:marRight w:val="0"/>
      <w:marTop w:val="0"/>
      <w:marBottom w:val="0"/>
      <w:divBdr>
        <w:top w:val="none" w:sz="0" w:space="0" w:color="auto"/>
        <w:left w:val="none" w:sz="0" w:space="0" w:color="auto"/>
        <w:bottom w:val="none" w:sz="0" w:space="0" w:color="auto"/>
        <w:right w:val="none" w:sz="0" w:space="0" w:color="auto"/>
      </w:divBdr>
    </w:div>
    <w:div w:id="741223985">
      <w:bodyDiv w:val="1"/>
      <w:marLeft w:val="0"/>
      <w:marRight w:val="0"/>
      <w:marTop w:val="0"/>
      <w:marBottom w:val="0"/>
      <w:divBdr>
        <w:top w:val="none" w:sz="0" w:space="0" w:color="auto"/>
        <w:left w:val="none" w:sz="0" w:space="0" w:color="auto"/>
        <w:bottom w:val="none" w:sz="0" w:space="0" w:color="auto"/>
        <w:right w:val="none" w:sz="0" w:space="0" w:color="auto"/>
      </w:divBdr>
    </w:div>
    <w:div w:id="743720946">
      <w:bodyDiv w:val="1"/>
      <w:marLeft w:val="0"/>
      <w:marRight w:val="0"/>
      <w:marTop w:val="0"/>
      <w:marBottom w:val="0"/>
      <w:divBdr>
        <w:top w:val="none" w:sz="0" w:space="0" w:color="auto"/>
        <w:left w:val="none" w:sz="0" w:space="0" w:color="auto"/>
        <w:bottom w:val="none" w:sz="0" w:space="0" w:color="auto"/>
        <w:right w:val="none" w:sz="0" w:space="0" w:color="auto"/>
      </w:divBdr>
    </w:div>
    <w:div w:id="753476708">
      <w:bodyDiv w:val="1"/>
      <w:marLeft w:val="0"/>
      <w:marRight w:val="0"/>
      <w:marTop w:val="0"/>
      <w:marBottom w:val="0"/>
      <w:divBdr>
        <w:top w:val="none" w:sz="0" w:space="0" w:color="auto"/>
        <w:left w:val="none" w:sz="0" w:space="0" w:color="auto"/>
        <w:bottom w:val="none" w:sz="0" w:space="0" w:color="auto"/>
        <w:right w:val="none" w:sz="0" w:space="0" w:color="auto"/>
      </w:divBdr>
    </w:div>
    <w:div w:id="771512861">
      <w:bodyDiv w:val="1"/>
      <w:marLeft w:val="0"/>
      <w:marRight w:val="0"/>
      <w:marTop w:val="0"/>
      <w:marBottom w:val="0"/>
      <w:divBdr>
        <w:top w:val="none" w:sz="0" w:space="0" w:color="auto"/>
        <w:left w:val="none" w:sz="0" w:space="0" w:color="auto"/>
        <w:bottom w:val="none" w:sz="0" w:space="0" w:color="auto"/>
        <w:right w:val="none" w:sz="0" w:space="0" w:color="auto"/>
      </w:divBdr>
    </w:div>
    <w:div w:id="772625894">
      <w:bodyDiv w:val="1"/>
      <w:marLeft w:val="0"/>
      <w:marRight w:val="0"/>
      <w:marTop w:val="0"/>
      <w:marBottom w:val="0"/>
      <w:divBdr>
        <w:top w:val="none" w:sz="0" w:space="0" w:color="auto"/>
        <w:left w:val="none" w:sz="0" w:space="0" w:color="auto"/>
        <w:bottom w:val="none" w:sz="0" w:space="0" w:color="auto"/>
        <w:right w:val="none" w:sz="0" w:space="0" w:color="auto"/>
      </w:divBdr>
    </w:div>
    <w:div w:id="773478095">
      <w:bodyDiv w:val="1"/>
      <w:marLeft w:val="0"/>
      <w:marRight w:val="0"/>
      <w:marTop w:val="0"/>
      <w:marBottom w:val="0"/>
      <w:divBdr>
        <w:top w:val="none" w:sz="0" w:space="0" w:color="auto"/>
        <w:left w:val="none" w:sz="0" w:space="0" w:color="auto"/>
        <w:bottom w:val="none" w:sz="0" w:space="0" w:color="auto"/>
        <w:right w:val="none" w:sz="0" w:space="0" w:color="auto"/>
      </w:divBdr>
    </w:div>
    <w:div w:id="773593119">
      <w:bodyDiv w:val="1"/>
      <w:marLeft w:val="0"/>
      <w:marRight w:val="0"/>
      <w:marTop w:val="0"/>
      <w:marBottom w:val="0"/>
      <w:divBdr>
        <w:top w:val="none" w:sz="0" w:space="0" w:color="auto"/>
        <w:left w:val="none" w:sz="0" w:space="0" w:color="auto"/>
        <w:bottom w:val="none" w:sz="0" w:space="0" w:color="auto"/>
        <w:right w:val="none" w:sz="0" w:space="0" w:color="auto"/>
      </w:divBdr>
    </w:div>
    <w:div w:id="775563236">
      <w:bodyDiv w:val="1"/>
      <w:marLeft w:val="0"/>
      <w:marRight w:val="0"/>
      <w:marTop w:val="0"/>
      <w:marBottom w:val="0"/>
      <w:divBdr>
        <w:top w:val="none" w:sz="0" w:space="0" w:color="auto"/>
        <w:left w:val="none" w:sz="0" w:space="0" w:color="auto"/>
        <w:bottom w:val="none" w:sz="0" w:space="0" w:color="auto"/>
        <w:right w:val="none" w:sz="0" w:space="0" w:color="auto"/>
      </w:divBdr>
    </w:div>
    <w:div w:id="780758349">
      <w:bodyDiv w:val="1"/>
      <w:marLeft w:val="0"/>
      <w:marRight w:val="0"/>
      <w:marTop w:val="0"/>
      <w:marBottom w:val="0"/>
      <w:divBdr>
        <w:top w:val="none" w:sz="0" w:space="0" w:color="auto"/>
        <w:left w:val="none" w:sz="0" w:space="0" w:color="auto"/>
        <w:bottom w:val="none" w:sz="0" w:space="0" w:color="auto"/>
        <w:right w:val="none" w:sz="0" w:space="0" w:color="auto"/>
      </w:divBdr>
    </w:div>
    <w:div w:id="791482350">
      <w:bodyDiv w:val="1"/>
      <w:marLeft w:val="0"/>
      <w:marRight w:val="0"/>
      <w:marTop w:val="0"/>
      <w:marBottom w:val="0"/>
      <w:divBdr>
        <w:top w:val="none" w:sz="0" w:space="0" w:color="auto"/>
        <w:left w:val="none" w:sz="0" w:space="0" w:color="auto"/>
        <w:bottom w:val="none" w:sz="0" w:space="0" w:color="auto"/>
        <w:right w:val="none" w:sz="0" w:space="0" w:color="auto"/>
      </w:divBdr>
    </w:div>
    <w:div w:id="795639418">
      <w:bodyDiv w:val="1"/>
      <w:marLeft w:val="0"/>
      <w:marRight w:val="0"/>
      <w:marTop w:val="0"/>
      <w:marBottom w:val="0"/>
      <w:divBdr>
        <w:top w:val="none" w:sz="0" w:space="0" w:color="auto"/>
        <w:left w:val="none" w:sz="0" w:space="0" w:color="auto"/>
        <w:bottom w:val="none" w:sz="0" w:space="0" w:color="auto"/>
        <w:right w:val="none" w:sz="0" w:space="0" w:color="auto"/>
      </w:divBdr>
    </w:div>
    <w:div w:id="797798580">
      <w:bodyDiv w:val="1"/>
      <w:marLeft w:val="0"/>
      <w:marRight w:val="0"/>
      <w:marTop w:val="0"/>
      <w:marBottom w:val="0"/>
      <w:divBdr>
        <w:top w:val="none" w:sz="0" w:space="0" w:color="auto"/>
        <w:left w:val="none" w:sz="0" w:space="0" w:color="auto"/>
        <w:bottom w:val="none" w:sz="0" w:space="0" w:color="auto"/>
        <w:right w:val="none" w:sz="0" w:space="0" w:color="auto"/>
      </w:divBdr>
    </w:div>
    <w:div w:id="798494965">
      <w:bodyDiv w:val="1"/>
      <w:marLeft w:val="0"/>
      <w:marRight w:val="0"/>
      <w:marTop w:val="0"/>
      <w:marBottom w:val="0"/>
      <w:divBdr>
        <w:top w:val="none" w:sz="0" w:space="0" w:color="auto"/>
        <w:left w:val="none" w:sz="0" w:space="0" w:color="auto"/>
        <w:bottom w:val="none" w:sz="0" w:space="0" w:color="auto"/>
        <w:right w:val="none" w:sz="0" w:space="0" w:color="auto"/>
      </w:divBdr>
    </w:div>
    <w:div w:id="800416227">
      <w:bodyDiv w:val="1"/>
      <w:marLeft w:val="0"/>
      <w:marRight w:val="0"/>
      <w:marTop w:val="0"/>
      <w:marBottom w:val="0"/>
      <w:divBdr>
        <w:top w:val="none" w:sz="0" w:space="0" w:color="auto"/>
        <w:left w:val="none" w:sz="0" w:space="0" w:color="auto"/>
        <w:bottom w:val="none" w:sz="0" w:space="0" w:color="auto"/>
        <w:right w:val="none" w:sz="0" w:space="0" w:color="auto"/>
      </w:divBdr>
    </w:div>
    <w:div w:id="801535787">
      <w:bodyDiv w:val="1"/>
      <w:marLeft w:val="0"/>
      <w:marRight w:val="0"/>
      <w:marTop w:val="0"/>
      <w:marBottom w:val="0"/>
      <w:divBdr>
        <w:top w:val="none" w:sz="0" w:space="0" w:color="auto"/>
        <w:left w:val="none" w:sz="0" w:space="0" w:color="auto"/>
        <w:bottom w:val="none" w:sz="0" w:space="0" w:color="auto"/>
        <w:right w:val="none" w:sz="0" w:space="0" w:color="auto"/>
      </w:divBdr>
    </w:div>
    <w:div w:id="805002791">
      <w:bodyDiv w:val="1"/>
      <w:marLeft w:val="0"/>
      <w:marRight w:val="0"/>
      <w:marTop w:val="0"/>
      <w:marBottom w:val="0"/>
      <w:divBdr>
        <w:top w:val="none" w:sz="0" w:space="0" w:color="auto"/>
        <w:left w:val="none" w:sz="0" w:space="0" w:color="auto"/>
        <w:bottom w:val="none" w:sz="0" w:space="0" w:color="auto"/>
        <w:right w:val="none" w:sz="0" w:space="0" w:color="auto"/>
      </w:divBdr>
    </w:div>
    <w:div w:id="821626579">
      <w:bodyDiv w:val="1"/>
      <w:marLeft w:val="0"/>
      <w:marRight w:val="0"/>
      <w:marTop w:val="0"/>
      <w:marBottom w:val="0"/>
      <w:divBdr>
        <w:top w:val="none" w:sz="0" w:space="0" w:color="auto"/>
        <w:left w:val="none" w:sz="0" w:space="0" w:color="auto"/>
        <w:bottom w:val="none" w:sz="0" w:space="0" w:color="auto"/>
        <w:right w:val="none" w:sz="0" w:space="0" w:color="auto"/>
      </w:divBdr>
    </w:div>
    <w:div w:id="826823293">
      <w:bodyDiv w:val="1"/>
      <w:marLeft w:val="0"/>
      <w:marRight w:val="0"/>
      <w:marTop w:val="0"/>
      <w:marBottom w:val="0"/>
      <w:divBdr>
        <w:top w:val="none" w:sz="0" w:space="0" w:color="auto"/>
        <w:left w:val="none" w:sz="0" w:space="0" w:color="auto"/>
        <w:bottom w:val="none" w:sz="0" w:space="0" w:color="auto"/>
        <w:right w:val="none" w:sz="0" w:space="0" w:color="auto"/>
      </w:divBdr>
    </w:div>
    <w:div w:id="832376939">
      <w:bodyDiv w:val="1"/>
      <w:marLeft w:val="0"/>
      <w:marRight w:val="0"/>
      <w:marTop w:val="0"/>
      <w:marBottom w:val="0"/>
      <w:divBdr>
        <w:top w:val="none" w:sz="0" w:space="0" w:color="auto"/>
        <w:left w:val="none" w:sz="0" w:space="0" w:color="auto"/>
        <w:bottom w:val="none" w:sz="0" w:space="0" w:color="auto"/>
        <w:right w:val="none" w:sz="0" w:space="0" w:color="auto"/>
      </w:divBdr>
    </w:div>
    <w:div w:id="835731890">
      <w:bodyDiv w:val="1"/>
      <w:marLeft w:val="0"/>
      <w:marRight w:val="0"/>
      <w:marTop w:val="0"/>
      <w:marBottom w:val="0"/>
      <w:divBdr>
        <w:top w:val="none" w:sz="0" w:space="0" w:color="auto"/>
        <w:left w:val="none" w:sz="0" w:space="0" w:color="auto"/>
        <w:bottom w:val="none" w:sz="0" w:space="0" w:color="auto"/>
        <w:right w:val="none" w:sz="0" w:space="0" w:color="auto"/>
      </w:divBdr>
    </w:div>
    <w:div w:id="839733425">
      <w:bodyDiv w:val="1"/>
      <w:marLeft w:val="0"/>
      <w:marRight w:val="0"/>
      <w:marTop w:val="0"/>
      <w:marBottom w:val="0"/>
      <w:divBdr>
        <w:top w:val="none" w:sz="0" w:space="0" w:color="auto"/>
        <w:left w:val="none" w:sz="0" w:space="0" w:color="auto"/>
        <w:bottom w:val="none" w:sz="0" w:space="0" w:color="auto"/>
        <w:right w:val="none" w:sz="0" w:space="0" w:color="auto"/>
      </w:divBdr>
    </w:div>
    <w:div w:id="842428236">
      <w:bodyDiv w:val="1"/>
      <w:marLeft w:val="0"/>
      <w:marRight w:val="0"/>
      <w:marTop w:val="0"/>
      <w:marBottom w:val="0"/>
      <w:divBdr>
        <w:top w:val="none" w:sz="0" w:space="0" w:color="auto"/>
        <w:left w:val="none" w:sz="0" w:space="0" w:color="auto"/>
        <w:bottom w:val="none" w:sz="0" w:space="0" w:color="auto"/>
        <w:right w:val="none" w:sz="0" w:space="0" w:color="auto"/>
      </w:divBdr>
    </w:div>
    <w:div w:id="846212168">
      <w:bodyDiv w:val="1"/>
      <w:marLeft w:val="0"/>
      <w:marRight w:val="0"/>
      <w:marTop w:val="0"/>
      <w:marBottom w:val="0"/>
      <w:divBdr>
        <w:top w:val="none" w:sz="0" w:space="0" w:color="auto"/>
        <w:left w:val="none" w:sz="0" w:space="0" w:color="auto"/>
        <w:bottom w:val="none" w:sz="0" w:space="0" w:color="auto"/>
        <w:right w:val="none" w:sz="0" w:space="0" w:color="auto"/>
      </w:divBdr>
    </w:div>
    <w:div w:id="856965921">
      <w:bodyDiv w:val="1"/>
      <w:marLeft w:val="0"/>
      <w:marRight w:val="0"/>
      <w:marTop w:val="0"/>
      <w:marBottom w:val="0"/>
      <w:divBdr>
        <w:top w:val="none" w:sz="0" w:space="0" w:color="auto"/>
        <w:left w:val="none" w:sz="0" w:space="0" w:color="auto"/>
        <w:bottom w:val="none" w:sz="0" w:space="0" w:color="auto"/>
        <w:right w:val="none" w:sz="0" w:space="0" w:color="auto"/>
      </w:divBdr>
    </w:div>
    <w:div w:id="863637988">
      <w:bodyDiv w:val="1"/>
      <w:marLeft w:val="0"/>
      <w:marRight w:val="0"/>
      <w:marTop w:val="0"/>
      <w:marBottom w:val="0"/>
      <w:divBdr>
        <w:top w:val="none" w:sz="0" w:space="0" w:color="auto"/>
        <w:left w:val="none" w:sz="0" w:space="0" w:color="auto"/>
        <w:bottom w:val="none" w:sz="0" w:space="0" w:color="auto"/>
        <w:right w:val="none" w:sz="0" w:space="0" w:color="auto"/>
      </w:divBdr>
    </w:div>
    <w:div w:id="867329003">
      <w:bodyDiv w:val="1"/>
      <w:marLeft w:val="0"/>
      <w:marRight w:val="0"/>
      <w:marTop w:val="0"/>
      <w:marBottom w:val="0"/>
      <w:divBdr>
        <w:top w:val="none" w:sz="0" w:space="0" w:color="auto"/>
        <w:left w:val="none" w:sz="0" w:space="0" w:color="auto"/>
        <w:bottom w:val="none" w:sz="0" w:space="0" w:color="auto"/>
        <w:right w:val="none" w:sz="0" w:space="0" w:color="auto"/>
      </w:divBdr>
    </w:div>
    <w:div w:id="869226205">
      <w:bodyDiv w:val="1"/>
      <w:marLeft w:val="0"/>
      <w:marRight w:val="0"/>
      <w:marTop w:val="0"/>
      <w:marBottom w:val="0"/>
      <w:divBdr>
        <w:top w:val="none" w:sz="0" w:space="0" w:color="auto"/>
        <w:left w:val="none" w:sz="0" w:space="0" w:color="auto"/>
        <w:bottom w:val="none" w:sz="0" w:space="0" w:color="auto"/>
        <w:right w:val="none" w:sz="0" w:space="0" w:color="auto"/>
      </w:divBdr>
    </w:div>
    <w:div w:id="872034367">
      <w:bodyDiv w:val="1"/>
      <w:marLeft w:val="0"/>
      <w:marRight w:val="0"/>
      <w:marTop w:val="0"/>
      <w:marBottom w:val="0"/>
      <w:divBdr>
        <w:top w:val="none" w:sz="0" w:space="0" w:color="auto"/>
        <w:left w:val="none" w:sz="0" w:space="0" w:color="auto"/>
        <w:bottom w:val="none" w:sz="0" w:space="0" w:color="auto"/>
        <w:right w:val="none" w:sz="0" w:space="0" w:color="auto"/>
      </w:divBdr>
    </w:div>
    <w:div w:id="883062487">
      <w:bodyDiv w:val="1"/>
      <w:marLeft w:val="0"/>
      <w:marRight w:val="0"/>
      <w:marTop w:val="0"/>
      <w:marBottom w:val="0"/>
      <w:divBdr>
        <w:top w:val="none" w:sz="0" w:space="0" w:color="auto"/>
        <w:left w:val="none" w:sz="0" w:space="0" w:color="auto"/>
        <w:bottom w:val="none" w:sz="0" w:space="0" w:color="auto"/>
        <w:right w:val="none" w:sz="0" w:space="0" w:color="auto"/>
      </w:divBdr>
      <w:divsChild>
        <w:div w:id="689916621">
          <w:marLeft w:val="0"/>
          <w:marRight w:val="0"/>
          <w:marTop w:val="0"/>
          <w:marBottom w:val="0"/>
          <w:divBdr>
            <w:top w:val="none" w:sz="0" w:space="0" w:color="auto"/>
            <w:left w:val="none" w:sz="0" w:space="0" w:color="auto"/>
            <w:bottom w:val="none" w:sz="0" w:space="0" w:color="auto"/>
            <w:right w:val="none" w:sz="0" w:space="0" w:color="auto"/>
          </w:divBdr>
          <w:divsChild>
            <w:div w:id="177782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04764">
      <w:bodyDiv w:val="1"/>
      <w:marLeft w:val="0"/>
      <w:marRight w:val="0"/>
      <w:marTop w:val="0"/>
      <w:marBottom w:val="0"/>
      <w:divBdr>
        <w:top w:val="none" w:sz="0" w:space="0" w:color="auto"/>
        <w:left w:val="none" w:sz="0" w:space="0" w:color="auto"/>
        <w:bottom w:val="none" w:sz="0" w:space="0" w:color="auto"/>
        <w:right w:val="none" w:sz="0" w:space="0" w:color="auto"/>
      </w:divBdr>
    </w:div>
    <w:div w:id="886526318">
      <w:bodyDiv w:val="1"/>
      <w:marLeft w:val="0"/>
      <w:marRight w:val="0"/>
      <w:marTop w:val="0"/>
      <w:marBottom w:val="0"/>
      <w:divBdr>
        <w:top w:val="none" w:sz="0" w:space="0" w:color="auto"/>
        <w:left w:val="none" w:sz="0" w:space="0" w:color="auto"/>
        <w:bottom w:val="none" w:sz="0" w:space="0" w:color="auto"/>
        <w:right w:val="none" w:sz="0" w:space="0" w:color="auto"/>
      </w:divBdr>
    </w:div>
    <w:div w:id="888149812">
      <w:bodyDiv w:val="1"/>
      <w:marLeft w:val="0"/>
      <w:marRight w:val="0"/>
      <w:marTop w:val="0"/>
      <w:marBottom w:val="0"/>
      <w:divBdr>
        <w:top w:val="none" w:sz="0" w:space="0" w:color="auto"/>
        <w:left w:val="none" w:sz="0" w:space="0" w:color="auto"/>
        <w:bottom w:val="none" w:sz="0" w:space="0" w:color="auto"/>
        <w:right w:val="none" w:sz="0" w:space="0" w:color="auto"/>
      </w:divBdr>
    </w:div>
    <w:div w:id="890654571">
      <w:bodyDiv w:val="1"/>
      <w:marLeft w:val="0"/>
      <w:marRight w:val="0"/>
      <w:marTop w:val="0"/>
      <w:marBottom w:val="0"/>
      <w:divBdr>
        <w:top w:val="none" w:sz="0" w:space="0" w:color="auto"/>
        <w:left w:val="none" w:sz="0" w:space="0" w:color="auto"/>
        <w:bottom w:val="none" w:sz="0" w:space="0" w:color="auto"/>
        <w:right w:val="none" w:sz="0" w:space="0" w:color="auto"/>
      </w:divBdr>
    </w:div>
    <w:div w:id="894000977">
      <w:bodyDiv w:val="1"/>
      <w:marLeft w:val="0"/>
      <w:marRight w:val="0"/>
      <w:marTop w:val="0"/>
      <w:marBottom w:val="0"/>
      <w:divBdr>
        <w:top w:val="none" w:sz="0" w:space="0" w:color="auto"/>
        <w:left w:val="none" w:sz="0" w:space="0" w:color="auto"/>
        <w:bottom w:val="none" w:sz="0" w:space="0" w:color="auto"/>
        <w:right w:val="none" w:sz="0" w:space="0" w:color="auto"/>
      </w:divBdr>
    </w:div>
    <w:div w:id="894662130">
      <w:bodyDiv w:val="1"/>
      <w:marLeft w:val="0"/>
      <w:marRight w:val="0"/>
      <w:marTop w:val="0"/>
      <w:marBottom w:val="0"/>
      <w:divBdr>
        <w:top w:val="none" w:sz="0" w:space="0" w:color="auto"/>
        <w:left w:val="none" w:sz="0" w:space="0" w:color="auto"/>
        <w:bottom w:val="none" w:sz="0" w:space="0" w:color="auto"/>
        <w:right w:val="none" w:sz="0" w:space="0" w:color="auto"/>
      </w:divBdr>
    </w:div>
    <w:div w:id="906888756">
      <w:bodyDiv w:val="1"/>
      <w:marLeft w:val="0"/>
      <w:marRight w:val="0"/>
      <w:marTop w:val="0"/>
      <w:marBottom w:val="0"/>
      <w:divBdr>
        <w:top w:val="none" w:sz="0" w:space="0" w:color="auto"/>
        <w:left w:val="none" w:sz="0" w:space="0" w:color="auto"/>
        <w:bottom w:val="none" w:sz="0" w:space="0" w:color="auto"/>
        <w:right w:val="none" w:sz="0" w:space="0" w:color="auto"/>
      </w:divBdr>
    </w:div>
    <w:div w:id="907224369">
      <w:bodyDiv w:val="1"/>
      <w:marLeft w:val="0"/>
      <w:marRight w:val="0"/>
      <w:marTop w:val="0"/>
      <w:marBottom w:val="0"/>
      <w:divBdr>
        <w:top w:val="none" w:sz="0" w:space="0" w:color="auto"/>
        <w:left w:val="none" w:sz="0" w:space="0" w:color="auto"/>
        <w:bottom w:val="none" w:sz="0" w:space="0" w:color="auto"/>
        <w:right w:val="none" w:sz="0" w:space="0" w:color="auto"/>
      </w:divBdr>
    </w:div>
    <w:div w:id="912739740">
      <w:bodyDiv w:val="1"/>
      <w:marLeft w:val="0"/>
      <w:marRight w:val="0"/>
      <w:marTop w:val="0"/>
      <w:marBottom w:val="0"/>
      <w:divBdr>
        <w:top w:val="none" w:sz="0" w:space="0" w:color="auto"/>
        <w:left w:val="none" w:sz="0" w:space="0" w:color="auto"/>
        <w:bottom w:val="none" w:sz="0" w:space="0" w:color="auto"/>
        <w:right w:val="none" w:sz="0" w:space="0" w:color="auto"/>
      </w:divBdr>
    </w:div>
    <w:div w:id="915435584">
      <w:bodyDiv w:val="1"/>
      <w:marLeft w:val="0"/>
      <w:marRight w:val="0"/>
      <w:marTop w:val="0"/>
      <w:marBottom w:val="0"/>
      <w:divBdr>
        <w:top w:val="none" w:sz="0" w:space="0" w:color="auto"/>
        <w:left w:val="none" w:sz="0" w:space="0" w:color="auto"/>
        <w:bottom w:val="none" w:sz="0" w:space="0" w:color="auto"/>
        <w:right w:val="none" w:sz="0" w:space="0" w:color="auto"/>
      </w:divBdr>
    </w:div>
    <w:div w:id="917322978">
      <w:bodyDiv w:val="1"/>
      <w:marLeft w:val="0"/>
      <w:marRight w:val="0"/>
      <w:marTop w:val="0"/>
      <w:marBottom w:val="0"/>
      <w:divBdr>
        <w:top w:val="none" w:sz="0" w:space="0" w:color="auto"/>
        <w:left w:val="none" w:sz="0" w:space="0" w:color="auto"/>
        <w:bottom w:val="none" w:sz="0" w:space="0" w:color="auto"/>
        <w:right w:val="none" w:sz="0" w:space="0" w:color="auto"/>
      </w:divBdr>
    </w:div>
    <w:div w:id="919103468">
      <w:bodyDiv w:val="1"/>
      <w:marLeft w:val="0"/>
      <w:marRight w:val="0"/>
      <w:marTop w:val="0"/>
      <w:marBottom w:val="0"/>
      <w:divBdr>
        <w:top w:val="none" w:sz="0" w:space="0" w:color="auto"/>
        <w:left w:val="none" w:sz="0" w:space="0" w:color="auto"/>
        <w:bottom w:val="none" w:sz="0" w:space="0" w:color="auto"/>
        <w:right w:val="none" w:sz="0" w:space="0" w:color="auto"/>
      </w:divBdr>
    </w:div>
    <w:div w:id="921453504">
      <w:bodyDiv w:val="1"/>
      <w:marLeft w:val="0"/>
      <w:marRight w:val="0"/>
      <w:marTop w:val="0"/>
      <w:marBottom w:val="0"/>
      <w:divBdr>
        <w:top w:val="none" w:sz="0" w:space="0" w:color="auto"/>
        <w:left w:val="none" w:sz="0" w:space="0" w:color="auto"/>
        <w:bottom w:val="none" w:sz="0" w:space="0" w:color="auto"/>
        <w:right w:val="none" w:sz="0" w:space="0" w:color="auto"/>
      </w:divBdr>
    </w:div>
    <w:div w:id="924412089">
      <w:bodyDiv w:val="1"/>
      <w:marLeft w:val="0"/>
      <w:marRight w:val="0"/>
      <w:marTop w:val="0"/>
      <w:marBottom w:val="0"/>
      <w:divBdr>
        <w:top w:val="none" w:sz="0" w:space="0" w:color="auto"/>
        <w:left w:val="none" w:sz="0" w:space="0" w:color="auto"/>
        <w:bottom w:val="none" w:sz="0" w:space="0" w:color="auto"/>
        <w:right w:val="none" w:sz="0" w:space="0" w:color="auto"/>
      </w:divBdr>
    </w:div>
    <w:div w:id="932974548">
      <w:bodyDiv w:val="1"/>
      <w:marLeft w:val="0"/>
      <w:marRight w:val="0"/>
      <w:marTop w:val="0"/>
      <w:marBottom w:val="0"/>
      <w:divBdr>
        <w:top w:val="none" w:sz="0" w:space="0" w:color="auto"/>
        <w:left w:val="none" w:sz="0" w:space="0" w:color="auto"/>
        <w:bottom w:val="none" w:sz="0" w:space="0" w:color="auto"/>
        <w:right w:val="none" w:sz="0" w:space="0" w:color="auto"/>
      </w:divBdr>
    </w:div>
    <w:div w:id="935942985">
      <w:bodyDiv w:val="1"/>
      <w:marLeft w:val="0"/>
      <w:marRight w:val="0"/>
      <w:marTop w:val="0"/>
      <w:marBottom w:val="0"/>
      <w:divBdr>
        <w:top w:val="none" w:sz="0" w:space="0" w:color="auto"/>
        <w:left w:val="none" w:sz="0" w:space="0" w:color="auto"/>
        <w:bottom w:val="none" w:sz="0" w:space="0" w:color="auto"/>
        <w:right w:val="none" w:sz="0" w:space="0" w:color="auto"/>
      </w:divBdr>
    </w:div>
    <w:div w:id="936329469">
      <w:bodyDiv w:val="1"/>
      <w:marLeft w:val="0"/>
      <w:marRight w:val="0"/>
      <w:marTop w:val="0"/>
      <w:marBottom w:val="0"/>
      <w:divBdr>
        <w:top w:val="none" w:sz="0" w:space="0" w:color="auto"/>
        <w:left w:val="none" w:sz="0" w:space="0" w:color="auto"/>
        <w:bottom w:val="none" w:sz="0" w:space="0" w:color="auto"/>
        <w:right w:val="none" w:sz="0" w:space="0" w:color="auto"/>
      </w:divBdr>
    </w:div>
    <w:div w:id="941767593">
      <w:bodyDiv w:val="1"/>
      <w:marLeft w:val="0"/>
      <w:marRight w:val="0"/>
      <w:marTop w:val="0"/>
      <w:marBottom w:val="0"/>
      <w:divBdr>
        <w:top w:val="none" w:sz="0" w:space="0" w:color="auto"/>
        <w:left w:val="none" w:sz="0" w:space="0" w:color="auto"/>
        <w:bottom w:val="none" w:sz="0" w:space="0" w:color="auto"/>
        <w:right w:val="none" w:sz="0" w:space="0" w:color="auto"/>
      </w:divBdr>
    </w:div>
    <w:div w:id="945162351">
      <w:bodyDiv w:val="1"/>
      <w:marLeft w:val="0"/>
      <w:marRight w:val="0"/>
      <w:marTop w:val="0"/>
      <w:marBottom w:val="0"/>
      <w:divBdr>
        <w:top w:val="none" w:sz="0" w:space="0" w:color="auto"/>
        <w:left w:val="none" w:sz="0" w:space="0" w:color="auto"/>
        <w:bottom w:val="none" w:sz="0" w:space="0" w:color="auto"/>
        <w:right w:val="none" w:sz="0" w:space="0" w:color="auto"/>
      </w:divBdr>
    </w:div>
    <w:div w:id="951404277">
      <w:bodyDiv w:val="1"/>
      <w:marLeft w:val="0"/>
      <w:marRight w:val="0"/>
      <w:marTop w:val="0"/>
      <w:marBottom w:val="0"/>
      <w:divBdr>
        <w:top w:val="none" w:sz="0" w:space="0" w:color="auto"/>
        <w:left w:val="none" w:sz="0" w:space="0" w:color="auto"/>
        <w:bottom w:val="none" w:sz="0" w:space="0" w:color="auto"/>
        <w:right w:val="none" w:sz="0" w:space="0" w:color="auto"/>
      </w:divBdr>
    </w:div>
    <w:div w:id="954555985">
      <w:bodyDiv w:val="1"/>
      <w:marLeft w:val="0"/>
      <w:marRight w:val="0"/>
      <w:marTop w:val="0"/>
      <w:marBottom w:val="0"/>
      <w:divBdr>
        <w:top w:val="none" w:sz="0" w:space="0" w:color="auto"/>
        <w:left w:val="none" w:sz="0" w:space="0" w:color="auto"/>
        <w:bottom w:val="none" w:sz="0" w:space="0" w:color="auto"/>
        <w:right w:val="none" w:sz="0" w:space="0" w:color="auto"/>
      </w:divBdr>
    </w:div>
    <w:div w:id="955717804">
      <w:bodyDiv w:val="1"/>
      <w:marLeft w:val="0"/>
      <w:marRight w:val="0"/>
      <w:marTop w:val="0"/>
      <w:marBottom w:val="0"/>
      <w:divBdr>
        <w:top w:val="none" w:sz="0" w:space="0" w:color="auto"/>
        <w:left w:val="none" w:sz="0" w:space="0" w:color="auto"/>
        <w:bottom w:val="none" w:sz="0" w:space="0" w:color="auto"/>
        <w:right w:val="none" w:sz="0" w:space="0" w:color="auto"/>
      </w:divBdr>
    </w:div>
    <w:div w:id="960496519">
      <w:bodyDiv w:val="1"/>
      <w:marLeft w:val="0"/>
      <w:marRight w:val="0"/>
      <w:marTop w:val="0"/>
      <w:marBottom w:val="0"/>
      <w:divBdr>
        <w:top w:val="none" w:sz="0" w:space="0" w:color="auto"/>
        <w:left w:val="none" w:sz="0" w:space="0" w:color="auto"/>
        <w:bottom w:val="none" w:sz="0" w:space="0" w:color="auto"/>
        <w:right w:val="none" w:sz="0" w:space="0" w:color="auto"/>
      </w:divBdr>
    </w:div>
    <w:div w:id="963737032">
      <w:bodyDiv w:val="1"/>
      <w:marLeft w:val="0"/>
      <w:marRight w:val="0"/>
      <w:marTop w:val="0"/>
      <w:marBottom w:val="0"/>
      <w:divBdr>
        <w:top w:val="none" w:sz="0" w:space="0" w:color="auto"/>
        <w:left w:val="none" w:sz="0" w:space="0" w:color="auto"/>
        <w:bottom w:val="none" w:sz="0" w:space="0" w:color="auto"/>
        <w:right w:val="none" w:sz="0" w:space="0" w:color="auto"/>
      </w:divBdr>
    </w:div>
    <w:div w:id="963847136">
      <w:bodyDiv w:val="1"/>
      <w:marLeft w:val="0"/>
      <w:marRight w:val="0"/>
      <w:marTop w:val="0"/>
      <w:marBottom w:val="0"/>
      <w:divBdr>
        <w:top w:val="none" w:sz="0" w:space="0" w:color="auto"/>
        <w:left w:val="none" w:sz="0" w:space="0" w:color="auto"/>
        <w:bottom w:val="none" w:sz="0" w:space="0" w:color="auto"/>
        <w:right w:val="none" w:sz="0" w:space="0" w:color="auto"/>
      </w:divBdr>
    </w:div>
    <w:div w:id="964382834">
      <w:bodyDiv w:val="1"/>
      <w:marLeft w:val="0"/>
      <w:marRight w:val="0"/>
      <w:marTop w:val="0"/>
      <w:marBottom w:val="0"/>
      <w:divBdr>
        <w:top w:val="none" w:sz="0" w:space="0" w:color="auto"/>
        <w:left w:val="none" w:sz="0" w:space="0" w:color="auto"/>
        <w:bottom w:val="none" w:sz="0" w:space="0" w:color="auto"/>
        <w:right w:val="none" w:sz="0" w:space="0" w:color="auto"/>
      </w:divBdr>
    </w:div>
    <w:div w:id="965043585">
      <w:bodyDiv w:val="1"/>
      <w:marLeft w:val="0"/>
      <w:marRight w:val="0"/>
      <w:marTop w:val="0"/>
      <w:marBottom w:val="0"/>
      <w:divBdr>
        <w:top w:val="none" w:sz="0" w:space="0" w:color="auto"/>
        <w:left w:val="none" w:sz="0" w:space="0" w:color="auto"/>
        <w:bottom w:val="none" w:sz="0" w:space="0" w:color="auto"/>
        <w:right w:val="none" w:sz="0" w:space="0" w:color="auto"/>
      </w:divBdr>
    </w:div>
    <w:div w:id="965476369">
      <w:bodyDiv w:val="1"/>
      <w:marLeft w:val="0"/>
      <w:marRight w:val="0"/>
      <w:marTop w:val="0"/>
      <w:marBottom w:val="0"/>
      <w:divBdr>
        <w:top w:val="none" w:sz="0" w:space="0" w:color="auto"/>
        <w:left w:val="none" w:sz="0" w:space="0" w:color="auto"/>
        <w:bottom w:val="none" w:sz="0" w:space="0" w:color="auto"/>
        <w:right w:val="none" w:sz="0" w:space="0" w:color="auto"/>
      </w:divBdr>
    </w:div>
    <w:div w:id="965549280">
      <w:bodyDiv w:val="1"/>
      <w:marLeft w:val="0"/>
      <w:marRight w:val="0"/>
      <w:marTop w:val="0"/>
      <w:marBottom w:val="0"/>
      <w:divBdr>
        <w:top w:val="none" w:sz="0" w:space="0" w:color="auto"/>
        <w:left w:val="none" w:sz="0" w:space="0" w:color="auto"/>
        <w:bottom w:val="none" w:sz="0" w:space="0" w:color="auto"/>
        <w:right w:val="none" w:sz="0" w:space="0" w:color="auto"/>
      </w:divBdr>
    </w:div>
    <w:div w:id="967198501">
      <w:bodyDiv w:val="1"/>
      <w:marLeft w:val="0"/>
      <w:marRight w:val="0"/>
      <w:marTop w:val="0"/>
      <w:marBottom w:val="0"/>
      <w:divBdr>
        <w:top w:val="none" w:sz="0" w:space="0" w:color="auto"/>
        <w:left w:val="none" w:sz="0" w:space="0" w:color="auto"/>
        <w:bottom w:val="none" w:sz="0" w:space="0" w:color="auto"/>
        <w:right w:val="none" w:sz="0" w:space="0" w:color="auto"/>
      </w:divBdr>
    </w:div>
    <w:div w:id="967316313">
      <w:bodyDiv w:val="1"/>
      <w:marLeft w:val="0"/>
      <w:marRight w:val="0"/>
      <w:marTop w:val="0"/>
      <w:marBottom w:val="0"/>
      <w:divBdr>
        <w:top w:val="none" w:sz="0" w:space="0" w:color="auto"/>
        <w:left w:val="none" w:sz="0" w:space="0" w:color="auto"/>
        <w:bottom w:val="none" w:sz="0" w:space="0" w:color="auto"/>
        <w:right w:val="none" w:sz="0" w:space="0" w:color="auto"/>
      </w:divBdr>
    </w:div>
    <w:div w:id="969634647">
      <w:bodyDiv w:val="1"/>
      <w:marLeft w:val="0"/>
      <w:marRight w:val="0"/>
      <w:marTop w:val="0"/>
      <w:marBottom w:val="0"/>
      <w:divBdr>
        <w:top w:val="none" w:sz="0" w:space="0" w:color="auto"/>
        <w:left w:val="none" w:sz="0" w:space="0" w:color="auto"/>
        <w:bottom w:val="none" w:sz="0" w:space="0" w:color="auto"/>
        <w:right w:val="none" w:sz="0" w:space="0" w:color="auto"/>
      </w:divBdr>
    </w:div>
    <w:div w:id="969750527">
      <w:bodyDiv w:val="1"/>
      <w:marLeft w:val="0"/>
      <w:marRight w:val="0"/>
      <w:marTop w:val="0"/>
      <w:marBottom w:val="0"/>
      <w:divBdr>
        <w:top w:val="none" w:sz="0" w:space="0" w:color="auto"/>
        <w:left w:val="none" w:sz="0" w:space="0" w:color="auto"/>
        <w:bottom w:val="none" w:sz="0" w:space="0" w:color="auto"/>
        <w:right w:val="none" w:sz="0" w:space="0" w:color="auto"/>
      </w:divBdr>
    </w:div>
    <w:div w:id="986935147">
      <w:bodyDiv w:val="1"/>
      <w:marLeft w:val="0"/>
      <w:marRight w:val="0"/>
      <w:marTop w:val="0"/>
      <w:marBottom w:val="0"/>
      <w:divBdr>
        <w:top w:val="none" w:sz="0" w:space="0" w:color="auto"/>
        <w:left w:val="none" w:sz="0" w:space="0" w:color="auto"/>
        <w:bottom w:val="none" w:sz="0" w:space="0" w:color="auto"/>
        <w:right w:val="none" w:sz="0" w:space="0" w:color="auto"/>
      </w:divBdr>
    </w:div>
    <w:div w:id="997153059">
      <w:bodyDiv w:val="1"/>
      <w:marLeft w:val="0"/>
      <w:marRight w:val="0"/>
      <w:marTop w:val="0"/>
      <w:marBottom w:val="0"/>
      <w:divBdr>
        <w:top w:val="none" w:sz="0" w:space="0" w:color="auto"/>
        <w:left w:val="none" w:sz="0" w:space="0" w:color="auto"/>
        <w:bottom w:val="none" w:sz="0" w:space="0" w:color="auto"/>
        <w:right w:val="none" w:sz="0" w:space="0" w:color="auto"/>
      </w:divBdr>
    </w:div>
    <w:div w:id="998846039">
      <w:bodyDiv w:val="1"/>
      <w:marLeft w:val="0"/>
      <w:marRight w:val="0"/>
      <w:marTop w:val="0"/>
      <w:marBottom w:val="0"/>
      <w:divBdr>
        <w:top w:val="none" w:sz="0" w:space="0" w:color="auto"/>
        <w:left w:val="none" w:sz="0" w:space="0" w:color="auto"/>
        <w:bottom w:val="none" w:sz="0" w:space="0" w:color="auto"/>
        <w:right w:val="none" w:sz="0" w:space="0" w:color="auto"/>
      </w:divBdr>
    </w:div>
    <w:div w:id="1012993560">
      <w:bodyDiv w:val="1"/>
      <w:marLeft w:val="0"/>
      <w:marRight w:val="0"/>
      <w:marTop w:val="0"/>
      <w:marBottom w:val="0"/>
      <w:divBdr>
        <w:top w:val="none" w:sz="0" w:space="0" w:color="auto"/>
        <w:left w:val="none" w:sz="0" w:space="0" w:color="auto"/>
        <w:bottom w:val="none" w:sz="0" w:space="0" w:color="auto"/>
        <w:right w:val="none" w:sz="0" w:space="0" w:color="auto"/>
      </w:divBdr>
    </w:div>
    <w:div w:id="1012998429">
      <w:bodyDiv w:val="1"/>
      <w:marLeft w:val="0"/>
      <w:marRight w:val="0"/>
      <w:marTop w:val="0"/>
      <w:marBottom w:val="0"/>
      <w:divBdr>
        <w:top w:val="none" w:sz="0" w:space="0" w:color="auto"/>
        <w:left w:val="none" w:sz="0" w:space="0" w:color="auto"/>
        <w:bottom w:val="none" w:sz="0" w:space="0" w:color="auto"/>
        <w:right w:val="none" w:sz="0" w:space="0" w:color="auto"/>
      </w:divBdr>
    </w:div>
    <w:div w:id="1016884120">
      <w:bodyDiv w:val="1"/>
      <w:marLeft w:val="0"/>
      <w:marRight w:val="0"/>
      <w:marTop w:val="0"/>
      <w:marBottom w:val="0"/>
      <w:divBdr>
        <w:top w:val="none" w:sz="0" w:space="0" w:color="auto"/>
        <w:left w:val="none" w:sz="0" w:space="0" w:color="auto"/>
        <w:bottom w:val="none" w:sz="0" w:space="0" w:color="auto"/>
        <w:right w:val="none" w:sz="0" w:space="0" w:color="auto"/>
      </w:divBdr>
    </w:div>
    <w:div w:id="1019895066">
      <w:bodyDiv w:val="1"/>
      <w:marLeft w:val="0"/>
      <w:marRight w:val="0"/>
      <w:marTop w:val="0"/>
      <w:marBottom w:val="0"/>
      <w:divBdr>
        <w:top w:val="none" w:sz="0" w:space="0" w:color="auto"/>
        <w:left w:val="none" w:sz="0" w:space="0" w:color="auto"/>
        <w:bottom w:val="none" w:sz="0" w:space="0" w:color="auto"/>
        <w:right w:val="none" w:sz="0" w:space="0" w:color="auto"/>
      </w:divBdr>
    </w:div>
    <w:div w:id="1026253998">
      <w:bodyDiv w:val="1"/>
      <w:marLeft w:val="0"/>
      <w:marRight w:val="0"/>
      <w:marTop w:val="0"/>
      <w:marBottom w:val="0"/>
      <w:divBdr>
        <w:top w:val="none" w:sz="0" w:space="0" w:color="auto"/>
        <w:left w:val="none" w:sz="0" w:space="0" w:color="auto"/>
        <w:bottom w:val="none" w:sz="0" w:space="0" w:color="auto"/>
        <w:right w:val="none" w:sz="0" w:space="0" w:color="auto"/>
      </w:divBdr>
    </w:div>
    <w:div w:id="1027832289">
      <w:bodyDiv w:val="1"/>
      <w:marLeft w:val="0"/>
      <w:marRight w:val="0"/>
      <w:marTop w:val="0"/>
      <w:marBottom w:val="0"/>
      <w:divBdr>
        <w:top w:val="none" w:sz="0" w:space="0" w:color="auto"/>
        <w:left w:val="none" w:sz="0" w:space="0" w:color="auto"/>
        <w:bottom w:val="none" w:sz="0" w:space="0" w:color="auto"/>
        <w:right w:val="none" w:sz="0" w:space="0" w:color="auto"/>
      </w:divBdr>
    </w:div>
    <w:div w:id="1029913260">
      <w:bodyDiv w:val="1"/>
      <w:marLeft w:val="0"/>
      <w:marRight w:val="0"/>
      <w:marTop w:val="0"/>
      <w:marBottom w:val="0"/>
      <w:divBdr>
        <w:top w:val="none" w:sz="0" w:space="0" w:color="auto"/>
        <w:left w:val="none" w:sz="0" w:space="0" w:color="auto"/>
        <w:bottom w:val="none" w:sz="0" w:space="0" w:color="auto"/>
        <w:right w:val="none" w:sz="0" w:space="0" w:color="auto"/>
      </w:divBdr>
    </w:div>
    <w:div w:id="1030453562">
      <w:bodyDiv w:val="1"/>
      <w:marLeft w:val="0"/>
      <w:marRight w:val="0"/>
      <w:marTop w:val="0"/>
      <w:marBottom w:val="0"/>
      <w:divBdr>
        <w:top w:val="none" w:sz="0" w:space="0" w:color="auto"/>
        <w:left w:val="none" w:sz="0" w:space="0" w:color="auto"/>
        <w:bottom w:val="none" w:sz="0" w:space="0" w:color="auto"/>
        <w:right w:val="none" w:sz="0" w:space="0" w:color="auto"/>
      </w:divBdr>
    </w:div>
    <w:div w:id="1036352516">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56049940">
      <w:bodyDiv w:val="1"/>
      <w:marLeft w:val="0"/>
      <w:marRight w:val="0"/>
      <w:marTop w:val="0"/>
      <w:marBottom w:val="0"/>
      <w:divBdr>
        <w:top w:val="none" w:sz="0" w:space="0" w:color="auto"/>
        <w:left w:val="none" w:sz="0" w:space="0" w:color="auto"/>
        <w:bottom w:val="none" w:sz="0" w:space="0" w:color="auto"/>
        <w:right w:val="none" w:sz="0" w:space="0" w:color="auto"/>
      </w:divBdr>
    </w:div>
    <w:div w:id="1057432658">
      <w:bodyDiv w:val="1"/>
      <w:marLeft w:val="0"/>
      <w:marRight w:val="0"/>
      <w:marTop w:val="0"/>
      <w:marBottom w:val="0"/>
      <w:divBdr>
        <w:top w:val="none" w:sz="0" w:space="0" w:color="auto"/>
        <w:left w:val="none" w:sz="0" w:space="0" w:color="auto"/>
        <w:bottom w:val="none" w:sz="0" w:space="0" w:color="auto"/>
        <w:right w:val="none" w:sz="0" w:space="0" w:color="auto"/>
      </w:divBdr>
    </w:div>
    <w:div w:id="1063062062">
      <w:bodyDiv w:val="1"/>
      <w:marLeft w:val="0"/>
      <w:marRight w:val="0"/>
      <w:marTop w:val="0"/>
      <w:marBottom w:val="0"/>
      <w:divBdr>
        <w:top w:val="none" w:sz="0" w:space="0" w:color="auto"/>
        <w:left w:val="none" w:sz="0" w:space="0" w:color="auto"/>
        <w:bottom w:val="none" w:sz="0" w:space="0" w:color="auto"/>
        <w:right w:val="none" w:sz="0" w:space="0" w:color="auto"/>
      </w:divBdr>
    </w:div>
    <w:div w:id="1073893582">
      <w:bodyDiv w:val="1"/>
      <w:marLeft w:val="0"/>
      <w:marRight w:val="0"/>
      <w:marTop w:val="0"/>
      <w:marBottom w:val="0"/>
      <w:divBdr>
        <w:top w:val="none" w:sz="0" w:space="0" w:color="auto"/>
        <w:left w:val="none" w:sz="0" w:space="0" w:color="auto"/>
        <w:bottom w:val="none" w:sz="0" w:space="0" w:color="auto"/>
        <w:right w:val="none" w:sz="0" w:space="0" w:color="auto"/>
      </w:divBdr>
    </w:div>
    <w:div w:id="1076318964">
      <w:bodyDiv w:val="1"/>
      <w:marLeft w:val="0"/>
      <w:marRight w:val="0"/>
      <w:marTop w:val="0"/>
      <w:marBottom w:val="0"/>
      <w:divBdr>
        <w:top w:val="none" w:sz="0" w:space="0" w:color="auto"/>
        <w:left w:val="none" w:sz="0" w:space="0" w:color="auto"/>
        <w:bottom w:val="none" w:sz="0" w:space="0" w:color="auto"/>
        <w:right w:val="none" w:sz="0" w:space="0" w:color="auto"/>
      </w:divBdr>
    </w:div>
    <w:div w:id="1079592142">
      <w:bodyDiv w:val="1"/>
      <w:marLeft w:val="0"/>
      <w:marRight w:val="0"/>
      <w:marTop w:val="0"/>
      <w:marBottom w:val="0"/>
      <w:divBdr>
        <w:top w:val="none" w:sz="0" w:space="0" w:color="auto"/>
        <w:left w:val="none" w:sz="0" w:space="0" w:color="auto"/>
        <w:bottom w:val="none" w:sz="0" w:space="0" w:color="auto"/>
        <w:right w:val="none" w:sz="0" w:space="0" w:color="auto"/>
      </w:divBdr>
    </w:div>
    <w:div w:id="1086531860">
      <w:bodyDiv w:val="1"/>
      <w:marLeft w:val="0"/>
      <w:marRight w:val="0"/>
      <w:marTop w:val="0"/>
      <w:marBottom w:val="0"/>
      <w:divBdr>
        <w:top w:val="none" w:sz="0" w:space="0" w:color="auto"/>
        <w:left w:val="none" w:sz="0" w:space="0" w:color="auto"/>
        <w:bottom w:val="none" w:sz="0" w:space="0" w:color="auto"/>
        <w:right w:val="none" w:sz="0" w:space="0" w:color="auto"/>
      </w:divBdr>
    </w:div>
    <w:div w:id="1090083449">
      <w:bodyDiv w:val="1"/>
      <w:marLeft w:val="0"/>
      <w:marRight w:val="0"/>
      <w:marTop w:val="0"/>
      <w:marBottom w:val="0"/>
      <w:divBdr>
        <w:top w:val="none" w:sz="0" w:space="0" w:color="auto"/>
        <w:left w:val="none" w:sz="0" w:space="0" w:color="auto"/>
        <w:bottom w:val="none" w:sz="0" w:space="0" w:color="auto"/>
        <w:right w:val="none" w:sz="0" w:space="0" w:color="auto"/>
      </w:divBdr>
    </w:div>
    <w:div w:id="1090202748">
      <w:bodyDiv w:val="1"/>
      <w:marLeft w:val="0"/>
      <w:marRight w:val="0"/>
      <w:marTop w:val="0"/>
      <w:marBottom w:val="0"/>
      <w:divBdr>
        <w:top w:val="none" w:sz="0" w:space="0" w:color="auto"/>
        <w:left w:val="none" w:sz="0" w:space="0" w:color="auto"/>
        <w:bottom w:val="none" w:sz="0" w:space="0" w:color="auto"/>
        <w:right w:val="none" w:sz="0" w:space="0" w:color="auto"/>
      </w:divBdr>
    </w:div>
    <w:div w:id="1090587437">
      <w:bodyDiv w:val="1"/>
      <w:marLeft w:val="0"/>
      <w:marRight w:val="0"/>
      <w:marTop w:val="0"/>
      <w:marBottom w:val="0"/>
      <w:divBdr>
        <w:top w:val="none" w:sz="0" w:space="0" w:color="auto"/>
        <w:left w:val="none" w:sz="0" w:space="0" w:color="auto"/>
        <w:bottom w:val="none" w:sz="0" w:space="0" w:color="auto"/>
        <w:right w:val="none" w:sz="0" w:space="0" w:color="auto"/>
      </w:divBdr>
    </w:div>
    <w:div w:id="1090859112">
      <w:bodyDiv w:val="1"/>
      <w:marLeft w:val="0"/>
      <w:marRight w:val="0"/>
      <w:marTop w:val="0"/>
      <w:marBottom w:val="0"/>
      <w:divBdr>
        <w:top w:val="none" w:sz="0" w:space="0" w:color="auto"/>
        <w:left w:val="none" w:sz="0" w:space="0" w:color="auto"/>
        <w:bottom w:val="none" w:sz="0" w:space="0" w:color="auto"/>
        <w:right w:val="none" w:sz="0" w:space="0" w:color="auto"/>
      </w:divBdr>
    </w:div>
    <w:div w:id="1104115194">
      <w:bodyDiv w:val="1"/>
      <w:marLeft w:val="0"/>
      <w:marRight w:val="0"/>
      <w:marTop w:val="0"/>
      <w:marBottom w:val="0"/>
      <w:divBdr>
        <w:top w:val="none" w:sz="0" w:space="0" w:color="auto"/>
        <w:left w:val="none" w:sz="0" w:space="0" w:color="auto"/>
        <w:bottom w:val="none" w:sz="0" w:space="0" w:color="auto"/>
        <w:right w:val="none" w:sz="0" w:space="0" w:color="auto"/>
      </w:divBdr>
    </w:div>
    <w:div w:id="1118599463">
      <w:bodyDiv w:val="1"/>
      <w:marLeft w:val="0"/>
      <w:marRight w:val="0"/>
      <w:marTop w:val="0"/>
      <w:marBottom w:val="0"/>
      <w:divBdr>
        <w:top w:val="none" w:sz="0" w:space="0" w:color="auto"/>
        <w:left w:val="none" w:sz="0" w:space="0" w:color="auto"/>
        <w:bottom w:val="none" w:sz="0" w:space="0" w:color="auto"/>
        <w:right w:val="none" w:sz="0" w:space="0" w:color="auto"/>
      </w:divBdr>
    </w:div>
    <w:div w:id="1121411450">
      <w:bodyDiv w:val="1"/>
      <w:marLeft w:val="0"/>
      <w:marRight w:val="0"/>
      <w:marTop w:val="0"/>
      <w:marBottom w:val="0"/>
      <w:divBdr>
        <w:top w:val="none" w:sz="0" w:space="0" w:color="auto"/>
        <w:left w:val="none" w:sz="0" w:space="0" w:color="auto"/>
        <w:bottom w:val="none" w:sz="0" w:space="0" w:color="auto"/>
        <w:right w:val="none" w:sz="0" w:space="0" w:color="auto"/>
      </w:divBdr>
    </w:div>
    <w:div w:id="1126853750">
      <w:bodyDiv w:val="1"/>
      <w:marLeft w:val="0"/>
      <w:marRight w:val="0"/>
      <w:marTop w:val="0"/>
      <w:marBottom w:val="0"/>
      <w:divBdr>
        <w:top w:val="none" w:sz="0" w:space="0" w:color="auto"/>
        <w:left w:val="none" w:sz="0" w:space="0" w:color="auto"/>
        <w:bottom w:val="none" w:sz="0" w:space="0" w:color="auto"/>
        <w:right w:val="none" w:sz="0" w:space="0" w:color="auto"/>
      </w:divBdr>
    </w:div>
    <w:div w:id="1127161162">
      <w:bodyDiv w:val="1"/>
      <w:marLeft w:val="0"/>
      <w:marRight w:val="0"/>
      <w:marTop w:val="0"/>
      <w:marBottom w:val="0"/>
      <w:divBdr>
        <w:top w:val="none" w:sz="0" w:space="0" w:color="auto"/>
        <w:left w:val="none" w:sz="0" w:space="0" w:color="auto"/>
        <w:bottom w:val="none" w:sz="0" w:space="0" w:color="auto"/>
        <w:right w:val="none" w:sz="0" w:space="0" w:color="auto"/>
      </w:divBdr>
    </w:div>
    <w:div w:id="1128275492">
      <w:bodyDiv w:val="1"/>
      <w:marLeft w:val="0"/>
      <w:marRight w:val="0"/>
      <w:marTop w:val="0"/>
      <w:marBottom w:val="0"/>
      <w:divBdr>
        <w:top w:val="none" w:sz="0" w:space="0" w:color="auto"/>
        <w:left w:val="none" w:sz="0" w:space="0" w:color="auto"/>
        <w:bottom w:val="none" w:sz="0" w:space="0" w:color="auto"/>
        <w:right w:val="none" w:sz="0" w:space="0" w:color="auto"/>
      </w:divBdr>
    </w:div>
    <w:div w:id="1129202299">
      <w:bodyDiv w:val="1"/>
      <w:marLeft w:val="0"/>
      <w:marRight w:val="0"/>
      <w:marTop w:val="0"/>
      <w:marBottom w:val="0"/>
      <w:divBdr>
        <w:top w:val="none" w:sz="0" w:space="0" w:color="auto"/>
        <w:left w:val="none" w:sz="0" w:space="0" w:color="auto"/>
        <w:bottom w:val="none" w:sz="0" w:space="0" w:color="auto"/>
        <w:right w:val="none" w:sz="0" w:space="0" w:color="auto"/>
      </w:divBdr>
    </w:div>
    <w:div w:id="1134561670">
      <w:bodyDiv w:val="1"/>
      <w:marLeft w:val="0"/>
      <w:marRight w:val="0"/>
      <w:marTop w:val="0"/>
      <w:marBottom w:val="0"/>
      <w:divBdr>
        <w:top w:val="none" w:sz="0" w:space="0" w:color="auto"/>
        <w:left w:val="none" w:sz="0" w:space="0" w:color="auto"/>
        <w:bottom w:val="none" w:sz="0" w:space="0" w:color="auto"/>
        <w:right w:val="none" w:sz="0" w:space="0" w:color="auto"/>
      </w:divBdr>
    </w:div>
    <w:div w:id="1150095006">
      <w:bodyDiv w:val="1"/>
      <w:marLeft w:val="0"/>
      <w:marRight w:val="0"/>
      <w:marTop w:val="0"/>
      <w:marBottom w:val="0"/>
      <w:divBdr>
        <w:top w:val="none" w:sz="0" w:space="0" w:color="auto"/>
        <w:left w:val="none" w:sz="0" w:space="0" w:color="auto"/>
        <w:bottom w:val="none" w:sz="0" w:space="0" w:color="auto"/>
        <w:right w:val="none" w:sz="0" w:space="0" w:color="auto"/>
      </w:divBdr>
    </w:div>
    <w:div w:id="1151019700">
      <w:bodyDiv w:val="1"/>
      <w:marLeft w:val="0"/>
      <w:marRight w:val="0"/>
      <w:marTop w:val="0"/>
      <w:marBottom w:val="0"/>
      <w:divBdr>
        <w:top w:val="none" w:sz="0" w:space="0" w:color="auto"/>
        <w:left w:val="none" w:sz="0" w:space="0" w:color="auto"/>
        <w:bottom w:val="none" w:sz="0" w:space="0" w:color="auto"/>
        <w:right w:val="none" w:sz="0" w:space="0" w:color="auto"/>
      </w:divBdr>
    </w:div>
    <w:div w:id="1169565684">
      <w:bodyDiv w:val="1"/>
      <w:marLeft w:val="0"/>
      <w:marRight w:val="0"/>
      <w:marTop w:val="0"/>
      <w:marBottom w:val="0"/>
      <w:divBdr>
        <w:top w:val="none" w:sz="0" w:space="0" w:color="auto"/>
        <w:left w:val="none" w:sz="0" w:space="0" w:color="auto"/>
        <w:bottom w:val="none" w:sz="0" w:space="0" w:color="auto"/>
        <w:right w:val="none" w:sz="0" w:space="0" w:color="auto"/>
      </w:divBdr>
    </w:div>
    <w:div w:id="1172062453">
      <w:bodyDiv w:val="1"/>
      <w:marLeft w:val="0"/>
      <w:marRight w:val="0"/>
      <w:marTop w:val="0"/>
      <w:marBottom w:val="0"/>
      <w:divBdr>
        <w:top w:val="none" w:sz="0" w:space="0" w:color="auto"/>
        <w:left w:val="none" w:sz="0" w:space="0" w:color="auto"/>
        <w:bottom w:val="none" w:sz="0" w:space="0" w:color="auto"/>
        <w:right w:val="none" w:sz="0" w:space="0" w:color="auto"/>
      </w:divBdr>
    </w:div>
    <w:div w:id="1179394651">
      <w:bodyDiv w:val="1"/>
      <w:marLeft w:val="0"/>
      <w:marRight w:val="0"/>
      <w:marTop w:val="0"/>
      <w:marBottom w:val="0"/>
      <w:divBdr>
        <w:top w:val="none" w:sz="0" w:space="0" w:color="auto"/>
        <w:left w:val="none" w:sz="0" w:space="0" w:color="auto"/>
        <w:bottom w:val="none" w:sz="0" w:space="0" w:color="auto"/>
        <w:right w:val="none" w:sz="0" w:space="0" w:color="auto"/>
      </w:divBdr>
    </w:div>
    <w:div w:id="1180697845">
      <w:bodyDiv w:val="1"/>
      <w:marLeft w:val="0"/>
      <w:marRight w:val="0"/>
      <w:marTop w:val="0"/>
      <w:marBottom w:val="0"/>
      <w:divBdr>
        <w:top w:val="none" w:sz="0" w:space="0" w:color="auto"/>
        <w:left w:val="none" w:sz="0" w:space="0" w:color="auto"/>
        <w:bottom w:val="none" w:sz="0" w:space="0" w:color="auto"/>
        <w:right w:val="none" w:sz="0" w:space="0" w:color="auto"/>
      </w:divBdr>
    </w:div>
    <w:div w:id="1184511935">
      <w:bodyDiv w:val="1"/>
      <w:marLeft w:val="0"/>
      <w:marRight w:val="0"/>
      <w:marTop w:val="0"/>
      <w:marBottom w:val="0"/>
      <w:divBdr>
        <w:top w:val="none" w:sz="0" w:space="0" w:color="auto"/>
        <w:left w:val="none" w:sz="0" w:space="0" w:color="auto"/>
        <w:bottom w:val="none" w:sz="0" w:space="0" w:color="auto"/>
        <w:right w:val="none" w:sz="0" w:space="0" w:color="auto"/>
      </w:divBdr>
    </w:div>
    <w:div w:id="1188637175">
      <w:bodyDiv w:val="1"/>
      <w:marLeft w:val="0"/>
      <w:marRight w:val="0"/>
      <w:marTop w:val="0"/>
      <w:marBottom w:val="0"/>
      <w:divBdr>
        <w:top w:val="none" w:sz="0" w:space="0" w:color="auto"/>
        <w:left w:val="none" w:sz="0" w:space="0" w:color="auto"/>
        <w:bottom w:val="none" w:sz="0" w:space="0" w:color="auto"/>
        <w:right w:val="none" w:sz="0" w:space="0" w:color="auto"/>
      </w:divBdr>
    </w:div>
    <w:div w:id="1191912274">
      <w:bodyDiv w:val="1"/>
      <w:marLeft w:val="0"/>
      <w:marRight w:val="0"/>
      <w:marTop w:val="0"/>
      <w:marBottom w:val="0"/>
      <w:divBdr>
        <w:top w:val="none" w:sz="0" w:space="0" w:color="auto"/>
        <w:left w:val="none" w:sz="0" w:space="0" w:color="auto"/>
        <w:bottom w:val="none" w:sz="0" w:space="0" w:color="auto"/>
        <w:right w:val="none" w:sz="0" w:space="0" w:color="auto"/>
      </w:divBdr>
    </w:div>
    <w:div w:id="1201479224">
      <w:bodyDiv w:val="1"/>
      <w:marLeft w:val="0"/>
      <w:marRight w:val="0"/>
      <w:marTop w:val="0"/>
      <w:marBottom w:val="0"/>
      <w:divBdr>
        <w:top w:val="none" w:sz="0" w:space="0" w:color="auto"/>
        <w:left w:val="none" w:sz="0" w:space="0" w:color="auto"/>
        <w:bottom w:val="none" w:sz="0" w:space="0" w:color="auto"/>
        <w:right w:val="none" w:sz="0" w:space="0" w:color="auto"/>
      </w:divBdr>
    </w:div>
    <w:div w:id="1202982786">
      <w:bodyDiv w:val="1"/>
      <w:marLeft w:val="0"/>
      <w:marRight w:val="0"/>
      <w:marTop w:val="0"/>
      <w:marBottom w:val="0"/>
      <w:divBdr>
        <w:top w:val="none" w:sz="0" w:space="0" w:color="auto"/>
        <w:left w:val="none" w:sz="0" w:space="0" w:color="auto"/>
        <w:bottom w:val="none" w:sz="0" w:space="0" w:color="auto"/>
        <w:right w:val="none" w:sz="0" w:space="0" w:color="auto"/>
      </w:divBdr>
    </w:div>
    <w:div w:id="1207454429">
      <w:bodyDiv w:val="1"/>
      <w:marLeft w:val="0"/>
      <w:marRight w:val="0"/>
      <w:marTop w:val="0"/>
      <w:marBottom w:val="0"/>
      <w:divBdr>
        <w:top w:val="none" w:sz="0" w:space="0" w:color="auto"/>
        <w:left w:val="none" w:sz="0" w:space="0" w:color="auto"/>
        <w:bottom w:val="none" w:sz="0" w:space="0" w:color="auto"/>
        <w:right w:val="none" w:sz="0" w:space="0" w:color="auto"/>
      </w:divBdr>
    </w:div>
    <w:div w:id="1210611089">
      <w:bodyDiv w:val="1"/>
      <w:marLeft w:val="0"/>
      <w:marRight w:val="0"/>
      <w:marTop w:val="0"/>
      <w:marBottom w:val="0"/>
      <w:divBdr>
        <w:top w:val="none" w:sz="0" w:space="0" w:color="auto"/>
        <w:left w:val="none" w:sz="0" w:space="0" w:color="auto"/>
        <w:bottom w:val="none" w:sz="0" w:space="0" w:color="auto"/>
        <w:right w:val="none" w:sz="0" w:space="0" w:color="auto"/>
      </w:divBdr>
    </w:div>
    <w:div w:id="1212645176">
      <w:bodyDiv w:val="1"/>
      <w:marLeft w:val="0"/>
      <w:marRight w:val="0"/>
      <w:marTop w:val="0"/>
      <w:marBottom w:val="0"/>
      <w:divBdr>
        <w:top w:val="none" w:sz="0" w:space="0" w:color="auto"/>
        <w:left w:val="none" w:sz="0" w:space="0" w:color="auto"/>
        <w:bottom w:val="none" w:sz="0" w:space="0" w:color="auto"/>
        <w:right w:val="none" w:sz="0" w:space="0" w:color="auto"/>
      </w:divBdr>
    </w:div>
    <w:div w:id="1221937022">
      <w:bodyDiv w:val="1"/>
      <w:marLeft w:val="0"/>
      <w:marRight w:val="0"/>
      <w:marTop w:val="0"/>
      <w:marBottom w:val="0"/>
      <w:divBdr>
        <w:top w:val="none" w:sz="0" w:space="0" w:color="auto"/>
        <w:left w:val="none" w:sz="0" w:space="0" w:color="auto"/>
        <w:bottom w:val="none" w:sz="0" w:space="0" w:color="auto"/>
        <w:right w:val="none" w:sz="0" w:space="0" w:color="auto"/>
      </w:divBdr>
    </w:div>
    <w:div w:id="1224415384">
      <w:bodyDiv w:val="1"/>
      <w:marLeft w:val="0"/>
      <w:marRight w:val="0"/>
      <w:marTop w:val="0"/>
      <w:marBottom w:val="0"/>
      <w:divBdr>
        <w:top w:val="none" w:sz="0" w:space="0" w:color="auto"/>
        <w:left w:val="none" w:sz="0" w:space="0" w:color="auto"/>
        <w:bottom w:val="none" w:sz="0" w:space="0" w:color="auto"/>
        <w:right w:val="none" w:sz="0" w:space="0" w:color="auto"/>
      </w:divBdr>
    </w:div>
    <w:div w:id="1225022106">
      <w:bodyDiv w:val="1"/>
      <w:marLeft w:val="0"/>
      <w:marRight w:val="0"/>
      <w:marTop w:val="0"/>
      <w:marBottom w:val="0"/>
      <w:divBdr>
        <w:top w:val="none" w:sz="0" w:space="0" w:color="auto"/>
        <w:left w:val="none" w:sz="0" w:space="0" w:color="auto"/>
        <w:bottom w:val="none" w:sz="0" w:space="0" w:color="auto"/>
        <w:right w:val="none" w:sz="0" w:space="0" w:color="auto"/>
      </w:divBdr>
    </w:div>
    <w:div w:id="1228565006">
      <w:bodyDiv w:val="1"/>
      <w:marLeft w:val="0"/>
      <w:marRight w:val="0"/>
      <w:marTop w:val="0"/>
      <w:marBottom w:val="0"/>
      <w:divBdr>
        <w:top w:val="none" w:sz="0" w:space="0" w:color="auto"/>
        <w:left w:val="none" w:sz="0" w:space="0" w:color="auto"/>
        <w:bottom w:val="none" w:sz="0" w:space="0" w:color="auto"/>
        <w:right w:val="none" w:sz="0" w:space="0" w:color="auto"/>
      </w:divBdr>
    </w:div>
    <w:div w:id="1229465163">
      <w:bodyDiv w:val="1"/>
      <w:marLeft w:val="0"/>
      <w:marRight w:val="0"/>
      <w:marTop w:val="0"/>
      <w:marBottom w:val="0"/>
      <w:divBdr>
        <w:top w:val="none" w:sz="0" w:space="0" w:color="auto"/>
        <w:left w:val="none" w:sz="0" w:space="0" w:color="auto"/>
        <w:bottom w:val="none" w:sz="0" w:space="0" w:color="auto"/>
        <w:right w:val="none" w:sz="0" w:space="0" w:color="auto"/>
      </w:divBdr>
    </w:div>
    <w:div w:id="1233811254">
      <w:bodyDiv w:val="1"/>
      <w:marLeft w:val="0"/>
      <w:marRight w:val="0"/>
      <w:marTop w:val="0"/>
      <w:marBottom w:val="0"/>
      <w:divBdr>
        <w:top w:val="none" w:sz="0" w:space="0" w:color="auto"/>
        <w:left w:val="none" w:sz="0" w:space="0" w:color="auto"/>
        <w:bottom w:val="none" w:sz="0" w:space="0" w:color="auto"/>
        <w:right w:val="none" w:sz="0" w:space="0" w:color="auto"/>
      </w:divBdr>
    </w:div>
    <w:div w:id="1234781321">
      <w:bodyDiv w:val="1"/>
      <w:marLeft w:val="0"/>
      <w:marRight w:val="0"/>
      <w:marTop w:val="0"/>
      <w:marBottom w:val="0"/>
      <w:divBdr>
        <w:top w:val="none" w:sz="0" w:space="0" w:color="auto"/>
        <w:left w:val="none" w:sz="0" w:space="0" w:color="auto"/>
        <w:bottom w:val="none" w:sz="0" w:space="0" w:color="auto"/>
        <w:right w:val="none" w:sz="0" w:space="0" w:color="auto"/>
      </w:divBdr>
    </w:div>
    <w:div w:id="1238249813">
      <w:bodyDiv w:val="1"/>
      <w:marLeft w:val="0"/>
      <w:marRight w:val="0"/>
      <w:marTop w:val="0"/>
      <w:marBottom w:val="0"/>
      <w:divBdr>
        <w:top w:val="none" w:sz="0" w:space="0" w:color="auto"/>
        <w:left w:val="none" w:sz="0" w:space="0" w:color="auto"/>
        <w:bottom w:val="none" w:sz="0" w:space="0" w:color="auto"/>
        <w:right w:val="none" w:sz="0" w:space="0" w:color="auto"/>
      </w:divBdr>
    </w:div>
    <w:div w:id="1238633296">
      <w:bodyDiv w:val="1"/>
      <w:marLeft w:val="0"/>
      <w:marRight w:val="0"/>
      <w:marTop w:val="0"/>
      <w:marBottom w:val="0"/>
      <w:divBdr>
        <w:top w:val="none" w:sz="0" w:space="0" w:color="auto"/>
        <w:left w:val="none" w:sz="0" w:space="0" w:color="auto"/>
        <w:bottom w:val="none" w:sz="0" w:space="0" w:color="auto"/>
        <w:right w:val="none" w:sz="0" w:space="0" w:color="auto"/>
      </w:divBdr>
    </w:div>
    <w:div w:id="1239369460">
      <w:bodyDiv w:val="1"/>
      <w:marLeft w:val="0"/>
      <w:marRight w:val="0"/>
      <w:marTop w:val="0"/>
      <w:marBottom w:val="0"/>
      <w:divBdr>
        <w:top w:val="none" w:sz="0" w:space="0" w:color="auto"/>
        <w:left w:val="none" w:sz="0" w:space="0" w:color="auto"/>
        <w:bottom w:val="none" w:sz="0" w:space="0" w:color="auto"/>
        <w:right w:val="none" w:sz="0" w:space="0" w:color="auto"/>
      </w:divBdr>
    </w:div>
    <w:div w:id="1240602707">
      <w:bodyDiv w:val="1"/>
      <w:marLeft w:val="0"/>
      <w:marRight w:val="0"/>
      <w:marTop w:val="0"/>
      <w:marBottom w:val="0"/>
      <w:divBdr>
        <w:top w:val="none" w:sz="0" w:space="0" w:color="auto"/>
        <w:left w:val="none" w:sz="0" w:space="0" w:color="auto"/>
        <w:bottom w:val="none" w:sz="0" w:space="0" w:color="auto"/>
        <w:right w:val="none" w:sz="0" w:space="0" w:color="auto"/>
      </w:divBdr>
    </w:div>
    <w:div w:id="1242449165">
      <w:bodyDiv w:val="1"/>
      <w:marLeft w:val="0"/>
      <w:marRight w:val="0"/>
      <w:marTop w:val="0"/>
      <w:marBottom w:val="0"/>
      <w:divBdr>
        <w:top w:val="none" w:sz="0" w:space="0" w:color="auto"/>
        <w:left w:val="none" w:sz="0" w:space="0" w:color="auto"/>
        <w:bottom w:val="none" w:sz="0" w:space="0" w:color="auto"/>
        <w:right w:val="none" w:sz="0" w:space="0" w:color="auto"/>
      </w:divBdr>
    </w:div>
    <w:div w:id="1244072108">
      <w:bodyDiv w:val="1"/>
      <w:marLeft w:val="0"/>
      <w:marRight w:val="0"/>
      <w:marTop w:val="0"/>
      <w:marBottom w:val="0"/>
      <w:divBdr>
        <w:top w:val="none" w:sz="0" w:space="0" w:color="auto"/>
        <w:left w:val="none" w:sz="0" w:space="0" w:color="auto"/>
        <w:bottom w:val="none" w:sz="0" w:space="0" w:color="auto"/>
        <w:right w:val="none" w:sz="0" w:space="0" w:color="auto"/>
      </w:divBdr>
    </w:div>
    <w:div w:id="1247422604">
      <w:bodyDiv w:val="1"/>
      <w:marLeft w:val="0"/>
      <w:marRight w:val="0"/>
      <w:marTop w:val="0"/>
      <w:marBottom w:val="0"/>
      <w:divBdr>
        <w:top w:val="none" w:sz="0" w:space="0" w:color="auto"/>
        <w:left w:val="none" w:sz="0" w:space="0" w:color="auto"/>
        <w:bottom w:val="none" w:sz="0" w:space="0" w:color="auto"/>
        <w:right w:val="none" w:sz="0" w:space="0" w:color="auto"/>
      </w:divBdr>
    </w:div>
    <w:div w:id="1248151286">
      <w:bodyDiv w:val="1"/>
      <w:marLeft w:val="0"/>
      <w:marRight w:val="0"/>
      <w:marTop w:val="0"/>
      <w:marBottom w:val="0"/>
      <w:divBdr>
        <w:top w:val="none" w:sz="0" w:space="0" w:color="auto"/>
        <w:left w:val="none" w:sz="0" w:space="0" w:color="auto"/>
        <w:bottom w:val="none" w:sz="0" w:space="0" w:color="auto"/>
        <w:right w:val="none" w:sz="0" w:space="0" w:color="auto"/>
      </w:divBdr>
    </w:div>
    <w:div w:id="1248462133">
      <w:bodyDiv w:val="1"/>
      <w:marLeft w:val="0"/>
      <w:marRight w:val="0"/>
      <w:marTop w:val="0"/>
      <w:marBottom w:val="0"/>
      <w:divBdr>
        <w:top w:val="none" w:sz="0" w:space="0" w:color="auto"/>
        <w:left w:val="none" w:sz="0" w:space="0" w:color="auto"/>
        <w:bottom w:val="none" w:sz="0" w:space="0" w:color="auto"/>
        <w:right w:val="none" w:sz="0" w:space="0" w:color="auto"/>
      </w:divBdr>
    </w:div>
    <w:div w:id="1249002841">
      <w:bodyDiv w:val="1"/>
      <w:marLeft w:val="0"/>
      <w:marRight w:val="0"/>
      <w:marTop w:val="0"/>
      <w:marBottom w:val="0"/>
      <w:divBdr>
        <w:top w:val="none" w:sz="0" w:space="0" w:color="auto"/>
        <w:left w:val="none" w:sz="0" w:space="0" w:color="auto"/>
        <w:bottom w:val="none" w:sz="0" w:space="0" w:color="auto"/>
        <w:right w:val="none" w:sz="0" w:space="0" w:color="auto"/>
      </w:divBdr>
    </w:div>
    <w:div w:id="1250889095">
      <w:bodyDiv w:val="1"/>
      <w:marLeft w:val="0"/>
      <w:marRight w:val="0"/>
      <w:marTop w:val="0"/>
      <w:marBottom w:val="0"/>
      <w:divBdr>
        <w:top w:val="none" w:sz="0" w:space="0" w:color="auto"/>
        <w:left w:val="none" w:sz="0" w:space="0" w:color="auto"/>
        <w:bottom w:val="none" w:sz="0" w:space="0" w:color="auto"/>
        <w:right w:val="none" w:sz="0" w:space="0" w:color="auto"/>
      </w:divBdr>
    </w:div>
    <w:div w:id="1250890151">
      <w:bodyDiv w:val="1"/>
      <w:marLeft w:val="0"/>
      <w:marRight w:val="0"/>
      <w:marTop w:val="0"/>
      <w:marBottom w:val="0"/>
      <w:divBdr>
        <w:top w:val="none" w:sz="0" w:space="0" w:color="auto"/>
        <w:left w:val="none" w:sz="0" w:space="0" w:color="auto"/>
        <w:bottom w:val="none" w:sz="0" w:space="0" w:color="auto"/>
        <w:right w:val="none" w:sz="0" w:space="0" w:color="auto"/>
      </w:divBdr>
    </w:div>
    <w:div w:id="1253582647">
      <w:bodyDiv w:val="1"/>
      <w:marLeft w:val="0"/>
      <w:marRight w:val="0"/>
      <w:marTop w:val="0"/>
      <w:marBottom w:val="0"/>
      <w:divBdr>
        <w:top w:val="none" w:sz="0" w:space="0" w:color="auto"/>
        <w:left w:val="none" w:sz="0" w:space="0" w:color="auto"/>
        <w:bottom w:val="none" w:sz="0" w:space="0" w:color="auto"/>
        <w:right w:val="none" w:sz="0" w:space="0" w:color="auto"/>
      </w:divBdr>
    </w:div>
    <w:div w:id="1254433231">
      <w:bodyDiv w:val="1"/>
      <w:marLeft w:val="0"/>
      <w:marRight w:val="0"/>
      <w:marTop w:val="0"/>
      <w:marBottom w:val="0"/>
      <w:divBdr>
        <w:top w:val="none" w:sz="0" w:space="0" w:color="auto"/>
        <w:left w:val="none" w:sz="0" w:space="0" w:color="auto"/>
        <w:bottom w:val="none" w:sz="0" w:space="0" w:color="auto"/>
        <w:right w:val="none" w:sz="0" w:space="0" w:color="auto"/>
      </w:divBdr>
    </w:div>
    <w:div w:id="1263875088">
      <w:bodyDiv w:val="1"/>
      <w:marLeft w:val="0"/>
      <w:marRight w:val="0"/>
      <w:marTop w:val="0"/>
      <w:marBottom w:val="0"/>
      <w:divBdr>
        <w:top w:val="none" w:sz="0" w:space="0" w:color="auto"/>
        <w:left w:val="none" w:sz="0" w:space="0" w:color="auto"/>
        <w:bottom w:val="none" w:sz="0" w:space="0" w:color="auto"/>
        <w:right w:val="none" w:sz="0" w:space="0" w:color="auto"/>
      </w:divBdr>
    </w:div>
    <w:div w:id="1268807425">
      <w:bodyDiv w:val="1"/>
      <w:marLeft w:val="0"/>
      <w:marRight w:val="0"/>
      <w:marTop w:val="0"/>
      <w:marBottom w:val="0"/>
      <w:divBdr>
        <w:top w:val="none" w:sz="0" w:space="0" w:color="auto"/>
        <w:left w:val="none" w:sz="0" w:space="0" w:color="auto"/>
        <w:bottom w:val="none" w:sz="0" w:space="0" w:color="auto"/>
        <w:right w:val="none" w:sz="0" w:space="0" w:color="auto"/>
      </w:divBdr>
    </w:div>
    <w:div w:id="1273319446">
      <w:bodyDiv w:val="1"/>
      <w:marLeft w:val="0"/>
      <w:marRight w:val="0"/>
      <w:marTop w:val="0"/>
      <w:marBottom w:val="0"/>
      <w:divBdr>
        <w:top w:val="none" w:sz="0" w:space="0" w:color="auto"/>
        <w:left w:val="none" w:sz="0" w:space="0" w:color="auto"/>
        <w:bottom w:val="none" w:sz="0" w:space="0" w:color="auto"/>
        <w:right w:val="none" w:sz="0" w:space="0" w:color="auto"/>
      </w:divBdr>
    </w:div>
    <w:div w:id="1276790576">
      <w:bodyDiv w:val="1"/>
      <w:marLeft w:val="0"/>
      <w:marRight w:val="0"/>
      <w:marTop w:val="0"/>
      <w:marBottom w:val="0"/>
      <w:divBdr>
        <w:top w:val="none" w:sz="0" w:space="0" w:color="auto"/>
        <w:left w:val="none" w:sz="0" w:space="0" w:color="auto"/>
        <w:bottom w:val="none" w:sz="0" w:space="0" w:color="auto"/>
        <w:right w:val="none" w:sz="0" w:space="0" w:color="auto"/>
      </w:divBdr>
    </w:div>
    <w:div w:id="1277642458">
      <w:bodyDiv w:val="1"/>
      <w:marLeft w:val="0"/>
      <w:marRight w:val="0"/>
      <w:marTop w:val="0"/>
      <w:marBottom w:val="0"/>
      <w:divBdr>
        <w:top w:val="none" w:sz="0" w:space="0" w:color="auto"/>
        <w:left w:val="none" w:sz="0" w:space="0" w:color="auto"/>
        <w:bottom w:val="none" w:sz="0" w:space="0" w:color="auto"/>
        <w:right w:val="none" w:sz="0" w:space="0" w:color="auto"/>
      </w:divBdr>
    </w:div>
    <w:div w:id="1278752993">
      <w:bodyDiv w:val="1"/>
      <w:marLeft w:val="0"/>
      <w:marRight w:val="0"/>
      <w:marTop w:val="0"/>
      <w:marBottom w:val="0"/>
      <w:divBdr>
        <w:top w:val="none" w:sz="0" w:space="0" w:color="auto"/>
        <w:left w:val="none" w:sz="0" w:space="0" w:color="auto"/>
        <w:bottom w:val="none" w:sz="0" w:space="0" w:color="auto"/>
        <w:right w:val="none" w:sz="0" w:space="0" w:color="auto"/>
      </w:divBdr>
    </w:div>
    <w:div w:id="1295253523">
      <w:bodyDiv w:val="1"/>
      <w:marLeft w:val="0"/>
      <w:marRight w:val="0"/>
      <w:marTop w:val="0"/>
      <w:marBottom w:val="0"/>
      <w:divBdr>
        <w:top w:val="none" w:sz="0" w:space="0" w:color="auto"/>
        <w:left w:val="none" w:sz="0" w:space="0" w:color="auto"/>
        <w:bottom w:val="none" w:sz="0" w:space="0" w:color="auto"/>
        <w:right w:val="none" w:sz="0" w:space="0" w:color="auto"/>
      </w:divBdr>
    </w:div>
    <w:div w:id="1300771285">
      <w:bodyDiv w:val="1"/>
      <w:marLeft w:val="0"/>
      <w:marRight w:val="0"/>
      <w:marTop w:val="0"/>
      <w:marBottom w:val="0"/>
      <w:divBdr>
        <w:top w:val="none" w:sz="0" w:space="0" w:color="auto"/>
        <w:left w:val="none" w:sz="0" w:space="0" w:color="auto"/>
        <w:bottom w:val="none" w:sz="0" w:space="0" w:color="auto"/>
        <w:right w:val="none" w:sz="0" w:space="0" w:color="auto"/>
      </w:divBdr>
    </w:div>
    <w:div w:id="1303270791">
      <w:bodyDiv w:val="1"/>
      <w:marLeft w:val="0"/>
      <w:marRight w:val="0"/>
      <w:marTop w:val="0"/>
      <w:marBottom w:val="0"/>
      <w:divBdr>
        <w:top w:val="none" w:sz="0" w:space="0" w:color="auto"/>
        <w:left w:val="none" w:sz="0" w:space="0" w:color="auto"/>
        <w:bottom w:val="none" w:sz="0" w:space="0" w:color="auto"/>
        <w:right w:val="none" w:sz="0" w:space="0" w:color="auto"/>
      </w:divBdr>
    </w:div>
    <w:div w:id="1307928115">
      <w:bodyDiv w:val="1"/>
      <w:marLeft w:val="0"/>
      <w:marRight w:val="0"/>
      <w:marTop w:val="0"/>
      <w:marBottom w:val="0"/>
      <w:divBdr>
        <w:top w:val="none" w:sz="0" w:space="0" w:color="auto"/>
        <w:left w:val="none" w:sz="0" w:space="0" w:color="auto"/>
        <w:bottom w:val="none" w:sz="0" w:space="0" w:color="auto"/>
        <w:right w:val="none" w:sz="0" w:space="0" w:color="auto"/>
      </w:divBdr>
    </w:div>
    <w:div w:id="1311519997">
      <w:bodyDiv w:val="1"/>
      <w:marLeft w:val="0"/>
      <w:marRight w:val="0"/>
      <w:marTop w:val="0"/>
      <w:marBottom w:val="0"/>
      <w:divBdr>
        <w:top w:val="none" w:sz="0" w:space="0" w:color="auto"/>
        <w:left w:val="none" w:sz="0" w:space="0" w:color="auto"/>
        <w:bottom w:val="none" w:sz="0" w:space="0" w:color="auto"/>
        <w:right w:val="none" w:sz="0" w:space="0" w:color="auto"/>
      </w:divBdr>
    </w:div>
    <w:div w:id="1311597634">
      <w:bodyDiv w:val="1"/>
      <w:marLeft w:val="0"/>
      <w:marRight w:val="0"/>
      <w:marTop w:val="0"/>
      <w:marBottom w:val="0"/>
      <w:divBdr>
        <w:top w:val="none" w:sz="0" w:space="0" w:color="auto"/>
        <w:left w:val="none" w:sz="0" w:space="0" w:color="auto"/>
        <w:bottom w:val="none" w:sz="0" w:space="0" w:color="auto"/>
        <w:right w:val="none" w:sz="0" w:space="0" w:color="auto"/>
      </w:divBdr>
    </w:div>
    <w:div w:id="1312254193">
      <w:bodyDiv w:val="1"/>
      <w:marLeft w:val="0"/>
      <w:marRight w:val="0"/>
      <w:marTop w:val="0"/>
      <w:marBottom w:val="0"/>
      <w:divBdr>
        <w:top w:val="none" w:sz="0" w:space="0" w:color="auto"/>
        <w:left w:val="none" w:sz="0" w:space="0" w:color="auto"/>
        <w:bottom w:val="none" w:sz="0" w:space="0" w:color="auto"/>
        <w:right w:val="none" w:sz="0" w:space="0" w:color="auto"/>
      </w:divBdr>
    </w:div>
    <w:div w:id="1313364158">
      <w:bodyDiv w:val="1"/>
      <w:marLeft w:val="0"/>
      <w:marRight w:val="0"/>
      <w:marTop w:val="0"/>
      <w:marBottom w:val="0"/>
      <w:divBdr>
        <w:top w:val="none" w:sz="0" w:space="0" w:color="auto"/>
        <w:left w:val="none" w:sz="0" w:space="0" w:color="auto"/>
        <w:bottom w:val="none" w:sz="0" w:space="0" w:color="auto"/>
        <w:right w:val="none" w:sz="0" w:space="0" w:color="auto"/>
      </w:divBdr>
    </w:div>
    <w:div w:id="1318411682">
      <w:bodyDiv w:val="1"/>
      <w:marLeft w:val="0"/>
      <w:marRight w:val="0"/>
      <w:marTop w:val="0"/>
      <w:marBottom w:val="0"/>
      <w:divBdr>
        <w:top w:val="none" w:sz="0" w:space="0" w:color="auto"/>
        <w:left w:val="none" w:sz="0" w:space="0" w:color="auto"/>
        <w:bottom w:val="none" w:sz="0" w:space="0" w:color="auto"/>
        <w:right w:val="none" w:sz="0" w:space="0" w:color="auto"/>
      </w:divBdr>
    </w:div>
    <w:div w:id="1318461743">
      <w:bodyDiv w:val="1"/>
      <w:marLeft w:val="0"/>
      <w:marRight w:val="0"/>
      <w:marTop w:val="0"/>
      <w:marBottom w:val="0"/>
      <w:divBdr>
        <w:top w:val="none" w:sz="0" w:space="0" w:color="auto"/>
        <w:left w:val="none" w:sz="0" w:space="0" w:color="auto"/>
        <w:bottom w:val="none" w:sz="0" w:space="0" w:color="auto"/>
        <w:right w:val="none" w:sz="0" w:space="0" w:color="auto"/>
      </w:divBdr>
    </w:div>
    <w:div w:id="1323002088">
      <w:bodyDiv w:val="1"/>
      <w:marLeft w:val="0"/>
      <w:marRight w:val="0"/>
      <w:marTop w:val="0"/>
      <w:marBottom w:val="0"/>
      <w:divBdr>
        <w:top w:val="none" w:sz="0" w:space="0" w:color="auto"/>
        <w:left w:val="none" w:sz="0" w:space="0" w:color="auto"/>
        <w:bottom w:val="none" w:sz="0" w:space="0" w:color="auto"/>
        <w:right w:val="none" w:sz="0" w:space="0" w:color="auto"/>
      </w:divBdr>
    </w:div>
    <w:div w:id="1324317453">
      <w:bodyDiv w:val="1"/>
      <w:marLeft w:val="0"/>
      <w:marRight w:val="0"/>
      <w:marTop w:val="0"/>
      <w:marBottom w:val="0"/>
      <w:divBdr>
        <w:top w:val="none" w:sz="0" w:space="0" w:color="auto"/>
        <w:left w:val="none" w:sz="0" w:space="0" w:color="auto"/>
        <w:bottom w:val="none" w:sz="0" w:space="0" w:color="auto"/>
        <w:right w:val="none" w:sz="0" w:space="0" w:color="auto"/>
      </w:divBdr>
    </w:div>
    <w:div w:id="1325157468">
      <w:bodyDiv w:val="1"/>
      <w:marLeft w:val="0"/>
      <w:marRight w:val="0"/>
      <w:marTop w:val="0"/>
      <w:marBottom w:val="0"/>
      <w:divBdr>
        <w:top w:val="none" w:sz="0" w:space="0" w:color="auto"/>
        <w:left w:val="none" w:sz="0" w:space="0" w:color="auto"/>
        <w:bottom w:val="none" w:sz="0" w:space="0" w:color="auto"/>
        <w:right w:val="none" w:sz="0" w:space="0" w:color="auto"/>
      </w:divBdr>
    </w:div>
    <w:div w:id="1330407056">
      <w:bodyDiv w:val="1"/>
      <w:marLeft w:val="0"/>
      <w:marRight w:val="0"/>
      <w:marTop w:val="0"/>
      <w:marBottom w:val="0"/>
      <w:divBdr>
        <w:top w:val="none" w:sz="0" w:space="0" w:color="auto"/>
        <w:left w:val="none" w:sz="0" w:space="0" w:color="auto"/>
        <w:bottom w:val="none" w:sz="0" w:space="0" w:color="auto"/>
        <w:right w:val="none" w:sz="0" w:space="0" w:color="auto"/>
      </w:divBdr>
    </w:div>
    <w:div w:id="1334454203">
      <w:bodyDiv w:val="1"/>
      <w:marLeft w:val="0"/>
      <w:marRight w:val="0"/>
      <w:marTop w:val="0"/>
      <w:marBottom w:val="0"/>
      <w:divBdr>
        <w:top w:val="none" w:sz="0" w:space="0" w:color="auto"/>
        <w:left w:val="none" w:sz="0" w:space="0" w:color="auto"/>
        <w:bottom w:val="none" w:sz="0" w:space="0" w:color="auto"/>
        <w:right w:val="none" w:sz="0" w:space="0" w:color="auto"/>
      </w:divBdr>
    </w:div>
    <w:div w:id="1341084300">
      <w:bodyDiv w:val="1"/>
      <w:marLeft w:val="0"/>
      <w:marRight w:val="0"/>
      <w:marTop w:val="0"/>
      <w:marBottom w:val="0"/>
      <w:divBdr>
        <w:top w:val="none" w:sz="0" w:space="0" w:color="auto"/>
        <w:left w:val="none" w:sz="0" w:space="0" w:color="auto"/>
        <w:bottom w:val="none" w:sz="0" w:space="0" w:color="auto"/>
        <w:right w:val="none" w:sz="0" w:space="0" w:color="auto"/>
      </w:divBdr>
    </w:div>
    <w:div w:id="1352680067">
      <w:bodyDiv w:val="1"/>
      <w:marLeft w:val="0"/>
      <w:marRight w:val="0"/>
      <w:marTop w:val="0"/>
      <w:marBottom w:val="0"/>
      <w:divBdr>
        <w:top w:val="none" w:sz="0" w:space="0" w:color="auto"/>
        <w:left w:val="none" w:sz="0" w:space="0" w:color="auto"/>
        <w:bottom w:val="none" w:sz="0" w:space="0" w:color="auto"/>
        <w:right w:val="none" w:sz="0" w:space="0" w:color="auto"/>
      </w:divBdr>
    </w:div>
    <w:div w:id="1367949947">
      <w:bodyDiv w:val="1"/>
      <w:marLeft w:val="0"/>
      <w:marRight w:val="0"/>
      <w:marTop w:val="0"/>
      <w:marBottom w:val="0"/>
      <w:divBdr>
        <w:top w:val="none" w:sz="0" w:space="0" w:color="auto"/>
        <w:left w:val="none" w:sz="0" w:space="0" w:color="auto"/>
        <w:bottom w:val="none" w:sz="0" w:space="0" w:color="auto"/>
        <w:right w:val="none" w:sz="0" w:space="0" w:color="auto"/>
      </w:divBdr>
    </w:div>
    <w:div w:id="1372026470">
      <w:bodyDiv w:val="1"/>
      <w:marLeft w:val="0"/>
      <w:marRight w:val="0"/>
      <w:marTop w:val="0"/>
      <w:marBottom w:val="0"/>
      <w:divBdr>
        <w:top w:val="none" w:sz="0" w:space="0" w:color="auto"/>
        <w:left w:val="none" w:sz="0" w:space="0" w:color="auto"/>
        <w:bottom w:val="none" w:sz="0" w:space="0" w:color="auto"/>
        <w:right w:val="none" w:sz="0" w:space="0" w:color="auto"/>
      </w:divBdr>
    </w:div>
    <w:div w:id="1372536078">
      <w:bodyDiv w:val="1"/>
      <w:marLeft w:val="0"/>
      <w:marRight w:val="0"/>
      <w:marTop w:val="0"/>
      <w:marBottom w:val="0"/>
      <w:divBdr>
        <w:top w:val="none" w:sz="0" w:space="0" w:color="auto"/>
        <w:left w:val="none" w:sz="0" w:space="0" w:color="auto"/>
        <w:bottom w:val="none" w:sz="0" w:space="0" w:color="auto"/>
        <w:right w:val="none" w:sz="0" w:space="0" w:color="auto"/>
      </w:divBdr>
    </w:div>
    <w:div w:id="1376419738">
      <w:bodyDiv w:val="1"/>
      <w:marLeft w:val="0"/>
      <w:marRight w:val="0"/>
      <w:marTop w:val="0"/>
      <w:marBottom w:val="0"/>
      <w:divBdr>
        <w:top w:val="none" w:sz="0" w:space="0" w:color="auto"/>
        <w:left w:val="none" w:sz="0" w:space="0" w:color="auto"/>
        <w:bottom w:val="none" w:sz="0" w:space="0" w:color="auto"/>
        <w:right w:val="none" w:sz="0" w:space="0" w:color="auto"/>
      </w:divBdr>
    </w:div>
    <w:div w:id="1379478117">
      <w:bodyDiv w:val="1"/>
      <w:marLeft w:val="0"/>
      <w:marRight w:val="0"/>
      <w:marTop w:val="0"/>
      <w:marBottom w:val="0"/>
      <w:divBdr>
        <w:top w:val="none" w:sz="0" w:space="0" w:color="auto"/>
        <w:left w:val="none" w:sz="0" w:space="0" w:color="auto"/>
        <w:bottom w:val="none" w:sz="0" w:space="0" w:color="auto"/>
        <w:right w:val="none" w:sz="0" w:space="0" w:color="auto"/>
      </w:divBdr>
    </w:div>
    <w:div w:id="1397704637">
      <w:bodyDiv w:val="1"/>
      <w:marLeft w:val="0"/>
      <w:marRight w:val="0"/>
      <w:marTop w:val="0"/>
      <w:marBottom w:val="0"/>
      <w:divBdr>
        <w:top w:val="none" w:sz="0" w:space="0" w:color="auto"/>
        <w:left w:val="none" w:sz="0" w:space="0" w:color="auto"/>
        <w:bottom w:val="none" w:sz="0" w:space="0" w:color="auto"/>
        <w:right w:val="none" w:sz="0" w:space="0" w:color="auto"/>
      </w:divBdr>
    </w:div>
    <w:div w:id="1397779102">
      <w:bodyDiv w:val="1"/>
      <w:marLeft w:val="0"/>
      <w:marRight w:val="0"/>
      <w:marTop w:val="0"/>
      <w:marBottom w:val="0"/>
      <w:divBdr>
        <w:top w:val="none" w:sz="0" w:space="0" w:color="auto"/>
        <w:left w:val="none" w:sz="0" w:space="0" w:color="auto"/>
        <w:bottom w:val="none" w:sz="0" w:space="0" w:color="auto"/>
        <w:right w:val="none" w:sz="0" w:space="0" w:color="auto"/>
      </w:divBdr>
    </w:div>
    <w:div w:id="1403408526">
      <w:bodyDiv w:val="1"/>
      <w:marLeft w:val="0"/>
      <w:marRight w:val="0"/>
      <w:marTop w:val="0"/>
      <w:marBottom w:val="0"/>
      <w:divBdr>
        <w:top w:val="none" w:sz="0" w:space="0" w:color="auto"/>
        <w:left w:val="none" w:sz="0" w:space="0" w:color="auto"/>
        <w:bottom w:val="none" w:sz="0" w:space="0" w:color="auto"/>
        <w:right w:val="none" w:sz="0" w:space="0" w:color="auto"/>
      </w:divBdr>
    </w:div>
    <w:div w:id="1404715815">
      <w:bodyDiv w:val="1"/>
      <w:marLeft w:val="0"/>
      <w:marRight w:val="0"/>
      <w:marTop w:val="0"/>
      <w:marBottom w:val="0"/>
      <w:divBdr>
        <w:top w:val="none" w:sz="0" w:space="0" w:color="auto"/>
        <w:left w:val="none" w:sz="0" w:space="0" w:color="auto"/>
        <w:bottom w:val="none" w:sz="0" w:space="0" w:color="auto"/>
        <w:right w:val="none" w:sz="0" w:space="0" w:color="auto"/>
      </w:divBdr>
    </w:div>
    <w:div w:id="1407072224">
      <w:bodyDiv w:val="1"/>
      <w:marLeft w:val="0"/>
      <w:marRight w:val="0"/>
      <w:marTop w:val="0"/>
      <w:marBottom w:val="0"/>
      <w:divBdr>
        <w:top w:val="none" w:sz="0" w:space="0" w:color="auto"/>
        <w:left w:val="none" w:sz="0" w:space="0" w:color="auto"/>
        <w:bottom w:val="none" w:sz="0" w:space="0" w:color="auto"/>
        <w:right w:val="none" w:sz="0" w:space="0" w:color="auto"/>
      </w:divBdr>
    </w:div>
    <w:div w:id="1412897239">
      <w:bodyDiv w:val="1"/>
      <w:marLeft w:val="0"/>
      <w:marRight w:val="0"/>
      <w:marTop w:val="0"/>
      <w:marBottom w:val="0"/>
      <w:divBdr>
        <w:top w:val="none" w:sz="0" w:space="0" w:color="auto"/>
        <w:left w:val="none" w:sz="0" w:space="0" w:color="auto"/>
        <w:bottom w:val="none" w:sz="0" w:space="0" w:color="auto"/>
        <w:right w:val="none" w:sz="0" w:space="0" w:color="auto"/>
      </w:divBdr>
    </w:div>
    <w:div w:id="1416392753">
      <w:bodyDiv w:val="1"/>
      <w:marLeft w:val="0"/>
      <w:marRight w:val="0"/>
      <w:marTop w:val="0"/>
      <w:marBottom w:val="0"/>
      <w:divBdr>
        <w:top w:val="none" w:sz="0" w:space="0" w:color="auto"/>
        <w:left w:val="none" w:sz="0" w:space="0" w:color="auto"/>
        <w:bottom w:val="none" w:sz="0" w:space="0" w:color="auto"/>
        <w:right w:val="none" w:sz="0" w:space="0" w:color="auto"/>
      </w:divBdr>
    </w:div>
    <w:div w:id="1417897011">
      <w:bodyDiv w:val="1"/>
      <w:marLeft w:val="0"/>
      <w:marRight w:val="0"/>
      <w:marTop w:val="0"/>
      <w:marBottom w:val="0"/>
      <w:divBdr>
        <w:top w:val="none" w:sz="0" w:space="0" w:color="auto"/>
        <w:left w:val="none" w:sz="0" w:space="0" w:color="auto"/>
        <w:bottom w:val="none" w:sz="0" w:space="0" w:color="auto"/>
        <w:right w:val="none" w:sz="0" w:space="0" w:color="auto"/>
      </w:divBdr>
    </w:div>
    <w:div w:id="1419205482">
      <w:bodyDiv w:val="1"/>
      <w:marLeft w:val="0"/>
      <w:marRight w:val="0"/>
      <w:marTop w:val="0"/>
      <w:marBottom w:val="0"/>
      <w:divBdr>
        <w:top w:val="none" w:sz="0" w:space="0" w:color="auto"/>
        <w:left w:val="none" w:sz="0" w:space="0" w:color="auto"/>
        <w:bottom w:val="none" w:sz="0" w:space="0" w:color="auto"/>
        <w:right w:val="none" w:sz="0" w:space="0" w:color="auto"/>
      </w:divBdr>
    </w:div>
    <w:div w:id="1422684221">
      <w:bodyDiv w:val="1"/>
      <w:marLeft w:val="0"/>
      <w:marRight w:val="0"/>
      <w:marTop w:val="0"/>
      <w:marBottom w:val="0"/>
      <w:divBdr>
        <w:top w:val="none" w:sz="0" w:space="0" w:color="auto"/>
        <w:left w:val="none" w:sz="0" w:space="0" w:color="auto"/>
        <w:bottom w:val="none" w:sz="0" w:space="0" w:color="auto"/>
        <w:right w:val="none" w:sz="0" w:space="0" w:color="auto"/>
      </w:divBdr>
    </w:div>
    <w:div w:id="1428503107">
      <w:bodyDiv w:val="1"/>
      <w:marLeft w:val="0"/>
      <w:marRight w:val="0"/>
      <w:marTop w:val="0"/>
      <w:marBottom w:val="0"/>
      <w:divBdr>
        <w:top w:val="none" w:sz="0" w:space="0" w:color="auto"/>
        <w:left w:val="none" w:sz="0" w:space="0" w:color="auto"/>
        <w:bottom w:val="none" w:sz="0" w:space="0" w:color="auto"/>
        <w:right w:val="none" w:sz="0" w:space="0" w:color="auto"/>
      </w:divBdr>
    </w:div>
    <w:div w:id="1428965474">
      <w:bodyDiv w:val="1"/>
      <w:marLeft w:val="0"/>
      <w:marRight w:val="0"/>
      <w:marTop w:val="0"/>
      <w:marBottom w:val="0"/>
      <w:divBdr>
        <w:top w:val="none" w:sz="0" w:space="0" w:color="auto"/>
        <w:left w:val="none" w:sz="0" w:space="0" w:color="auto"/>
        <w:bottom w:val="none" w:sz="0" w:space="0" w:color="auto"/>
        <w:right w:val="none" w:sz="0" w:space="0" w:color="auto"/>
      </w:divBdr>
    </w:div>
    <w:div w:id="1438016879">
      <w:bodyDiv w:val="1"/>
      <w:marLeft w:val="0"/>
      <w:marRight w:val="0"/>
      <w:marTop w:val="0"/>
      <w:marBottom w:val="0"/>
      <w:divBdr>
        <w:top w:val="none" w:sz="0" w:space="0" w:color="auto"/>
        <w:left w:val="none" w:sz="0" w:space="0" w:color="auto"/>
        <w:bottom w:val="none" w:sz="0" w:space="0" w:color="auto"/>
        <w:right w:val="none" w:sz="0" w:space="0" w:color="auto"/>
      </w:divBdr>
    </w:div>
    <w:div w:id="1440299456">
      <w:bodyDiv w:val="1"/>
      <w:marLeft w:val="0"/>
      <w:marRight w:val="0"/>
      <w:marTop w:val="0"/>
      <w:marBottom w:val="0"/>
      <w:divBdr>
        <w:top w:val="none" w:sz="0" w:space="0" w:color="auto"/>
        <w:left w:val="none" w:sz="0" w:space="0" w:color="auto"/>
        <w:bottom w:val="none" w:sz="0" w:space="0" w:color="auto"/>
        <w:right w:val="none" w:sz="0" w:space="0" w:color="auto"/>
      </w:divBdr>
    </w:div>
    <w:div w:id="1449735526">
      <w:bodyDiv w:val="1"/>
      <w:marLeft w:val="0"/>
      <w:marRight w:val="0"/>
      <w:marTop w:val="0"/>
      <w:marBottom w:val="0"/>
      <w:divBdr>
        <w:top w:val="none" w:sz="0" w:space="0" w:color="auto"/>
        <w:left w:val="none" w:sz="0" w:space="0" w:color="auto"/>
        <w:bottom w:val="none" w:sz="0" w:space="0" w:color="auto"/>
        <w:right w:val="none" w:sz="0" w:space="0" w:color="auto"/>
      </w:divBdr>
    </w:div>
    <w:div w:id="1450050160">
      <w:bodyDiv w:val="1"/>
      <w:marLeft w:val="0"/>
      <w:marRight w:val="0"/>
      <w:marTop w:val="0"/>
      <w:marBottom w:val="0"/>
      <w:divBdr>
        <w:top w:val="none" w:sz="0" w:space="0" w:color="auto"/>
        <w:left w:val="none" w:sz="0" w:space="0" w:color="auto"/>
        <w:bottom w:val="none" w:sz="0" w:space="0" w:color="auto"/>
        <w:right w:val="none" w:sz="0" w:space="0" w:color="auto"/>
      </w:divBdr>
    </w:div>
    <w:div w:id="1458914294">
      <w:bodyDiv w:val="1"/>
      <w:marLeft w:val="0"/>
      <w:marRight w:val="0"/>
      <w:marTop w:val="0"/>
      <w:marBottom w:val="0"/>
      <w:divBdr>
        <w:top w:val="none" w:sz="0" w:space="0" w:color="auto"/>
        <w:left w:val="none" w:sz="0" w:space="0" w:color="auto"/>
        <w:bottom w:val="none" w:sz="0" w:space="0" w:color="auto"/>
        <w:right w:val="none" w:sz="0" w:space="0" w:color="auto"/>
      </w:divBdr>
    </w:div>
    <w:div w:id="1462268722">
      <w:bodyDiv w:val="1"/>
      <w:marLeft w:val="0"/>
      <w:marRight w:val="0"/>
      <w:marTop w:val="0"/>
      <w:marBottom w:val="0"/>
      <w:divBdr>
        <w:top w:val="none" w:sz="0" w:space="0" w:color="auto"/>
        <w:left w:val="none" w:sz="0" w:space="0" w:color="auto"/>
        <w:bottom w:val="none" w:sz="0" w:space="0" w:color="auto"/>
        <w:right w:val="none" w:sz="0" w:space="0" w:color="auto"/>
      </w:divBdr>
    </w:div>
    <w:div w:id="1467157763">
      <w:bodyDiv w:val="1"/>
      <w:marLeft w:val="0"/>
      <w:marRight w:val="0"/>
      <w:marTop w:val="0"/>
      <w:marBottom w:val="0"/>
      <w:divBdr>
        <w:top w:val="none" w:sz="0" w:space="0" w:color="auto"/>
        <w:left w:val="none" w:sz="0" w:space="0" w:color="auto"/>
        <w:bottom w:val="none" w:sz="0" w:space="0" w:color="auto"/>
        <w:right w:val="none" w:sz="0" w:space="0" w:color="auto"/>
      </w:divBdr>
    </w:div>
    <w:div w:id="1471749685">
      <w:bodyDiv w:val="1"/>
      <w:marLeft w:val="0"/>
      <w:marRight w:val="0"/>
      <w:marTop w:val="0"/>
      <w:marBottom w:val="0"/>
      <w:divBdr>
        <w:top w:val="none" w:sz="0" w:space="0" w:color="auto"/>
        <w:left w:val="none" w:sz="0" w:space="0" w:color="auto"/>
        <w:bottom w:val="none" w:sz="0" w:space="0" w:color="auto"/>
        <w:right w:val="none" w:sz="0" w:space="0" w:color="auto"/>
      </w:divBdr>
    </w:div>
    <w:div w:id="1478301506">
      <w:bodyDiv w:val="1"/>
      <w:marLeft w:val="0"/>
      <w:marRight w:val="0"/>
      <w:marTop w:val="0"/>
      <w:marBottom w:val="0"/>
      <w:divBdr>
        <w:top w:val="none" w:sz="0" w:space="0" w:color="auto"/>
        <w:left w:val="none" w:sz="0" w:space="0" w:color="auto"/>
        <w:bottom w:val="none" w:sz="0" w:space="0" w:color="auto"/>
        <w:right w:val="none" w:sz="0" w:space="0" w:color="auto"/>
      </w:divBdr>
    </w:div>
    <w:div w:id="1479178559">
      <w:bodyDiv w:val="1"/>
      <w:marLeft w:val="0"/>
      <w:marRight w:val="0"/>
      <w:marTop w:val="0"/>
      <w:marBottom w:val="0"/>
      <w:divBdr>
        <w:top w:val="none" w:sz="0" w:space="0" w:color="auto"/>
        <w:left w:val="none" w:sz="0" w:space="0" w:color="auto"/>
        <w:bottom w:val="none" w:sz="0" w:space="0" w:color="auto"/>
        <w:right w:val="none" w:sz="0" w:space="0" w:color="auto"/>
      </w:divBdr>
    </w:div>
    <w:div w:id="1488206399">
      <w:bodyDiv w:val="1"/>
      <w:marLeft w:val="0"/>
      <w:marRight w:val="0"/>
      <w:marTop w:val="0"/>
      <w:marBottom w:val="0"/>
      <w:divBdr>
        <w:top w:val="none" w:sz="0" w:space="0" w:color="auto"/>
        <w:left w:val="none" w:sz="0" w:space="0" w:color="auto"/>
        <w:bottom w:val="none" w:sz="0" w:space="0" w:color="auto"/>
        <w:right w:val="none" w:sz="0" w:space="0" w:color="auto"/>
      </w:divBdr>
    </w:div>
    <w:div w:id="1492910890">
      <w:bodyDiv w:val="1"/>
      <w:marLeft w:val="0"/>
      <w:marRight w:val="0"/>
      <w:marTop w:val="0"/>
      <w:marBottom w:val="0"/>
      <w:divBdr>
        <w:top w:val="none" w:sz="0" w:space="0" w:color="auto"/>
        <w:left w:val="none" w:sz="0" w:space="0" w:color="auto"/>
        <w:bottom w:val="none" w:sz="0" w:space="0" w:color="auto"/>
        <w:right w:val="none" w:sz="0" w:space="0" w:color="auto"/>
      </w:divBdr>
    </w:div>
    <w:div w:id="1495875444">
      <w:bodyDiv w:val="1"/>
      <w:marLeft w:val="0"/>
      <w:marRight w:val="0"/>
      <w:marTop w:val="0"/>
      <w:marBottom w:val="0"/>
      <w:divBdr>
        <w:top w:val="none" w:sz="0" w:space="0" w:color="auto"/>
        <w:left w:val="none" w:sz="0" w:space="0" w:color="auto"/>
        <w:bottom w:val="none" w:sz="0" w:space="0" w:color="auto"/>
        <w:right w:val="none" w:sz="0" w:space="0" w:color="auto"/>
      </w:divBdr>
    </w:div>
    <w:div w:id="1496409045">
      <w:bodyDiv w:val="1"/>
      <w:marLeft w:val="0"/>
      <w:marRight w:val="0"/>
      <w:marTop w:val="0"/>
      <w:marBottom w:val="0"/>
      <w:divBdr>
        <w:top w:val="none" w:sz="0" w:space="0" w:color="auto"/>
        <w:left w:val="none" w:sz="0" w:space="0" w:color="auto"/>
        <w:bottom w:val="none" w:sz="0" w:space="0" w:color="auto"/>
        <w:right w:val="none" w:sz="0" w:space="0" w:color="auto"/>
      </w:divBdr>
    </w:div>
    <w:div w:id="1502165152">
      <w:bodyDiv w:val="1"/>
      <w:marLeft w:val="0"/>
      <w:marRight w:val="0"/>
      <w:marTop w:val="0"/>
      <w:marBottom w:val="0"/>
      <w:divBdr>
        <w:top w:val="none" w:sz="0" w:space="0" w:color="auto"/>
        <w:left w:val="none" w:sz="0" w:space="0" w:color="auto"/>
        <w:bottom w:val="none" w:sz="0" w:space="0" w:color="auto"/>
        <w:right w:val="none" w:sz="0" w:space="0" w:color="auto"/>
      </w:divBdr>
    </w:div>
    <w:div w:id="1503399597">
      <w:bodyDiv w:val="1"/>
      <w:marLeft w:val="0"/>
      <w:marRight w:val="0"/>
      <w:marTop w:val="0"/>
      <w:marBottom w:val="0"/>
      <w:divBdr>
        <w:top w:val="none" w:sz="0" w:space="0" w:color="auto"/>
        <w:left w:val="none" w:sz="0" w:space="0" w:color="auto"/>
        <w:bottom w:val="none" w:sz="0" w:space="0" w:color="auto"/>
        <w:right w:val="none" w:sz="0" w:space="0" w:color="auto"/>
      </w:divBdr>
    </w:div>
    <w:div w:id="1509564999">
      <w:bodyDiv w:val="1"/>
      <w:marLeft w:val="0"/>
      <w:marRight w:val="0"/>
      <w:marTop w:val="0"/>
      <w:marBottom w:val="0"/>
      <w:divBdr>
        <w:top w:val="none" w:sz="0" w:space="0" w:color="auto"/>
        <w:left w:val="none" w:sz="0" w:space="0" w:color="auto"/>
        <w:bottom w:val="none" w:sz="0" w:space="0" w:color="auto"/>
        <w:right w:val="none" w:sz="0" w:space="0" w:color="auto"/>
      </w:divBdr>
    </w:div>
    <w:div w:id="1511529633">
      <w:bodyDiv w:val="1"/>
      <w:marLeft w:val="0"/>
      <w:marRight w:val="0"/>
      <w:marTop w:val="0"/>
      <w:marBottom w:val="0"/>
      <w:divBdr>
        <w:top w:val="none" w:sz="0" w:space="0" w:color="auto"/>
        <w:left w:val="none" w:sz="0" w:space="0" w:color="auto"/>
        <w:bottom w:val="none" w:sz="0" w:space="0" w:color="auto"/>
        <w:right w:val="none" w:sz="0" w:space="0" w:color="auto"/>
      </w:divBdr>
    </w:div>
    <w:div w:id="1515486933">
      <w:bodyDiv w:val="1"/>
      <w:marLeft w:val="0"/>
      <w:marRight w:val="0"/>
      <w:marTop w:val="0"/>
      <w:marBottom w:val="0"/>
      <w:divBdr>
        <w:top w:val="none" w:sz="0" w:space="0" w:color="auto"/>
        <w:left w:val="none" w:sz="0" w:space="0" w:color="auto"/>
        <w:bottom w:val="none" w:sz="0" w:space="0" w:color="auto"/>
        <w:right w:val="none" w:sz="0" w:space="0" w:color="auto"/>
      </w:divBdr>
    </w:div>
    <w:div w:id="1533417441">
      <w:bodyDiv w:val="1"/>
      <w:marLeft w:val="0"/>
      <w:marRight w:val="0"/>
      <w:marTop w:val="0"/>
      <w:marBottom w:val="0"/>
      <w:divBdr>
        <w:top w:val="none" w:sz="0" w:space="0" w:color="auto"/>
        <w:left w:val="none" w:sz="0" w:space="0" w:color="auto"/>
        <w:bottom w:val="none" w:sz="0" w:space="0" w:color="auto"/>
        <w:right w:val="none" w:sz="0" w:space="0" w:color="auto"/>
      </w:divBdr>
    </w:div>
    <w:div w:id="1547178697">
      <w:bodyDiv w:val="1"/>
      <w:marLeft w:val="0"/>
      <w:marRight w:val="0"/>
      <w:marTop w:val="0"/>
      <w:marBottom w:val="0"/>
      <w:divBdr>
        <w:top w:val="none" w:sz="0" w:space="0" w:color="auto"/>
        <w:left w:val="none" w:sz="0" w:space="0" w:color="auto"/>
        <w:bottom w:val="none" w:sz="0" w:space="0" w:color="auto"/>
        <w:right w:val="none" w:sz="0" w:space="0" w:color="auto"/>
      </w:divBdr>
    </w:div>
    <w:div w:id="1550461828">
      <w:bodyDiv w:val="1"/>
      <w:marLeft w:val="0"/>
      <w:marRight w:val="0"/>
      <w:marTop w:val="0"/>
      <w:marBottom w:val="0"/>
      <w:divBdr>
        <w:top w:val="none" w:sz="0" w:space="0" w:color="auto"/>
        <w:left w:val="none" w:sz="0" w:space="0" w:color="auto"/>
        <w:bottom w:val="none" w:sz="0" w:space="0" w:color="auto"/>
        <w:right w:val="none" w:sz="0" w:space="0" w:color="auto"/>
      </w:divBdr>
    </w:div>
    <w:div w:id="1561402893">
      <w:bodyDiv w:val="1"/>
      <w:marLeft w:val="0"/>
      <w:marRight w:val="0"/>
      <w:marTop w:val="0"/>
      <w:marBottom w:val="0"/>
      <w:divBdr>
        <w:top w:val="none" w:sz="0" w:space="0" w:color="auto"/>
        <w:left w:val="none" w:sz="0" w:space="0" w:color="auto"/>
        <w:bottom w:val="none" w:sz="0" w:space="0" w:color="auto"/>
        <w:right w:val="none" w:sz="0" w:space="0" w:color="auto"/>
      </w:divBdr>
    </w:div>
    <w:div w:id="1562594572">
      <w:bodyDiv w:val="1"/>
      <w:marLeft w:val="0"/>
      <w:marRight w:val="0"/>
      <w:marTop w:val="0"/>
      <w:marBottom w:val="0"/>
      <w:divBdr>
        <w:top w:val="none" w:sz="0" w:space="0" w:color="auto"/>
        <w:left w:val="none" w:sz="0" w:space="0" w:color="auto"/>
        <w:bottom w:val="none" w:sz="0" w:space="0" w:color="auto"/>
        <w:right w:val="none" w:sz="0" w:space="0" w:color="auto"/>
      </w:divBdr>
    </w:div>
    <w:div w:id="1566529661">
      <w:bodyDiv w:val="1"/>
      <w:marLeft w:val="0"/>
      <w:marRight w:val="0"/>
      <w:marTop w:val="0"/>
      <w:marBottom w:val="0"/>
      <w:divBdr>
        <w:top w:val="none" w:sz="0" w:space="0" w:color="auto"/>
        <w:left w:val="none" w:sz="0" w:space="0" w:color="auto"/>
        <w:bottom w:val="none" w:sz="0" w:space="0" w:color="auto"/>
        <w:right w:val="none" w:sz="0" w:space="0" w:color="auto"/>
      </w:divBdr>
    </w:div>
    <w:div w:id="1568609614">
      <w:bodyDiv w:val="1"/>
      <w:marLeft w:val="0"/>
      <w:marRight w:val="0"/>
      <w:marTop w:val="0"/>
      <w:marBottom w:val="0"/>
      <w:divBdr>
        <w:top w:val="none" w:sz="0" w:space="0" w:color="auto"/>
        <w:left w:val="none" w:sz="0" w:space="0" w:color="auto"/>
        <w:bottom w:val="none" w:sz="0" w:space="0" w:color="auto"/>
        <w:right w:val="none" w:sz="0" w:space="0" w:color="auto"/>
      </w:divBdr>
    </w:div>
    <w:div w:id="1583224734">
      <w:bodyDiv w:val="1"/>
      <w:marLeft w:val="0"/>
      <w:marRight w:val="0"/>
      <w:marTop w:val="0"/>
      <w:marBottom w:val="0"/>
      <w:divBdr>
        <w:top w:val="none" w:sz="0" w:space="0" w:color="auto"/>
        <w:left w:val="none" w:sz="0" w:space="0" w:color="auto"/>
        <w:bottom w:val="none" w:sz="0" w:space="0" w:color="auto"/>
        <w:right w:val="none" w:sz="0" w:space="0" w:color="auto"/>
      </w:divBdr>
    </w:div>
    <w:div w:id="1585454115">
      <w:bodyDiv w:val="1"/>
      <w:marLeft w:val="0"/>
      <w:marRight w:val="0"/>
      <w:marTop w:val="0"/>
      <w:marBottom w:val="0"/>
      <w:divBdr>
        <w:top w:val="none" w:sz="0" w:space="0" w:color="auto"/>
        <w:left w:val="none" w:sz="0" w:space="0" w:color="auto"/>
        <w:bottom w:val="none" w:sz="0" w:space="0" w:color="auto"/>
        <w:right w:val="none" w:sz="0" w:space="0" w:color="auto"/>
      </w:divBdr>
    </w:div>
    <w:div w:id="1586572431">
      <w:bodyDiv w:val="1"/>
      <w:marLeft w:val="0"/>
      <w:marRight w:val="0"/>
      <w:marTop w:val="0"/>
      <w:marBottom w:val="0"/>
      <w:divBdr>
        <w:top w:val="none" w:sz="0" w:space="0" w:color="auto"/>
        <w:left w:val="none" w:sz="0" w:space="0" w:color="auto"/>
        <w:bottom w:val="none" w:sz="0" w:space="0" w:color="auto"/>
        <w:right w:val="none" w:sz="0" w:space="0" w:color="auto"/>
      </w:divBdr>
    </w:div>
    <w:div w:id="1596088877">
      <w:bodyDiv w:val="1"/>
      <w:marLeft w:val="0"/>
      <w:marRight w:val="0"/>
      <w:marTop w:val="0"/>
      <w:marBottom w:val="0"/>
      <w:divBdr>
        <w:top w:val="none" w:sz="0" w:space="0" w:color="auto"/>
        <w:left w:val="none" w:sz="0" w:space="0" w:color="auto"/>
        <w:bottom w:val="none" w:sz="0" w:space="0" w:color="auto"/>
        <w:right w:val="none" w:sz="0" w:space="0" w:color="auto"/>
      </w:divBdr>
    </w:div>
    <w:div w:id="1602029307">
      <w:bodyDiv w:val="1"/>
      <w:marLeft w:val="0"/>
      <w:marRight w:val="0"/>
      <w:marTop w:val="0"/>
      <w:marBottom w:val="0"/>
      <w:divBdr>
        <w:top w:val="none" w:sz="0" w:space="0" w:color="auto"/>
        <w:left w:val="none" w:sz="0" w:space="0" w:color="auto"/>
        <w:bottom w:val="none" w:sz="0" w:space="0" w:color="auto"/>
        <w:right w:val="none" w:sz="0" w:space="0" w:color="auto"/>
      </w:divBdr>
    </w:div>
    <w:div w:id="1604220540">
      <w:bodyDiv w:val="1"/>
      <w:marLeft w:val="0"/>
      <w:marRight w:val="0"/>
      <w:marTop w:val="0"/>
      <w:marBottom w:val="0"/>
      <w:divBdr>
        <w:top w:val="none" w:sz="0" w:space="0" w:color="auto"/>
        <w:left w:val="none" w:sz="0" w:space="0" w:color="auto"/>
        <w:bottom w:val="none" w:sz="0" w:space="0" w:color="auto"/>
        <w:right w:val="none" w:sz="0" w:space="0" w:color="auto"/>
      </w:divBdr>
    </w:div>
    <w:div w:id="1605335564">
      <w:bodyDiv w:val="1"/>
      <w:marLeft w:val="0"/>
      <w:marRight w:val="0"/>
      <w:marTop w:val="0"/>
      <w:marBottom w:val="0"/>
      <w:divBdr>
        <w:top w:val="none" w:sz="0" w:space="0" w:color="auto"/>
        <w:left w:val="none" w:sz="0" w:space="0" w:color="auto"/>
        <w:bottom w:val="none" w:sz="0" w:space="0" w:color="auto"/>
        <w:right w:val="none" w:sz="0" w:space="0" w:color="auto"/>
      </w:divBdr>
    </w:div>
    <w:div w:id="1608542828">
      <w:bodyDiv w:val="1"/>
      <w:marLeft w:val="0"/>
      <w:marRight w:val="0"/>
      <w:marTop w:val="0"/>
      <w:marBottom w:val="0"/>
      <w:divBdr>
        <w:top w:val="none" w:sz="0" w:space="0" w:color="auto"/>
        <w:left w:val="none" w:sz="0" w:space="0" w:color="auto"/>
        <w:bottom w:val="none" w:sz="0" w:space="0" w:color="auto"/>
        <w:right w:val="none" w:sz="0" w:space="0" w:color="auto"/>
      </w:divBdr>
    </w:div>
    <w:div w:id="1609504466">
      <w:bodyDiv w:val="1"/>
      <w:marLeft w:val="0"/>
      <w:marRight w:val="0"/>
      <w:marTop w:val="0"/>
      <w:marBottom w:val="0"/>
      <w:divBdr>
        <w:top w:val="none" w:sz="0" w:space="0" w:color="auto"/>
        <w:left w:val="none" w:sz="0" w:space="0" w:color="auto"/>
        <w:bottom w:val="none" w:sz="0" w:space="0" w:color="auto"/>
        <w:right w:val="none" w:sz="0" w:space="0" w:color="auto"/>
      </w:divBdr>
    </w:div>
    <w:div w:id="1610308638">
      <w:bodyDiv w:val="1"/>
      <w:marLeft w:val="0"/>
      <w:marRight w:val="0"/>
      <w:marTop w:val="0"/>
      <w:marBottom w:val="0"/>
      <w:divBdr>
        <w:top w:val="none" w:sz="0" w:space="0" w:color="auto"/>
        <w:left w:val="none" w:sz="0" w:space="0" w:color="auto"/>
        <w:bottom w:val="none" w:sz="0" w:space="0" w:color="auto"/>
        <w:right w:val="none" w:sz="0" w:space="0" w:color="auto"/>
      </w:divBdr>
    </w:div>
    <w:div w:id="1623733588">
      <w:bodyDiv w:val="1"/>
      <w:marLeft w:val="0"/>
      <w:marRight w:val="0"/>
      <w:marTop w:val="0"/>
      <w:marBottom w:val="0"/>
      <w:divBdr>
        <w:top w:val="none" w:sz="0" w:space="0" w:color="auto"/>
        <w:left w:val="none" w:sz="0" w:space="0" w:color="auto"/>
        <w:bottom w:val="none" w:sz="0" w:space="0" w:color="auto"/>
        <w:right w:val="none" w:sz="0" w:space="0" w:color="auto"/>
      </w:divBdr>
    </w:div>
    <w:div w:id="1624728451">
      <w:bodyDiv w:val="1"/>
      <w:marLeft w:val="0"/>
      <w:marRight w:val="0"/>
      <w:marTop w:val="0"/>
      <w:marBottom w:val="0"/>
      <w:divBdr>
        <w:top w:val="none" w:sz="0" w:space="0" w:color="auto"/>
        <w:left w:val="none" w:sz="0" w:space="0" w:color="auto"/>
        <w:bottom w:val="none" w:sz="0" w:space="0" w:color="auto"/>
        <w:right w:val="none" w:sz="0" w:space="0" w:color="auto"/>
      </w:divBdr>
    </w:div>
    <w:div w:id="1629626584">
      <w:bodyDiv w:val="1"/>
      <w:marLeft w:val="0"/>
      <w:marRight w:val="0"/>
      <w:marTop w:val="0"/>
      <w:marBottom w:val="0"/>
      <w:divBdr>
        <w:top w:val="none" w:sz="0" w:space="0" w:color="auto"/>
        <w:left w:val="none" w:sz="0" w:space="0" w:color="auto"/>
        <w:bottom w:val="none" w:sz="0" w:space="0" w:color="auto"/>
        <w:right w:val="none" w:sz="0" w:space="0" w:color="auto"/>
      </w:divBdr>
    </w:div>
    <w:div w:id="1645045600">
      <w:bodyDiv w:val="1"/>
      <w:marLeft w:val="0"/>
      <w:marRight w:val="0"/>
      <w:marTop w:val="0"/>
      <w:marBottom w:val="0"/>
      <w:divBdr>
        <w:top w:val="none" w:sz="0" w:space="0" w:color="auto"/>
        <w:left w:val="none" w:sz="0" w:space="0" w:color="auto"/>
        <w:bottom w:val="none" w:sz="0" w:space="0" w:color="auto"/>
        <w:right w:val="none" w:sz="0" w:space="0" w:color="auto"/>
      </w:divBdr>
    </w:div>
    <w:div w:id="1645697495">
      <w:bodyDiv w:val="1"/>
      <w:marLeft w:val="0"/>
      <w:marRight w:val="0"/>
      <w:marTop w:val="0"/>
      <w:marBottom w:val="0"/>
      <w:divBdr>
        <w:top w:val="none" w:sz="0" w:space="0" w:color="auto"/>
        <w:left w:val="none" w:sz="0" w:space="0" w:color="auto"/>
        <w:bottom w:val="none" w:sz="0" w:space="0" w:color="auto"/>
        <w:right w:val="none" w:sz="0" w:space="0" w:color="auto"/>
      </w:divBdr>
    </w:div>
    <w:div w:id="1649819070">
      <w:bodyDiv w:val="1"/>
      <w:marLeft w:val="0"/>
      <w:marRight w:val="0"/>
      <w:marTop w:val="0"/>
      <w:marBottom w:val="0"/>
      <w:divBdr>
        <w:top w:val="none" w:sz="0" w:space="0" w:color="auto"/>
        <w:left w:val="none" w:sz="0" w:space="0" w:color="auto"/>
        <w:bottom w:val="none" w:sz="0" w:space="0" w:color="auto"/>
        <w:right w:val="none" w:sz="0" w:space="0" w:color="auto"/>
      </w:divBdr>
    </w:div>
    <w:div w:id="1654022126">
      <w:bodyDiv w:val="1"/>
      <w:marLeft w:val="0"/>
      <w:marRight w:val="0"/>
      <w:marTop w:val="0"/>
      <w:marBottom w:val="0"/>
      <w:divBdr>
        <w:top w:val="none" w:sz="0" w:space="0" w:color="auto"/>
        <w:left w:val="none" w:sz="0" w:space="0" w:color="auto"/>
        <w:bottom w:val="none" w:sz="0" w:space="0" w:color="auto"/>
        <w:right w:val="none" w:sz="0" w:space="0" w:color="auto"/>
      </w:divBdr>
    </w:div>
    <w:div w:id="1654991581">
      <w:bodyDiv w:val="1"/>
      <w:marLeft w:val="0"/>
      <w:marRight w:val="0"/>
      <w:marTop w:val="0"/>
      <w:marBottom w:val="0"/>
      <w:divBdr>
        <w:top w:val="none" w:sz="0" w:space="0" w:color="auto"/>
        <w:left w:val="none" w:sz="0" w:space="0" w:color="auto"/>
        <w:bottom w:val="none" w:sz="0" w:space="0" w:color="auto"/>
        <w:right w:val="none" w:sz="0" w:space="0" w:color="auto"/>
      </w:divBdr>
    </w:div>
    <w:div w:id="1665936735">
      <w:bodyDiv w:val="1"/>
      <w:marLeft w:val="0"/>
      <w:marRight w:val="0"/>
      <w:marTop w:val="0"/>
      <w:marBottom w:val="0"/>
      <w:divBdr>
        <w:top w:val="none" w:sz="0" w:space="0" w:color="auto"/>
        <w:left w:val="none" w:sz="0" w:space="0" w:color="auto"/>
        <w:bottom w:val="none" w:sz="0" w:space="0" w:color="auto"/>
        <w:right w:val="none" w:sz="0" w:space="0" w:color="auto"/>
      </w:divBdr>
    </w:div>
    <w:div w:id="1672440898">
      <w:bodyDiv w:val="1"/>
      <w:marLeft w:val="0"/>
      <w:marRight w:val="0"/>
      <w:marTop w:val="0"/>
      <w:marBottom w:val="0"/>
      <w:divBdr>
        <w:top w:val="none" w:sz="0" w:space="0" w:color="auto"/>
        <w:left w:val="none" w:sz="0" w:space="0" w:color="auto"/>
        <w:bottom w:val="none" w:sz="0" w:space="0" w:color="auto"/>
        <w:right w:val="none" w:sz="0" w:space="0" w:color="auto"/>
      </w:divBdr>
    </w:div>
    <w:div w:id="1673222343">
      <w:bodyDiv w:val="1"/>
      <w:marLeft w:val="0"/>
      <w:marRight w:val="0"/>
      <w:marTop w:val="0"/>
      <w:marBottom w:val="0"/>
      <w:divBdr>
        <w:top w:val="none" w:sz="0" w:space="0" w:color="auto"/>
        <w:left w:val="none" w:sz="0" w:space="0" w:color="auto"/>
        <w:bottom w:val="none" w:sz="0" w:space="0" w:color="auto"/>
        <w:right w:val="none" w:sz="0" w:space="0" w:color="auto"/>
      </w:divBdr>
    </w:div>
    <w:div w:id="1690060243">
      <w:bodyDiv w:val="1"/>
      <w:marLeft w:val="0"/>
      <w:marRight w:val="0"/>
      <w:marTop w:val="0"/>
      <w:marBottom w:val="0"/>
      <w:divBdr>
        <w:top w:val="none" w:sz="0" w:space="0" w:color="auto"/>
        <w:left w:val="none" w:sz="0" w:space="0" w:color="auto"/>
        <w:bottom w:val="none" w:sz="0" w:space="0" w:color="auto"/>
        <w:right w:val="none" w:sz="0" w:space="0" w:color="auto"/>
      </w:divBdr>
    </w:div>
    <w:div w:id="1695036450">
      <w:bodyDiv w:val="1"/>
      <w:marLeft w:val="0"/>
      <w:marRight w:val="0"/>
      <w:marTop w:val="0"/>
      <w:marBottom w:val="0"/>
      <w:divBdr>
        <w:top w:val="none" w:sz="0" w:space="0" w:color="auto"/>
        <w:left w:val="none" w:sz="0" w:space="0" w:color="auto"/>
        <w:bottom w:val="none" w:sz="0" w:space="0" w:color="auto"/>
        <w:right w:val="none" w:sz="0" w:space="0" w:color="auto"/>
      </w:divBdr>
    </w:div>
    <w:div w:id="1697927220">
      <w:bodyDiv w:val="1"/>
      <w:marLeft w:val="0"/>
      <w:marRight w:val="0"/>
      <w:marTop w:val="0"/>
      <w:marBottom w:val="0"/>
      <w:divBdr>
        <w:top w:val="none" w:sz="0" w:space="0" w:color="auto"/>
        <w:left w:val="none" w:sz="0" w:space="0" w:color="auto"/>
        <w:bottom w:val="none" w:sz="0" w:space="0" w:color="auto"/>
        <w:right w:val="none" w:sz="0" w:space="0" w:color="auto"/>
      </w:divBdr>
    </w:div>
    <w:div w:id="1698962997">
      <w:bodyDiv w:val="1"/>
      <w:marLeft w:val="0"/>
      <w:marRight w:val="0"/>
      <w:marTop w:val="0"/>
      <w:marBottom w:val="0"/>
      <w:divBdr>
        <w:top w:val="none" w:sz="0" w:space="0" w:color="auto"/>
        <w:left w:val="none" w:sz="0" w:space="0" w:color="auto"/>
        <w:bottom w:val="none" w:sz="0" w:space="0" w:color="auto"/>
        <w:right w:val="none" w:sz="0" w:space="0" w:color="auto"/>
      </w:divBdr>
    </w:div>
    <w:div w:id="1699161536">
      <w:bodyDiv w:val="1"/>
      <w:marLeft w:val="0"/>
      <w:marRight w:val="0"/>
      <w:marTop w:val="0"/>
      <w:marBottom w:val="0"/>
      <w:divBdr>
        <w:top w:val="none" w:sz="0" w:space="0" w:color="auto"/>
        <w:left w:val="none" w:sz="0" w:space="0" w:color="auto"/>
        <w:bottom w:val="none" w:sz="0" w:space="0" w:color="auto"/>
        <w:right w:val="none" w:sz="0" w:space="0" w:color="auto"/>
      </w:divBdr>
    </w:div>
    <w:div w:id="1699231503">
      <w:bodyDiv w:val="1"/>
      <w:marLeft w:val="0"/>
      <w:marRight w:val="0"/>
      <w:marTop w:val="0"/>
      <w:marBottom w:val="0"/>
      <w:divBdr>
        <w:top w:val="none" w:sz="0" w:space="0" w:color="auto"/>
        <w:left w:val="none" w:sz="0" w:space="0" w:color="auto"/>
        <w:bottom w:val="none" w:sz="0" w:space="0" w:color="auto"/>
        <w:right w:val="none" w:sz="0" w:space="0" w:color="auto"/>
      </w:divBdr>
    </w:div>
    <w:div w:id="1700155819">
      <w:bodyDiv w:val="1"/>
      <w:marLeft w:val="0"/>
      <w:marRight w:val="0"/>
      <w:marTop w:val="0"/>
      <w:marBottom w:val="0"/>
      <w:divBdr>
        <w:top w:val="none" w:sz="0" w:space="0" w:color="auto"/>
        <w:left w:val="none" w:sz="0" w:space="0" w:color="auto"/>
        <w:bottom w:val="none" w:sz="0" w:space="0" w:color="auto"/>
        <w:right w:val="none" w:sz="0" w:space="0" w:color="auto"/>
      </w:divBdr>
    </w:div>
    <w:div w:id="1703089097">
      <w:bodyDiv w:val="1"/>
      <w:marLeft w:val="0"/>
      <w:marRight w:val="0"/>
      <w:marTop w:val="0"/>
      <w:marBottom w:val="0"/>
      <w:divBdr>
        <w:top w:val="none" w:sz="0" w:space="0" w:color="auto"/>
        <w:left w:val="none" w:sz="0" w:space="0" w:color="auto"/>
        <w:bottom w:val="none" w:sz="0" w:space="0" w:color="auto"/>
        <w:right w:val="none" w:sz="0" w:space="0" w:color="auto"/>
      </w:divBdr>
    </w:div>
    <w:div w:id="1706172648">
      <w:bodyDiv w:val="1"/>
      <w:marLeft w:val="0"/>
      <w:marRight w:val="0"/>
      <w:marTop w:val="0"/>
      <w:marBottom w:val="0"/>
      <w:divBdr>
        <w:top w:val="none" w:sz="0" w:space="0" w:color="auto"/>
        <w:left w:val="none" w:sz="0" w:space="0" w:color="auto"/>
        <w:bottom w:val="none" w:sz="0" w:space="0" w:color="auto"/>
        <w:right w:val="none" w:sz="0" w:space="0" w:color="auto"/>
      </w:divBdr>
    </w:div>
    <w:div w:id="1707027326">
      <w:bodyDiv w:val="1"/>
      <w:marLeft w:val="0"/>
      <w:marRight w:val="0"/>
      <w:marTop w:val="0"/>
      <w:marBottom w:val="0"/>
      <w:divBdr>
        <w:top w:val="none" w:sz="0" w:space="0" w:color="auto"/>
        <w:left w:val="none" w:sz="0" w:space="0" w:color="auto"/>
        <w:bottom w:val="none" w:sz="0" w:space="0" w:color="auto"/>
        <w:right w:val="none" w:sz="0" w:space="0" w:color="auto"/>
      </w:divBdr>
    </w:div>
    <w:div w:id="1710031898">
      <w:bodyDiv w:val="1"/>
      <w:marLeft w:val="0"/>
      <w:marRight w:val="0"/>
      <w:marTop w:val="0"/>
      <w:marBottom w:val="0"/>
      <w:divBdr>
        <w:top w:val="none" w:sz="0" w:space="0" w:color="auto"/>
        <w:left w:val="none" w:sz="0" w:space="0" w:color="auto"/>
        <w:bottom w:val="none" w:sz="0" w:space="0" w:color="auto"/>
        <w:right w:val="none" w:sz="0" w:space="0" w:color="auto"/>
      </w:divBdr>
    </w:div>
    <w:div w:id="1714109251">
      <w:bodyDiv w:val="1"/>
      <w:marLeft w:val="0"/>
      <w:marRight w:val="0"/>
      <w:marTop w:val="0"/>
      <w:marBottom w:val="0"/>
      <w:divBdr>
        <w:top w:val="none" w:sz="0" w:space="0" w:color="auto"/>
        <w:left w:val="none" w:sz="0" w:space="0" w:color="auto"/>
        <w:bottom w:val="none" w:sz="0" w:space="0" w:color="auto"/>
        <w:right w:val="none" w:sz="0" w:space="0" w:color="auto"/>
      </w:divBdr>
    </w:div>
    <w:div w:id="1716585909">
      <w:bodyDiv w:val="1"/>
      <w:marLeft w:val="0"/>
      <w:marRight w:val="0"/>
      <w:marTop w:val="0"/>
      <w:marBottom w:val="0"/>
      <w:divBdr>
        <w:top w:val="none" w:sz="0" w:space="0" w:color="auto"/>
        <w:left w:val="none" w:sz="0" w:space="0" w:color="auto"/>
        <w:bottom w:val="none" w:sz="0" w:space="0" w:color="auto"/>
        <w:right w:val="none" w:sz="0" w:space="0" w:color="auto"/>
      </w:divBdr>
    </w:div>
    <w:div w:id="1717193627">
      <w:bodyDiv w:val="1"/>
      <w:marLeft w:val="0"/>
      <w:marRight w:val="0"/>
      <w:marTop w:val="0"/>
      <w:marBottom w:val="0"/>
      <w:divBdr>
        <w:top w:val="none" w:sz="0" w:space="0" w:color="auto"/>
        <w:left w:val="none" w:sz="0" w:space="0" w:color="auto"/>
        <w:bottom w:val="none" w:sz="0" w:space="0" w:color="auto"/>
        <w:right w:val="none" w:sz="0" w:space="0" w:color="auto"/>
      </w:divBdr>
    </w:div>
    <w:div w:id="1721130534">
      <w:bodyDiv w:val="1"/>
      <w:marLeft w:val="0"/>
      <w:marRight w:val="0"/>
      <w:marTop w:val="0"/>
      <w:marBottom w:val="0"/>
      <w:divBdr>
        <w:top w:val="none" w:sz="0" w:space="0" w:color="auto"/>
        <w:left w:val="none" w:sz="0" w:space="0" w:color="auto"/>
        <w:bottom w:val="none" w:sz="0" w:space="0" w:color="auto"/>
        <w:right w:val="none" w:sz="0" w:space="0" w:color="auto"/>
      </w:divBdr>
    </w:div>
    <w:div w:id="1723552733">
      <w:bodyDiv w:val="1"/>
      <w:marLeft w:val="0"/>
      <w:marRight w:val="0"/>
      <w:marTop w:val="0"/>
      <w:marBottom w:val="0"/>
      <w:divBdr>
        <w:top w:val="none" w:sz="0" w:space="0" w:color="auto"/>
        <w:left w:val="none" w:sz="0" w:space="0" w:color="auto"/>
        <w:bottom w:val="none" w:sz="0" w:space="0" w:color="auto"/>
        <w:right w:val="none" w:sz="0" w:space="0" w:color="auto"/>
      </w:divBdr>
    </w:div>
    <w:div w:id="1724937518">
      <w:bodyDiv w:val="1"/>
      <w:marLeft w:val="0"/>
      <w:marRight w:val="0"/>
      <w:marTop w:val="0"/>
      <w:marBottom w:val="0"/>
      <w:divBdr>
        <w:top w:val="none" w:sz="0" w:space="0" w:color="auto"/>
        <w:left w:val="none" w:sz="0" w:space="0" w:color="auto"/>
        <w:bottom w:val="none" w:sz="0" w:space="0" w:color="auto"/>
        <w:right w:val="none" w:sz="0" w:space="0" w:color="auto"/>
      </w:divBdr>
    </w:div>
    <w:div w:id="1725257473">
      <w:bodyDiv w:val="1"/>
      <w:marLeft w:val="0"/>
      <w:marRight w:val="0"/>
      <w:marTop w:val="0"/>
      <w:marBottom w:val="0"/>
      <w:divBdr>
        <w:top w:val="none" w:sz="0" w:space="0" w:color="auto"/>
        <w:left w:val="none" w:sz="0" w:space="0" w:color="auto"/>
        <w:bottom w:val="none" w:sz="0" w:space="0" w:color="auto"/>
        <w:right w:val="none" w:sz="0" w:space="0" w:color="auto"/>
      </w:divBdr>
    </w:div>
    <w:div w:id="1726295809">
      <w:bodyDiv w:val="1"/>
      <w:marLeft w:val="0"/>
      <w:marRight w:val="0"/>
      <w:marTop w:val="0"/>
      <w:marBottom w:val="0"/>
      <w:divBdr>
        <w:top w:val="none" w:sz="0" w:space="0" w:color="auto"/>
        <w:left w:val="none" w:sz="0" w:space="0" w:color="auto"/>
        <w:bottom w:val="none" w:sz="0" w:space="0" w:color="auto"/>
        <w:right w:val="none" w:sz="0" w:space="0" w:color="auto"/>
      </w:divBdr>
    </w:div>
    <w:div w:id="1726756699">
      <w:bodyDiv w:val="1"/>
      <w:marLeft w:val="0"/>
      <w:marRight w:val="0"/>
      <w:marTop w:val="0"/>
      <w:marBottom w:val="0"/>
      <w:divBdr>
        <w:top w:val="none" w:sz="0" w:space="0" w:color="auto"/>
        <w:left w:val="none" w:sz="0" w:space="0" w:color="auto"/>
        <w:bottom w:val="none" w:sz="0" w:space="0" w:color="auto"/>
        <w:right w:val="none" w:sz="0" w:space="0" w:color="auto"/>
      </w:divBdr>
    </w:div>
    <w:div w:id="1731420627">
      <w:bodyDiv w:val="1"/>
      <w:marLeft w:val="0"/>
      <w:marRight w:val="0"/>
      <w:marTop w:val="0"/>
      <w:marBottom w:val="0"/>
      <w:divBdr>
        <w:top w:val="none" w:sz="0" w:space="0" w:color="auto"/>
        <w:left w:val="none" w:sz="0" w:space="0" w:color="auto"/>
        <w:bottom w:val="none" w:sz="0" w:space="0" w:color="auto"/>
        <w:right w:val="none" w:sz="0" w:space="0" w:color="auto"/>
      </w:divBdr>
    </w:div>
    <w:div w:id="1736469842">
      <w:bodyDiv w:val="1"/>
      <w:marLeft w:val="0"/>
      <w:marRight w:val="0"/>
      <w:marTop w:val="0"/>
      <w:marBottom w:val="0"/>
      <w:divBdr>
        <w:top w:val="none" w:sz="0" w:space="0" w:color="auto"/>
        <w:left w:val="none" w:sz="0" w:space="0" w:color="auto"/>
        <w:bottom w:val="none" w:sz="0" w:space="0" w:color="auto"/>
        <w:right w:val="none" w:sz="0" w:space="0" w:color="auto"/>
      </w:divBdr>
    </w:div>
    <w:div w:id="1739741143">
      <w:bodyDiv w:val="1"/>
      <w:marLeft w:val="0"/>
      <w:marRight w:val="0"/>
      <w:marTop w:val="0"/>
      <w:marBottom w:val="0"/>
      <w:divBdr>
        <w:top w:val="none" w:sz="0" w:space="0" w:color="auto"/>
        <w:left w:val="none" w:sz="0" w:space="0" w:color="auto"/>
        <w:bottom w:val="none" w:sz="0" w:space="0" w:color="auto"/>
        <w:right w:val="none" w:sz="0" w:space="0" w:color="auto"/>
      </w:divBdr>
    </w:div>
    <w:div w:id="1740204900">
      <w:bodyDiv w:val="1"/>
      <w:marLeft w:val="0"/>
      <w:marRight w:val="0"/>
      <w:marTop w:val="0"/>
      <w:marBottom w:val="0"/>
      <w:divBdr>
        <w:top w:val="none" w:sz="0" w:space="0" w:color="auto"/>
        <w:left w:val="none" w:sz="0" w:space="0" w:color="auto"/>
        <w:bottom w:val="none" w:sz="0" w:space="0" w:color="auto"/>
        <w:right w:val="none" w:sz="0" w:space="0" w:color="auto"/>
      </w:divBdr>
    </w:div>
    <w:div w:id="1742941476">
      <w:bodyDiv w:val="1"/>
      <w:marLeft w:val="0"/>
      <w:marRight w:val="0"/>
      <w:marTop w:val="0"/>
      <w:marBottom w:val="0"/>
      <w:divBdr>
        <w:top w:val="none" w:sz="0" w:space="0" w:color="auto"/>
        <w:left w:val="none" w:sz="0" w:space="0" w:color="auto"/>
        <w:bottom w:val="none" w:sz="0" w:space="0" w:color="auto"/>
        <w:right w:val="none" w:sz="0" w:space="0" w:color="auto"/>
      </w:divBdr>
    </w:div>
    <w:div w:id="1752123576">
      <w:bodyDiv w:val="1"/>
      <w:marLeft w:val="0"/>
      <w:marRight w:val="0"/>
      <w:marTop w:val="0"/>
      <w:marBottom w:val="0"/>
      <w:divBdr>
        <w:top w:val="none" w:sz="0" w:space="0" w:color="auto"/>
        <w:left w:val="none" w:sz="0" w:space="0" w:color="auto"/>
        <w:bottom w:val="none" w:sz="0" w:space="0" w:color="auto"/>
        <w:right w:val="none" w:sz="0" w:space="0" w:color="auto"/>
      </w:divBdr>
    </w:div>
    <w:div w:id="1752314760">
      <w:bodyDiv w:val="1"/>
      <w:marLeft w:val="0"/>
      <w:marRight w:val="0"/>
      <w:marTop w:val="0"/>
      <w:marBottom w:val="0"/>
      <w:divBdr>
        <w:top w:val="none" w:sz="0" w:space="0" w:color="auto"/>
        <w:left w:val="none" w:sz="0" w:space="0" w:color="auto"/>
        <w:bottom w:val="none" w:sz="0" w:space="0" w:color="auto"/>
        <w:right w:val="none" w:sz="0" w:space="0" w:color="auto"/>
      </w:divBdr>
    </w:div>
    <w:div w:id="1752502634">
      <w:bodyDiv w:val="1"/>
      <w:marLeft w:val="0"/>
      <w:marRight w:val="0"/>
      <w:marTop w:val="0"/>
      <w:marBottom w:val="0"/>
      <w:divBdr>
        <w:top w:val="none" w:sz="0" w:space="0" w:color="auto"/>
        <w:left w:val="none" w:sz="0" w:space="0" w:color="auto"/>
        <w:bottom w:val="none" w:sz="0" w:space="0" w:color="auto"/>
        <w:right w:val="none" w:sz="0" w:space="0" w:color="auto"/>
      </w:divBdr>
    </w:div>
    <w:div w:id="1766148265">
      <w:bodyDiv w:val="1"/>
      <w:marLeft w:val="0"/>
      <w:marRight w:val="0"/>
      <w:marTop w:val="0"/>
      <w:marBottom w:val="0"/>
      <w:divBdr>
        <w:top w:val="none" w:sz="0" w:space="0" w:color="auto"/>
        <w:left w:val="none" w:sz="0" w:space="0" w:color="auto"/>
        <w:bottom w:val="none" w:sz="0" w:space="0" w:color="auto"/>
        <w:right w:val="none" w:sz="0" w:space="0" w:color="auto"/>
      </w:divBdr>
    </w:div>
    <w:div w:id="1772973718">
      <w:bodyDiv w:val="1"/>
      <w:marLeft w:val="0"/>
      <w:marRight w:val="0"/>
      <w:marTop w:val="0"/>
      <w:marBottom w:val="0"/>
      <w:divBdr>
        <w:top w:val="none" w:sz="0" w:space="0" w:color="auto"/>
        <w:left w:val="none" w:sz="0" w:space="0" w:color="auto"/>
        <w:bottom w:val="none" w:sz="0" w:space="0" w:color="auto"/>
        <w:right w:val="none" w:sz="0" w:space="0" w:color="auto"/>
      </w:divBdr>
    </w:div>
    <w:div w:id="1781410225">
      <w:bodyDiv w:val="1"/>
      <w:marLeft w:val="0"/>
      <w:marRight w:val="0"/>
      <w:marTop w:val="0"/>
      <w:marBottom w:val="0"/>
      <w:divBdr>
        <w:top w:val="none" w:sz="0" w:space="0" w:color="auto"/>
        <w:left w:val="none" w:sz="0" w:space="0" w:color="auto"/>
        <w:bottom w:val="none" w:sz="0" w:space="0" w:color="auto"/>
        <w:right w:val="none" w:sz="0" w:space="0" w:color="auto"/>
      </w:divBdr>
    </w:div>
    <w:div w:id="1781992065">
      <w:bodyDiv w:val="1"/>
      <w:marLeft w:val="0"/>
      <w:marRight w:val="0"/>
      <w:marTop w:val="0"/>
      <w:marBottom w:val="0"/>
      <w:divBdr>
        <w:top w:val="none" w:sz="0" w:space="0" w:color="auto"/>
        <w:left w:val="none" w:sz="0" w:space="0" w:color="auto"/>
        <w:bottom w:val="none" w:sz="0" w:space="0" w:color="auto"/>
        <w:right w:val="none" w:sz="0" w:space="0" w:color="auto"/>
      </w:divBdr>
    </w:div>
    <w:div w:id="1783064793">
      <w:bodyDiv w:val="1"/>
      <w:marLeft w:val="0"/>
      <w:marRight w:val="0"/>
      <w:marTop w:val="0"/>
      <w:marBottom w:val="0"/>
      <w:divBdr>
        <w:top w:val="none" w:sz="0" w:space="0" w:color="auto"/>
        <w:left w:val="none" w:sz="0" w:space="0" w:color="auto"/>
        <w:bottom w:val="none" w:sz="0" w:space="0" w:color="auto"/>
        <w:right w:val="none" w:sz="0" w:space="0" w:color="auto"/>
      </w:divBdr>
    </w:div>
    <w:div w:id="1784761833">
      <w:bodyDiv w:val="1"/>
      <w:marLeft w:val="0"/>
      <w:marRight w:val="0"/>
      <w:marTop w:val="0"/>
      <w:marBottom w:val="0"/>
      <w:divBdr>
        <w:top w:val="none" w:sz="0" w:space="0" w:color="auto"/>
        <w:left w:val="none" w:sz="0" w:space="0" w:color="auto"/>
        <w:bottom w:val="none" w:sz="0" w:space="0" w:color="auto"/>
        <w:right w:val="none" w:sz="0" w:space="0" w:color="auto"/>
      </w:divBdr>
    </w:div>
    <w:div w:id="1789857829">
      <w:bodyDiv w:val="1"/>
      <w:marLeft w:val="0"/>
      <w:marRight w:val="0"/>
      <w:marTop w:val="0"/>
      <w:marBottom w:val="0"/>
      <w:divBdr>
        <w:top w:val="none" w:sz="0" w:space="0" w:color="auto"/>
        <w:left w:val="none" w:sz="0" w:space="0" w:color="auto"/>
        <w:bottom w:val="none" w:sz="0" w:space="0" w:color="auto"/>
        <w:right w:val="none" w:sz="0" w:space="0" w:color="auto"/>
      </w:divBdr>
    </w:div>
    <w:div w:id="1792896738">
      <w:bodyDiv w:val="1"/>
      <w:marLeft w:val="0"/>
      <w:marRight w:val="0"/>
      <w:marTop w:val="0"/>
      <w:marBottom w:val="0"/>
      <w:divBdr>
        <w:top w:val="none" w:sz="0" w:space="0" w:color="auto"/>
        <w:left w:val="none" w:sz="0" w:space="0" w:color="auto"/>
        <w:bottom w:val="none" w:sz="0" w:space="0" w:color="auto"/>
        <w:right w:val="none" w:sz="0" w:space="0" w:color="auto"/>
      </w:divBdr>
    </w:div>
    <w:div w:id="1795557962">
      <w:bodyDiv w:val="1"/>
      <w:marLeft w:val="0"/>
      <w:marRight w:val="0"/>
      <w:marTop w:val="0"/>
      <w:marBottom w:val="0"/>
      <w:divBdr>
        <w:top w:val="none" w:sz="0" w:space="0" w:color="auto"/>
        <w:left w:val="none" w:sz="0" w:space="0" w:color="auto"/>
        <w:bottom w:val="none" w:sz="0" w:space="0" w:color="auto"/>
        <w:right w:val="none" w:sz="0" w:space="0" w:color="auto"/>
      </w:divBdr>
    </w:div>
    <w:div w:id="1795713324">
      <w:bodyDiv w:val="1"/>
      <w:marLeft w:val="0"/>
      <w:marRight w:val="0"/>
      <w:marTop w:val="0"/>
      <w:marBottom w:val="0"/>
      <w:divBdr>
        <w:top w:val="none" w:sz="0" w:space="0" w:color="auto"/>
        <w:left w:val="none" w:sz="0" w:space="0" w:color="auto"/>
        <w:bottom w:val="none" w:sz="0" w:space="0" w:color="auto"/>
        <w:right w:val="none" w:sz="0" w:space="0" w:color="auto"/>
      </w:divBdr>
    </w:div>
    <w:div w:id="1801143651">
      <w:bodyDiv w:val="1"/>
      <w:marLeft w:val="0"/>
      <w:marRight w:val="0"/>
      <w:marTop w:val="0"/>
      <w:marBottom w:val="0"/>
      <w:divBdr>
        <w:top w:val="none" w:sz="0" w:space="0" w:color="auto"/>
        <w:left w:val="none" w:sz="0" w:space="0" w:color="auto"/>
        <w:bottom w:val="none" w:sz="0" w:space="0" w:color="auto"/>
        <w:right w:val="none" w:sz="0" w:space="0" w:color="auto"/>
      </w:divBdr>
    </w:div>
    <w:div w:id="1801269067">
      <w:bodyDiv w:val="1"/>
      <w:marLeft w:val="0"/>
      <w:marRight w:val="0"/>
      <w:marTop w:val="0"/>
      <w:marBottom w:val="0"/>
      <w:divBdr>
        <w:top w:val="none" w:sz="0" w:space="0" w:color="auto"/>
        <w:left w:val="none" w:sz="0" w:space="0" w:color="auto"/>
        <w:bottom w:val="none" w:sz="0" w:space="0" w:color="auto"/>
        <w:right w:val="none" w:sz="0" w:space="0" w:color="auto"/>
      </w:divBdr>
    </w:div>
    <w:div w:id="1801801399">
      <w:bodyDiv w:val="1"/>
      <w:marLeft w:val="0"/>
      <w:marRight w:val="0"/>
      <w:marTop w:val="0"/>
      <w:marBottom w:val="0"/>
      <w:divBdr>
        <w:top w:val="none" w:sz="0" w:space="0" w:color="auto"/>
        <w:left w:val="none" w:sz="0" w:space="0" w:color="auto"/>
        <w:bottom w:val="none" w:sz="0" w:space="0" w:color="auto"/>
        <w:right w:val="none" w:sz="0" w:space="0" w:color="auto"/>
      </w:divBdr>
    </w:div>
    <w:div w:id="1807432706">
      <w:bodyDiv w:val="1"/>
      <w:marLeft w:val="0"/>
      <w:marRight w:val="0"/>
      <w:marTop w:val="0"/>
      <w:marBottom w:val="0"/>
      <w:divBdr>
        <w:top w:val="none" w:sz="0" w:space="0" w:color="auto"/>
        <w:left w:val="none" w:sz="0" w:space="0" w:color="auto"/>
        <w:bottom w:val="none" w:sz="0" w:space="0" w:color="auto"/>
        <w:right w:val="none" w:sz="0" w:space="0" w:color="auto"/>
      </w:divBdr>
    </w:div>
    <w:div w:id="1812364212">
      <w:bodyDiv w:val="1"/>
      <w:marLeft w:val="0"/>
      <w:marRight w:val="0"/>
      <w:marTop w:val="0"/>
      <w:marBottom w:val="0"/>
      <w:divBdr>
        <w:top w:val="none" w:sz="0" w:space="0" w:color="auto"/>
        <w:left w:val="none" w:sz="0" w:space="0" w:color="auto"/>
        <w:bottom w:val="none" w:sz="0" w:space="0" w:color="auto"/>
        <w:right w:val="none" w:sz="0" w:space="0" w:color="auto"/>
      </w:divBdr>
    </w:div>
    <w:div w:id="1818836109">
      <w:bodyDiv w:val="1"/>
      <w:marLeft w:val="0"/>
      <w:marRight w:val="0"/>
      <w:marTop w:val="0"/>
      <w:marBottom w:val="0"/>
      <w:divBdr>
        <w:top w:val="none" w:sz="0" w:space="0" w:color="auto"/>
        <w:left w:val="none" w:sz="0" w:space="0" w:color="auto"/>
        <w:bottom w:val="none" w:sz="0" w:space="0" w:color="auto"/>
        <w:right w:val="none" w:sz="0" w:space="0" w:color="auto"/>
      </w:divBdr>
    </w:div>
    <w:div w:id="1821920028">
      <w:bodyDiv w:val="1"/>
      <w:marLeft w:val="0"/>
      <w:marRight w:val="0"/>
      <w:marTop w:val="0"/>
      <w:marBottom w:val="0"/>
      <w:divBdr>
        <w:top w:val="none" w:sz="0" w:space="0" w:color="auto"/>
        <w:left w:val="none" w:sz="0" w:space="0" w:color="auto"/>
        <w:bottom w:val="none" w:sz="0" w:space="0" w:color="auto"/>
        <w:right w:val="none" w:sz="0" w:space="0" w:color="auto"/>
      </w:divBdr>
    </w:div>
    <w:div w:id="1823496133">
      <w:bodyDiv w:val="1"/>
      <w:marLeft w:val="0"/>
      <w:marRight w:val="0"/>
      <w:marTop w:val="0"/>
      <w:marBottom w:val="0"/>
      <w:divBdr>
        <w:top w:val="none" w:sz="0" w:space="0" w:color="auto"/>
        <w:left w:val="none" w:sz="0" w:space="0" w:color="auto"/>
        <w:bottom w:val="none" w:sz="0" w:space="0" w:color="auto"/>
        <w:right w:val="none" w:sz="0" w:space="0" w:color="auto"/>
      </w:divBdr>
    </w:div>
    <w:div w:id="1830171154">
      <w:bodyDiv w:val="1"/>
      <w:marLeft w:val="0"/>
      <w:marRight w:val="0"/>
      <w:marTop w:val="0"/>
      <w:marBottom w:val="0"/>
      <w:divBdr>
        <w:top w:val="none" w:sz="0" w:space="0" w:color="auto"/>
        <w:left w:val="none" w:sz="0" w:space="0" w:color="auto"/>
        <w:bottom w:val="none" w:sz="0" w:space="0" w:color="auto"/>
        <w:right w:val="none" w:sz="0" w:space="0" w:color="auto"/>
      </w:divBdr>
    </w:div>
    <w:div w:id="1832986448">
      <w:bodyDiv w:val="1"/>
      <w:marLeft w:val="0"/>
      <w:marRight w:val="0"/>
      <w:marTop w:val="0"/>
      <w:marBottom w:val="0"/>
      <w:divBdr>
        <w:top w:val="none" w:sz="0" w:space="0" w:color="auto"/>
        <w:left w:val="none" w:sz="0" w:space="0" w:color="auto"/>
        <w:bottom w:val="none" w:sz="0" w:space="0" w:color="auto"/>
        <w:right w:val="none" w:sz="0" w:space="0" w:color="auto"/>
      </w:divBdr>
    </w:div>
    <w:div w:id="1847669124">
      <w:bodyDiv w:val="1"/>
      <w:marLeft w:val="0"/>
      <w:marRight w:val="0"/>
      <w:marTop w:val="0"/>
      <w:marBottom w:val="0"/>
      <w:divBdr>
        <w:top w:val="none" w:sz="0" w:space="0" w:color="auto"/>
        <w:left w:val="none" w:sz="0" w:space="0" w:color="auto"/>
        <w:bottom w:val="none" w:sz="0" w:space="0" w:color="auto"/>
        <w:right w:val="none" w:sz="0" w:space="0" w:color="auto"/>
      </w:divBdr>
    </w:div>
    <w:div w:id="1851752257">
      <w:bodyDiv w:val="1"/>
      <w:marLeft w:val="0"/>
      <w:marRight w:val="0"/>
      <w:marTop w:val="0"/>
      <w:marBottom w:val="0"/>
      <w:divBdr>
        <w:top w:val="none" w:sz="0" w:space="0" w:color="auto"/>
        <w:left w:val="none" w:sz="0" w:space="0" w:color="auto"/>
        <w:bottom w:val="none" w:sz="0" w:space="0" w:color="auto"/>
        <w:right w:val="none" w:sz="0" w:space="0" w:color="auto"/>
      </w:divBdr>
    </w:div>
    <w:div w:id="1852914509">
      <w:bodyDiv w:val="1"/>
      <w:marLeft w:val="0"/>
      <w:marRight w:val="0"/>
      <w:marTop w:val="0"/>
      <w:marBottom w:val="0"/>
      <w:divBdr>
        <w:top w:val="none" w:sz="0" w:space="0" w:color="auto"/>
        <w:left w:val="none" w:sz="0" w:space="0" w:color="auto"/>
        <w:bottom w:val="none" w:sz="0" w:space="0" w:color="auto"/>
        <w:right w:val="none" w:sz="0" w:space="0" w:color="auto"/>
      </w:divBdr>
    </w:div>
    <w:div w:id="1861353632">
      <w:bodyDiv w:val="1"/>
      <w:marLeft w:val="0"/>
      <w:marRight w:val="0"/>
      <w:marTop w:val="0"/>
      <w:marBottom w:val="0"/>
      <w:divBdr>
        <w:top w:val="none" w:sz="0" w:space="0" w:color="auto"/>
        <w:left w:val="none" w:sz="0" w:space="0" w:color="auto"/>
        <w:bottom w:val="none" w:sz="0" w:space="0" w:color="auto"/>
        <w:right w:val="none" w:sz="0" w:space="0" w:color="auto"/>
      </w:divBdr>
    </w:div>
    <w:div w:id="1863978378">
      <w:bodyDiv w:val="1"/>
      <w:marLeft w:val="0"/>
      <w:marRight w:val="0"/>
      <w:marTop w:val="0"/>
      <w:marBottom w:val="0"/>
      <w:divBdr>
        <w:top w:val="none" w:sz="0" w:space="0" w:color="auto"/>
        <w:left w:val="none" w:sz="0" w:space="0" w:color="auto"/>
        <w:bottom w:val="none" w:sz="0" w:space="0" w:color="auto"/>
        <w:right w:val="none" w:sz="0" w:space="0" w:color="auto"/>
      </w:divBdr>
    </w:div>
    <w:div w:id="1864897564">
      <w:bodyDiv w:val="1"/>
      <w:marLeft w:val="0"/>
      <w:marRight w:val="0"/>
      <w:marTop w:val="0"/>
      <w:marBottom w:val="0"/>
      <w:divBdr>
        <w:top w:val="none" w:sz="0" w:space="0" w:color="auto"/>
        <w:left w:val="none" w:sz="0" w:space="0" w:color="auto"/>
        <w:bottom w:val="none" w:sz="0" w:space="0" w:color="auto"/>
        <w:right w:val="none" w:sz="0" w:space="0" w:color="auto"/>
      </w:divBdr>
    </w:div>
    <w:div w:id="1868177725">
      <w:bodyDiv w:val="1"/>
      <w:marLeft w:val="0"/>
      <w:marRight w:val="0"/>
      <w:marTop w:val="0"/>
      <w:marBottom w:val="0"/>
      <w:divBdr>
        <w:top w:val="none" w:sz="0" w:space="0" w:color="auto"/>
        <w:left w:val="none" w:sz="0" w:space="0" w:color="auto"/>
        <w:bottom w:val="none" w:sz="0" w:space="0" w:color="auto"/>
        <w:right w:val="none" w:sz="0" w:space="0" w:color="auto"/>
      </w:divBdr>
    </w:div>
    <w:div w:id="1870528644">
      <w:bodyDiv w:val="1"/>
      <w:marLeft w:val="0"/>
      <w:marRight w:val="0"/>
      <w:marTop w:val="0"/>
      <w:marBottom w:val="0"/>
      <w:divBdr>
        <w:top w:val="none" w:sz="0" w:space="0" w:color="auto"/>
        <w:left w:val="none" w:sz="0" w:space="0" w:color="auto"/>
        <w:bottom w:val="none" w:sz="0" w:space="0" w:color="auto"/>
        <w:right w:val="none" w:sz="0" w:space="0" w:color="auto"/>
      </w:divBdr>
    </w:div>
    <w:div w:id="1872526925">
      <w:bodyDiv w:val="1"/>
      <w:marLeft w:val="0"/>
      <w:marRight w:val="0"/>
      <w:marTop w:val="0"/>
      <w:marBottom w:val="0"/>
      <w:divBdr>
        <w:top w:val="none" w:sz="0" w:space="0" w:color="auto"/>
        <w:left w:val="none" w:sz="0" w:space="0" w:color="auto"/>
        <w:bottom w:val="none" w:sz="0" w:space="0" w:color="auto"/>
        <w:right w:val="none" w:sz="0" w:space="0" w:color="auto"/>
      </w:divBdr>
    </w:div>
    <w:div w:id="1879511867">
      <w:bodyDiv w:val="1"/>
      <w:marLeft w:val="0"/>
      <w:marRight w:val="0"/>
      <w:marTop w:val="0"/>
      <w:marBottom w:val="0"/>
      <w:divBdr>
        <w:top w:val="none" w:sz="0" w:space="0" w:color="auto"/>
        <w:left w:val="none" w:sz="0" w:space="0" w:color="auto"/>
        <w:bottom w:val="none" w:sz="0" w:space="0" w:color="auto"/>
        <w:right w:val="none" w:sz="0" w:space="0" w:color="auto"/>
      </w:divBdr>
    </w:div>
    <w:div w:id="1880436220">
      <w:bodyDiv w:val="1"/>
      <w:marLeft w:val="0"/>
      <w:marRight w:val="0"/>
      <w:marTop w:val="0"/>
      <w:marBottom w:val="0"/>
      <w:divBdr>
        <w:top w:val="none" w:sz="0" w:space="0" w:color="auto"/>
        <w:left w:val="none" w:sz="0" w:space="0" w:color="auto"/>
        <w:bottom w:val="none" w:sz="0" w:space="0" w:color="auto"/>
        <w:right w:val="none" w:sz="0" w:space="0" w:color="auto"/>
      </w:divBdr>
    </w:div>
    <w:div w:id="1886062081">
      <w:bodyDiv w:val="1"/>
      <w:marLeft w:val="0"/>
      <w:marRight w:val="0"/>
      <w:marTop w:val="0"/>
      <w:marBottom w:val="0"/>
      <w:divBdr>
        <w:top w:val="none" w:sz="0" w:space="0" w:color="auto"/>
        <w:left w:val="none" w:sz="0" w:space="0" w:color="auto"/>
        <w:bottom w:val="none" w:sz="0" w:space="0" w:color="auto"/>
        <w:right w:val="none" w:sz="0" w:space="0" w:color="auto"/>
      </w:divBdr>
    </w:div>
    <w:div w:id="1888174474">
      <w:bodyDiv w:val="1"/>
      <w:marLeft w:val="0"/>
      <w:marRight w:val="0"/>
      <w:marTop w:val="0"/>
      <w:marBottom w:val="0"/>
      <w:divBdr>
        <w:top w:val="none" w:sz="0" w:space="0" w:color="auto"/>
        <w:left w:val="none" w:sz="0" w:space="0" w:color="auto"/>
        <w:bottom w:val="none" w:sz="0" w:space="0" w:color="auto"/>
        <w:right w:val="none" w:sz="0" w:space="0" w:color="auto"/>
      </w:divBdr>
    </w:div>
    <w:div w:id="1891453813">
      <w:bodyDiv w:val="1"/>
      <w:marLeft w:val="0"/>
      <w:marRight w:val="0"/>
      <w:marTop w:val="0"/>
      <w:marBottom w:val="0"/>
      <w:divBdr>
        <w:top w:val="none" w:sz="0" w:space="0" w:color="auto"/>
        <w:left w:val="none" w:sz="0" w:space="0" w:color="auto"/>
        <w:bottom w:val="none" w:sz="0" w:space="0" w:color="auto"/>
        <w:right w:val="none" w:sz="0" w:space="0" w:color="auto"/>
      </w:divBdr>
    </w:div>
    <w:div w:id="1894849109">
      <w:bodyDiv w:val="1"/>
      <w:marLeft w:val="0"/>
      <w:marRight w:val="0"/>
      <w:marTop w:val="0"/>
      <w:marBottom w:val="0"/>
      <w:divBdr>
        <w:top w:val="none" w:sz="0" w:space="0" w:color="auto"/>
        <w:left w:val="none" w:sz="0" w:space="0" w:color="auto"/>
        <w:bottom w:val="none" w:sz="0" w:space="0" w:color="auto"/>
        <w:right w:val="none" w:sz="0" w:space="0" w:color="auto"/>
      </w:divBdr>
    </w:div>
    <w:div w:id="1895893760">
      <w:bodyDiv w:val="1"/>
      <w:marLeft w:val="0"/>
      <w:marRight w:val="0"/>
      <w:marTop w:val="0"/>
      <w:marBottom w:val="0"/>
      <w:divBdr>
        <w:top w:val="none" w:sz="0" w:space="0" w:color="auto"/>
        <w:left w:val="none" w:sz="0" w:space="0" w:color="auto"/>
        <w:bottom w:val="none" w:sz="0" w:space="0" w:color="auto"/>
        <w:right w:val="none" w:sz="0" w:space="0" w:color="auto"/>
      </w:divBdr>
    </w:div>
    <w:div w:id="1896044467">
      <w:bodyDiv w:val="1"/>
      <w:marLeft w:val="0"/>
      <w:marRight w:val="0"/>
      <w:marTop w:val="0"/>
      <w:marBottom w:val="0"/>
      <w:divBdr>
        <w:top w:val="none" w:sz="0" w:space="0" w:color="auto"/>
        <w:left w:val="none" w:sz="0" w:space="0" w:color="auto"/>
        <w:bottom w:val="none" w:sz="0" w:space="0" w:color="auto"/>
        <w:right w:val="none" w:sz="0" w:space="0" w:color="auto"/>
      </w:divBdr>
    </w:div>
    <w:div w:id="1897618436">
      <w:bodyDiv w:val="1"/>
      <w:marLeft w:val="0"/>
      <w:marRight w:val="0"/>
      <w:marTop w:val="0"/>
      <w:marBottom w:val="0"/>
      <w:divBdr>
        <w:top w:val="none" w:sz="0" w:space="0" w:color="auto"/>
        <w:left w:val="none" w:sz="0" w:space="0" w:color="auto"/>
        <w:bottom w:val="none" w:sz="0" w:space="0" w:color="auto"/>
        <w:right w:val="none" w:sz="0" w:space="0" w:color="auto"/>
      </w:divBdr>
    </w:div>
    <w:div w:id="1911429179">
      <w:bodyDiv w:val="1"/>
      <w:marLeft w:val="0"/>
      <w:marRight w:val="0"/>
      <w:marTop w:val="0"/>
      <w:marBottom w:val="0"/>
      <w:divBdr>
        <w:top w:val="none" w:sz="0" w:space="0" w:color="auto"/>
        <w:left w:val="none" w:sz="0" w:space="0" w:color="auto"/>
        <w:bottom w:val="none" w:sz="0" w:space="0" w:color="auto"/>
        <w:right w:val="none" w:sz="0" w:space="0" w:color="auto"/>
      </w:divBdr>
    </w:div>
    <w:div w:id="1914271955">
      <w:bodyDiv w:val="1"/>
      <w:marLeft w:val="0"/>
      <w:marRight w:val="0"/>
      <w:marTop w:val="0"/>
      <w:marBottom w:val="0"/>
      <w:divBdr>
        <w:top w:val="none" w:sz="0" w:space="0" w:color="auto"/>
        <w:left w:val="none" w:sz="0" w:space="0" w:color="auto"/>
        <w:bottom w:val="none" w:sz="0" w:space="0" w:color="auto"/>
        <w:right w:val="none" w:sz="0" w:space="0" w:color="auto"/>
      </w:divBdr>
    </w:div>
    <w:div w:id="1916894876">
      <w:bodyDiv w:val="1"/>
      <w:marLeft w:val="0"/>
      <w:marRight w:val="0"/>
      <w:marTop w:val="0"/>
      <w:marBottom w:val="0"/>
      <w:divBdr>
        <w:top w:val="none" w:sz="0" w:space="0" w:color="auto"/>
        <w:left w:val="none" w:sz="0" w:space="0" w:color="auto"/>
        <w:bottom w:val="none" w:sz="0" w:space="0" w:color="auto"/>
        <w:right w:val="none" w:sz="0" w:space="0" w:color="auto"/>
      </w:divBdr>
    </w:div>
    <w:div w:id="1921478770">
      <w:bodyDiv w:val="1"/>
      <w:marLeft w:val="0"/>
      <w:marRight w:val="0"/>
      <w:marTop w:val="0"/>
      <w:marBottom w:val="0"/>
      <w:divBdr>
        <w:top w:val="none" w:sz="0" w:space="0" w:color="auto"/>
        <w:left w:val="none" w:sz="0" w:space="0" w:color="auto"/>
        <w:bottom w:val="none" w:sz="0" w:space="0" w:color="auto"/>
        <w:right w:val="none" w:sz="0" w:space="0" w:color="auto"/>
      </w:divBdr>
    </w:div>
    <w:div w:id="1925453452">
      <w:bodyDiv w:val="1"/>
      <w:marLeft w:val="0"/>
      <w:marRight w:val="0"/>
      <w:marTop w:val="0"/>
      <w:marBottom w:val="0"/>
      <w:divBdr>
        <w:top w:val="none" w:sz="0" w:space="0" w:color="auto"/>
        <w:left w:val="none" w:sz="0" w:space="0" w:color="auto"/>
        <w:bottom w:val="none" w:sz="0" w:space="0" w:color="auto"/>
        <w:right w:val="none" w:sz="0" w:space="0" w:color="auto"/>
      </w:divBdr>
    </w:div>
    <w:div w:id="1929843657">
      <w:bodyDiv w:val="1"/>
      <w:marLeft w:val="0"/>
      <w:marRight w:val="0"/>
      <w:marTop w:val="0"/>
      <w:marBottom w:val="0"/>
      <w:divBdr>
        <w:top w:val="none" w:sz="0" w:space="0" w:color="auto"/>
        <w:left w:val="none" w:sz="0" w:space="0" w:color="auto"/>
        <w:bottom w:val="none" w:sz="0" w:space="0" w:color="auto"/>
        <w:right w:val="none" w:sz="0" w:space="0" w:color="auto"/>
      </w:divBdr>
      <w:divsChild>
        <w:div w:id="2106000137">
          <w:marLeft w:val="547"/>
          <w:marRight w:val="0"/>
          <w:marTop w:val="0"/>
          <w:marBottom w:val="0"/>
          <w:divBdr>
            <w:top w:val="none" w:sz="0" w:space="0" w:color="auto"/>
            <w:left w:val="none" w:sz="0" w:space="0" w:color="auto"/>
            <w:bottom w:val="none" w:sz="0" w:space="0" w:color="auto"/>
            <w:right w:val="none" w:sz="0" w:space="0" w:color="auto"/>
          </w:divBdr>
        </w:div>
      </w:divsChild>
    </w:div>
    <w:div w:id="1933125804">
      <w:bodyDiv w:val="1"/>
      <w:marLeft w:val="0"/>
      <w:marRight w:val="0"/>
      <w:marTop w:val="0"/>
      <w:marBottom w:val="0"/>
      <w:divBdr>
        <w:top w:val="none" w:sz="0" w:space="0" w:color="auto"/>
        <w:left w:val="none" w:sz="0" w:space="0" w:color="auto"/>
        <w:bottom w:val="none" w:sz="0" w:space="0" w:color="auto"/>
        <w:right w:val="none" w:sz="0" w:space="0" w:color="auto"/>
      </w:divBdr>
    </w:div>
    <w:div w:id="1935624421">
      <w:bodyDiv w:val="1"/>
      <w:marLeft w:val="0"/>
      <w:marRight w:val="0"/>
      <w:marTop w:val="0"/>
      <w:marBottom w:val="0"/>
      <w:divBdr>
        <w:top w:val="none" w:sz="0" w:space="0" w:color="auto"/>
        <w:left w:val="none" w:sz="0" w:space="0" w:color="auto"/>
        <w:bottom w:val="none" w:sz="0" w:space="0" w:color="auto"/>
        <w:right w:val="none" w:sz="0" w:space="0" w:color="auto"/>
      </w:divBdr>
    </w:div>
    <w:div w:id="1936202488">
      <w:bodyDiv w:val="1"/>
      <w:marLeft w:val="0"/>
      <w:marRight w:val="0"/>
      <w:marTop w:val="0"/>
      <w:marBottom w:val="0"/>
      <w:divBdr>
        <w:top w:val="none" w:sz="0" w:space="0" w:color="auto"/>
        <w:left w:val="none" w:sz="0" w:space="0" w:color="auto"/>
        <w:bottom w:val="none" w:sz="0" w:space="0" w:color="auto"/>
        <w:right w:val="none" w:sz="0" w:space="0" w:color="auto"/>
      </w:divBdr>
    </w:div>
    <w:div w:id="1942060652">
      <w:bodyDiv w:val="1"/>
      <w:marLeft w:val="0"/>
      <w:marRight w:val="0"/>
      <w:marTop w:val="0"/>
      <w:marBottom w:val="0"/>
      <w:divBdr>
        <w:top w:val="none" w:sz="0" w:space="0" w:color="auto"/>
        <w:left w:val="none" w:sz="0" w:space="0" w:color="auto"/>
        <w:bottom w:val="none" w:sz="0" w:space="0" w:color="auto"/>
        <w:right w:val="none" w:sz="0" w:space="0" w:color="auto"/>
      </w:divBdr>
    </w:div>
    <w:div w:id="1945922492">
      <w:bodyDiv w:val="1"/>
      <w:marLeft w:val="0"/>
      <w:marRight w:val="0"/>
      <w:marTop w:val="0"/>
      <w:marBottom w:val="0"/>
      <w:divBdr>
        <w:top w:val="none" w:sz="0" w:space="0" w:color="auto"/>
        <w:left w:val="none" w:sz="0" w:space="0" w:color="auto"/>
        <w:bottom w:val="none" w:sz="0" w:space="0" w:color="auto"/>
        <w:right w:val="none" w:sz="0" w:space="0" w:color="auto"/>
      </w:divBdr>
    </w:div>
    <w:div w:id="1947274110">
      <w:bodyDiv w:val="1"/>
      <w:marLeft w:val="0"/>
      <w:marRight w:val="0"/>
      <w:marTop w:val="0"/>
      <w:marBottom w:val="0"/>
      <w:divBdr>
        <w:top w:val="none" w:sz="0" w:space="0" w:color="auto"/>
        <w:left w:val="none" w:sz="0" w:space="0" w:color="auto"/>
        <w:bottom w:val="none" w:sz="0" w:space="0" w:color="auto"/>
        <w:right w:val="none" w:sz="0" w:space="0" w:color="auto"/>
      </w:divBdr>
    </w:div>
    <w:div w:id="1947541447">
      <w:bodyDiv w:val="1"/>
      <w:marLeft w:val="0"/>
      <w:marRight w:val="0"/>
      <w:marTop w:val="0"/>
      <w:marBottom w:val="0"/>
      <w:divBdr>
        <w:top w:val="none" w:sz="0" w:space="0" w:color="auto"/>
        <w:left w:val="none" w:sz="0" w:space="0" w:color="auto"/>
        <w:bottom w:val="none" w:sz="0" w:space="0" w:color="auto"/>
        <w:right w:val="none" w:sz="0" w:space="0" w:color="auto"/>
      </w:divBdr>
    </w:div>
    <w:div w:id="1948197983">
      <w:bodyDiv w:val="1"/>
      <w:marLeft w:val="0"/>
      <w:marRight w:val="0"/>
      <w:marTop w:val="0"/>
      <w:marBottom w:val="0"/>
      <w:divBdr>
        <w:top w:val="none" w:sz="0" w:space="0" w:color="auto"/>
        <w:left w:val="none" w:sz="0" w:space="0" w:color="auto"/>
        <w:bottom w:val="none" w:sz="0" w:space="0" w:color="auto"/>
        <w:right w:val="none" w:sz="0" w:space="0" w:color="auto"/>
      </w:divBdr>
    </w:div>
    <w:div w:id="1953972683">
      <w:bodyDiv w:val="1"/>
      <w:marLeft w:val="0"/>
      <w:marRight w:val="0"/>
      <w:marTop w:val="0"/>
      <w:marBottom w:val="0"/>
      <w:divBdr>
        <w:top w:val="none" w:sz="0" w:space="0" w:color="auto"/>
        <w:left w:val="none" w:sz="0" w:space="0" w:color="auto"/>
        <w:bottom w:val="none" w:sz="0" w:space="0" w:color="auto"/>
        <w:right w:val="none" w:sz="0" w:space="0" w:color="auto"/>
      </w:divBdr>
    </w:div>
    <w:div w:id="1956600085">
      <w:bodyDiv w:val="1"/>
      <w:marLeft w:val="0"/>
      <w:marRight w:val="0"/>
      <w:marTop w:val="0"/>
      <w:marBottom w:val="0"/>
      <w:divBdr>
        <w:top w:val="none" w:sz="0" w:space="0" w:color="auto"/>
        <w:left w:val="none" w:sz="0" w:space="0" w:color="auto"/>
        <w:bottom w:val="none" w:sz="0" w:space="0" w:color="auto"/>
        <w:right w:val="none" w:sz="0" w:space="0" w:color="auto"/>
      </w:divBdr>
    </w:div>
    <w:div w:id="1956864085">
      <w:bodyDiv w:val="1"/>
      <w:marLeft w:val="0"/>
      <w:marRight w:val="0"/>
      <w:marTop w:val="0"/>
      <w:marBottom w:val="0"/>
      <w:divBdr>
        <w:top w:val="none" w:sz="0" w:space="0" w:color="auto"/>
        <w:left w:val="none" w:sz="0" w:space="0" w:color="auto"/>
        <w:bottom w:val="none" w:sz="0" w:space="0" w:color="auto"/>
        <w:right w:val="none" w:sz="0" w:space="0" w:color="auto"/>
      </w:divBdr>
    </w:div>
    <w:div w:id="1960410710">
      <w:bodyDiv w:val="1"/>
      <w:marLeft w:val="0"/>
      <w:marRight w:val="0"/>
      <w:marTop w:val="0"/>
      <w:marBottom w:val="0"/>
      <w:divBdr>
        <w:top w:val="none" w:sz="0" w:space="0" w:color="auto"/>
        <w:left w:val="none" w:sz="0" w:space="0" w:color="auto"/>
        <w:bottom w:val="none" w:sz="0" w:space="0" w:color="auto"/>
        <w:right w:val="none" w:sz="0" w:space="0" w:color="auto"/>
      </w:divBdr>
    </w:div>
    <w:div w:id="1960795536">
      <w:bodyDiv w:val="1"/>
      <w:marLeft w:val="0"/>
      <w:marRight w:val="0"/>
      <w:marTop w:val="0"/>
      <w:marBottom w:val="0"/>
      <w:divBdr>
        <w:top w:val="none" w:sz="0" w:space="0" w:color="auto"/>
        <w:left w:val="none" w:sz="0" w:space="0" w:color="auto"/>
        <w:bottom w:val="none" w:sz="0" w:space="0" w:color="auto"/>
        <w:right w:val="none" w:sz="0" w:space="0" w:color="auto"/>
      </w:divBdr>
    </w:div>
    <w:div w:id="1967924816">
      <w:bodyDiv w:val="1"/>
      <w:marLeft w:val="0"/>
      <w:marRight w:val="0"/>
      <w:marTop w:val="0"/>
      <w:marBottom w:val="0"/>
      <w:divBdr>
        <w:top w:val="none" w:sz="0" w:space="0" w:color="auto"/>
        <w:left w:val="none" w:sz="0" w:space="0" w:color="auto"/>
        <w:bottom w:val="none" w:sz="0" w:space="0" w:color="auto"/>
        <w:right w:val="none" w:sz="0" w:space="0" w:color="auto"/>
      </w:divBdr>
    </w:div>
    <w:div w:id="1972008153">
      <w:bodyDiv w:val="1"/>
      <w:marLeft w:val="0"/>
      <w:marRight w:val="0"/>
      <w:marTop w:val="0"/>
      <w:marBottom w:val="0"/>
      <w:divBdr>
        <w:top w:val="none" w:sz="0" w:space="0" w:color="auto"/>
        <w:left w:val="none" w:sz="0" w:space="0" w:color="auto"/>
        <w:bottom w:val="none" w:sz="0" w:space="0" w:color="auto"/>
        <w:right w:val="none" w:sz="0" w:space="0" w:color="auto"/>
      </w:divBdr>
    </w:div>
    <w:div w:id="1977909214">
      <w:bodyDiv w:val="1"/>
      <w:marLeft w:val="0"/>
      <w:marRight w:val="0"/>
      <w:marTop w:val="0"/>
      <w:marBottom w:val="0"/>
      <w:divBdr>
        <w:top w:val="none" w:sz="0" w:space="0" w:color="auto"/>
        <w:left w:val="none" w:sz="0" w:space="0" w:color="auto"/>
        <w:bottom w:val="none" w:sz="0" w:space="0" w:color="auto"/>
        <w:right w:val="none" w:sz="0" w:space="0" w:color="auto"/>
      </w:divBdr>
    </w:div>
    <w:div w:id="1980066399">
      <w:bodyDiv w:val="1"/>
      <w:marLeft w:val="0"/>
      <w:marRight w:val="0"/>
      <w:marTop w:val="0"/>
      <w:marBottom w:val="0"/>
      <w:divBdr>
        <w:top w:val="none" w:sz="0" w:space="0" w:color="auto"/>
        <w:left w:val="none" w:sz="0" w:space="0" w:color="auto"/>
        <w:bottom w:val="none" w:sz="0" w:space="0" w:color="auto"/>
        <w:right w:val="none" w:sz="0" w:space="0" w:color="auto"/>
      </w:divBdr>
    </w:div>
    <w:div w:id="1983732489">
      <w:bodyDiv w:val="1"/>
      <w:marLeft w:val="0"/>
      <w:marRight w:val="0"/>
      <w:marTop w:val="0"/>
      <w:marBottom w:val="0"/>
      <w:divBdr>
        <w:top w:val="none" w:sz="0" w:space="0" w:color="auto"/>
        <w:left w:val="none" w:sz="0" w:space="0" w:color="auto"/>
        <w:bottom w:val="none" w:sz="0" w:space="0" w:color="auto"/>
        <w:right w:val="none" w:sz="0" w:space="0" w:color="auto"/>
      </w:divBdr>
    </w:div>
    <w:div w:id="1989356628">
      <w:bodyDiv w:val="1"/>
      <w:marLeft w:val="0"/>
      <w:marRight w:val="0"/>
      <w:marTop w:val="0"/>
      <w:marBottom w:val="0"/>
      <w:divBdr>
        <w:top w:val="none" w:sz="0" w:space="0" w:color="auto"/>
        <w:left w:val="none" w:sz="0" w:space="0" w:color="auto"/>
        <w:bottom w:val="none" w:sz="0" w:space="0" w:color="auto"/>
        <w:right w:val="none" w:sz="0" w:space="0" w:color="auto"/>
      </w:divBdr>
    </w:div>
    <w:div w:id="1995336262">
      <w:bodyDiv w:val="1"/>
      <w:marLeft w:val="0"/>
      <w:marRight w:val="0"/>
      <w:marTop w:val="0"/>
      <w:marBottom w:val="0"/>
      <w:divBdr>
        <w:top w:val="none" w:sz="0" w:space="0" w:color="auto"/>
        <w:left w:val="none" w:sz="0" w:space="0" w:color="auto"/>
        <w:bottom w:val="none" w:sz="0" w:space="0" w:color="auto"/>
        <w:right w:val="none" w:sz="0" w:space="0" w:color="auto"/>
      </w:divBdr>
    </w:div>
    <w:div w:id="1996643854">
      <w:bodyDiv w:val="1"/>
      <w:marLeft w:val="0"/>
      <w:marRight w:val="0"/>
      <w:marTop w:val="0"/>
      <w:marBottom w:val="0"/>
      <w:divBdr>
        <w:top w:val="none" w:sz="0" w:space="0" w:color="auto"/>
        <w:left w:val="none" w:sz="0" w:space="0" w:color="auto"/>
        <w:bottom w:val="none" w:sz="0" w:space="0" w:color="auto"/>
        <w:right w:val="none" w:sz="0" w:space="0" w:color="auto"/>
      </w:divBdr>
    </w:div>
    <w:div w:id="2000499616">
      <w:bodyDiv w:val="1"/>
      <w:marLeft w:val="0"/>
      <w:marRight w:val="0"/>
      <w:marTop w:val="0"/>
      <w:marBottom w:val="0"/>
      <w:divBdr>
        <w:top w:val="none" w:sz="0" w:space="0" w:color="auto"/>
        <w:left w:val="none" w:sz="0" w:space="0" w:color="auto"/>
        <w:bottom w:val="none" w:sz="0" w:space="0" w:color="auto"/>
        <w:right w:val="none" w:sz="0" w:space="0" w:color="auto"/>
      </w:divBdr>
    </w:div>
    <w:div w:id="2001231624">
      <w:bodyDiv w:val="1"/>
      <w:marLeft w:val="0"/>
      <w:marRight w:val="0"/>
      <w:marTop w:val="0"/>
      <w:marBottom w:val="0"/>
      <w:divBdr>
        <w:top w:val="none" w:sz="0" w:space="0" w:color="auto"/>
        <w:left w:val="none" w:sz="0" w:space="0" w:color="auto"/>
        <w:bottom w:val="none" w:sz="0" w:space="0" w:color="auto"/>
        <w:right w:val="none" w:sz="0" w:space="0" w:color="auto"/>
      </w:divBdr>
    </w:div>
    <w:div w:id="2002001147">
      <w:bodyDiv w:val="1"/>
      <w:marLeft w:val="0"/>
      <w:marRight w:val="0"/>
      <w:marTop w:val="0"/>
      <w:marBottom w:val="0"/>
      <w:divBdr>
        <w:top w:val="none" w:sz="0" w:space="0" w:color="auto"/>
        <w:left w:val="none" w:sz="0" w:space="0" w:color="auto"/>
        <w:bottom w:val="none" w:sz="0" w:space="0" w:color="auto"/>
        <w:right w:val="none" w:sz="0" w:space="0" w:color="auto"/>
      </w:divBdr>
    </w:div>
    <w:div w:id="2009867173">
      <w:bodyDiv w:val="1"/>
      <w:marLeft w:val="0"/>
      <w:marRight w:val="0"/>
      <w:marTop w:val="0"/>
      <w:marBottom w:val="0"/>
      <w:divBdr>
        <w:top w:val="none" w:sz="0" w:space="0" w:color="auto"/>
        <w:left w:val="none" w:sz="0" w:space="0" w:color="auto"/>
        <w:bottom w:val="none" w:sz="0" w:space="0" w:color="auto"/>
        <w:right w:val="none" w:sz="0" w:space="0" w:color="auto"/>
      </w:divBdr>
    </w:div>
    <w:div w:id="2009867606">
      <w:bodyDiv w:val="1"/>
      <w:marLeft w:val="0"/>
      <w:marRight w:val="0"/>
      <w:marTop w:val="0"/>
      <w:marBottom w:val="0"/>
      <w:divBdr>
        <w:top w:val="none" w:sz="0" w:space="0" w:color="auto"/>
        <w:left w:val="none" w:sz="0" w:space="0" w:color="auto"/>
        <w:bottom w:val="none" w:sz="0" w:space="0" w:color="auto"/>
        <w:right w:val="none" w:sz="0" w:space="0" w:color="auto"/>
      </w:divBdr>
    </w:div>
    <w:div w:id="2013411255">
      <w:bodyDiv w:val="1"/>
      <w:marLeft w:val="0"/>
      <w:marRight w:val="0"/>
      <w:marTop w:val="0"/>
      <w:marBottom w:val="0"/>
      <w:divBdr>
        <w:top w:val="none" w:sz="0" w:space="0" w:color="auto"/>
        <w:left w:val="none" w:sz="0" w:space="0" w:color="auto"/>
        <w:bottom w:val="none" w:sz="0" w:space="0" w:color="auto"/>
        <w:right w:val="none" w:sz="0" w:space="0" w:color="auto"/>
      </w:divBdr>
    </w:div>
    <w:div w:id="2013559816">
      <w:bodyDiv w:val="1"/>
      <w:marLeft w:val="0"/>
      <w:marRight w:val="0"/>
      <w:marTop w:val="0"/>
      <w:marBottom w:val="0"/>
      <w:divBdr>
        <w:top w:val="none" w:sz="0" w:space="0" w:color="auto"/>
        <w:left w:val="none" w:sz="0" w:space="0" w:color="auto"/>
        <w:bottom w:val="none" w:sz="0" w:space="0" w:color="auto"/>
        <w:right w:val="none" w:sz="0" w:space="0" w:color="auto"/>
      </w:divBdr>
    </w:div>
    <w:div w:id="2015456143">
      <w:bodyDiv w:val="1"/>
      <w:marLeft w:val="0"/>
      <w:marRight w:val="0"/>
      <w:marTop w:val="0"/>
      <w:marBottom w:val="0"/>
      <w:divBdr>
        <w:top w:val="none" w:sz="0" w:space="0" w:color="auto"/>
        <w:left w:val="none" w:sz="0" w:space="0" w:color="auto"/>
        <w:bottom w:val="none" w:sz="0" w:space="0" w:color="auto"/>
        <w:right w:val="none" w:sz="0" w:space="0" w:color="auto"/>
      </w:divBdr>
    </w:div>
    <w:div w:id="2016958416">
      <w:bodyDiv w:val="1"/>
      <w:marLeft w:val="0"/>
      <w:marRight w:val="0"/>
      <w:marTop w:val="0"/>
      <w:marBottom w:val="0"/>
      <w:divBdr>
        <w:top w:val="none" w:sz="0" w:space="0" w:color="auto"/>
        <w:left w:val="none" w:sz="0" w:space="0" w:color="auto"/>
        <w:bottom w:val="none" w:sz="0" w:space="0" w:color="auto"/>
        <w:right w:val="none" w:sz="0" w:space="0" w:color="auto"/>
      </w:divBdr>
    </w:div>
    <w:div w:id="2017998858">
      <w:bodyDiv w:val="1"/>
      <w:marLeft w:val="0"/>
      <w:marRight w:val="0"/>
      <w:marTop w:val="0"/>
      <w:marBottom w:val="0"/>
      <w:divBdr>
        <w:top w:val="none" w:sz="0" w:space="0" w:color="auto"/>
        <w:left w:val="none" w:sz="0" w:space="0" w:color="auto"/>
        <w:bottom w:val="none" w:sz="0" w:space="0" w:color="auto"/>
        <w:right w:val="none" w:sz="0" w:space="0" w:color="auto"/>
      </w:divBdr>
    </w:div>
    <w:div w:id="2018652560">
      <w:bodyDiv w:val="1"/>
      <w:marLeft w:val="0"/>
      <w:marRight w:val="0"/>
      <w:marTop w:val="0"/>
      <w:marBottom w:val="0"/>
      <w:divBdr>
        <w:top w:val="none" w:sz="0" w:space="0" w:color="auto"/>
        <w:left w:val="none" w:sz="0" w:space="0" w:color="auto"/>
        <w:bottom w:val="none" w:sz="0" w:space="0" w:color="auto"/>
        <w:right w:val="none" w:sz="0" w:space="0" w:color="auto"/>
      </w:divBdr>
    </w:div>
    <w:div w:id="2019699718">
      <w:bodyDiv w:val="1"/>
      <w:marLeft w:val="0"/>
      <w:marRight w:val="0"/>
      <w:marTop w:val="0"/>
      <w:marBottom w:val="0"/>
      <w:divBdr>
        <w:top w:val="none" w:sz="0" w:space="0" w:color="auto"/>
        <w:left w:val="none" w:sz="0" w:space="0" w:color="auto"/>
        <w:bottom w:val="none" w:sz="0" w:space="0" w:color="auto"/>
        <w:right w:val="none" w:sz="0" w:space="0" w:color="auto"/>
      </w:divBdr>
    </w:div>
    <w:div w:id="2024893583">
      <w:bodyDiv w:val="1"/>
      <w:marLeft w:val="0"/>
      <w:marRight w:val="0"/>
      <w:marTop w:val="0"/>
      <w:marBottom w:val="0"/>
      <w:divBdr>
        <w:top w:val="none" w:sz="0" w:space="0" w:color="auto"/>
        <w:left w:val="none" w:sz="0" w:space="0" w:color="auto"/>
        <w:bottom w:val="none" w:sz="0" w:space="0" w:color="auto"/>
        <w:right w:val="none" w:sz="0" w:space="0" w:color="auto"/>
      </w:divBdr>
    </w:div>
    <w:div w:id="2025131852">
      <w:bodyDiv w:val="1"/>
      <w:marLeft w:val="0"/>
      <w:marRight w:val="0"/>
      <w:marTop w:val="0"/>
      <w:marBottom w:val="0"/>
      <w:divBdr>
        <w:top w:val="none" w:sz="0" w:space="0" w:color="auto"/>
        <w:left w:val="none" w:sz="0" w:space="0" w:color="auto"/>
        <w:bottom w:val="none" w:sz="0" w:space="0" w:color="auto"/>
        <w:right w:val="none" w:sz="0" w:space="0" w:color="auto"/>
      </w:divBdr>
    </w:div>
    <w:div w:id="2025203064">
      <w:bodyDiv w:val="1"/>
      <w:marLeft w:val="0"/>
      <w:marRight w:val="0"/>
      <w:marTop w:val="0"/>
      <w:marBottom w:val="0"/>
      <w:divBdr>
        <w:top w:val="none" w:sz="0" w:space="0" w:color="auto"/>
        <w:left w:val="none" w:sz="0" w:space="0" w:color="auto"/>
        <w:bottom w:val="none" w:sz="0" w:space="0" w:color="auto"/>
        <w:right w:val="none" w:sz="0" w:space="0" w:color="auto"/>
      </w:divBdr>
    </w:div>
    <w:div w:id="2028867329">
      <w:bodyDiv w:val="1"/>
      <w:marLeft w:val="0"/>
      <w:marRight w:val="0"/>
      <w:marTop w:val="0"/>
      <w:marBottom w:val="0"/>
      <w:divBdr>
        <w:top w:val="none" w:sz="0" w:space="0" w:color="auto"/>
        <w:left w:val="none" w:sz="0" w:space="0" w:color="auto"/>
        <w:bottom w:val="none" w:sz="0" w:space="0" w:color="auto"/>
        <w:right w:val="none" w:sz="0" w:space="0" w:color="auto"/>
      </w:divBdr>
    </w:div>
    <w:div w:id="2051414687">
      <w:bodyDiv w:val="1"/>
      <w:marLeft w:val="0"/>
      <w:marRight w:val="0"/>
      <w:marTop w:val="0"/>
      <w:marBottom w:val="0"/>
      <w:divBdr>
        <w:top w:val="none" w:sz="0" w:space="0" w:color="auto"/>
        <w:left w:val="none" w:sz="0" w:space="0" w:color="auto"/>
        <w:bottom w:val="none" w:sz="0" w:space="0" w:color="auto"/>
        <w:right w:val="none" w:sz="0" w:space="0" w:color="auto"/>
      </w:divBdr>
    </w:div>
    <w:div w:id="2053728965">
      <w:bodyDiv w:val="1"/>
      <w:marLeft w:val="0"/>
      <w:marRight w:val="0"/>
      <w:marTop w:val="0"/>
      <w:marBottom w:val="0"/>
      <w:divBdr>
        <w:top w:val="none" w:sz="0" w:space="0" w:color="auto"/>
        <w:left w:val="none" w:sz="0" w:space="0" w:color="auto"/>
        <w:bottom w:val="none" w:sz="0" w:space="0" w:color="auto"/>
        <w:right w:val="none" w:sz="0" w:space="0" w:color="auto"/>
      </w:divBdr>
    </w:div>
    <w:div w:id="2054452738">
      <w:bodyDiv w:val="1"/>
      <w:marLeft w:val="0"/>
      <w:marRight w:val="0"/>
      <w:marTop w:val="0"/>
      <w:marBottom w:val="0"/>
      <w:divBdr>
        <w:top w:val="none" w:sz="0" w:space="0" w:color="auto"/>
        <w:left w:val="none" w:sz="0" w:space="0" w:color="auto"/>
        <w:bottom w:val="none" w:sz="0" w:space="0" w:color="auto"/>
        <w:right w:val="none" w:sz="0" w:space="0" w:color="auto"/>
      </w:divBdr>
    </w:div>
    <w:div w:id="2066102683">
      <w:bodyDiv w:val="1"/>
      <w:marLeft w:val="0"/>
      <w:marRight w:val="0"/>
      <w:marTop w:val="0"/>
      <w:marBottom w:val="0"/>
      <w:divBdr>
        <w:top w:val="none" w:sz="0" w:space="0" w:color="auto"/>
        <w:left w:val="none" w:sz="0" w:space="0" w:color="auto"/>
        <w:bottom w:val="none" w:sz="0" w:space="0" w:color="auto"/>
        <w:right w:val="none" w:sz="0" w:space="0" w:color="auto"/>
      </w:divBdr>
    </w:div>
    <w:div w:id="2066485216">
      <w:bodyDiv w:val="1"/>
      <w:marLeft w:val="0"/>
      <w:marRight w:val="0"/>
      <w:marTop w:val="0"/>
      <w:marBottom w:val="0"/>
      <w:divBdr>
        <w:top w:val="none" w:sz="0" w:space="0" w:color="auto"/>
        <w:left w:val="none" w:sz="0" w:space="0" w:color="auto"/>
        <w:bottom w:val="none" w:sz="0" w:space="0" w:color="auto"/>
        <w:right w:val="none" w:sz="0" w:space="0" w:color="auto"/>
      </w:divBdr>
    </w:div>
    <w:div w:id="2074739316">
      <w:bodyDiv w:val="1"/>
      <w:marLeft w:val="0"/>
      <w:marRight w:val="0"/>
      <w:marTop w:val="0"/>
      <w:marBottom w:val="0"/>
      <w:divBdr>
        <w:top w:val="none" w:sz="0" w:space="0" w:color="auto"/>
        <w:left w:val="none" w:sz="0" w:space="0" w:color="auto"/>
        <w:bottom w:val="none" w:sz="0" w:space="0" w:color="auto"/>
        <w:right w:val="none" w:sz="0" w:space="0" w:color="auto"/>
      </w:divBdr>
    </w:div>
    <w:div w:id="2084374929">
      <w:bodyDiv w:val="1"/>
      <w:marLeft w:val="0"/>
      <w:marRight w:val="0"/>
      <w:marTop w:val="0"/>
      <w:marBottom w:val="0"/>
      <w:divBdr>
        <w:top w:val="none" w:sz="0" w:space="0" w:color="auto"/>
        <w:left w:val="none" w:sz="0" w:space="0" w:color="auto"/>
        <w:bottom w:val="none" w:sz="0" w:space="0" w:color="auto"/>
        <w:right w:val="none" w:sz="0" w:space="0" w:color="auto"/>
      </w:divBdr>
    </w:div>
    <w:div w:id="2084444288">
      <w:bodyDiv w:val="1"/>
      <w:marLeft w:val="0"/>
      <w:marRight w:val="0"/>
      <w:marTop w:val="0"/>
      <w:marBottom w:val="0"/>
      <w:divBdr>
        <w:top w:val="none" w:sz="0" w:space="0" w:color="auto"/>
        <w:left w:val="none" w:sz="0" w:space="0" w:color="auto"/>
        <w:bottom w:val="none" w:sz="0" w:space="0" w:color="auto"/>
        <w:right w:val="none" w:sz="0" w:space="0" w:color="auto"/>
      </w:divBdr>
    </w:div>
    <w:div w:id="2086028831">
      <w:bodyDiv w:val="1"/>
      <w:marLeft w:val="0"/>
      <w:marRight w:val="0"/>
      <w:marTop w:val="0"/>
      <w:marBottom w:val="0"/>
      <w:divBdr>
        <w:top w:val="none" w:sz="0" w:space="0" w:color="auto"/>
        <w:left w:val="none" w:sz="0" w:space="0" w:color="auto"/>
        <w:bottom w:val="none" w:sz="0" w:space="0" w:color="auto"/>
        <w:right w:val="none" w:sz="0" w:space="0" w:color="auto"/>
      </w:divBdr>
    </w:div>
    <w:div w:id="2089227225">
      <w:bodyDiv w:val="1"/>
      <w:marLeft w:val="0"/>
      <w:marRight w:val="0"/>
      <w:marTop w:val="0"/>
      <w:marBottom w:val="0"/>
      <w:divBdr>
        <w:top w:val="none" w:sz="0" w:space="0" w:color="auto"/>
        <w:left w:val="none" w:sz="0" w:space="0" w:color="auto"/>
        <w:bottom w:val="none" w:sz="0" w:space="0" w:color="auto"/>
        <w:right w:val="none" w:sz="0" w:space="0" w:color="auto"/>
      </w:divBdr>
    </w:div>
    <w:div w:id="2091541197">
      <w:bodyDiv w:val="1"/>
      <w:marLeft w:val="0"/>
      <w:marRight w:val="0"/>
      <w:marTop w:val="0"/>
      <w:marBottom w:val="0"/>
      <w:divBdr>
        <w:top w:val="none" w:sz="0" w:space="0" w:color="auto"/>
        <w:left w:val="none" w:sz="0" w:space="0" w:color="auto"/>
        <w:bottom w:val="none" w:sz="0" w:space="0" w:color="auto"/>
        <w:right w:val="none" w:sz="0" w:space="0" w:color="auto"/>
      </w:divBdr>
    </w:div>
    <w:div w:id="2095933778">
      <w:bodyDiv w:val="1"/>
      <w:marLeft w:val="0"/>
      <w:marRight w:val="0"/>
      <w:marTop w:val="0"/>
      <w:marBottom w:val="0"/>
      <w:divBdr>
        <w:top w:val="none" w:sz="0" w:space="0" w:color="auto"/>
        <w:left w:val="none" w:sz="0" w:space="0" w:color="auto"/>
        <w:bottom w:val="none" w:sz="0" w:space="0" w:color="auto"/>
        <w:right w:val="none" w:sz="0" w:space="0" w:color="auto"/>
      </w:divBdr>
    </w:div>
    <w:div w:id="2098018906">
      <w:bodyDiv w:val="1"/>
      <w:marLeft w:val="0"/>
      <w:marRight w:val="0"/>
      <w:marTop w:val="0"/>
      <w:marBottom w:val="0"/>
      <w:divBdr>
        <w:top w:val="none" w:sz="0" w:space="0" w:color="auto"/>
        <w:left w:val="none" w:sz="0" w:space="0" w:color="auto"/>
        <w:bottom w:val="none" w:sz="0" w:space="0" w:color="auto"/>
        <w:right w:val="none" w:sz="0" w:space="0" w:color="auto"/>
      </w:divBdr>
    </w:div>
    <w:div w:id="2099324700">
      <w:bodyDiv w:val="1"/>
      <w:marLeft w:val="0"/>
      <w:marRight w:val="0"/>
      <w:marTop w:val="0"/>
      <w:marBottom w:val="0"/>
      <w:divBdr>
        <w:top w:val="none" w:sz="0" w:space="0" w:color="auto"/>
        <w:left w:val="none" w:sz="0" w:space="0" w:color="auto"/>
        <w:bottom w:val="none" w:sz="0" w:space="0" w:color="auto"/>
        <w:right w:val="none" w:sz="0" w:space="0" w:color="auto"/>
      </w:divBdr>
    </w:div>
    <w:div w:id="2104182620">
      <w:bodyDiv w:val="1"/>
      <w:marLeft w:val="0"/>
      <w:marRight w:val="0"/>
      <w:marTop w:val="0"/>
      <w:marBottom w:val="0"/>
      <w:divBdr>
        <w:top w:val="none" w:sz="0" w:space="0" w:color="auto"/>
        <w:left w:val="none" w:sz="0" w:space="0" w:color="auto"/>
        <w:bottom w:val="none" w:sz="0" w:space="0" w:color="auto"/>
        <w:right w:val="none" w:sz="0" w:space="0" w:color="auto"/>
      </w:divBdr>
    </w:div>
    <w:div w:id="2105686073">
      <w:bodyDiv w:val="1"/>
      <w:marLeft w:val="0"/>
      <w:marRight w:val="0"/>
      <w:marTop w:val="0"/>
      <w:marBottom w:val="0"/>
      <w:divBdr>
        <w:top w:val="none" w:sz="0" w:space="0" w:color="auto"/>
        <w:left w:val="none" w:sz="0" w:space="0" w:color="auto"/>
        <w:bottom w:val="none" w:sz="0" w:space="0" w:color="auto"/>
        <w:right w:val="none" w:sz="0" w:space="0" w:color="auto"/>
      </w:divBdr>
    </w:div>
    <w:div w:id="2117019320">
      <w:bodyDiv w:val="1"/>
      <w:marLeft w:val="0"/>
      <w:marRight w:val="0"/>
      <w:marTop w:val="0"/>
      <w:marBottom w:val="0"/>
      <w:divBdr>
        <w:top w:val="none" w:sz="0" w:space="0" w:color="auto"/>
        <w:left w:val="none" w:sz="0" w:space="0" w:color="auto"/>
        <w:bottom w:val="none" w:sz="0" w:space="0" w:color="auto"/>
        <w:right w:val="none" w:sz="0" w:space="0" w:color="auto"/>
      </w:divBdr>
    </w:div>
    <w:div w:id="2120484435">
      <w:bodyDiv w:val="1"/>
      <w:marLeft w:val="0"/>
      <w:marRight w:val="0"/>
      <w:marTop w:val="0"/>
      <w:marBottom w:val="0"/>
      <w:divBdr>
        <w:top w:val="none" w:sz="0" w:space="0" w:color="auto"/>
        <w:left w:val="none" w:sz="0" w:space="0" w:color="auto"/>
        <w:bottom w:val="none" w:sz="0" w:space="0" w:color="auto"/>
        <w:right w:val="none" w:sz="0" w:space="0" w:color="auto"/>
      </w:divBdr>
    </w:div>
    <w:div w:id="2121876115">
      <w:bodyDiv w:val="1"/>
      <w:marLeft w:val="0"/>
      <w:marRight w:val="0"/>
      <w:marTop w:val="0"/>
      <w:marBottom w:val="0"/>
      <w:divBdr>
        <w:top w:val="none" w:sz="0" w:space="0" w:color="auto"/>
        <w:left w:val="none" w:sz="0" w:space="0" w:color="auto"/>
        <w:bottom w:val="none" w:sz="0" w:space="0" w:color="auto"/>
        <w:right w:val="none" w:sz="0" w:space="0" w:color="auto"/>
      </w:divBdr>
    </w:div>
    <w:div w:id="2127237851">
      <w:bodyDiv w:val="1"/>
      <w:marLeft w:val="0"/>
      <w:marRight w:val="0"/>
      <w:marTop w:val="0"/>
      <w:marBottom w:val="0"/>
      <w:divBdr>
        <w:top w:val="none" w:sz="0" w:space="0" w:color="auto"/>
        <w:left w:val="none" w:sz="0" w:space="0" w:color="auto"/>
        <w:bottom w:val="none" w:sz="0" w:space="0" w:color="auto"/>
        <w:right w:val="none" w:sz="0" w:space="0" w:color="auto"/>
      </w:divBdr>
    </w:div>
    <w:div w:id="2135518359">
      <w:bodyDiv w:val="1"/>
      <w:marLeft w:val="0"/>
      <w:marRight w:val="0"/>
      <w:marTop w:val="0"/>
      <w:marBottom w:val="0"/>
      <w:divBdr>
        <w:top w:val="none" w:sz="0" w:space="0" w:color="auto"/>
        <w:left w:val="none" w:sz="0" w:space="0" w:color="auto"/>
        <w:bottom w:val="none" w:sz="0" w:space="0" w:color="auto"/>
        <w:right w:val="none" w:sz="0" w:space="0" w:color="auto"/>
      </w:divBdr>
    </w:div>
    <w:div w:id="2138989113">
      <w:bodyDiv w:val="1"/>
      <w:marLeft w:val="0"/>
      <w:marRight w:val="0"/>
      <w:marTop w:val="0"/>
      <w:marBottom w:val="0"/>
      <w:divBdr>
        <w:top w:val="none" w:sz="0" w:space="0" w:color="auto"/>
        <w:left w:val="none" w:sz="0" w:space="0" w:color="auto"/>
        <w:bottom w:val="none" w:sz="0" w:space="0" w:color="auto"/>
        <w:right w:val="none" w:sz="0" w:space="0" w:color="auto"/>
      </w:divBdr>
    </w:div>
    <w:div w:id="2142073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42" Type="http://schemas.openxmlformats.org/officeDocument/2006/relationships/image" Target="media/image26.png"/><Relationship Id="rId47" Type="http://schemas.openxmlformats.org/officeDocument/2006/relationships/image" Target="media/image31.png"/><Relationship Id="rId63" Type="http://schemas.openxmlformats.org/officeDocument/2006/relationships/image" Target="media/image46.png"/><Relationship Id="rId68" Type="http://schemas.openxmlformats.org/officeDocument/2006/relationships/image" Target="media/image48.png"/><Relationship Id="rId16" Type="http://schemas.openxmlformats.org/officeDocument/2006/relationships/chart" Target="charts/chart2.xml"/><Relationship Id="rId11" Type="http://schemas.openxmlformats.org/officeDocument/2006/relationships/footer" Target="footer1.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png"/><Relationship Id="rId66" Type="http://schemas.openxmlformats.org/officeDocument/2006/relationships/hyperlink" Target="https://www.oracle.com/java/technologies/downloads/" TargetMode="External"/><Relationship Id="rId74" Type="http://schemas.openxmlformats.org/officeDocument/2006/relationships/footer" Target="footer5.xml"/><Relationship Id="rId5" Type="http://schemas.openxmlformats.org/officeDocument/2006/relationships/numbering" Target="numbering.xml"/><Relationship Id="rId61" Type="http://schemas.openxmlformats.org/officeDocument/2006/relationships/image" Target="media/image44.png"/><Relationship Id="rId19" Type="http://schemas.openxmlformats.org/officeDocument/2006/relationships/image" Target="media/image3.png"/><Relationship Id="rId14" Type="http://schemas.openxmlformats.org/officeDocument/2006/relationships/footer" Target="footer4.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hyperlink" Target="https://edx.netl.doe.gov/" TargetMode="External"/><Relationship Id="rId69" Type="http://schemas.openxmlformats.org/officeDocument/2006/relationships/image" Target="media/image49.png"/><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5.png"/><Relationship Id="rId72" Type="http://schemas.openxmlformats.org/officeDocument/2006/relationships/image" Target="media/image52.png"/><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chart" Target="charts/chart3.xml"/><Relationship Id="rId67" Type="http://schemas.openxmlformats.org/officeDocument/2006/relationships/image" Target="media/image47.png"/><Relationship Id="rId20" Type="http://schemas.openxmlformats.org/officeDocument/2006/relationships/image" Target="media/image4.png"/><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image" Target="media/image45.png"/><Relationship Id="rId70" Type="http://schemas.openxmlformats.org/officeDocument/2006/relationships/image" Target="media/image50.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1.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3.png"/><Relationship Id="rId65" Type="http://schemas.openxmlformats.org/officeDocument/2006/relationships/hyperlink" Target="https://edx.netl.doe.gov/dataset/sosat-state-of-stress-analysis-tool-v2019-07-1-0" TargetMode="External"/><Relationship Id="rId73" Type="http://schemas.openxmlformats.org/officeDocument/2006/relationships/image" Target="media/image53.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image" Target="media/image2.png"/><Relationship Id="rId39" Type="http://schemas.openxmlformats.org/officeDocument/2006/relationships/image" Target="media/image23.png"/><Relationship Id="rId34" Type="http://schemas.openxmlformats.org/officeDocument/2006/relationships/image" Target="media/image18.png"/><Relationship Id="rId50" Type="http://schemas.openxmlformats.org/officeDocument/2006/relationships/image" Target="media/image34.png"/><Relationship Id="rId55" Type="http://schemas.openxmlformats.org/officeDocument/2006/relationships/image" Target="media/image39.png"/><Relationship Id="rId76" Type="http://schemas.openxmlformats.org/officeDocument/2006/relationships/glossaryDocument" Target="glossary/document.xml"/><Relationship Id="rId7" Type="http://schemas.openxmlformats.org/officeDocument/2006/relationships/settings" Target="settings.xml"/><Relationship Id="rId71" Type="http://schemas.openxmlformats.org/officeDocument/2006/relationships/image" Target="media/image51.png"/><Relationship Id="rId2" Type="http://schemas.openxmlformats.org/officeDocument/2006/relationships/customXml" Target="../customXml/item2.xml"/><Relationship Id="rId29" Type="http://schemas.openxmlformats.org/officeDocument/2006/relationships/image" Target="media/image13.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karen\Downloads\global-primary-energy.csv"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aren\Downloads\annual-co-emissions-by-region.csv"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karen\Documents\Research\Thesis\Modeling\O1\nrap-sosatPfail_data.csv"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World</a:t>
            </a:r>
            <a:r>
              <a:rPr lang="en-US" baseline="0"/>
              <a:t> Energy Consumption by Source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areaChart>
        <c:grouping val="stacked"/>
        <c:varyColors val="0"/>
        <c:ser>
          <c:idx val="1"/>
          <c:order val="1"/>
          <c:tx>
            <c:strRef>
              <c:f>'global-primary-energy'!$D$1</c:f>
              <c:strCache>
                <c:ptCount val="1"/>
                <c:pt idx="0">
                  <c:v>Biofuels</c:v>
                </c:pt>
              </c:strCache>
            </c:strRef>
          </c:tx>
          <c:spPr>
            <a:solidFill>
              <a:schemeClr val="accent5"/>
            </a:solidFill>
            <a:ln>
              <a:noFill/>
            </a:ln>
            <a:effectLst/>
          </c:spPr>
          <c:cat>
            <c:numRef>
              <c:f>'global-primary-energy'!$C$2:$C$75</c:f>
              <c:numCache>
                <c:formatCode>General</c:formatCode>
                <c:ptCount val="74"/>
                <c:pt idx="0">
                  <c:v>1800</c:v>
                </c:pt>
                <c:pt idx="1">
                  <c:v>1810</c:v>
                </c:pt>
                <c:pt idx="2">
                  <c:v>1820</c:v>
                </c:pt>
                <c:pt idx="3">
                  <c:v>1830</c:v>
                </c:pt>
                <c:pt idx="4">
                  <c:v>1840</c:v>
                </c:pt>
                <c:pt idx="5">
                  <c:v>1850</c:v>
                </c:pt>
                <c:pt idx="6">
                  <c:v>1860</c:v>
                </c:pt>
                <c:pt idx="7">
                  <c:v>1870</c:v>
                </c:pt>
                <c:pt idx="8">
                  <c:v>1880</c:v>
                </c:pt>
                <c:pt idx="9">
                  <c:v>1890</c:v>
                </c:pt>
                <c:pt idx="10">
                  <c:v>1900</c:v>
                </c:pt>
                <c:pt idx="11">
                  <c:v>1910</c:v>
                </c:pt>
                <c:pt idx="12">
                  <c:v>1920</c:v>
                </c:pt>
                <c:pt idx="13">
                  <c:v>1930</c:v>
                </c:pt>
                <c:pt idx="14">
                  <c:v>1940</c:v>
                </c:pt>
                <c:pt idx="15">
                  <c:v>1950</c:v>
                </c:pt>
                <c:pt idx="16">
                  <c:v>1960</c:v>
                </c:pt>
                <c:pt idx="17">
                  <c:v>1965</c:v>
                </c:pt>
                <c:pt idx="18">
                  <c:v>1966</c:v>
                </c:pt>
                <c:pt idx="19">
                  <c:v>1967</c:v>
                </c:pt>
                <c:pt idx="20">
                  <c:v>1968</c:v>
                </c:pt>
                <c:pt idx="21">
                  <c:v>1969</c:v>
                </c:pt>
                <c:pt idx="22">
                  <c:v>1970</c:v>
                </c:pt>
                <c:pt idx="23">
                  <c:v>1971</c:v>
                </c:pt>
                <c:pt idx="24">
                  <c:v>1972</c:v>
                </c:pt>
                <c:pt idx="25">
                  <c:v>1973</c:v>
                </c:pt>
                <c:pt idx="26">
                  <c:v>1974</c:v>
                </c:pt>
                <c:pt idx="27">
                  <c:v>1975</c:v>
                </c:pt>
                <c:pt idx="28">
                  <c:v>1976</c:v>
                </c:pt>
                <c:pt idx="29">
                  <c:v>1977</c:v>
                </c:pt>
                <c:pt idx="30">
                  <c:v>1978</c:v>
                </c:pt>
                <c:pt idx="31">
                  <c:v>1979</c:v>
                </c:pt>
                <c:pt idx="32">
                  <c:v>1980</c:v>
                </c:pt>
                <c:pt idx="33">
                  <c:v>1981</c:v>
                </c:pt>
                <c:pt idx="34">
                  <c:v>1982</c:v>
                </c:pt>
                <c:pt idx="35">
                  <c:v>1983</c:v>
                </c:pt>
                <c:pt idx="36">
                  <c:v>1984</c:v>
                </c:pt>
                <c:pt idx="37">
                  <c:v>1985</c:v>
                </c:pt>
                <c:pt idx="38">
                  <c:v>1986</c:v>
                </c:pt>
                <c:pt idx="39">
                  <c:v>1987</c:v>
                </c:pt>
                <c:pt idx="40">
                  <c:v>1988</c:v>
                </c:pt>
                <c:pt idx="41">
                  <c:v>1989</c:v>
                </c:pt>
                <c:pt idx="42">
                  <c:v>1990</c:v>
                </c:pt>
                <c:pt idx="43">
                  <c:v>1991</c:v>
                </c:pt>
                <c:pt idx="44">
                  <c:v>1992</c:v>
                </c:pt>
                <c:pt idx="45">
                  <c:v>1993</c:v>
                </c:pt>
                <c:pt idx="46">
                  <c:v>1994</c:v>
                </c:pt>
                <c:pt idx="47">
                  <c:v>1995</c:v>
                </c:pt>
                <c:pt idx="48">
                  <c:v>1996</c:v>
                </c:pt>
                <c:pt idx="49">
                  <c:v>1997</c:v>
                </c:pt>
                <c:pt idx="50">
                  <c:v>1998</c:v>
                </c:pt>
                <c:pt idx="51">
                  <c:v>1999</c:v>
                </c:pt>
                <c:pt idx="52">
                  <c:v>2000</c:v>
                </c:pt>
                <c:pt idx="53">
                  <c:v>2001</c:v>
                </c:pt>
                <c:pt idx="54">
                  <c:v>2002</c:v>
                </c:pt>
                <c:pt idx="55">
                  <c:v>2003</c:v>
                </c:pt>
                <c:pt idx="56">
                  <c:v>2004</c:v>
                </c:pt>
                <c:pt idx="57">
                  <c:v>2005</c:v>
                </c:pt>
                <c:pt idx="58">
                  <c:v>2006</c:v>
                </c:pt>
                <c:pt idx="59">
                  <c:v>2007</c:v>
                </c:pt>
                <c:pt idx="60">
                  <c:v>2008</c:v>
                </c:pt>
                <c:pt idx="61">
                  <c:v>2009</c:v>
                </c:pt>
                <c:pt idx="62">
                  <c:v>2010</c:v>
                </c:pt>
                <c:pt idx="63">
                  <c:v>2011</c:v>
                </c:pt>
                <c:pt idx="64">
                  <c:v>2012</c:v>
                </c:pt>
                <c:pt idx="65">
                  <c:v>2013</c:v>
                </c:pt>
                <c:pt idx="66">
                  <c:v>2014</c:v>
                </c:pt>
                <c:pt idx="67">
                  <c:v>2015</c:v>
                </c:pt>
                <c:pt idx="68">
                  <c:v>2016</c:v>
                </c:pt>
                <c:pt idx="69">
                  <c:v>2017</c:v>
                </c:pt>
                <c:pt idx="70">
                  <c:v>2018</c:v>
                </c:pt>
                <c:pt idx="71">
                  <c:v>2019</c:v>
                </c:pt>
                <c:pt idx="72">
                  <c:v>2020</c:v>
                </c:pt>
                <c:pt idx="73">
                  <c:v>2021</c:v>
                </c:pt>
              </c:numCache>
            </c:numRef>
          </c:cat>
          <c:val>
            <c:numRef>
              <c:f>'global-primary-energy'!$D$2:$D$75</c:f>
              <c:numCache>
                <c:formatCode>General</c:formatCode>
                <c:ptCount val="7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9.0298614501953107</c:v>
                </c:pt>
                <c:pt idx="18">
                  <c:v>9.2098436355590803</c:v>
                </c:pt>
                <c:pt idx="19">
                  <c:v>9.3837156295776296</c:v>
                </c:pt>
                <c:pt idx="20">
                  <c:v>9.5537996292114205</c:v>
                </c:pt>
                <c:pt idx="21">
                  <c:v>9.7239809036254794</c:v>
                </c:pt>
                <c:pt idx="22">
                  <c:v>11.0390625</c:v>
                </c:pt>
                <c:pt idx="23">
                  <c:v>11.649558067321699</c:v>
                </c:pt>
                <c:pt idx="24">
                  <c:v>12.9469327926635</c:v>
                </c:pt>
                <c:pt idx="25">
                  <c:v>12.5866394042968</c:v>
                </c:pt>
                <c:pt idx="26">
                  <c:v>12.1678142547607</c:v>
                </c:pt>
                <c:pt idx="27">
                  <c:v>11.4802799224853</c:v>
                </c:pt>
                <c:pt idx="28">
                  <c:v>11.869931221008301</c:v>
                </c:pt>
                <c:pt idx="29">
                  <c:v>15.8566789627075</c:v>
                </c:pt>
                <c:pt idx="30">
                  <c:v>20.9717922210693</c:v>
                </c:pt>
                <c:pt idx="31">
                  <c:v>26.000825881958001</c:v>
                </c:pt>
                <c:pt idx="32">
                  <c:v>29.858547210693299</c:v>
                </c:pt>
                <c:pt idx="33">
                  <c:v>27.297348022460898</c:v>
                </c:pt>
                <c:pt idx="34">
                  <c:v>35.222522735595703</c:v>
                </c:pt>
                <c:pt idx="35">
                  <c:v>44.5092964172363</c:v>
                </c:pt>
                <c:pt idx="36">
                  <c:v>53.712532043457003</c:v>
                </c:pt>
                <c:pt idx="37">
                  <c:v>63.575279235839801</c:v>
                </c:pt>
                <c:pt idx="38">
                  <c:v>79.677528381347599</c:v>
                </c:pt>
                <c:pt idx="39">
                  <c:v>81.135459899902301</c:v>
                </c:pt>
                <c:pt idx="40">
                  <c:v>85.562561035156193</c:v>
                </c:pt>
                <c:pt idx="41">
                  <c:v>91.304061889648395</c:v>
                </c:pt>
                <c:pt idx="42">
                  <c:v>100.935592651367</c:v>
                </c:pt>
                <c:pt idx="43">
                  <c:v>106.65062713623</c:v>
                </c:pt>
                <c:pt idx="44">
                  <c:v>104.658966064453</c:v>
                </c:pt>
                <c:pt idx="45">
                  <c:v>109.13502502441401</c:v>
                </c:pt>
                <c:pt idx="46">
                  <c:v>117.91619110107401</c:v>
                </c:pt>
                <c:pt idx="47">
                  <c:v>124.090675354003</c:v>
                </c:pt>
                <c:pt idx="48">
                  <c:v>119.19629669189401</c:v>
                </c:pt>
                <c:pt idx="49">
                  <c:v>124.06340789794901</c:v>
                </c:pt>
                <c:pt idx="50">
                  <c:v>126.48511505126901</c:v>
                </c:pt>
                <c:pt idx="51">
                  <c:v>128.31883239746</c:v>
                </c:pt>
                <c:pt idx="52">
                  <c:v>125.515327453613</c:v>
                </c:pt>
                <c:pt idx="53">
                  <c:v>121.65283966064401</c:v>
                </c:pt>
                <c:pt idx="54">
                  <c:v>151.30210876464801</c:v>
                </c:pt>
                <c:pt idx="55">
                  <c:v>171.08366394042901</c:v>
                </c:pt>
                <c:pt idx="56">
                  <c:v>202.19873046875</c:v>
                </c:pt>
                <c:pt idx="57">
                  <c:v>240.344482421875</c:v>
                </c:pt>
                <c:pt idx="58">
                  <c:v>298.02938842773398</c:v>
                </c:pt>
                <c:pt idx="59">
                  <c:v>391.13900756835898</c:v>
                </c:pt>
                <c:pt idx="60">
                  <c:v>527.39953613281205</c:v>
                </c:pt>
                <c:pt idx="61">
                  <c:v>600.33947753906205</c:v>
                </c:pt>
                <c:pt idx="62">
                  <c:v>691.15643310546795</c:v>
                </c:pt>
                <c:pt idx="63">
                  <c:v>728.102294921875</c:v>
                </c:pt>
                <c:pt idx="64">
                  <c:v>754.13189697265602</c:v>
                </c:pt>
                <c:pt idx="65">
                  <c:v>819.07550048828102</c:v>
                </c:pt>
                <c:pt idx="66">
                  <c:v>868.79437255859295</c:v>
                </c:pt>
                <c:pt idx="67">
                  <c:v>905.09576416015602</c:v>
                </c:pt>
                <c:pt idx="68">
                  <c:v>946.94677734375</c:v>
                </c:pt>
                <c:pt idx="69">
                  <c:v>972.53430175781205</c:v>
                </c:pt>
                <c:pt idx="70">
                  <c:v>1045.90795898437</c:v>
                </c:pt>
                <c:pt idx="71">
                  <c:v>1120.1494140625</c:v>
                </c:pt>
                <c:pt idx="72">
                  <c:v>1065.56494140625</c:v>
                </c:pt>
                <c:pt idx="73">
                  <c:v>1139.92114257812</c:v>
                </c:pt>
              </c:numCache>
            </c:numRef>
          </c:val>
          <c:extLst>
            <c:ext xmlns:c16="http://schemas.microsoft.com/office/drawing/2014/chart" uri="{C3380CC4-5D6E-409C-BE32-E72D297353CC}">
              <c16:uniqueId val="{00000000-6B3B-417D-8AF5-E7B28F6DC9FC}"/>
            </c:ext>
          </c:extLst>
        </c:ser>
        <c:ser>
          <c:idx val="2"/>
          <c:order val="2"/>
          <c:tx>
            <c:strRef>
              <c:f>'global-primary-energy'!$E$1</c:f>
              <c:strCache>
                <c:ptCount val="1"/>
                <c:pt idx="0">
                  <c:v>Other renewables</c:v>
                </c:pt>
              </c:strCache>
            </c:strRef>
          </c:tx>
          <c:spPr>
            <a:solidFill>
              <a:schemeClr val="accent4"/>
            </a:solidFill>
            <a:ln>
              <a:noFill/>
            </a:ln>
            <a:effectLst/>
          </c:spPr>
          <c:cat>
            <c:numRef>
              <c:f>'global-primary-energy'!$C$2:$C$75</c:f>
              <c:numCache>
                <c:formatCode>General</c:formatCode>
                <c:ptCount val="74"/>
                <c:pt idx="0">
                  <c:v>1800</c:v>
                </c:pt>
                <c:pt idx="1">
                  <c:v>1810</c:v>
                </c:pt>
                <c:pt idx="2">
                  <c:v>1820</c:v>
                </c:pt>
                <c:pt idx="3">
                  <c:v>1830</c:v>
                </c:pt>
                <c:pt idx="4">
                  <c:v>1840</c:v>
                </c:pt>
                <c:pt idx="5">
                  <c:v>1850</c:v>
                </c:pt>
                <c:pt idx="6">
                  <c:v>1860</c:v>
                </c:pt>
                <c:pt idx="7">
                  <c:v>1870</c:v>
                </c:pt>
                <c:pt idx="8">
                  <c:v>1880</c:v>
                </c:pt>
                <c:pt idx="9">
                  <c:v>1890</c:v>
                </c:pt>
                <c:pt idx="10">
                  <c:v>1900</c:v>
                </c:pt>
                <c:pt idx="11">
                  <c:v>1910</c:v>
                </c:pt>
                <c:pt idx="12">
                  <c:v>1920</c:v>
                </c:pt>
                <c:pt idx="13">
                  <c:v>1930</c:v>
                </c:pt>
                <c:pt idx="14">
                  <c:v>1940</c:v>
                </c:pt>
                <c:pt idx="15">
                  <c:v>1950</c:v>
                </c:pt>
                <c:pt idx="16">
                  <c:v>1960</c:v>
                </c:pt>
                <c:pt idx="17">
                  <c:v>1965</c:v>
                </c:pt>
                <c:pt idx="18">
                  <c:v>1966</c:v>
                </c:pt>
                <c:pt idx="19">
                  <c:v>1967</c:v>
                </c:pt>
                <c:pt idx="20">
                  <c:v>1968</c:v>
                </c:pt>
                <c:pt idx="21">
                  <c:v>1969</c:v>
                </c:pt>
                <c:pt idx="22">
                  <c:v>1970</c:v>
                </c:pt>
                <c:pt idx="23">
                  <c:v>1971</c:v>
                </c:pt>
                <c:pt idx="24">
                  <c:v>1972</c:v>
                </c:pt>
                <c:pt idx="25">
                  <c:v>1973</c:v>
                </c:pt>
                <c:pt idx="26">
                  <c:v>1974</c:v>
                </c:pt>
                <c:pt idx="27">
                  <c:v>1975</c:v>
                </c:pt>
                <c:pt idx="28">
                  <c:v>1976</c:v>
                </c:pt>
                <c:pt idx="29">
                  <c:v>1977</c:v>
                </c:pt>
                <c:pt idx="30">
                  <c:v>1978</c:v>
                </c:pt>
                <c:pt idx="31">
                  <c:v>1979</c:v>
                </c:pt>
                <c:pt idx="32">
                  <c:v>1980</c:v>
                </c:pt>
                <c:pt idx="33">
                  <c:v>1981</c:v>
                </c:pt>
                <c:pt idx="34">
                  <c:v>1982</c:v>
                </c:pt>
                <c:pt idx="35">
                  <c:v>1983</c:v>
                </c:pt>
                <c:pt idx="36">
                  <c:v>1984</c:v>
                </c:pt>
                <c:pt idx="37">
                  <c:v>1985</c:v>
                </c:pt>
                <c:pt idx="38">
                  <c:v>1986</c:v>
                </c:pt>
                <c:pt idx="39">
                  <c:v>1987</c:v>
                </c:pt>
                <c:pt idx="40">
                  <c:v>1988</c:v>
                </c:pt>
                <c:pt idx="41">
                  <c:v>1989</c:v>
                </c:pt>
                <c:pt idx="42">
                  <c:v>1990</c:v>
                </c:pt>
                <c:pt idx="43">
                  <c:v>1991</c:v>
                </c:pt>
                <c:pt idx="44">
                  <c:v>1992</c:v>
                </c:pt>
                <c:pt idx="45">
                  <c:v>1993</c:v>
                </c:pt>
                <c:pt idx="46">
                  <c:v>1994</c:v>
                </c:pt>
                <c:pt idx="47">
                  <c:v>1995</c:v>
                </c:pt>
                <c:pt idx="48">
                  <c:v>1996</c:v>
                </c:pt>
                <c:pt idx="49">
                  <c:v>1997</c:v>
                </c:pt>
                <c:pt idx="50">
                  <c:v>1998</c:v>
                </c:pt>
                <c:pt idx="51">
                  <c:v>1999</c:v>
                </c:pt>
                <c:pt idx="52">
                  <c:v>2000</c:v>
                </c:pt>
                <c:pt idx="53">
                  <c:v>2001</c:v>
                </c:pt>
                <c:pt idx="54">
                  <c:v>2002</c:v>
                </c:pt>
                <c:pt idx="55">
                  <c:v>2003</c:v>
                </c:pt>
                <c:pt idx="56">
                  <c:v>2004</c:v>
                </c:pt>
                <c:pt idx="57">
                  <c:v>2005</c:v>
                </c:pt>
                <c:pt idx="58">
                  <c:v>2006</c:v>
                </c:pt>
                <c:pt idx="59">
                  <c:v>2007</c:v>
                </c:pt>
                <c:pt idx="60">
                  <c:v>2008</c:v>
                </c:pt>
                <c:pt idx="61">
                  <c:v>2009</c:v>
                </c:pt>
                <c:pt idx="62">
                  <c:v>2010</c:v>
                </c:pt>
                <c:pt idx="63">
                  <c:v>2011</c:v>
                </c:pt>
                <c:pt idx="64">
                  <c:v>2012</c:v>
                </c:pt>
                <c:pt idx="65">
                  <c:v>2013</c:v>
                </c:pt>
                <c:pt idx="66">
                  <c:v>2014</c:v>
                </c:pt>
                <c:pt idx="67">
                  <c:v>2015</c:v>
                </c:pt>
                <c:pt idx="68">
                  <c:v>2016</c:v>
                </c:pt>
                <c:pt idx="69">
                  <c:v>2017</c:v>
                </c:pt>
                <c:pt idx="70">
                  <c:v>2018</c:v>
                </c:pt>
                <c:pt idx="71">
                  <c:v>2019</c:v>
                </c:pt>
                <c:pt idx="72">
                  <c:v>2020</c:v>
                </c:pt>
                <c:pt idx="73">
                  <c:v>2021</c:v>
                </c:pt>
              </c:numCache>
            </c:numRef>
          </c:cat>
          <c:val>
            <c:numRef>
              <c:f>'global-primary-energy'!$E$2:$E$75</c:f>
              <c:numCache>
                <c:formatCode>General</c:formatCode>
                <c:ptCount val="7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17.985231399536101</c:v>
                </c:pt>
                <c:pt idx="18">
                  <c:v>19.806007385253899</c:v>
                </c:pt>
                <c:pt idx="19">
                  <c:v>19.9865703582763</c:v>
                </c:pt>
                <c:pt idx="20">
                  <c:v>22.1200447082519</c:v>
                </c:pt>
                <c:pt idx="21">
                  <c:v>23.2579650878906</c:v>
                </c:pt>
                <c:pt idx="22">
                  <c:v>25.701896667480401</c:v>
                </c:pt>
                <c:pt idx="23">
                  <c:v>27.8882942199707</c:v>
                </c:pt>
                <c:pt idx="24">
                  <c:v>29.888774871826101</c:v>
                </c:pt>
                <c:pt idx="25">
                  <c:v>32.095851898193303</c:v>
                </c:pt>
                <c:pt idx="26">
                  <c:v>34.289085388183501</c:v>
                </c:pt>
                <c:pt idx="27">
                  <c:v>34.812080383300703</c:v>
                </c:pt>
                <c:pt idx="28">
                  <c:v>38.791049957275298</c:v>
                </c:pt>
                <c:pt idx="29">
                  <c:v>40.892040252685497</c:v>
                </c:pt>
                <c:pt idx="30">
                  <c:v>43.2966499328613</c:v>
                </c:pt>
                <c:pt idx="31">
                  <c:v>46.499256134033203</c:v>
                </c:pt>
                <c:pt idx="32">
                  <c:v>49.717464447021399</c:v>
                </c:pt>
                <c:pt idx="33">
                  <c:v>53.486171722412102</c:v>
                </c:pt>
                <c:pt idx="34">
                  <c:v>61.708953857421797</c:v>
                </c:pt>
                <c:pt idx="35">
                  <c:v>68.354927062988196</c:v>
                </c:pt>
                <c:pt idx="36">
                  <c:v>76.346153259277301</c:v>
                </c:pt>
                <c:pt idx="37">
                  <c:v>79.071578979492102</c:v>
                </c:pt>
                <c:pt idx="38">
                  <c:v>85.915382385253906</c:v>
                </c:pt>
                <c:pt idx="39">
                  <c:v>91.960021972656193</c:v>
                </c:pt>
                <c:pt idx="40">
                  <c:v>94.601905822753906</c:v>
                </c:pt>
                <c:pt idx="41">
                  <c:v>104.53036499023401</c:v>
                </c:pt>
                <c:pt idx="42">
                  <c:v>117.196601867675</c:v>
                </c:pt>
                <c:pt idx="43">
                  <c:v>122.234405517578</c:v>
                </c:pt>
                <c:pt idx="44">
                  <c:v>131.13734436035099</c:v>
                </c:pt>
                <c:pt idx="45">
                  <c:v>135.51931762695301</c:v>
                </c:pt>
                <c:pt idx="46">
                  <c:v>140.64367675781199</c:v>
                </c:pt>
                <c:pt idx="47">
                  <c:v>146.61672973632801</c:v>
                </c:pt>
                <c:pt idx="48">
                  <c:v>150.68289184570301</c:v>
                </c:pt>
                <c:pt idx="49">
                  <c:v>161.39073181152301</c:v>
                </c:pt>
                <c:pt idx="50">
                  <c:v>168.18910217285099</c:v>
                </c:pt>
                <c:pt idx="51">
                  <c:v>176.61984252929599</c:v>
                </c:pt>
                <c:pt idx="52">
                  <c:v>184.75019836425699</c:v>
                </c:pt>
                <c:pt idx="53">
                  <c:v>191.89410400390599</c:v>
                </c:pt>
                <c:pt idx="54">
                  <c:v>206.54244995117099</c:v>
                </c:pt>
                <c:pt idx="55">
                  <c:v>218.14294433593699</c:v>
                </c:pt>
                <c:pt idx="56">
                  <c:v>235.69622802734301</c:v>
                </c:pt>
                <c:pt idx="57">
                  <c:v>255.08171081542901</c:v>
                </c:pt>
                <c:pt idx="58">
                  <c:v>271.76043701171801</c:v>
                </c:pt>
                <c:pt idx="59">
                  <c:v>294.84307861328102</c:v>
                </c:pt>
                <c:pt idx="60">
                  <c:v>315.41873168945301</c:v>
                </c:pt>
                <c:pt idx="61">
                  <c:v>338.81402587890602</c:v>
                </c:pt>
                <c:pt idx="62">
                  <c:v>380.77746582031199</c:v>
                </c:pt>
                <c:pt idx="63">
                  <c:v>402.35525512695301</c:v>
                </c:pt>
                <c:pt idx="64">
                  <c:v>435.71636962890602</c:v>
                </c:pt>
                <c:pt idx="65">
                  <c:v>470.99591064453102</c:v>
                </c:pt>
                <c:pt idx="66">
                  <c:v>510.25680541992102</c:v>
                </c:pt>
                <c:pt idx="67">
                  <c:v>551.101318359375</c:v>
                </c:pt>
                <c:pt idx="68">
                  <c:v>559.960205078125</c:v>
                </c:pt>
                <c:pt idx="69">
                  <c:v>596.42047119140602</c:v>
                </c:pt>
                <c:pt idx="70">
                  <c:v>643.03204345703102</c:v>
                </c:pt>
                <c:pt idx="71">
                  <c:v>674.745361328125</c:v>
                </c:pt>
                <c:pt idx="72">
                  <c:v>703.91644287109295</c:v>
                </c:pt>
                <c:pt idx="73">
                  <c:v>762.78265380859295</c:v>
                </c:pt>
              </c:numCache>
            </c:numRef>
          </c:val>
          <c:extLst>
            <c:ext xmlns:c16="http://schemas.microsoft.com/office/drawing/2014/chart" uri="{C3380CC4-5D6E-409C-BE32-E72D297353CC}">
              <c16:uniqueId val="{00000001-6B3B-417D-8AF5-E7B28F6DC9FC}"/>
            </c:ext>
          </c:extLst>
        </c:ser>
        <c:ser>
          <c:idx val="3"/>
          <c:order val="3"/>
          <c:tx>
            <c:strRef>
              <c:f>'global-primary-energy'!$F$1</c:f>
              <c:strCache>
                <c:ptCount val="1"/>
                <c:pt idx="0">
                  <c:v>Solar </c:v>
                </c:pt>
              </c:strCache>
            </c:strRef>
          </c:tx>
          <c:spPr>
            <a:solidFill>
              <a:schemeClr val="accent6">
                <a:lumMod val="60000"/>
              </a:schemeClr>
            </a:solidFill>
            <a:ln>
              <a:noFill/>
            </a:ln>
            <a:effectLst/>
          </c:spPr>
          <c:cat>
            <c:numRef>
              <c:f>'global-primary-energy'!$C$2:$C$75</c:f>
              <c:numCache>
                <c:formatCode>General</c:formatCode>
                <c:ptCount val="74"/>
                <c:pt idx="0">
                  <c:v>1800</c:v>
                </c:pt>
                <c:pt idx="1">
                  <c:v>1810</c:v>
                </c:pt>
                <c:pt idx="2">
                  <c:v>1820</c:v>
                </c:pt>
                <c:pt idx="3">
                  <c:v>1830</c:v>
                </c:pt>
                <c:pt idx="4">
                  <c:v>1840</c:v>
                </c:pt>
                <c:pt idx="5">
                  <c:v>1850</c:v>
                </c:pt>
                <c:pt idx="6">
                  <c:v>1860</c:v>
                </c:pt>
                <c:pt idx="7">
                  <c:v>1870</c:v>
                </c:pt>
                <c:pt idx="8">
                  <c:v>1880</c:v>
                </c:pt>
                <c:pt idx="9">
                  <c:v>1890</c:v>
                </c:pt>
                <c:pt idx="10">
                  <c:v>1900</c:v>
                </c:pt>
                <c:pt idx="11">
                  <c:v>1910</c:v>
                </c:pt>
                <c:pt idx="12">
                  <c:v>1920</c:v>
                </c:pt>
                <c:pt idx="13">
                  <c:v>1930</c:v>
                </c:pt>
                <c:pt idx="14">
                  <c:v>1940</c:v>
                </c:pt>
                <c:pt idx="15">
                  <c:v>1950</c:v>
                </c:pt>
                <c:pt idx="16">
                  <c:v>1960</c:v>
                </c:pt>
                <c:pt idx="17">
                  <c:v>1965</c:v>
                </c:pt>
                <c:pt idx="18">
                  <c:v>1966</c:v>
                </c:pt>
                <c:pt idx="19">
                  <c:v>1967</c:v>
                </c:pt>
                <c:pt idx="20">
                  <c:v>1968</c:v>
                </c:pt>
                <c:pt idx="21">
                  <c:v>1969</c:v>
                </c:pt>
                <c:pt idx="22">
                  <c:v>1970</c:v>
                </c:pt>
                <c:pt idx="23">
                  <c:v>1971</c:v>
                </c:pt>
                <c:pt idx="24">
                  <c:v>1972</c:v>
                </c:pt>
                <c:pt idx="25">
                  <c:v>1973</c:v>
                </c:pt>
                <c:pt idx="26">
                  <c:v>1974</c:v>
                </c:pt>
                <c:pt idx="27">
                  <c:v>1975</c:v>
                </c:pt>
                <c:pt idx="28">
                  <c:v>1976</c:v>
                </c:pt>
                <c:pt idx="29">
                  <c:v>1977</c:v>
                </c:pt>
                <c:pt idx="30">
                  <c:v>1978</c:v>
                </c:pt>
                <c:pt idx="31">
                  <c:v>1979</c:v>
                </c:pt>
                <c:pt idx="32">
                  <c:v>1980</c:v>
                </c:pt>
                <c:pt idx="33">
                  <c:v>1981</c:v>
                </c:pt>
                <c:pt idx="34">
                  <c:v>1982</c:v>
                </c:pt>
                <c:pt idx="35">
                  <c:v>1983</c:v>
                </c:pt>
                <c:pt idx="36">
                  <c:v>1984</c:v>
                </c:pt>
                <c:pt idx="37">
                  <c:v>1985</c:v>
                </c:pt>
                <c:pt idx="38">
                  <c:v>1986</c:v>
                </c:pt>
                <c:pt idx="39">
                  <c:v>1987</c:v>
                </c:pt>
                <c:pt idx="40">
                  <c:v>1988</c:v>
                </c:pt>
                <c:pt idx="41">
                  <c:v>1989</c:v>
                </c:pt>
                <c:pt idx="42">
                  <c:v>1990</c:v>
                </c:pt>
                <c:pt idx="43">
                  <c:v>1991</c:v>
                </c:pt>
                <c:pt idx="44">
                  <c:v>1992</c:v>
                </c:pt>
                <c:pt idx="45">
                  <c:v>1993</c:v>
                </c:pt>
                <c:pt idx="46">
                  <c:v>1994</c:v>
                </c:pt>
                <c:pt idx="47">
                  <c:v>1995</c:v>
                </c:pt>
                <c:pt idx="48">
                  <c:v>1996</c:v>
                </c:pt>
                <c:pt idx="49">
                  <c:v>1997</c:v>
                </c:pt>
                <c:pt idx="50">
                  <c:v>1998</c:v>
                </c:pt>
                <c:pt idx="51">
                  <c:v>1999</c:v>
                </c:pt>
                <c:pt idx="52">
                  <c:v>2000</c:v>
                </c:pt>
                <c:pt idx="53">
                  <c:v>2001</c:v>
                </c:pt>
                <c:pt idx="54">
                  <c:v>2002</c:v>
                </c:pt>
                <c:pt idx="55">
                  <c:v>2003</c:v>
                </c:pt>
                <c:pt idx="56">
                  <c:v>2004</c:v>
                </c:pt>
                <c:pt idx="57">
                  <c:v>2005</c:v>
                </c:pt>
                <c:pt idx="58">
                  <c:v>2006</c:v>
                </c:pt>
                <c:pt idx="59">
                  <c:v>2007</c:v>
                </c:pt>
                <c:pt idx="60">
                  <c:v>2008</c:v>
                </c:pt>
                <c:pt idx="61">
                  <c:v>2009</c:v>
                </c:pt>
                <c:pt idx="62">
                  <c:v>2010</c:v>
                </c:pt>
                <c:pt idx="63">
                  <c:v>2011</c:v>
                </c:pt>
                <c:pt idx="64">
                  <c:v>2012</c:v>
                </c:pt>
                <c:pt idx="65">
                  <c:v>2013</c:v>
                </c:pt>
                <c:pt idx="66">
                  <c:v>2014</c:v>
                </c:pt>
                <c:pt idx="67">
                  <c:v>2015</c:v>
                </c:pt>
                <c:pt idx="68">
                  <c:v>2016</c:v>
                </c:pt>
                <c:pt idx="69">
                  <c:v>2017</c:v>
                </c:pt>
                <c:pt idx="70">
                  <c:v>2018</c:v>
                </c:pt>
                <c:pt idx="71">
                  <c:v>2019</c:v>
                </c:pt>
                <c:pt idx="72">
                  <c:v>2020</c:v>
                </c:pt>
                <c:pt idx="73">
                  <c:v>2021</c:v>
                </c:pt>
              </c:numCache>
            </c:numRef>
          </c:cat>
          <c:val>
            <c:numRef>
              <c:f>'global-primary-energy'!$F$2:$F$75</c:f>
              <c:numCache>
                <c:formatCode>General</c:formatCode>
                <c:ptCount val="7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3.0000000260770299E-3</c:v>
                </c:pt>
                <c:pt idx="36">
                  <c:v>6.3111111521720799E-3</c:v>
                </c:pt>
                <c:pt idx="37">
                  <c:v>1.1747474782168799E-2</c:v>
                </c:pt>
                <c:pt idx="38">
                  <c:v>1.518383808434E-2</c:v>
                </c:pt>
                <c:pt idx="39">
                  <c:v>1.06030302122235E-2</c:v>
                </c:pt>
                <c:pt idx="40">
                  <c:v>1.019596029073E-2</c:v>
                </c:pt>
                <c:pt idx="41">
                  <c:v>0.26222324371337802</c:v>
                </c:pt>
                <c:pt idx="42">
                  <c:v>0.38829493522643999</c:v>
                </c:pt>
                <c:pt idx="43">
                  <c:v>0.50520288944244296</c:v>
                </c:pt>
                <c:pt idx="44">
                  <c:v>0.46658509969711298</c:v>
                </c:pt>
                <c:pt idx="45">
                  <c:v>0.55669754743576005</c:v>
                </c:pt>
                <c:pt idx="46">
                  <c:v>0.59701395034789995</c:v>
                </c:pt>
                <c:pt idx="47">
                  <c:v>0.63881379365920998</c:v>
                </c:pt>
                <c:pt idx="48">
                  <c:v>0.69920796155929499</c:v>
                </c:pt>
                <c:pt idx="49">
                  <c:v>0.74958479404449396</c:v>
                </c:pt>
                <c:pt idx="50">
                  <c:v>0.81178897619247403</c:v>
                </c:pt>
                <c:pt idx="51">
                  <c:v>0.90519690513610795</c:v>
                </c:pt>
                <c:pt idx="52">
                  <c:v>1.05897009372711</c:v>
                </c:pt>
                <c:pt idx="53">
                  <c:v>1.42328536510467</c:v>
                </c:pt>
                <c:pt idx="54">
                  <c:v>1.7990195751190099</c:v>
                </c:pt>
                <c:pt idx="55">
                  <c:v>2.25510382652282</c:v>
                </c:pt>
                <c:pt idx="56">
                  <c:v>2.9715216159820499</c:v>
                </c:pt>
                <c:pt idx="57">
                  <c:v>4.1871099472045898</c:v>
                </c:pt>
                <c:pt idx="58">
                  <c:v>5.7618389129638601</c:v>
                </c:pt>
                <c:pt idx="59">
                  <c:v>7.81790971755981</c:v>
                </c:pt>
                <c:pt idx="60">
                  <c:v>12.6974229812622</c:v>
                </c:pt>
                <c:pt idx="61">
                  <c:v>21.0739727020263</c:v>
                </c:pt>
                <c:pt idx="62">
                  <c:v>33.911270141601499</c:v>
                </c:pt>
                <c:pt idx="63">
                  <c:v>65.582321166992102</c:v>
                </c:pt>
                <c:pt idx="64">
                  <c:v>101.540878295898</c:v>
                </c:pt>
                <c:pt idx="65">
                  <c:v>138.60145568847599</c:v>
                </c:pt>
                <c:pt idx="66">
                  <c:v>196.35650634765599</c:v>
                </c:pt>
                <c:pt idx="67">
                  <c:v>254.73971557617099</c:v>
                </c:pt>
                <c:pt idx="68">
                  <c:v>327.584228515625</c:v>
                </c:pt>
                <c:pt idx="69">
                  <c:v>445.46627807617102</c:v>
                </c:pt>
                <c:pt idx="70">
                  <c:v>576.23089599609295</c:v>
                </c:pt>
                <c:pt idx="71">
                  <c:v>703.94976806640602</c:v>
                </c:pt>
                <c:pt idx="72">
                  <c:v>846.22937011718705</c:v>
                </c:pt>
                <c:pt idx="73">
                  <c:v>1032.50122070312</c:v>
                </c:pt>
              </c:numCache>
            </c:numRef>
          </c:val>
          <c:extLst>
            <c:ext xmlns:c16="http://schemas.microsoft.com/office/drawing/2014/chart" uri="{C3380CC4-5D6E-409C-BE32-E72D297353CC}">
              <c16:uniqueId val="{00000002-6B3B-417D-8AF5-E7B28F6DC9FC}"/>
            </c:ext>
          </c:extLst>
        </c:ser>
        <c:ser>
          <c:idx val="4"/>
          <c:order val="4"/>
          <c:tx>
            <c:strRef>
              <c:f>'global-primary-energy'!$G$1</c:f>
              <c:strCache>
                <c:ptCount val="1"/>
                <c:pt idx="0">
                  <c:v>Wind</c:v>
                </c:pt>
              </c:strCache>
            </c:strRef>
          </c:tx>
          <c:spPr>
            <a:solidFill>
              <a:schemeClr val="accent5">
                <a:lumMod val="60000"/>
              </a:schemeClr>
            </a:solidFill>
            <a:ln>
              <a:noFill/>
            </a:ln>
            <a:effectLst/>
          </c:spPr>
          <c:cat>
            <c:numRef>
              <c:f>'global-primary-energy'!$C$2:$C$75</c:f>
              <c:numCache>
                <c:formatCode>General</c:formatCode>
                <c:ptCount val="74"/>
                <c:pt idx="0">
                  <c:v>1800</c:v>
                </c:pt>
                <c:pt idx="1">
                  <c:v>1810</c:v>
                </c:pt>
                <c:pt idx="2">
                  <c:v>1820</c:v>
                </c:pt>
                <c:pt idx="3">
                  <c:v>1830</c:v>
                </c:pt>
                <c:pt idx="4">
                  <c:v>1840</c:v>
                </c:pt>
                <c:pt idx="5">
                  <c:v>1850</c:v>
                </c:pt>
                <c:pt idx="6">
                  <c:v>1860</c:v>
                </c:pt>
                <c:pt idx="7">
                  <c:v>1870</c:v>
                </c:pt>
                <c:pt idx="8">
                  <c:v>1880</c:v>
                </c:pt>
                <c:pt idx="9">
                  <c:v>1890</c:v>
                </c:pt>
                <c:pt idx="10">
                  <c:v>1900</c:v>
                </c:pt>
                <c:pt idx="11">
                  <c:v>1910</c:v>
                </c:pt>
                <c:pt idx="12">
                  <c:v>1920</c:v>
                </c:pt>
                <c:pt idx="13">
                  <c:v>1930</c:v>
                </c:pt>
                <c:pt idx="14">
                  <c:v>1940</c:v>
                </c:pt>
                <c:pt idx="15">
                  <c:v>1950</c:v>
                </c:pt>
                <c:pt idx="16">
                  <c:v>1960</c:v>
                </c:pt>
                <c:pt idx="17">
                  <c:v>1965</c:v>
                </c:pt>
                <c:pt idx="18">
                  <c:v>1966</c:v>
                </c:pt>
                <c:pt idx="19">
                  <c:v>1967</c:v>
                </c:pt>
                <c:pt idx="20">
                  <c:v>1968</c:v>
                </c:pt>
                <c:pt idx="21">
                  <c:v>1969</c:v>
                </c:pt>
                <c:pt idx="22">
                  <c:v>1970</c:v>
                </c:pt>
                <c:pt idx="23">
                  <c:v>1971</c:v>
                </c:pt>
                <c:pt idx="24">
                  <c:v>1972</c:v>
                </c:pt>
                <c:pt idx="25">
                  <c:v>1973</c:v>
                </c:pt>
                <c:pt idx="26">
                  <c:v>1974</c:v>
                </c:pt>
                <c:pt idx="27">
                  <c:v>1975</c:v>
                </c:pt>
                <c:pt idx="28">
                  <c:v>1976</c:v>
                </c:pt>
                <c:pt idx="29">
                  <c:v>1977</c:v>
                </c:pt>
                <c:pt idx="30">
                  <c:v>1978</c:v>
                </c:pt>
                <c:pt idx="31">
                  <c:v>1979</c:v>
                </c:pt>
                <c:pt idx="32">
                  <c:v>1980</c:v>
                </c:pt>
                <c:pt idx="33">
                  <c:v>1981</c:v>
                </c:pt>
                <c:pt idx="34">
                  <c:v>1982</c:v>
                </c:pt>
                <c:pt idx="35">
                  <c:v>1983</c:v>
                </c:pt>
                <c:pt idx="36">
                  <c:v>1984</c:v>
                </c:pt>
                <c:pt idx="37">
                  <c:v>1985</c:v>
                </c:pt>
                <c:pt idx="38">
                  <c:v>1986</c:v>
                </c:pt>
                <c:pt idx="39">
                  <c:v>1987</c:v>
                </c:pt>
                <c:pt idx="40">
                  <c:v>1988</c:v>
                </c:pt>
                <c:pt idx="41">
                  <c:v>1989</c:v>
                </c:pt>
                <c:pt idx="42">
                  <c:v>1990</c:v>
                </c:pt>
                <c:pt idx="43">
                  <c:v>1991</c:v>
                </c:pt>
                <c:pt idx="44">
                  <c:v>1992</c:v>
                </c:pt>
                <c:pt idx="45">
                  <c:v>1993</c:v>
                </c:pt>
                <c:pt idx="46">
                  <c:v>1994</c:v>
                </c:pt>
                <c:pt idx="47">
                  <c:v>1995</c:v>
                </c:pt>
                <c:pt idx="48">
                  <c:v>1996</c:v>
                </c:pt>
                <c:pt idx="49">
                  <c:v>1997</c:v>
                </c:pt>
                <c:pt idx="50">
                  <c:v>1998</c:v>
                </c:pt>
                <c:pt idx="51">
                  <c:v>1999</c:v>
                </c:pt>
                <c:pt idx="52">
                  <c:v>2000</c:v>
                </c:pt>
                <c:pt idx="53">
                  <c:v>2001</c:v>
                </c:pt>
                <c:pt idx="54">
                  <c:v>2002</c:v>
                </c:pt>
                <c:pt idx="55">
                  <c:v>2003</c:v>
                </c:pt>
                <c:pt idx="56">
                  <c:v>2004</c:v>
                </c:pt>
                <c:pt idx="57">
                  <c:v>2005</c:v>
                </c:pt>
                <c:pt idx="58">
                  <c:v>2006</c:v>
                </c:pt>
                <c:pt idx="59">
                  <c:v>2007</c:v>
                </c:pt>
                <c:pt idx="60">
                  <c:v>2008</c:v>
                </c:pt>
                <c:pt idx="61">
                  <c:v>2009</c:v>
                </c:pt>
                <c:pt idx="62">
                  <c:v>2010</c:v>
                </c:pt>
                <c:pt idx="63">
                  <c:v>2011</c:v>
                </c:pt>
                <c:pt idx="64">
                  <c:v>2012</c:v>
                </c:pt>
                <c:pt idx="65">
                  <c:v>2013</c:v>
                </c:pt>
                <c:pt idx="66">
                  <c:v>2014</c:v>
                </c:pt>
                <c:pt idx="67">
                  <c:v>2015</c:v>
                </c:pt>
                <c:pt idx="68">
                  <c:v>2016</c:v>
                </c:pt>
                <c:pt idx="69">
                  <c:v>2017</c:v>
                </c:pt>
                <c:pt idx="70">
                  <c:v>2018</c:v>
                </c:pt>
                <c:pt idx="71">
                  <c:v>2019</c:v>
                </c:pt>
                <c:pt idx="72">
                  <c:v>2020</c:v>
                </c:pt>
                <c:pt idx="73">
                  <c:v>2021</c:v>
                </c:pt>
              </c:numCache>
            </c:numRef>
          </c:cat>
          <c:val>
            <c:numRef>
              <c:f>'global-primary-energy'!$G$2:$G$75</c:f>
              <c:numCache>
                <c:formatCode>General</c:formatCode>
                <c:ptCount val="7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3.0000000260770299E-3</c:v>
                </c:pt>
                <c:pt idx="31">
                  <c:v>6.0000000521540598E-3</c:v>
                </c:pt>
                <c:pt idx="32">
                  <c:v>1.0499999858438899E-2</c:v>
                </c:pt>
                <c:pt idx="33">
                  <c:v>1.0499999858438899E-2</c:v>
                </c:pt>
                <c:pt idx="34">
                  <c:v>1.8500000238418499E-2</c:v>
                </c:pt>
                <c:pt idx="35">
                  <c:v>3.2794948667287799E-2</c:v>
                </c:pt>
                <c:pt idx="36">
                  <c:v>4.47555556893348E-2</c:v>
                </c:pt>
                <c:pt idx="37">
                  <c:v>6.4220204949378898E-2</c:v>
                </c:pt>
                <c:pt idx="38">
                  <c:v>0.138831317424774</c:v>
                </c:pt>
                <c:pt idx="39">
                  <c:v>0.19537676870822901</c:v>
                </c:pt>
                <c:pt idx="40">
                  <c:v>0.33157980442047102</c:v>
                </c:pt>
                <c:pt idx="41">
                  <c:v>2.6497766971588099</c:v>
                </c:pt>
                <c:pt idx="42">
                  <c:v>3.6324706077575599</c:v>
                </c:pt>
                <c:pt idx="43">
                  <c:v>4.0867066383361799</c:v>
                </c:pt>
                <c:pt idx="44">
                  <c:v>4.7332119941711399</c:v>
                </c:pt>
                <c:pt idx="45">
                  <c:v>5.6975688934326101</c:v>
                </c:pt>
                <c:pt idx="46">
                  <c:v>7.1229300498962402</c:v>
                </c:pt>
                <c:pt idx="47">
                  <c:v>8.2619237899780202</c:v>
                </c:pt>
                <c:pt idx="48">
                  <c:v>9.2046003341674805</c:v>
                </c:pt>
                <c:pt idx="49">
                  <c:v>12.0178165435791</c:v>
                </c:pt>
                <c:pt idx="50">
                  <c:v>15.9212598800659</c:v>
                </c:pt>
                <c:pt idx="51">
                  <c:v>21.216173171996999</c:v>
                </c:pt>
                <c:pt idx="52">
                  <c:v>31.407434463500898</c:v>
                </c:pt>
                <c:pt idx="53">
                  <c:v>38.381450653076101</c:v>
                </c:pt>
                <c:pt idx="54">
                  <c:v>52.344783782958899</c:v>
                </c:pt>
                <c:pt idx="55">
                  <c:v>63.285396575927699</c:v>
                </c:pt>
                <c:pt idx="56">
                  <c:v>85.626190185546804</c:v>
                </c:pt>
                <c:pt idx="57">
                  <c:v>104.644332885742</c:v>
                </c:pt>
                <c:pt idx="58">
                  <c:v>133.498275756835</c:v>
                </c:pt>
                <c:pt idx="59">
                  <c:v>171.50669860839801</c:v>
                </c:pt>
                <c:pt idx="60">
                  <c:v>221.411041259765</c:v>
                </c:pt>
                <c:pt idx="61">
                  <c:v>276.79254150390602</c:v>
                </c:pt>
                <c:pt idx="62">
                  <c:v>346.42459106445301</c:v>
                </c:pt>
                <c:pt idx="63">
                  <c:v>440.38375854492102</c:v>
                </c:pt>
                <c:pt idx="64">
                  <c:v>530.49645996093705</c:v>
                </c:pt>
                <c:pt idx="65">
                  <c:v>635.505126953125</c:v>
                </c:pt>
                <c:pt idx="66">
                  <c:v>705.85369873046795</c:v>
                </c:pt>
                <c:pt idx="67">
                  <c:v>831.34375</c:v>
                </c:pt>
                <c:pt idx="68">
                  <c:v>962.10168457031205</c:v>
                </c:pt>
                <c:pt idx="69">
                  <c:v>1140.39306640625</c:v>
                </c:pt>
                <c:pt idx="70">
                  <c:v>1269.97924804687</c:v>
                </c:pt>
                <c:pt idx="71">
                  <c:v>1420.54406738281</c:v>
                </c:pt>
                <c:pt idx="72">
                  <c:v>1596.42822265625</c:v>
                </c:pt>
                <c:pt idx="73">
                  <c:v>1861.93981933593</c:v>
                </c:pt>
              </c:numCache>
            </c:numRef>
          </c:val>
          <c:extLst>
            <c:ext xmlns:c16="http://schemas.microsoft.com/office/drawing/2014/chart" uri="{C3380CC4-5D6E-409C-BE32-E72D297353CC}">
              <c16:uniqueId val="{00000003-6B3B-417D-8AF5-E7B28F6DC9FC}"/>
            </c:ext>
          </c:extLst>
        </c:ser>
        <c:ser>
          <c:idx val="5"/>
          <c:order val="5"/>
          <c:tx>
            <c:strRef>
              <c:f>'global-primary-energy'!$H$1</c:f>
              <c:strCache>
                <c:ptCount val="1"/>
                <c:pt idx="0">
                  <c:v>Hydropower</c:v>
                </c:pt>
              </c:strCache>
            </c:strRef>
          </c:tx>
          <c:spPr>
            <a:solidFill>
              <a:schemeClr val="accent4">
                <a:lumMod val="60000"/>
              </a:schemeClr>
            </a:solidFill>
            <a:ln>
              <a:noFill/>
            </a:ln>
            <a:effectLst/>
          </c:spPr>
          <c:cat>
            <c:numRef>
              <c:f>'global-primary-energy'!$C$2:$C$75</c:f>
              <c:numCache>
                <c:formatCode>General</c:formatCode>
                <c:ptCount val="74"/>
                <c:pt idx="0">
                  <c:v>1800</c:v>
                </c:pt>
                <c:pt idx="1">
                  <c:v>1810</c:v>
                </c:pt>
                <c:pt idx="2">
                  <c:v>1820</c:v>
                </c:pt>
                <c:pt idx="3">
                  <c:v>1830</c:v>
                </c:pt>
                <c:pt idx="4">
                  <c:v>1840</c:v>
                </c:pt>
                <c:pt idx="5">
                  <c:v>1850</c:v>
                </c:pt>
                <c:pt idx="6">
                  <c:v>1860</c:v>
                </c:pt>
                <c:pt idx="7">
                  <c:v>1870</c:v>
                </c:pt>
                <c:pt idx="8">
                  <c:v>1880</c:v>
                </c:pt>
                <c:pt idx="9">
                  <c:v>1890</c:v>
                </c:pt>
                <c:pt idx="10">
                  <c:v>1900</c:v>
                </c:pt>
                <c:pt idx="11">
                  <c:v>1910</c:v>
                </c:pt>
                <c:pt idx="12">
                  <c:v>1920</c:v>
                </c:pt>
                <c:pt idx="13">
                  <c:v>1930</c:v>
                </c:pt>
                <c:pt idx="14">
                  <c:v>1940</c:v>
                </c:pt>
                <c:pt idx="15">
                  <c:v>1950</c:v>
                </c:pt>
                <c:pt idx="16">
                  <c:v>1960</c:v>
                </c:pt>
                <c:pt idx="17">
                  <c:v>1965</c:v>
                </c:pt>
                <c:pt idx="18">
                  <c:v>1966</c:v>
                </c:pt>
                <c:pt idx="19">
                  <c:v>1967</c:v>
                </c:pt>
                <c:pt idx="20">
                  <c:v>1968</c:v>
                </c:pt>
                <c:pt idx="21">
                  <c:v>1969</c:v>
                </c:pt>
                <c:pt idx="22">
                  <c:v>1970</c:v>
                </c:pt>
                <c:pt idx="23">
                  <c:v>1971</c:v>
                </c:pt>
                <c:pt idx="24">
                  <c:v>1972</c:v>
                </c:pt>
                <c:pt idx="25">
                  <c:v>1973</c:v>
                </c:pt>
                <c:pt idx="26">
                  <c:v>1974</c:v>
                </c:pt>
                <c:pt idx="27">
                  <c:v>1975</c:v>
                </c:pt>
                <c:pt idx="28">
                  <c:v>1976</c:v>
                </c:pt>
                <c:pt idx="29">
                  <c:v>1977</c:v>
                </c:pt>
                <c:pt idx="30">
                  <c:v>1978</c:v>
                </c:pt>
                <c:pt idx="31">
                  <c:v>1979</c:v>
                </c:pt>
                <c:pt idx="32">
                  <c:v>1980</c:v>
                </c:pt>
                <c:pt idx="33">
                  <c:v>1981</c:v>
                </c:pt>
                <c:pt idx="34">
                  <c:v>1982</c:v>
                </c:pt>
                <c:pt idx="35">
                  <c:v>1983</c:v>
                </c:pt>
                <c:pt idx="36">
                  <c:v>1984</c:v>
                </c:pt>
                <c:pt idx="37">
                  <c:v>1985</c:v>
                </c:pt>
                <c:pt idx="38">
                  <c:v>1986</c:v>
                </c:pt>
                <c:pt idx="39">
                  <c:v>1987</c:v>
                </c:pt>
                <c:pt idx="40">
                  <c:v>1988</c:v>
                </c:pt>
                <c:pt idx="41">
                  <c:v>1989</c:v>
                </c:pt>
                <c:pt idx="42">
                  <c:v>1990</c:v>
                </c:pt>
                <c:pt idx="43">
                  <c:v>1991</c:v>
                </c:pt>
                <c:pt idx="44">
                  <c:v>1992</c:v>
                </c:pt>
                <c:pt idx="45">
                  <c:v>1993</c:v>
                </c:pt>
                <c:pt idx="46">
                  <c:v>1994</c:v>
                </c:pt>
                <c:pt idx="47">
                  <c:v>1995</c:v>
                </c:pt>
                <c:pt idx="48">
                  <c:v>1996</c:v>
                </c:pt>
                <c:pt idx="49">
                  <c:v>1997</c:v>
                </c:pt>
                <c:pt idx="50">
                  <c:v>1998</c:v>
                </c:pt>
                <c:pt idx="51">
                  <c:v>1999</c:v>
                </c:pt>
                <c:pt idx="52">
                  <c:v>2000</c:v>
                </c:pt>
                <c:pt idx="53">
                  <c:v>2001</c:v>
                </c:pt>
                <c:pt idx="54">
                  <c:v>2002</c:v>
                </c:pt>
                <c:pt idx="55">
                  <c:v>2003</c:v>
                </c:pt>
                <c:pt idx="56">
                  <c:v>2004</c:v>
                </c:pt>
                <c:pt idx="57">
                  <c:v>2005</c:v>
                </c:pt>
                <c:pt idx="58">
                  <c:v>2006</c:v>
                </c:pt>
                <c:pt idx="59">
                  <c:v>2007</c:v>
                </c:pt>
                <c:pt idx="60">
                  <c:v>2008</c:v>
                </c:pt>
                <c:pt idx="61">
                  <c:v>2009</c:v>
                </c:pt>
                <c:pt idx="62">
                  <c:v>2010</c:v>
                </c:pt>
                <c:pt idx="63">
                  <c:v>2011</c:v>
                </c:pt>
                <c:pt idx="64">
                  <c:v>2012</c:v>
                </c:pt>
                <c:pt idx="65">
                  <c:v>2013</c:v>
                </c:pt>
                <c:pt idx="66">
                  <c:v>2014</c:v>
                </c:pt>
                <c:pt idx="67">
                  <c:v>2015</c:v>
                </c:pt>
                <c:pt idx="68">
                  <c:v>2016</c:v>
                </c:pt>
                <c:pt idx="69">
                  <c:v>2017</c:v>
                </c:pt>
                <c:pt idx="70">
                  <c:v>2018</c:v>
                </c:pt>
                <c:pt idx="71">
                  <c:v>2019</c:v>
                </c:pt>
                <c:pt idx="72">
                  <c:v>2020</c:v>
                </c:pt>
                <c:pt idx="73">
                  <c:v>2021</c:v>
                </c:pt>
              </c:numCache>
            </c:numRef>
          </c:cat>
          <c:val>
            <c:numRef>
              <c:f>'global-primary-energy'!$H$2:$H$75</c:f>
              <c:numCache>
                <c:formatCode>General</c:formatCode>
                <c:ptCount val="74"/>
                <c:pt idx="0">
                  <c:v>0</c:v>
                </c:pt>
                <c:pt idx="1">
                  <c:v>0</c:v>
                </c:pt>
                <c:pt idx="2">
                  <c:v>0</c:v>
                </c:pt>
                <c:pt idx="3">
                  <c:v>0</c:v>
                </c:pt>
                <c:pt idx="4">
                  <c:v>0</c:v>
                </c:pt>
                <c:pt idx="5">
                  <c:v>0</c:v>
                </c:pt>
                <c:pt idx="6">
                  <c:v>0</c:v>
                </c:pt>
                <c:pt idx="7">
                  <c:v>0</c:v>
                </c:pt>
                <c:pt idx="8">
                  <c:v>0</c:v>
                </c:pt>
                <c:pt idx="9">
                  <c:v>14</c:v>
                </c:pt>
                <c:pt idx="10">
                  <c:v>17</c:v>
                </c:pt>
                <c:pt idx="11">
                  <c:v>33</c:v>
                </c:pt>
                <c:pt idx="12">
                  <c:v>64</c:v>
                </c:pt>
                <c:pt idx="13">
                  <c:v>131</c:v>
                </c:pt>
                <c:pt idx="14">
                  <c:v>192</c:v>
                </c:pt>
                <c:pt idx="15">
                  <c:v>333</c:v>
                </c:pt>
                <c:pt idx="16">
                  <c:v>689</c:v>
                </c:pt>
                <c:pt idx="17">
                  <c:v>923.19805908203102</c:v>
                </c:pt>
                <c:pt idx="18">
                  <c:v>983.81695556640602</c:v>
                </c:pt>
                <c:pt idx="19">
                  <c:v>1005.74237060546</c:v>
                </c:pt>
                <c:pt idx="20">
                  <c:v>1059.28869628906</c:v>
                </c:pt>
                <c:pt idx="21">
                  <c:v>1121.74243164062</c:v>
                </c:pt>
                <c:pt idx="22">
                  <c:v>1174.64965820312</c:v>
                </c:pt>
                <c:pt idx="23">
                  <c:v>1227.2421875</c:v>
                </c:pt>
                <c:pt idx="24">
                  <c:v>1284.62902832031</c:v>
                </c:pt>
                <c:pt idx="25">
                  <c:v>1303.01293945312</c:v>
                </c:pt>
                <c:pt idx="26">
                  <c:v>1431.23168945312</c:v>
                </c:pt>
                <c:pt idx="27">
                  <c:v>1448.88342285156</c:v>
                </c:pt>
                <c:pt idx="28">
                  <c:v>1443.13659667968</c:v>
                </c:pt>
                <c:pt idx="29">
                  <c:v>1491.67236328125</c:v>
                </c:pt>
                <c:pt idx="30">
                  <c:v>1614.38232421875</c:v>
                </c:pt>
                <c:pt idx="31">
                  <c:v>1695.18615722656</c:v>
                </c:pt>
                <c:pt idx="32">
                  <c:v>1731.64929199218</c:v>
                </c:pt>
                <c:pt idx="33">
                  <c:v>1768.90356445312</c:v>
                </c:pt>
                <c:pt idx="34">
                  <c:v>1800.90808105468</c:v>
                </c:pt>
                <c:pt idx="35">
                  <c:v>1877.76892089843</c:v>
                </c:pt>
                <c:pt idx="36">
                  <c:v>1941.37341308593</c:v>
                </c:pt>
                <c:pt idx="37">
                  <c:v>1979.78198242187</c:v>
                </c:pt>
                <c:pt idx="38">
                  <c:v>2006.59289550781</c:v>
                </c:pt>
                <c:pt idx="39">
                  <c:v>2033.77795410156</c:v>
                </c:pt>
                <c:pt idx="40">
                  <c:v>2098.94702148437</c:v>
                </c:pt>
                <c:pt idx="41">
                  <c:v>2087.79321289062</c:v>
                </c:pt>
                <c:pt idx="42">
                  <c:v>2158.74340820312</c:v>
                </c:pt>
                <c:pt idx="43">
                  <c:v>2209.05859375</c:v>
                </c:pt>
                <c:pt idx="44">
                  <c:v>2208.46020507812</c:v>
                </c:pt>
                <c:pt idx="45">
                  <c:v>2341.45751953125</c:v>
                </c:pt>
                <c:pt idx="46">
                  <c:v>2356.19580078125</c:v>
                </c:pt>
                <c:pt idx="47">
                  <c:v>2483.67895507812</c:v>
                </c:pt>
                <c:pt idx="48">
                  <c:v>2517.025390625</c:v>
                </c:pt>
                <c:pt idx="49">
                  <c:v>2561.03002929687</c:v>
                </c:pt>
                <c:pt idx="50">
                  <c:v>2580.99584960937</c:v>
                </c:pt>
                <c:pt idx="51">
                  <c:v>2600.54321289062</c:v>
                </c:pt>
                <c:pt idx="52">
                  <c:v>2646.6669921875</c:v>
                </c:pt>
                <c:pt idx="53">
                  <c:v>2578.68188476562</c:v>
                </c:pt>
                <c:pt idx="54">
                  <c:v>2626.26000976562</c:v>
                </c:pt>
                <c:pt idx="55">
                  <c:v>2622.8212890625</c:v>
                </c:pt>
                <c:pt idx="56">
                  <c:v>2816.453125</c:v>
                </c:pt>
                <c:pt idx="57">
                  <c:v>2911.28149414062</c:v>
                </c:pt>
                <c:pt idx="58">
                  <c:v>3022.08569335937</c:v>
                </c:pt>
                <c:pt idx="59">
                  <c:v>3072.89233398437</c:v>
                </c:pt>
                <c:pt idx="60">
                  <c:v>3251.43090820312</c:v>
                </c:pt>
                <c:pt idx="61">
                  <c:v>3246.4140625</c:v>
                </c:pt>
                <c:pt idx="62">
                  <c:v>3429.2099609375</c:v>
                </c:pt>
                <c:pt idx="63">
                  <c:v>3492.671875</c:v>
                </c:pt>
                <c:pt idx="64">
                  <c:v>3641.91088867187</c:v>
                </c:pt>
                <c:pt idx="65">
                  <c:v>3788.33227539062</c:v>
                </c:pt>
                <c:pt idx="66">
                  <c:v>3889.02197265625</c:v>
                </c:pt>
                <c:pt idx="67">
                  <c:v>3878.3681640625</c:v>
                </c:pt>
                <c:pt idx="68">
                  <c:v>4012.45239257812</c:v>
                </c:pt>
                <c:pt idx="69">
                  <c:v>4069.98266601562</c:v>
                </c:pt>
                <c:pt idx="70">
                  <c:v>4183.16650390625</c:v>
                </c:pt>
                <c:pt idx="71">
                  <c:v>4231.376953125</c:v>
                </c:pt>
                <c:pt idx="72">
                  <c:v>4345.990234375</c:v>
                </c:pt>
                <c:pt idx="73">
                  <c:v>4273.82763671875</c:v>
                </c:pt>
              </c:numCache>
            </c:numRef>
          </c:val>
          <c:extLst>
            <c:ext xmlns:c16="http://schemas.microsoft.com/office/drawing/2014/chart" uri="{C3380CC4-5D6E-409C-BE32-E72D297353CC}">
              <c16:uniqueId val="{00000004-6B3B-417D-8AF5-E7B28F6DC9FC}"/>
            </c:ext>
          </c:extLst>
        </c:ser>
        <c:ser>
          <c:idx val="6"/>
          <c:order val="6"/>
          <c:tx>
            <c:strRef>
              <c:f>'global-primary-energy'!$I$1</c:f>
              <c:strCache>
                <c:ptCount val="1"/>
                <c:pt idx="0">
                  <c:v>Nuclear</c:v>
                </c:pt>
              </c:strCache>
            </c:strRef>
          </c:tx>
          <c:spPr>
            <a:solidFill>
              <a:schemeClr val="accent6">
                <a:lumMod val="80000"/>
                <a:lumOff val="20000"/>
              </a:schemeClr>
            </a:solidFill>
            <a:ln>
              <a:noFill/>
            </a:ln>
            <a:effectLst/>
          </c:spPr>
          <c:cat>
            <c:numRef>
              <c:f>'global-primary-energy'!$C$2:$C$75</c:f>
              <c:numCache>
                <c:formatCode>General</c:formatCode>
                <c:ptCount val="74"/>
                <c:pt idx="0">
                  <c:v>1800</c:v>
                </c:pt>
                <c:pt idx="1">
                  <c:v>1810</c:v>
                </c:pt>
                <c:pt idx="2">
                  <c:v>1820</c:v>
                </c:pt>
                <c:pt idx="3">
                  <c:v>1830</c:v>
                </c:pt>
                <c:pt idx="4">
                  <c:v>1840</c:v>
                </c:pt>
                <c:pt idx="5">
                  <c:v>1850</c:v>
                </c:pt>
                <c:pt idx="6">
                  <c:v>1860</c:v>
                </c:pt>
                <c:pt idx="7">
                  <c:v>1870</c:v>
                </c:pt>
                <c:pt idx="8">
                  <c:v>1880</c:v>
                </c:pt>
                <c:pt idx="9">
                  <c:v>1890</c:v>
                </c:pt>
                <c:pt idx="10">
                  <c:v>1900</c:v>
                </c:pt>
                <c:pt idx="11">
                  <c:v>1910</c:v>
                </c:pt>
                <c:pt idx="12">
                  <c:v>1920</c:v>
                </c:pt>
                <c:pt idx="13">
                  <c:v>1930</c:v>
                </c:pt>
                <c:pt idx="14">
                  <c:v>1940</c:v>
                </c:pt>
                <c:pt idx="15">
                  <c:v>1950</c:v>
                </c:pt>
                <c:pt idx="16">
                  <c:v>1960</c:v>
                </c:pt>
                <c:pt idx="17">
                  <c:v>1965</c:v>
                </c:pt>
                <c:pt idx="18">
                  <c:v>1966</c:v>
                </c:pt>
                <c:pt idx="19">
                  <c:v>1967</c:v>
                </c:pt>
                <c:pt idx="20">
                  <c:v>1968</c:v>
                </c:pt>
                <c:pt idx="21">
                  <c:v>1969</c:v>
                </c:pt>
                <c:pt idx="22">
                  <c:v>1970</c:v>
                </c:pt>
                <c:pt idx="23">
                  <c:v>1971</c:v>
                </c:pt>
                <c:pt idx="24">
                  <c:v>1972</c:v>
                </c:pt>
                <c:pt idx="25">
                  <c:v>1973</c:v>
                </c:pt>
                <c:pt idx="26">
                  <c:v>1974</c:v>
                </c:pt>
                <c:pt idx="27">
                  <c:v>1975</c:v>
                </c:pt>
                <c:pt idx="28">
                  <c:v>1976</c:v>
                </c:pt>
                <c:pt idx="29">
                  <c:v>1977</c:v>
                </c:pt>
                <c:pt idx="30">
                  <c:v>1978</c:v>
                </c:pt>
                <c:pt idx="31">
                  <c:v>1979</c:v>
                </c:pt>
                <c:pt idx="32">
                  <c:v>1980</c:v>
                </c:pt>
                <c:pt idx="33">
                  <c:v>1981</c:v>
                </c:pt>
                <c:pt idx="34">
                  <c:v>1982</c:v>
                </c:pt>
                <c:pt idx="35">
                  <c:v>1983</c:v>
                </c:pt>
                <c:pt idx="36">
                  <c:v>1984</c:v>
                </c:pt>
                <c:pt idx="37">
                  <c:v>1985</c:v>
                </c:pt>
                <c:pt idx="38">
                  <c:v>1986</c:v>
                </c:pt>
                <c:pt idx="39">
                  <c:v>1987</c:v>
                </c:pt>
                <c:pt idx="40">
                  <c:v>1988</c:v>
                </c:pt>
                <c:pt idx="41">
                  <c:v>1989</c:v>
                </c:pt>
                <c:pt idx="42">
                  <c:v>1990</c:v>
                </c:pt>
                <c:pt idx="43">
                  <c:v>1991</c:v>
                </c:pt>
                <c:pt idx="44">
                  <c:v>1992</c:v>
                </c:pt>
                <c:pt idx="45">
                  <c:v>1993</c:v>
                </c:pt>
                <c:pt idx="46">
                  <c:v>1994</c:v>
                </c:pt>
                <c:pt idx="47">
                  <c:v>1995</c:v>
                </c:pt>
                <c:pt idx="48">
                  <c:v>1996</c:v>
                </c:pt>
                <c:pt idx="49">
                  <c:v>1997</c:v>
                </c:pt>
                <c:pt idx="50">
                  <c:v>1998</c:v>
                </c:pt>
                <c:pt idx="51">
                  <c:v>1999</c:v>
                </c:pt>
                <c:pt idx="52">
                  <c:v>2000</c:v>
                </c:pt>
                <c:pt idx="53">
                  <c:v>2001</c:v>
                </c:pt>
                <c:pt idx="54">
                  <c:v>2002</c:v>
                </c:pt>
                <c:pt idx="55">
                  <c:v>2003</c:v>
                </c:pt>
                <c:pt idx="56">
                  <c:v>2004</c:v>
                </c:pt>
                <c:pt idx="57">
                  <c:v>2005</c:v>
                </c:pt>
                <c:pt idx="58">
                  <c:v>2006</c:v>
                </c:pt>
                <c:pt idx="59">
                  <c:v>2007</c:v>
                </c:pt>
                <c:pt idx="60">
                  <c:v>2008</c:v>
                </c:pt>
                <c:pt idx="61">
                  <c:v>2009</c:v>
                </c:pt>
                <c:pt idx="62">
                  <c:v>2010</c:v>
                </c:pt>
                <c:pt idx="63">
                  <c:v>2011</c:v>
                </c:pt>
                <c:pt idx="64">
                  <c:v>2012</c:v>
                </c:pt>
                <c:pt idx="65">
                  <c:v>2013</c:v>
                </c:pt>
                <c:pt idx="66">
                  <c:v>2014</c:v>
                </c:pt>
                <c:pt idx="67">
                  <c:v>2015</c:v>
                </c:pt>
                <c:pt idx="68">
                  <c:v>2016</c:v>
                </c:pt>
                <c:pt idx="69">
                  <c:v>2017</c:v>
                </c:pt>
                <c:pt idx="70">
                  <c:v>2018</c:v>
                </c:pt>
                <c:pt idx="71">
                  <c:v>2019</c:v>
                </c:pt>
                <c:pt idx="72">
                  <c:v>2020</c:v>
                </c:pt>
                <c:pt idx="73">
                  <c:v>2021</c:v>
                </c:pt>
              </c:numCache>
            </c:numRef>
          </c:cat>
          <c:val>
            <c:numRef>
              <c:f>'global-primary-energy'!$I$2:$I$75</c:f>
              <c:numCache>
                <c:formatCode>General</c:formatCode>
                <c:ptCount val="7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25.539724349975501</c:v>
                </c:pt>
                <c:pt idx="18">
                  <c:v>34.4332885742187</c:v>
                </c:pt>
                <c:pt idx="19">
                  <c:v>41.006015777587798</c:v>
                </c:pt>
                <c:pt idx="20">
                  <c:v>52.113162994384702</c:v>
                </c:pt>
                <c:pt idx="21">
                  <c:v>61.783412933349602</c:v>
                </c:pt>
                <c:pt idx="22">
                  <c:v>78.874656677246094</c:v>
                </c:pt>
                <c:pt idx="23">
                  <c:v>109.704177856445</c:v>
                </c:pt>
                <c:pt idx="24">
                  <c:v>152.17515563964801</c:v>
                </c:pt>
                <c:pt idx="25">
                  <c:v>203.90158081054599</c:v>
                </c:pt>
                <c:pt idx="26">
                  <c:v>266.60009765625</c:v>
                </c:pt>
                <c:pt idx="27">
                  <c:v>369.84820556640602</c:v>
                </c:pt>
                <c:pt idx="28">
                  <c:v>432.67141723632801</c:v>
                </c:pt>
                <c:pt idx="29">
                  <c:v>538.54779052734295</c:v>
                </c:pt>
                <c:pt idx="30">
                  <c:v>625.79437255859295</c:v>
                </c:pt>
                <c:pt idx="31">
                  <c:v>650.85992431640602</c:v>
                </c:pt>
                <c:pt idx="32">
                  <c:v>711.92419433593705</c:v>
                </c:pt>
                <c:pt idx="33">
                  <c:v>840.750732421875</c:v>
                </c:pt>
                <c:pt idx="34">
                  <c:v>912.17755126953102</c:v>
                </c:pt>
                <c:pt idx="35">
                  <c:v>1033.81274414062</c:v>
                </c:pt>
                <c:pt idx="36">
                  <c:v>1254.56848144531</c:v>
                </c:pt>
                <c:pt idx="37">
                  <c:v>1488.92163085937</c:v>
                </c:pt>
                <c:pt idx="38">
                  <c:v>1594.73571777343</c:v>
                </c:pt>
                <c:pt idx="39">
                  <c:v>1734.73315429687</c:v>
                </c:pt>
                <c:pt idx="40">
                  <c:v>1891.24926757812</c:v>
                </c:pt>
                <c:pt idx="41">
                  <c:v>1945.01062011718</c:v>
                </c:pt>
                <c:pt idx="42">
                  <c:v>2000.46203613281</c:v>
                </c:pt>
                <c:pt idx="43">
                  <c:v>2096.1748046875</c:v>
                </c:pt>
                <c:pt idx="44">
                  <c:v>2112.08911132812</c:v>
                </c:pt>
                <c:pt idx="45">
                  <c:v>2184.826171875</c:v>
                </c:pt>
                <c:pt idx="46">
                  <c:v>2225.84423828125</c:v>
                </c:pt>
                <c:pt idx="47">
                  <c:v>2322.39599609375</c:v>
                </c:pt>
                <c:pt idx="48">
                  <c:v>2406.80102539062</c:v>
                </c:pt>
                <c:pt idx="49">
                  <c:v>2390.27661132812</c:v>
                </c:pt>
                <c:pt idx="50">
                  <c:v>2431.421875</c:v>
                </c:pt>
                <c:pt idx="51">
                  <c:v>2523.95263671875</c:v>
                </c:pt>
                <c:pt idx="52">
                  <c:v>2580.89916992187</c:v>
                </c:pt>
                <c:pt idx="53">
                  <c:v>2653.76782226562</c:v>
                </c:pt>
                <c:pt idx="54">
                  <c:v>2696.17065429687</c:v>
                </c:pt>
                <c:pt idx="55">
                  <c:v>2641.568359375</c:v>
                </c:pt>
                <c:pt idx="56">
                  <c:v>2761.60522460937</c:v>
                </c:pt>
                <c:pt idx="57">
                  <c:v>2768.86767578125</c:v>
                </c:pt>
                <c:pt idx="58">
                  <c:v>2803.36596679687</c:v>
                </c:pt>
                <c:pt idx="59">
                  <c:v>2746.22998046875</c:v>
                </c:pt>
                <c:pt idx="60">
                  <c:v>2737.70776367187</c:v>
                </c:pt>
                <c:pt idx="61">
                  <c:v>2698.9833984375</c:v>
                </c:pt>
                <c:pt idx="62">
                  <c:v>2768.505859375</c:v>
                </c:pt>
                <c:pt idx="63">
                  <c:v>2652.67651367187</c:v>
                </c:pt>
                <c:pt idx="64">
                  <c:v>2470.77954101562</c:v>
                </c:pt>
                <c:pt idx="65">
                  <c:v>2490.533203125</c:v>
                </c:pt>
                <c:pt idx="66">
                  <c:v>2541.38256835937</c:v>
                </c:pt>
                <c:pt idx="67">
                  <c:v>2575.59252929687</c:v>
                </c:pt>
                <c:pt idx="68">
                  <c:v>2613.90576171875</c:v>
                </c:pt>
                <c:pt idx="69">
                  <c:v>2637.23461914062</c:v>
                </c:pt>
                <c:pt idx="70">
                  <c:v>2700.46411132812</c:v>
                </c:pt>
                <c:pt idx="71">
                  <c:v>2796.35400390625</c:v>
                </c:pt>
                <c:pt idx="72">
                  <c:v>2693.978515625</c:v>
                </c:pt>
                <c:pt idx="73">
                  <c:v>2800.26782226562</c:v>
                </c:pt>
              </c:numCache>
            </c:numRef>
          </c:val>
          <c:extLst>
            <c:ext xmlns:c16="http://schemas.microsoft.com/office/drawing/2014/chart" uri="{C3380CC4-5D6E-409C-BE32-E72D297353CC}">
              <c16:uniqueId val="{00000005-6B3B-417D-8AF5-E7B28F6DC9FC}"/>
            </c:ext>
          </c:extLst>
        </c:ser>
        <c:ser>
          <c:idx val="7"/>
          <c:order val="7"/>
          <c:tx>
            <c:strRef>
              <c:f>'global-primary-energy'!$J$1</c:f>
              <c:strCache>
                <c:ptCount val="1"/>
                <c:pt idx="0">
                  <c:v>Gas</c:v>
                </c:pt>
              </c:strCache>
            </c:strRef>
          </c:tx>
          <c:spPr>
            <a:solidFill>
              <a:srgbClr val="00B050"/>
            </a:solidFill>
            <a:ln>
              <a:noFill/>
            </a:ln>
            <a:effectLst/>
          </c:spPr>
          <c:cat>
            <c:numRef>
              <c:f>'global-primary-energy'!$C$2:$C$75</c:f>
              <c:numCache>
                <c:formatCode>General</c:formatCode>
                <c:ptCount val="74"/>
                <c:pt idx="0">
                  <c:v>1800</c:v>
                </c:pt>
                <c:pt idx="1">
                  <c:v>1810</c:v>
                </c:pt>
                <c:pt idx="2">
                  <c:v>1820</c:v>
                </c:pt>
                <c:pt idx="3">
                  <c:v>1830</c:v>
                </c:pt>
                <c:pt idx="4">
                  <c:v>1840</c:v>
                </c:pt>
                <c:pt idx="5">
                  <c:v>1850</c:v>
                </c:pt>
                <c:pt idx="6">
                  <c:v>1860</c:v>
                </c:pt>
                <c:pt idx="7">
                  <c:v>1870</c:v>
                </c:pt>
                <c:pt idx="8">
                  <c:v>1880</c:v>
                </c:pt>
                <c:pt idx="9">
                  <c:v>1890</c:v>
                </c:pt>
                <c:pt idx="10">
                  <c:v>1900</c:v>
                </c:pt>
                <c:pt idx="11">
                  <c:v>1910</c:v>
                </c:pt>
                <c:pt idx="12">
                  <c:v>1920</c:v>
                </c:pt>
                <c:pt idx="13">
                  <c:v>1930</c:v>
                </c:pt>
                <c:pt idx="14">
                  <c:v>1940</c:v>
                </c:pt>
                <c:pt idx="15">
                  <c:v>1950</c:v>
                </c:pt>
                <c:pt idx="16">
                  <c:v>1960</c:v>
                </c:pt>
                <c:pt idx="17">
                  <c:v>1965</c:v>
                </c:pt>
                <c:pt idx="18">
                  <c:v>1966</c:v>
                </c:pt>
                <c:pt idx="19">
                  <c:v>1967</c:v>
                </c:pt>
                <c:pt idx="20">
                  <c:v>1968</c:v>
                </c:pt>
                <c:pt idx="21">
                  <c:v>1969</c:v>
                </c:pt>
                <c:pt idx="22">
                  <c:v>1970</c:v>
                </c:pt>
                <c:pt idx="23">
                  <c:v>1971</c:v>
                </c:pt>
                <c:pt idx="24">
                  <c:v>1972</c:v>
                </c:pt>
                <c:pt idx="25">
                  <c:v>1973</c:v>
                </c:pt>
                <c:pt idx="26">
                  <c:v>1974</c:v>
                </c:pt>
                <c:pt idx="27">
                  <c:v>1975</c:v>
                </c:pt>
                <c:pt idx="28">
                  <c:v>1976</c:v>
                </c:pt>
                <c:pt idx="29">
                  <c:v>1977</c:v>
                </c:pt>
                <c:pt idx="30">
                  <c:v>1978</c:v>
                </c:pt>
                <c:pt idx="31">
                  <c:v>1979</c:v>
                </c:pt>
                <c:pt idx="32">
                  <c:v>1980</c:v>
                </c:pt>
                <c:pt idx="33">
                  <c:v>1981</c:v>
                </c:pt>
                <c:pt idx="34">
                  <c:v>1982</c:v>
                </c:pt>
                <c:pt idx="35">
                  <c:v>1983</c:v>
                </c:pt>
                <c:pt idx="36">
                  <c:v>1984</c:v>
                </c:pt>
                <c:pt idx="37">
                  <c:v>1985</c:v>
                </c:pt>
                <c:pt idx="38">
                  <c:v>1986</c:v>
                </c:pt>
                <c:pt idx="39">
                  <c:v>1987</c:v>
                </c:pt>
                <c:pt idx="40">
                  <c:v>1988</c:v>
                </c:pt>
                <c:pt idx="41">
                  <c:v>1989</c:v>
                </c:pt>
                <c:pt idx="42">
                  <c:v>1990</c:v>
                </c:pt>
                <c:pt idx="43">
                  <c:v>1991</c:v>
                </c:pt>
                <c:pt idx="44">
                  <c:v>1992</c:v>
                </c:pt>
                <c:pt idx="45">
                  <c:v>1993</c:v>
                </c:pt>
                <c:pt idx="46">
                  <c:v>1994</c:v>
                </c:pt>
                <c:pt idx="47">
                  <c:v>1995</c:v>
                </c:pt>
                <c:pt idx="48">
                  <c:v>1996</c:v>
                </c:pt>
                <c:pt idx="49">
                  <c:v>1997</c:v>
                </c:pt>
                <c:pt idx="50">
                  <c:v>1998</c:v>
                </c:pt>
                <c:pt idx="51">
                  <c:v>1999</c:v>
                </c:pt>
                <c:pt idx="52">
                  <c:v>2000</c:v>
                </c:pt>
                <c:pt idx="53">
                  <c:v>2001</c:v>
                </c:pt>
                <c:pt idx="54">
                  <c:v>2002</c:v>
                </c:pt>
                <c:pt idx="55">
                  <c:v>2003</c:v>
                </c:pt>
                <c:pt idx="56">
                  <c:v>2004</c:v>
                </c:pt>
                <c:pt idx="57">
                  <c:v>2005</c:v>
                </c:pt>
                <c:pt idx="58">
                  <c:v>2006</c:v>
                </c:pt>
                <c:pt idx="59">
                  <c:v>2007</c:v>
                </c:pt>
                <c:pt idx="60">
                  <c:v>2008</c:v>
                </c:pt>
                <c:pt idx="61">
                  <c:v>2009</c:v>
                </c:pt>
                <c:pt idx="62">
                  <c:v>2010</c:v>
                </c:pt>
                <c:pt idx="63">
                  <c:v>2011</c:v>
                </c:pt>
                <c:pt idx="64">
                  <c:v>2012</c:v>
                </c:pt>
                <c:pt idx="65">
                  <c:v>2013</c:v>
                </c:pt>
                <c:pt idx="66">
                  <c:v>2014</c:v>
                </c:pt>
                <c:pt idx="67">
                  <c:v>2015</c:v>
                </c:pt>
                <c:pt idx="68">
                  <c:v>2016</c:v>
                </c:pt>
                <c:pt idx="69">
                  <c:v>2017</c:v>
                </c:pt>
                <c:pt idx="70">
                  <c:v>2018</c:v>
                </c:pt>
                <c:pt idx="71">
                  <c:v>2019</c:v>
                </c:pt>
                <c:pt idx="72">
                  <c:v>2020</c:v>
                </c:pt>
                <c:pt idx="73">
                  <c:v>2021</c:v>
                </c:pt>
              </c:numCache>
            </c:numRef>
          </c:cat>
          <c:val>
            <c:numRef>
              <c:f>'global-primary-energy'!$J$2:$J$75</c:f>
              <c:numCache>
                <c:formatCode>General</c:formatCode>
                <c:ptCount val="74"/>
                <c:pt idx="0">
                  <c:v>0</c:v>
                </c:pt>
                <c:pt idx="1">
                  <c:v>0</c:v>
                </c:pt>
                <c:pt idx="2">
                  <c:v>0</c:v>
                </c:pt>
                <c:pt idx="3">
                  <c:v>0</c:v>
                </c:pt>
                <c:pt idx="4">
                  <c:v>0</c:v>
                </c:pt>
                <c:pt idx="5">
                  <c:v>0</c:v>
                </c:pt>
                <c:pt idx="6">
                  <c:v>0</c:v>
                </c:pt>
                <c:pt idx="7">
                  <c:v>0</c:v>
                </c:pt>
                <c:pt idx="8">
                  <c:v>0</c:v>
                </c:pt>
                <c:pt idx="9">
                  <c:v>33</c:v>
                </c:pt>
                <c:pt idx="10">
                  <c:v>64</c:v>
                </c:pt>
                <c:pt idx="11">
                  <c:v>142</c:v>
                </c:pt>
                <c:pt idx="12">
                  <c:v>233</c:v>
                </c:pt>
                <c:pt idx="13">
                  <c:v>603</c:v>
                </c:pt>
                <c:pt idx="14">
                  <c:v>875</c:v>
                </c:pt>
                <c:pt idx="15">
                  <c:v>2092</c:v>
                </c:pt>
                <c:pt idx="16">
                  <c:v>4472</c:v>
                </c:pt>
                <c:pt idx="17">
                  <c:v>6303.798828125</c:v>
                </c:pt>
                <c:pt idx="18">
                  <c:v>6868.79443359375</c:v>
                </c:pt>
                <c:pt idx="19">
                  <c:v>7374.03955078125</c:v>
                </c:pt>
                <c:pt idx="20">
                  <c:v>8044.33154296875</c:v>
                </c:pt>
                <c:pt idx="21">
                  <c:v>8833.41796875</c:v>
                </c:pt>
                <c:pt idx="22">
                  <c:v>9614.7919921875</c:v>
                </c:pt>
                <c:pt idx="23">
                  <c:v>10293.2001953125</c:v>
                </c:pt>
                <c:pt idx="24">
                  <c:v>10861.7236328125</c:v>
                </c:pt>
                <c:pt idx="25">
                  <c:v>11377.837890625</c:v>
                </c:pt>
                <c:pt idx="26">
                  <c:v>11659.865234375</c:v>
                </c:pt>
                <c:pt idx="27">
                  <c:v>11659.7412109375</c:v>
                </c:pt>
                <c:pt idx="28">
                  <c:v>12354.1435546875</c:v>
                </c:pt>
                <c:pt idx="29">
                  <c:v>12759.8427734375</c:v>
                </c:pt>
                <c:pt idx="30">
                  <c:v>13293.9521484375</c:v>
                </c:pt>
                <c:pt idx="31">
                  <c:v>14118.0322265625</c:v>
                </c:pt>
                <c:pt idx="32">
                  <c:v>14236.9609375</c:v>
                </c:pt>
                <c:pt idx="33">
                  <c:v>14395.8740234375</c:v>
                </c:pt>
                <c:pt idx="34">
                  <c:v>14469.7353515625</c:v>
                </c:pt>
                <c:pt idx="35">
                  <c:v>14703.8330078125</c:v>
                </c:pt>
                <c:pt idx="36">
                  <c:v>15902.6806640625</c:v>
                </c:pt>
                <c:pt idx="37">
                  <c:v>16262.2216796875</c:v>
                </c:pt>
                <c:pt idx="38">
                  <c:v>16421.111328125</c:v>
                </c:pt>
                <c:pt idx="39">
                  <c:v>17281.896484375</c:v>
                </c:pt>
                <c:pt idx="40">
                  <c:v>18088.845703125</c:v>
                </c:pt>
                <c:pt idx="41">
                  <c:v>18867.30859375</c:v>
                </c:pt>
                <c:pt idx="42">
                  <c:v>19481.125</c:v>
                </c:pt>
                <c:pt idx="43">
                  <c:v>19972.83984375</c:v>
                </c:pt>
                <c:pt idx="44">
                  <c:v>20063.484375</c:v>
                </c:pt>
                <c:pt idx="45">
                  <c:v>20265.484375</c:v>
                </c:pt>
                <c:pt idx="46">
                  <c:v>20389.615234375</c:v>
                </c:pt>
                <c:pt idx="47">
                  <c:v>21104.494140625</c:v>
                </c:pt>
                <c:pt idx="48">
                  <c:v>22159.255859375</c:v>
                </c:pt>
                <c:pt idx="49">
                  <c:v>22030.392578125</c:v>
                </c:pt>
                <c:pt idx="50">
                  <c:v>22434</c:v>
                </c:pt>
                <c:pt idx="51">
                  <c:v>23071.904296875</c:v>
                </c:pt>
                <c:pt idx="52">
                  <c:v>23994.2578125</c:v>
                </c:pt>
                <c:pt idx="53">
                  <c:v>24316.833984375</c:v>
                </c:pt>
                <c:pt idx="54">
                  <c:v>25030.142578125</c:v>
                </c:pt>
                <c:pt idx="55">
                  <c:v>25729.58984375</c:v>
                </c:pt>
                <c:pt idx="56">
                  <c:v>26721.1015625</c:v>
                </c:pt>
                <c:pt idx="57">
                  <c:v>27438.037109375</c:v>
                </c:pt>
                <c:pt idx="58">
                  <c:v>28161.10546875</c:v>
                </c:pt>
                <c:pt idx="59">
                  <c:v>29315.390625</c:v>
                </c:pt>
                <c:pt idx="60">
                  <c:v>30021.318359375</c:v>
                </c:pt>
                <c:pt idx="61">
                  <c:v>29401.19140625</c:v>
                </c:pt>
                <c:pt idx="62">
                  <c:v>31588.86328125</c:v>
                </c:pt>
                <c:pt idx="63">
                  <c:v>32340.1796875</c:v>
                </c:pt>
                <c:pt idx="64">
                  <c:v>33194.03515625</c:v>
                </c:pt>
                <c:pt idx="65">
                  <c:v>33729.72265625</c:v>
                </c:pt>
                <c:pt idx="66">
                  <c:v>33944.2734375</c:v>
                </c:pt>
                <c:pt idx="67">
                  <c:v>34768.67578125</c:v>
                </c:pt>
                <c:pt idx="68">
                  <c:v>35560.7734375</c:v>
                </c:pt>
                <c:pt idx="69">
                  <c:v>36529.22265625</c:v>
                </c:pt>
                <c:pt idx="70">
                  <c:v>38356.30078125</c:v>
                </c:pt>
                <c:pt idx="71">
                  <c:v>39062.9453125</c:v>
                </c:pt>
                <c:pt idx="72">
                  <c:v>38455.7265625</c:v>
                </c:pt>
                <c:pt idx="73">
                  <c:v>40374.60546875</c:v>
                </c:pt>
              </c:numCache>
            </c:numRef>
          </c:val>
          <c:extLst>
            <c:ext xmlns:c16="http://schemas.microsoft.com/office/drawing/2014/chart" uri="{C3380CC4-5D6E-409C-BE32-E72D297353CC}">
              <c16:uniqueId val="{00000006-6B3B-417D-8AF5-E7B28F6DC9FC}"/>
            </c:ext>
          </c:extLst>
        </c:ser>
        <c:ser>
          <c:idx val="8"/>
          <c:order val="8"/>
          <c:tx>
            <c:strRef>
              <c:f>'global-primary-energy'!$K$1</c:f>
              <c:strCache>
                <c:ptCount val="1"/>
                <c:pt idx="0">
                  <c:v>Oil</c:v>
                </c:pt>
              </c:strCache>
            </c:strRef>
          </c:tx>
          <c:spPr>
            <a:solidFill>
              <a:srgbClr val="FF0000"/>
            </a:solidFill>
            <a:ln>
              <a:noFill/>
            </a:ln>
            <a:effectLst/>
          </c:spPr>
          <c:cat>
            <c:numRef>
              <c:f>'global-primary-energy'!$C$2:$C$75</c:f>
              <c:numCache>
                <c:formatCode>General</c:formatCode>
                <c:ptCount val="74"/>
                <c:pt idx="0">
                  <c:v>1800</c:v>
                </c:pt>
                <c:pt idx="1">
                  <c:v>1810</c:v>
                </c:pt>
                <c:pt idx="2">
                  <c:v>1820</c:v>
                </c:pt>
                <c:pt idx="3">
                  <c:v>1830</c:v>
                </c:pt>
                <c:pt idx="4">
                  <c:v>1840</c:v>
                </c:pt>
                <c:pt idx="5">
                  <c:v>1850</c:v>
                </c:pt>
                <c:pt idx="6">
                  <c:v>1860</c:v>
                </c:pt>
                <c:pt idx="7">
                  <c:v>1870</c:v>
                </c:pt>
                <c:pt idx="8">
                  <c:v>1880</c:v>
                </c:pt>
                <c:pt idx="9">
                  <c:v>1890</c:v>
                </c:pt>
                <c:pt idx="10">
                  <c:v>1900</c:v>
                </c:pt>
                <c:pt idx="11">
                  <c:v>1910</c:v>
                </c:pt>
                <c:pt idx="12">
                  <c:v>1920</c:v>
                </c:pt>
                <c:pt idx="13">
                  <c:v>1930</c:v>
                </c:pt>
                <c:pt idx="14">
                  <c:v>1940</c:v>
                </c:pt>
                <c:pt idx="15">
                  <c:v>1950</c:v>
                </c:pt>
                <c:pt idx="16">
                  <c:v>1960</c:v>
                </c:pt>
                <c:pt idx="17">
                  <c:v>1965</c:v>
                </c:pt>
                <c:pt idx="18">
                  <c:v>1966</c:v>
                </c:pt>
                <c:pt idx="19">
                  <c:v>1967</c:v>
                </c:pt>
                <c:pt idx="20">
                  <c:v>1968</c:v>
                </c:pt>
                <c:pt idx="21">
                  <c:v>1969</c:v>
                </c:pt>
                <c:pt idx="22">
                  <c:v>1970</c:v>
                </c:pt>
                <c:pt idx="23">
                  <c:v>1971</c:v>
                </c:pt>
                <c:pt idx="24">
                  <c:v>1972</c:v>
                </c:pt>
                <c:pt idx="25">
                  <c:v>1973</c:v>
                </c:pt>
                <c:pt idx="26">
                  <c:v>1974</c:v>
                </c:pt>
                <c:pt idx="27">
                  <c:v>1975</c:v>
                </c:pt>
                <c:pt idx="28">
                  <c:v>1976</c:v>
                </c:pt>
                <c:pt idx="29">
                  <c:v>1977</c:v>
                </c:pt>
                <c:pt idx="30">
                  <c:v>1978</c:v>
                </c:pt>
                <c:pt idx="31">
                  <c:v>1979</c:v>
                </c:pt>
                <c:pt idx="32">
                  <c:v>1980</c:v>
                </c:pt>
                <c:pt idx="33">
                  <c:v>1981</c:v>
                </c:pt>
                <c:pt idx="34">
                  <c:v>1982</c:v>
                </c:pt>
                <c:pt idx="35">
                  <c:v>1983</c:v>
                </c:pt>
                <c:pt idx="36">
                  <c:v>1984</c:v>
                </c:pt>
                <c:pt idx="37">
                  <c:v>1985</c:v>
                </c:pt>
                <c:pt idx="38">
                  <c:v>1986</c:v>
                </c:pt>
                <c:pt idx="39">
                  <c:v>1987</c:v>
                </c:pt>
                <c:pt idx="40">
                  <c:v>1988</c:v>
                </c:pt>
                <c:pt idx="41">
                  <c:v>1989</c:v>
                </c:pt>
                <c:pt idx="42">
                  <c:v>1990</c:v>
                </c:pt>
                <c:pt idx="43">
                  <c:v>1991</c:v>
                </c:pt>
                <c:pt idx="44">
                  <c:v>1992</c:v>
                </c:pt>
                <c:pt idx="45">
                  <c:v>1993</c:v>
                </c:pt>
                <c:pt idx="46">
                  <c:v>1994</c:v>
                </c:pt>
                <c:pt idx="47">
                  <c:v>1995</c:v>
                </c:pt>
                <c:pt idx="48">
                  <c:v>1996</c:v>
                </c:pt>
                <c:pt idx="49">
                  <c:v>1997</c:v>
                </c:pt>
                <c:pt idx="50">
                  <c:v>1998</c:v>
                </c:pt>
                <c:pt idx="51">
                  <c:v>1999</c:v>
                </c:pt>
                <c:pt idx="52">
                  <c:v>2000</c:v>
                </c:pt>
                <c:pt idx="53">
                  <c:v>2001</c:v>
                </c:pt>
                <c:pt idx="54">
                  <c:v>2002</c:v>
                </c:pt>
                <c:pt idx="55">
                  <c:v>2003</c:v>
                </c:pt>
                <c:pt idx="56">
                  <c:v>2004</c:v>
                </c:pt>
                <c:pt idx="57">
                  <c:v>2005</c:v>
                </c:pt>
                <c:pt idx="58">
                  <c:v>2006</c:v>
                </c:pt>
                <c:pt idx="59">
                  <c:v>2007</c:v>
                </c:pt>
                <c:pt idx="60">
                  <c:v>2008</c:v>
                </c:pt>
                <c:pt idx="61">
                  <c:v>2009</c:v>
                </c:pt>
                <c:pt idx="62">
                  <c:v>2010</c:v>
                </c:pt>
                <c:pt idx="63">
                  <c:v>2011</c:v>
                </c:pt>
                <c:pt idx="64">
                  <c:v>2012</c:v>
                </c:pt>
                <c:pt idx="65">
                  <c:v>2013</c:v>
                </c:pt>
                <c:pt idx="66">
                  <c:v>2014</c:v>
                </c:pt>
                <c:pt idx="67">
                  <c:v>2015</c:v>
                </c:pt>
                <c:pt idx="68">
                  <c:v>2016</c:v>
                </c:pt>
                <c:pt idx="69">
                  <c:v>2017</c:v>
                </c:pt>
                <c:pt idx="70">
                  <c:v>2018</c:v>
                </c:pt>
                <c:pt idx="71">
                  <c:v>2019</c:v>
                </c:pt>
                <c:pt idx="72">
                  <c:v>2020</c:v>
                </c:pt>
                <c:pt idx="73">
                  <c:v>2021</c:v>
                </c:pt>
              </c:numCache>
            </c:numRef>
          </c:cat>
          <c:val>
            <c:numRef>
              <c:f>'global-primary-energy'!$K$2:$K$75</c:f>
              <c:numCache>
                <c:formatCode>General</c:formatCode>
                <c:ptCount val="74"/>
                <c:pt idx="0">
                  <c:v>0</c:v>
                </c:pt>
                <c:pt idx="1">
                  <c:v>0</c:v>
                </c:pt>
                <c:pt idx="2">
                  <c:v>0</c:v>
                </c:pt>
                <c:pt idx="3">
                  <c:v>0</c:v>
                </c:pt>
                <c:pt idx="4">
                  <c:v>0</c:v>
                </c:pt>
                <c:pt idx="5">
                  <c:v>0</c:v>
                </c:pt>
                <c:pt idx="6">
                  <c:v>0</c:v>
                </c:pt>
                <c:pt idx="7">
                  <c:v>6</c:v>
                </c:pt>
                <c:pt idx="8">
                  <c:v>33</c:v>
                </c:pt>
                <c:pt idx="9">
                  <c:v>89</c:v>
                </c:pt>
                <c:pt idx="10">
                  <c:v>181</c:v>
                </c:pt>
                <c:pt idx="11">
                  <c:v>397</c:v>
                </c:pt>
                <c:pt idx="12">
                  <c:v>889</c:v>
                </c:pt>
                <c:pt idx="13">
                  <c:v>1756</c:v>
                </c:pt>
                <c:pt idx="14">
                  <c:v>2653</c:v>
                </c:pt>
                <c:pt idx="15">
                  <c:v>5444</c:v>
                </c:pt>
                <c:pt idx="16">
                  <c:v>11097</c:v>
                </c:pt>
                <c:pt idx="17">
                  <c:v>17989.603515625</c:v>
                </c:pt>
                <c:pt idx="18">
                  <c:v>19341.146484375</c:v>
                </c:pt>
                <c:pt idx="19">
                  <c:v>20732.13671875</c:v>
                </c:pt>
                <c:pt idx="20">
                  <c:v>22488.33203125</c:v>
                </c:pt>
                <c:pt idx="21">
                  <c:v>24353</c:v>
                </c:pt>
                <c:pt idx="22">
                  <c:v>26505.18359375</c:v>
                </c:pt>
                <c:pt idx="23">
                  <c:v>27994.796875</c:v>
                </c:pt>
                <c:pt idx="24">
                  <c:v>30112.263671875</c:v>
                </c:pt>
                <c:pt idx="25">
                  <c:v>32534.806640625</c:v>
                </c:pt>
                <c:pt idx="26">
                  <c:v>32078.1796875</c:v>
                </c:pt>
                <c:pt idx="27">
                  <c:v>31715.76953125</c:v>
                </c:pt>
                <c:pt idx="28">
                  <c:v>33752.46484375</c:v>
                </c:pt>
                <c:pt idx="29">
                  <c:v>34928.13671875</c:v>
                </c:pt>
                <c:pt idx="30">
                  <c:v>36509.91796875</c:v>
                </c:pt>
                <c:pt idx="31">
                  <c:v>37064.56640625</c:v>
                </c:pt>
                <c:pt idx="32">
                  <c:v>35514.421875</c:v>
                </c:pt>
                <c:pt idx="33">
                  <c:v>34251.5703125</c:v>
                </c:pt>
                <c:pt idx="34">
                  <c:v>33185.26953125</c:v>
                </c:pt>
                <c:pt idx="35">
                  <c:v>32937.60546875</c:v>
                </c:pt>
                <c:pt idx="36">
                  <c:v>33680.0546875</c:v>
                </c:pt>
                <c:pt idx="37">
                  <c:v>33660.1015625</c:v>
                </c:pt>
                <c:pt idx="38">
                  <c:v>34700.8359375</c:v>
                </c:pt>
                <c:pt idx="39">
                  <c:v>35393.54296875</c:v>
                </c:pt>
                <c:pt idx="40">
                  <c:v>36552.58984375</c:v>
                </c:pt>
                <c:pt idx="41">
                  <c:v>37156.8359375</c:v>
                </c:pt>
                <c:pt idx="42">
                  <c:v>37608.01953125</c:v>
                </c:pt>
                <c:pt idx="43">
                  <c:v>37610.640625</c:v>
                </c:pt>
                <c:pt idx="44">
                  <c:v>38151.84765625</c:v>
                </c:pt>
                <c:pt idx="45">
                  <c:v>37960.61328125</c:v>
                </c:pt>
                <c:pt idx="46">
                  <c:v>38793.5078125</c:v>
                </c:pt>
                <c:pt idx="47">
                  <c:v>39442.17578125</c:v>
                </c:pt>
                <c:pt idx="48">
                  <c:v>40314.296875</c:v>
                </c:pt>
                <c:pt idx="49">
                  <c:v>41413.24609375</c:v>
                </c:pt>
                <c:pt idx="50">
                  <c:v>41644.4140625</c:v>
                </c:pt>
                <c:pt idx="51">
                  <c:v>42370.09375</c:v>
                </c:pt>
                <c:pt idx="52">
                  <c:v>42880.92578125</c:v>
                </c:pt>
                <c:pt idx="53">
                  <c:v>43255.68359375</c:v>
                </c:pt>
                <c:pt idx="54">
                  <c:v>43608.86328125</c:v>
                </c:pt>
                <c:pt idx="55">
                  <c:v>44580.6484375</c:v>
                </c:pt>
                <c:pt idx="56">
                  <c:v>46270.65625</c:v>
                </c:pt>
                <c:pt idx="57">
                  <c:v>46672.65625</c:v>
                </c:pt>
                <c:pt idx="58">
                  <c:v>47172.609375</c:v>
                </c:pt>
                <c:pt idx="59">
                  <c:v>47758.875</c:v>
                </c:pt>
                <c:pt idx="60">
                  <c:v>47338.6875</c:v>
                </c:pt>
                <c:pt idx="61">
                  <c:v>46371.56640625</c:v>
                </c:pt>
                <c:pt idx="62">
                  <c:v>47895.07421875</c:v>
                </c:pt>
                <c:pt idx="63">
                  <c:v>48307.65625</c:v>
                </c:pt>
                <c:pt idx="64">
                  <c:v>49010.70703125</c:v>
                </c:pt>
                <c:pt idx="65">
                  <c:v>49520.15625</c:v>
                </c:pt>
                <c:pt idx="66">
                  <c:v>49832.44140625</c:v>
                </c:pt>
                <c:pt idx="67">
                  <c:v>50796.26171875</c:v>
                </c:pt>
                <c:pt idx="68">
                  <c:v>51760.77734375</c:v>
                </c:pt>
                <c:pt idx="69">
                  <c:v>52515.54296875</c:v>
                </c:pt>
                <c:pt idx="70">
                  <c:v>53250.62109375</c:v>
                </c:pt>
                <c:pt idx="71">
                  <c:v>53368.62890625</c:v>
                </c:pt>
                <c:pt idx="72">
                  <c:v>48380.7109375</c:v>
                </c:pt>
                <c:pt idx="73">
                  <c:v>51170.47265625</c:v>
                </c:pt>
              </c:numCache>
            </c:numRef>
          </c:val>
          <c:extLst>
            <c:ext xmlns:c16="http://schemas.microsoft.com/office/drawing/2014/chart" uri="{C3380CC4-5D6E-409C-BE32-E72D297353CC}">
              <c16:uniqueId val="{00000007-6B3B-417D-8AF5-E7B28F6DC9FC}"/>
            </c:ext>
          </c:extLst>
        </c:ser>
        <c:ser>
          <c:idx val="9"/>
          <c:order val="9"/>
          <c:tx>
            <c:strRef>
              <c:f>'global-primary-energy'!$L$1</c:f>
              <c:strCache>
                <c:ptCount val="1"/>
                <c:pt idx="0">
                  <c:v>Coal </c:v>
                </c:pt>
              </c:strCache>
            </c:strRef>
          </c:tx>
          <c:spPr>
            <a:solidFill>
              <a:schemeClr val="bg1">
                <a:lumMod val="65000"/>
              </a:schemeClr>
            </a:solidFill>
            <a:ln>
              <a:noFill/>
            </a:ln>
            <a:effectLst/>
          </c:spPr>
          <c:cat>
            <c:numRef>
              <c:f>'global-primary-energy'!$C$2:$C$75</c:f>
              <c:numCache>
                <c:formatCode>General</c:formatCode>
                <c:ptCount val="74"/>
                <c:pt idx="0">
                  <c:v>1800</c:v>
                </c:pt>
                <c:pt idx="1">
                  <c:v>1810</c:v>
                </c:pt>
                <c:pt idx="2">
                  <c:v>1820</c:v>
                </c:pt>
                <c:pt idx="3">
                  <c:v>1830</c:v>
                </c:pt>
                <c:pt idx="4">
                  <c:v>1840</c:v>
                </c:pt>
                <c:pt idx="5">
                  <c:v>1850</c:v>
                </c:pt>
                <c:pt idx="6">
                  <c:v>1860</c:v>
                </c:pt>
                <c:pt idx="7">
                  <c:v>1870</c:v>
                </c:pt>
                <c:pt idx="8">
                  <c:v>1880</c:v>
                </c:pt>
                <c:pt idx="9">
                  <c:v>1890</c:v>
                </c:pt>
                <c:pt idx="10">
                  <c:v>1900</c:v>
                </c:pt>
                <c:pt idx="11">
                  <c:v>1910</c:v>
                </c:pt>
                <c:pt idx="12">
                  <c:v>1920</c:v>
                </c:pt>
                <c:pt idx="13">
                  <c:v>1930</c:v>
                </c:pt>
                <c:pt idx="14">
                  <c:v>1940</c:v>
                </c:pt>
                <c:pt idx="15">
                  <c:v>1950</c:v>
                </c:pt>
                <c:pt idx="16">
                  <c:v>1960</c:v>
                </c:pt>
                <c:pt idx="17">
                  <c:v>1965</c:v>
                </c:pt>
                <c:pt idx="18">
                  <c:v>1966</c:v>
                </c:pt>
                <c:pt idx="19">
                  <c:v>1967</c:v>
                </c:pt>
                <c:pt idx="20">
                  <c:v>1968</c:v>
                </c:pt>
                <c:pt idx="21">
                  <c:v>1969</c:v>
                </c:pt>
                <c:pt idx="22">
                  <c:v>1970</c:v>
                </c:pt>
                <c:pt idx="23">
                  <c:v>1971</c:v>
                </c:pt>
                <c:pt idx="24">
                  <c:v>1972</c:v>
                </c:pt>
                <c:pt idx="25">
                  <c:v>1973</c:v>
                </c:pt>
                <c:pt idx="26">
                  <c:v>1974</c:v>
                </c:pt>
                <c:pt idx="27">
                  <c:v>1975</c:v>
                </c:pt>
                <c:pt idx="28">
                  <c:v>1976</c:v>
                </c:pt>
                <c:pt idx="29">
                  <c:v>1977</c:v>
                </c:pt>
                <c:pt idx="30">
                  <c:v>1978</c:v>
                </c:pt>
                <c:pt idx="31">
                  <c:v>1979</c:v>
                </c:pt>
                <c:pt idx="32">
                  <c:v>1980</c:v>
                </c:pt>
                <c:pt idx="33">
                  <c:v>1981</c:v>
                </c:pt>
                <c:pt idx="34">
                  <c:v>1982</c:v>
                </c:pt>
                <c:pt idx="35">
                  <c:v>1983</c:v>
                </c:pt>
                <c:pt idx="36">
                  <c:v>1984</c:v>
                </c:pt>
                <c:pt idx="37">
                  <c:v>1985</c:v>
                </c:pt>
                <c:pt idx="38">
                  <c:v>1986</c:v>
                </c:pt>
                <c:pt idx="39">
                  <c:v>1987</c:v>
                </c:pt>
                <c:pt idx="40">
                  <c:v>1988</c:v>
                </c:pt>
                <c:pt idx="41">
                  <c:v>1989</c:v>
                </c:pt>
                <c:pt idx="42">
                  <c:v>1990</c:v>
                </c:pt>
                <c:pt idx="43">
                  <c:v>1991</c:v>
                </c:pt>
                <c:pt idx="44">
                  <c:v>1992</c:v>
                </c:pt>
                <c:pt idx="45">
                  <c:v>1993</c:v>
                </c:pt>
                <c:pt idx="46">
                  <c:v>1994</c:v>
                </c:pt>
                <c:pt idx="47">
                  <c:v>1995</c:v>
                </c:pt>
                <c:pt idx="48">
                  <c:v>1996</c:v>
                </c:pt>
                <c:pt idx="49">
                  <c:v>1997</c:v>
                </c:pt>
                <c:pt idx="50">
                  <c:v>1998</c:v>
                </c:pt>
                <c:pt idx="51">
                  <c:v>1999</c:v>
                </c:pt>
                <c:pt idx="52">
                  <c:v>2000</c:v>
                </c:pt>
                <c:pt idx="53">
                  <c:v>2001</c:v>
                </c:pt>
                <c:pt idx="54">
                  <c:v>2002</c:v>
                </c:pt>
                <c:pt idx="55">
                  <c:v>2003</c:v>
                </c:pt>
                <c:pt idx="56">
                  <c:v>2004</c:v>
                </c:pt>
                <c:pt idx="57">
                  <c:v>2005</c:v>
                </c:pt>
                <c:pt idx="58">
                  <c:v>2006</c:v>
                </c:pt>
                <c:pt idx="59">
                  <c:v>2007</c:v>
                </c:pt>
                <c:pt idx="60">
                  <c:v>2008</c:v>
                </c:pt>
                <c:pt idx="61">
                  <c:v>2009</c:v>
                </c:pt>
                <c:pt idx="62">
                  <c:v>2010</c:v>
                </c:pt>
                <c:pt idx="63">
                  <c:v>2011</c:v>
                </c:pt>
                <c:pt idx="64">
                  <c:v>2012</c:v>
                </c:pt>
                <c:pt idx="65">
                  <c:v>2013</c:v>
                </c:pt>
                <c:pt idx="66">
                  <c:v>2014</c:v>
                </c:pt>
                <c:pt idx="67">
                  <c:v>2015</c:v>
                </c:pt>
                <c:pt idx="68">
                  <c:v>2016</c:v>
                </c:pt>
                <c:pt idx="69">
                  <c:v>2017</c:v>
                </c:pt>
                <c:pt idx="70">
                  <c:v>2018</c:v>
                </c:pt>
                <c:pt idx="71">
                  <c:v>2019</c:v>
                </c:pt>
                <c:pt idx="72">
                  <c:v>2020</c:v>
                </c:pt>
                <c:pt idx="73">
                  <c:v>2021</c:v>
                </c:pt>
              </c:numCache>
            </c:numRef>
          </c:cat>
          <c:val>
            <c:numRef>
              <c:f>'global-primary-energy'!$L$2:$L$75</c:f>
              <c:numCache>
                <c:formatCode>General</c:formatCode>
                <c:ptCount val="74"/>
                <c:pt idx="0">
                  <c:v>97</c:v>
                </c:pt>
                <c:pt idx="1">
                  <c:v>128</c:v>
                </c:pt>
                <c:pt idx="2">
                  <c:v>153</c:v>
                </c:pt>
                <c:pt idx="3">
                  <c:v>264</c:v>
                </c:pt>
                <c:pt idx="4">
                  <c:v>356</c:v>
                </c:pt>
                <c:pt idx="5">
                  <c:v>569</c:v>
                </c:pt>
                <c:pt idx="6">
                  <c:v>1061</c:v>
                </c:pt>
                <c:pt idx="7">
                  <c:v>1642</c:v>
                </c:pt>
                <c:pt idx="8">
                  <c:v>2542</c:v>
                </c:pt>
                <c:pt idx="9">
                  <c:v>3856</c:v>
                </c:pt>
                <c:pt idx="10">
                  <c:v>5728</c:v>
                </c:pt>
                <c:pt idx="11">
                  <c:v>8656</c:v>
                </c:pt>
                <c:pt idx="12">
                  <c:v>9833</c:v>
                </c:pt>
                <c:pt idx="13">
                  <c:v>10125</c:v>
                </c:pt>
                <c:pt idx="14">
                  <c:v>11586</c:v>
                </c:pt>
                <c:pt idx="15">
                  <c:v>12603</c:v>
                </c:pt>
                <c:pt idx="16">
                  <c:v>15442</c:v>
                </c:pt>
                <c:pt idx="17">
                  <c:v>16140.1787109375</c:v>
                </c:pt>
                <c:pt idx="18">
                  <c:v>16324.09375</c:v>
                </c:pt>
                <c:pt idx="19">
                  <c:v>16060.8095703125</c:v>
                </c:pt>
                <c:pt idx="20">
                  <c:v>16301.146484375</c:v>
                </c:pt>
                <c:pt idx="21">
                  <c:v>16798.736328125</c:v>
                </c:pt>
                <c:pt idx="22">
                  <c:v>17058.607421875</c:v>
                </c:pt>
                <c:pt idx="23">
                  <c:v>16965.77734375</c:v>
                </c:pt>
                <c:pt idx="24">
                  <c:v>17158.63671875</c:v>
                </c:pt>
                <c:pt idx="25">
                  <c:v>17667.849609375</c:v>
                </c:pt>
                <c:pt idx="26">
                  <c:v>17682.05078125</c:v>
                </c:pt>
                <c:pt idx="27">
                  <c:v>18024.537109375</c:v>
                </c:pt>
                <c:pt idx="28">
                  <c:v>18688.484375</c:v>
                </c:pt>
                <c:pt idx="29">
                  <c:v>19241.30078125</c:v>
                </c:pt>
                <c:pt idx="30">
                  <c:v>19457.904296875</c:v>
                </c:pt>
                <c:pt idx="31">
                  <c:v>20363.5390625</c:v>
                </c:pt>
                <c:pt idx="32">
                  <c:v>20857.609375</c:v>
                </c:pt>
                <c:pt idx="33">
                  <c:v>21149.6796875</c:v>
                </c:pt>
                <c:pt idx="34">
                  <c:v>21385.451171875</c:v>
                </c:pt>
                <c:pt idx="35">
                  <c:v>22046.345703125</c:v>
                </c:pt>
                <c:pt idx="36">
                  <c:v>23001.080078125</c:v>
                </c:pt>
                <c:pt idx="37">
                  <c:v>23987.828125</c:v>
                </c:pt>
                <c:pt idx="38">
                  <c:v>24258.033203125</c:v>
                </c:pt>
                <c:pt idx="39">
                  <c:v>25212.42578125</c:v>
                </c:pt>
                <c:pt idx="40">
                  <c:v>25967.12890625</c:v>
                </c:pt>
                <c:pt idx="41">
                  <c:v>26215.67578125</c:v>
                </c:pt>
                <c:pt idx="42">
                  <c:v>25904.46875</c:v>
                </c:pt>
                <c:pt idx="43">
                  <c:v>25654.251953125</c:v>
                </c:pt>
                <c:pt idx="44">
                  <c:v>25556.59375</c:v>
                </c:pt>
                <c:pt idx="45">
                  <c:v>25685.59375</c:v>
                </c:pt>
                <c:pt idx="46">
                  <c:v>25784.77734375</c:v>
                </c:pt>
                <c:pt idx="47">
                  <c:v>25963.681640625</c:v>
                </c:pt>
                <c:pt idx="48">
                  <c:v>26582.123046875</c:v>
                </c:pt>
                <c:pt idx="49">
                  <c:v>26536.6875</c:v>
                </c:pt>
                <c:pt idx="50">
                  <c:v>26366.365234375</c:v>
                </c:pt>
                <c:pt idx="51">
                  <c:v>26479.49609375</c:v>
                </c:pt>
                <c:pt idx="52">
                  <c:v>27427.5234375</c:v>
                </c:pt>
                <c:pt idx="53">
                  <c:v>27860.15234375</c:v>
                </c:pt>
                <c:pt idx="54">
                  <c:v>28955.103515625</c:v>
                </c:pt>
                <c:pt idx="55">
                  <c:v>31499.232421875</c:v>
                </c:pt>
                <c:pt idx="56">
                  <c:v>33673.01171875</c:v>
                </c:pt>
                <c:pt idx="57">
                  <c:v>36169.05859375</c:v>
                </c:pt>
                <c:pt idx="58">
                  <c:v>38069.03515625</c:v>
                </c:pt>
                <c:pt idx="59">
                  <c:v>40228.41796875</c:v>
                </c:pt>
                <c:pt idx="60">
                  <c:v>40773.58203125</c:v>
                </c:pt>
                <c:pt idx="61">
                  <c:v>40175.359375</c:v>
                </c:pt>
                <c:pt idx="62">
                  <c:v>41996.38671875</c:v>
                </c:pt>
                <c:pt idx="63">
                  <c:v>44017.296875</c:v>
                </c:pt>
                <c:pt idx="64">
                  <c:v>44184.375</c:v>
                </c:pt>
                <c:pt idx="65">
                  <c:v>44842.6171875</c:v>
                </c:pt>
                <c:pt idx="66">
                  <c:v>45161.20703125</c:v>
                </c:pt>
                <c:pt idx="67">
                  <c:v>44054.44140625</c:v>
                </c:pt>
                <c:pt idx="68">
                  <c:v>43504.1640625</c:v>
                </c:pt>
                <c:pt idx="69">
                  <c:v>43751.67578125</c:v>
                </c:pt>
                <c:pt idx="70">
                  <c:v>44315.875</c:v>
                </c:pt>
                <c:pt idx="71">
                  <c:v>43699.88671875</c:v>
                </c:pt>
                <c:pt idx="72">
                  <c:v>41963.96484375</c:v>
                </c:pt>
                <c:pt idx="73">
                  <c:v>44473.1953125</c:v>
                </c:pt>
              </c:numCache>
            </c:numRef>
          </c:val>
          <c:extLst>
            <c:ext xmlns:c16="http://schemas.microsoft.com/office/drawing/2014/chart" uri="{C3380CC4-5D6E-409C-BE32-E72D297353CC}">
              <c16:uniqueId val="{00000008-6B3B-417D-8AF5-E7B28F6DC9FC}"/>
            </c:ext>
          </c:extLst>
        </c:ser>
        <c:ser>
          <c:idx val="10"/>
          <c:order val="10"/>
          <c:tx>
            <c:strRef>
              <c:f>'global-primary-energy'!$M$1</c:f>
              <c:strCache>
                <c:ptCount val="1"/>
                <c:pt idx="0">
                  <c:v>Traditional biomass </c:v>
                </c:pt>
              </c:strCache>
            </c:strRef>
          </c:tx>
          <c:spPr>
            <a:solidFill>
              <a:schemeClr val="accent5">
                <a:lumMod val="80000"/>
              </a:schemeClr>
            </a:solidFill>
            <a:ln>
              <a:noFill/>
            </a:ln>
            <a:effectLst/>
          </c:spPr>
          <c:cat>
            <c:numRef>
              <c:f>'global-primary-energy'!$C$2:$C$75</c:f>
              <c:numCache>
                <c:formatCode>General</c:formatCode>
                <c:ptCount val="74"/>
                <c:pt idx="0">
                  <c:v>1800</c:v>
                </c:pt>
                <c:pt idx="1">
                  <c:v>1810</c:v>
                </c:pt>
                <c:pt idx="2">
                  <c:v>1820</c:v>
                </c:pt>
                <c:pt idx="3">
                  <c:v>1830</c:v>
                </c:pt>
                <c:pt idx="4">
                  <c:v>1840</c:v>
                </c:pt>
                <c:pt idx="5">
                  <c:v>1850</c:v>
                </c:pt>
                <c:pt idx="6">
                  <c:v>1860</c:v>
                </c:pt>
                <c:pt idx="7">
                  <c:v>1870</c:v>
                </c:pt>
                <c:pt idx="8">
                  <c:v>1880</c:v>
                </c:pt>
                <c:pt idx="9">
                  <c:v>1890</c:v>
                </c:pt>
                <c:pt idx="10">
                  <c:v>1900</c:v>
                </c:pt>
                <c:pt idx="11">
                  <c:v>1910</c:v>
                </c:pt>
                <c:pt idx="12">
                  <c:v>1920</c:v>
                </c:pt>
                <c:pt idx="13">
                  <c:v>1930</c:v>
                </c:pt>
                <c:pt idx="14">
                  <c:v>1940</c:v>
                </c:pt>
                <c:pt idx="15">
                  <c:v>1950</c:v>
                </c:pt>
                <c:pt idx="16">
                  <c:v>1960</c:v>
                </c:pt>
                <c:pt idx="17">
                  <c:v>1965</c:v>
                </c:pt>
                <c:pt idx="18">
                  <c:v>1966</c:v>
                </c:pt>
                <c:pt idx="19">
                  <c:v>1967</c:v>
                </c:pt>
                <c:pt idx="20">
                  <c:v>1968</c:v>
                </c:pt>
                <c:pt idx="21">
                  <c:v>1969</c:v>
                </c:pt>
                <c:pt idx="22">
                  <c:v>1970</c:v>
                </c:pt>
                <c:pt idx="23">
                  <c:v>1971</c:v>
                </c:pt>
                <c:pt idx="24">
                  <c:v>1972</c:v>
                </c:pt>
                <c:pt idx="25">
                  <c:v>1973</c:v>
                </c:pt>
                <c:pt idx="26">
                  <c:v>1974</c:v>
                </c:pt>
                <c:pt idx="27">
                  <c:v>1975</c:v>
                </c:pt>
                <c:pt idx="28">
                  <c:v>1976</c:v>
                </c:pt>
                <c:pt idx="29">
                  <c:v>1977</c:v>
                </c:pt>
                <c:pt idx="30">
                  <c:v>1978</c:v>
                </c:pt>
                <c:pt idx="31">
                  <c:v>1979</c:v>
                </c:pt>
                <c:pt idx="32">
                  <c:v>1980</c:v>
                </c:pt>
                <c:pt idx="33">
                  <c:v>1981</c:v>
                </c:pt>
                <c:pt idx="34">
                  <c:v>1982</c:v>
                </c:pt>
                <c:pt idx="35">
                  <c:v>1983</c:v>
                </c:pt>
                <c:pt idx="36">
                  <c:v>1984</c:v>
                </c:pt>
                <c:pt idx="37">
                  <c:v>1985</c:v>
                </c:pt>
                <c:pt idx="38">
                  <c:v>1986</c:v>
                </c:pt>
                <c:pt idx="39">
                  <c:v>1987</c:v>
                </c:pt>
                <c:pt idx="40">
                  <c:v>1988</c:v>
                </c:pt>
                <c:pt idx="41">
                  <c:v>1989</c:v>
                </c:pt>
                <c:pt idx="42">
                  <c:v>1990</c:v>
                </c:pt>
                <c:pt idx="43">
                  <c:v>1991</c:v>
                </c:pt>
                <c:pt idx="44">
                  <c:v>1992</c:v>
                </c:pt>
                <c:pt idx="45">
                  <c:v>1993</c:v>
                </c:pt>
                <c:pt idx="46">
                  <c:v>1994</c:v>
                </c:pt>
                <c:pt idx="47">
                  <c:v>1995</c:v>
                </c:pt>
                <c:pt idx="48">
                  <c:v>1996</c:v>
                </c:pt>
                <c:pt idx="49">
                  <c:v>1997</c:v>
                </c:pt>
                <c:pt idx="50">
                  <c:v>1998</c:v>
                </c:pt>
                <c:pt idx="51">
                  <c:v>1999</c:v>
                </c:pt>
                <c:pt idx="52">
                  <c:v>2000</c:v>
                </c:pt>
                <c:pt idx="53">
                  <c:v>2001</c:v>
                </c:pt>
                <c:pt idx="54">
                  <c:v>2002</c:v>
                </c:pt>
                <c:pt idx="55">
                  <c:v>2003</c:v>
                </c:pt>
                <c:pt idx="56">
                  <c:v>2004</c:v>
                </c:pt>
                <c:pt idx="57">
                  <c:v>2005</c:v>
                </c:pt>
                <c:pt idx="58">
                  <c:v>2006</c:v>
                </c:pt>
                <c:pt idx="59">
                  <c:v>2007</c:v>
                </c:pt>
                <c:pt idx="60">
                  <c:v>2008</c:v>
                </c:pt>
                <c:pt idx="61">
                  <c:v>2009</c:v>
                </c:pt>
                <c:pt idx="62">
                  <c:v>2010</c:v>
                </c:pt>
                <c:pt idx="63">
                  <c:v>2011</c:v>
                </c:pt>
                <c:pt idx="64">
                  <c:v>2012</c:v>
                </c:pt>
                <c:pt idx="65">
                  <c:v>2013</c:v>
                </c:pt>
                <c:pt idx="66">
                  <c:v>2014</c:v>
                </c:pt>
                <c:pt idx="67">
                  <c:v>2015</c:v>
                </c:pt>
                <c:pt idx="68">
                  <c:v>2016</c:v>
                </c:pt>
                <c:pt idx="69">
                  <c:v>2017</c:v>
                </c:pt>
                <c:pt idx="70">
                  <c:v>2018</c:v>
                </c:pt>
                <c:pt idx="71">
                  <c:v>2019</c:v>
                </c:pt>
                <c:pt idx="72">
                  <c:v>2020</c:v>
                </c:pt>
                <c:pt idx="73">
                  <c:v>2021</c:v>
                </c:pt>
              </c:numCache>
            </c:numRef>
          </c:cat>
          <c:val>
            <c:numRef>
              <c:f>'global-primary-energy'!$M$2:$M$75</c:f>
              <c:numCache>
                <c:formatCode>General</c:formatCode>
                <c:ptCount val="74"/>
                <c:pt idx="0">
                  <c:v>5556</c:v>
                </c:pt>
                <c:pt idx="1">
                  <c:v>5833</c:v>
                </c:pt>
                <c:pt idx="2">
                  <c:v>6111</c:v>
                </c:pt>
                <c:pt idx="3">
                  <c:v>6389</c:v>
                </c:pt>
                <c:pt idx="4">
                  <c:v>6944</c:v>
                </c:pt>
                <c:pt idx="5">
                  <c:v>7222</c:v>
                </c:pt>
                <c:pt idx="6">
                  <c:v>6944</c:v>
                </c:pt>
                <c:pt idx="7">
                  <c:v>6944</c:v>
                </c:pt>
                <c:pt idx="8">
                  <c:v>6944</c:v>
                </c:pt>
                <c:pt idx="9">
                  <c:v>6667</c:v>
                </c:pt>
                <c:pt idx="10">
                  <c:v>6111</c:v>
                </c:pt>
                <c:pt idx="11">
                  <c:v>6389</c:v>
                </c:pt>
                <c:pt idx="12">
                  <c:v>6944</c:v>
                </c:pt>
                <c:pt idx="13">
                  <c:v>7222</c:v>
                </c:pt>
                <c:pt idx="14">
                  <c:v>7222</c:v>
                </c:pt>
                <c:pt idx="15">
                  <c:v>7500</c:v>
                </c:pt>
                <c:pt idx="16">
                  <c:v>8889</c:v>
                </c:pt>
                <c:pt idx="17">
                  <c:v>9162</c:v>
                </c:pt>
                <c:pt idx="18">
                  <c:v>9218</c:v>
                </c:pt>
                <c:pt idx="19">
                  <c:v>9274</c:v>
                </c:pt>
                <c:pt idx="20">
                  <c:v>9331</c:v>
                </c:pt>
                <c:pt idx="21">
                  <c:v>9387</c:v>
                </c:pt>
                <c:pt idx="22">
                  <c:v>9444</c:v>
                </c:pt>
                <c:pt idx="23">
                  <c:v>9499</c:v>
                </c:pt>
                <c:pt idx="24">
                  <c:v>9553</c:v>
                </c:pt>
                <c:pt idx="25">
                  <c:v>9608</c:v>
                </c:pt>
                <c:pt idx="26">
                  <c:v>9663</c:v>
                </c:pt>
                <c:pt idx="27">
                  <c:v>9718</c:v>
                </c:pt>
                <c:pt idx="28">
                  <c:v>9774</c:v>
                </c:pt>
                <c:pt idx="29">
                  <c:v>9830</c:v>
                </c:pt>
                <c:pt idx="30">
                  <c:v>9886</c:v>
                </c:pt>
                <c:pt idx="31">
                  <c:v>9943</c:v>
                </c:pt>
                <c:pt idx="32">
                  <c:v>10000</c:v>
                </c:pt>
                <c:pt idx="33">
                  <c:v>10106</c:v>
                </c:pt>
                <c:pt idx="34">
                  <c:v>10213</c:v>
                </c:pt>
                <c:pt idx="35">
                  <c:v>10321</c:v>
                </c:pt>
                <c:pt idx="36">
                  <c:v>10430</c:v>
                </c:pt>
                <c:pt idx="37">
                  <c:v>10541</c:v>
                </c:pt>
                <c:pt idx="38">
                  <c:v>10653</c:v>
                </c:pt>
                <c:pt idx="39">
                  <c:v>10765</c:v>
                </c:pt>
                <c:pt idx="40">
                  <c:v>10879</c:v>
                </c:pt>
                <c:pt idx="41">
                  <c:v>10995</c:v>
                </c:pt>
                <c:pt idx="42">
                  <c:v>11111</c:v>
                </c:pt>
                <c:pt idx="43">
                  <c:v>11243</c:v>
                </c:pt>
                <c:pt idx="44">
                  <c:v>11376</c:v>
                </c:pt>
                <c:pt idx="45">
                  <c:v>11511</c:v>
                </c:pt>
                <c:pt idx="46">
                  <c:v>11647</c:v>
                </c:pt>
                <c:pt idx="47">
                  <c:v>11785</c:v>
                </c:pt>
                <c:pt idx="48">
                  <c:v>11925</c:v>
                </c:pt>
                <c:pt idx="49">
                  <c:v>12066</c:v>
                </c:pt>
                <c:pt idx="50">
                  <c:v>12209</c:v>
                </c:pt>
                <c:pt idx="51">
                  <c:v>12414</c:v>
                </c:pt>
                <c:pt idx="52">
                  <c:v>12500</c:v>
                </c:pt>
                <c:pt idx="53">
                  <c:v>12500</c:v>
                </c:pt>
                <c:pt idx="54">
                  <c:v>12470</c:v>
                </c:pt>
                <c:pt idx="55">
                  <c:v>12329</c:v>
                </c:pt>
                <c:pt idx="56">
                  <c:v>12160</c:v>
                </c:pt>
                <c:pt idx="57">
                  <c:v>12076</c:v>
                </c:pt>
                <c:pt idx="58">
                  <c:v>11993</c:v>
                </c:pt>
                <c:pt idx="59">
                  <c:v>11911</c:v>
                </c:pt>
                <c:pt idx="60">
                  <c:v>11829</c:v>
                </c:pt>
                <c:pt idx="61">
                  <c:v>11747</c:v>
                </c:pt>
                <c:pt idx="62">
                  <c:v>11667</c:v>
                </c:pt>
                <c:pt idx="63">
                  <c:v>11553</c:v>
                </c:pt>
                <c:pt idx="64">
                  <c:v>11441</c:v>
                </c:pt>
                <c:pt idx="65">
                  <c:v>11330</c:v>
                </c:pt>
                <c:pt idx="66">
                  <c:v>11220</c:v>
                </c:pt>
                <c:pt idx="67">
                  <c:v>11111</c:v>
                </c:pt>
                <c:pt idx="68">
                  <c:v>11111</c:v>
                </c:pt>
                <c:pt idx="69">
                  <c:v>11111</c:v>
                </c:pt>
                <c:pt idx="70">
                  <c:v>11111</c:v>
                </c:pt>
                <c:pt idx="71">
                  <c:v>11111</c:v>
                </c:pt>
                <c:pt idx="72">
                  <c:v>11111</c:v>
                </c:pt>
                <c:pt idx="73">
                  <c:v>11111</c:v>
                </c:pt>
              </c:numCache>
            </c:numRef>
          </c:val>
          <c:extLst>
            <c:ext xmlns:c16="http://schemas.microsoft.com/office/drawing/2014/chart" uri="{C3380CC4-5D6E-409C-BE32-E72D297353CC}">
              <c16:uniqueId val="{00000009-6B3B-417D-8AF5-E7B28F6DC9FC}"/>
            </c:ext>
          </c:extLst>
        </c:ser>
        <c:dLbls>
          <c:showLegendKey val="0"/>
          <c:showVal val="0"/>
          <c:showCatName val="0"/>
          <c:showSerName val="0"/>
          <c:showPercent val="0"/>
          <c:showBubbleSize val="0"/>
        </c:dLbls>
        <c:axId val="137000319"/>
        <c:axId val="137010303"/>
        <c:extLst>
          <c:ext xmlns:c15="http://schemas.microsoft.com/office/drawing/2012/chart" uri="{02D57815-91ED-43cb-92C2-25804820EDAC}">
            <c15:filteredAreaSeries>
              <c15:ser>
                <c:idx val="0"/>
                <c:order val="0"/>
                <c:tx>
                  <c:strRef>
                    <c:extLst>
                      <c:ext uri="{02D57815-91ED-43cb-92C2-25804820EDAC}">
                        <c15:formulaRef>
                          <c15:sqref>'global-primary-energy'!$C$1</c15:sqref>
                        </c15:formulaRef>
                      </c:ext>
                    </c:extLst>
                    <c:strCache>
                      <c:ptCount val="1"/>
                      <c:pt idx="0">
                        <c:v>Year</c:v>
                      </c:pt>
                    </c:strCache>
                  </c:strRef>
                </c:tx>
                <c:spPr>
                  <a:solidFill>
                    <a:schemeClr val="accent6"/>
                  </a:solidFill>
                  <a:ln>
                    <a:noFill/>
                  </a:ln>
                  <a:effectLst/>
                </c:spPr>
                <c:cat>
                  <c:numRef>
                    <c:extLst>
                      <c:ext uri="{02D57815-91ED-43cb-92C2-25804820EDAC}">
                        <c15:formulaRef>
                          <c15:sqref>'global-primary-energy'!$C$2:$C$75</c15:sqref>
                        </c15:formulaRef>
                      </c:ext>
                    </c:extLst>
                    <c:numCache>
                      <c:formatCode>General</c:formatCode>
                      <c:ptCount val="74"/>
                      <c:pt idx="0">
                        <c:v>1800</c:v>
                      </c:pt>
                      <c:pt idx="1">
                        <c:v>1810</c:v>
                      </c:pt>
                      <c:pt idx="2">
                        <c:v>1820</c:v>
                      </c:pt>
                      <c:pt idx="3">
                        <c:v>1830</c:v>
                      </c:pt>
                      <c:pt idx="4">
                        <c:v>1840</c:v>
                      </c:pt>
                      <c:pt idx="5">
                        <c:v>1850</c:v>
                      </c:pt>
                      <c:pt idx="6">
                        <c:v>1860</c:v>
                      </c:pt>
                      <c:pt idx="7">
                        <c:v>1870</c:v>
                      </c:pt>
                      <c:pt idx="8">
                        <c:v>1880</c:v>
                      </c:pt>
                      <c:pt idx="9">
                        <c:v>1890</c:v>
                      </c:pt>
                      <c:pt idx="10">
                        <c:v>1900</c:v>
                      </c:pt>
                      <c:pt idx="11">
                        <c:v>1910</c:v>
                      </c:pt>
                      <c:pt idx="12">
                        <c:v>1920</c:v>
                      </c:pt>
                      <c:pt idx="13">
                        <c:v>1930</c:v>
                      </c:pt>
                      <c:pt idx="14">
                        <c:v>1940</c:v>
                      </c:pt>
                      <c:pt idx="15">
                        <c:v>1950</c:v>
                      </c:pt>
                      <c:pt idx="16">
                        <c:v>1960</c:v>
                      </c:pt>
                      <c:pt idx="17">
                        <c:v>1965</c:v>
                      </c:pt>
                      <c:pt idx="18">
                        <c:v>1966</c:v>
                      </c:pt>
                      <c:pt idx="19">
                        <c:v>1967</c:v>
                      </c:pt>
                      <c:pt idx="20">
                        <c:v>1968</c:v>
                      </c:pt>
                      <c:pt idx="21">
                        <c:v>1969</c:v>
                      </c:pt>
                      <c:pt idx="22">
                        <c:v>1970</c:v>
                      </c:pt>
                      <c:pt idx="23">
                        <c:v>1971</c:v>
                      </c:pt>
                      <c:pt idx="24">
                        <c:v>1972</c:v>
                      </c:pt>
                      <c:pt idx="25">
                        <c:v>1973</c:v>
                      </c:pt>
                      <c:pt idx="26">
                        <c:v>1974</c:v>
                      </c:pt>
                      <c:pt idx="27">
                        <c:v>1975</c:v>
                      </c:pt>
                      <c:pt idx="28">
                        <c:v>1976</c:v>
                      </c:pt>
                      <c:pt idx="29">
                        <c:v>1977</c:v>
                      </c:pt>
                      <c:pt idx="30">
                        <c:v>1978</c:v>
                      </c:pt>
                      <c:pt idx="31">
                        <c:v>1979</c:v>
                      </c:pt>
                      <c:pt idx="32">
                        <c:v>1980</c:v>
                      </c:pt>
                      <c:pt idx="33">
                        <c:v>1981</c:v>
                      </c:pt>
                      <c:pt idx="34">
                        <c:v>1982</c:v>
                      </c:pt>
                      <c:pt idx="35">
                        <c:v>1983</c:v>
                      </c:pt>
                      <c:pt idx="36">
                        <c:v>1984</c:v>
                      </c:pt>
                      <c:pt idx="37">
                        <c:v>1985</c:v>
                      </c:pt>
                      <c:pt idx="38">
                        <c:v>1986</c:v>
                      </c:pt>
                      <c:pt idx="39">
                        <c:v>1987</c:v>
                      </c:pt>
                      <c:pt idx="40">
                        <c:v>1988</c:v>
                      </c:pt>
                      <c:pt idx="41">
                        <c:v>1989</c:v>
                      </c:pt>
                      <c:pt idx="42">
                        <c:v>1990</c:v>
                      </c:pt>
                      <c:pt idx="43">
                        <c:v>1991</c:v>
                      </c:pt>
                      <c:pt idx="44">
                        <c:v>1992</c:v>
                      </c:pt>
                      <c:pt idx="45">
                        <c:v>1993</c:v>
                      </c:pt>
                      <c:pt idx="46">
                        <c:v>1994</c:v>
                      </c:pt>
                      <c:pt idx="47">
                        <c:v>1995</c:v>
                      </c:pt>
                      <c:pt idx="48">
                        <c:v>1996</c:v>
                      </c:pt>
                      <c:pt idx="49">
                        <c:v>1997</c:v>
                      </c:pt>
                      <c:pt idx="50">
                        <c:v>1998</c:v>
                      </c:pt>
                      <c:pt idx="51">
                        <c:v>1999</c:v>
                      </c:pt>
                      <c:pt idx="52">
                        <c:v>2000</c:v>
                      </c:pt>
                      <c:pt idx="53">
                        <c:v>2001</c:v>
                      </c:pt>
                      <c:pt idx="54">
                        <c:v>2002</c:v>
                      </c:pt>
                      <c:pt idx="55">
                        <c:v>2003</c:v>
                      </c:pt>
                      <c:pt idx="56">
                        <c:v>2004</c:v>
                      </c:pt>
                      <c:pt idx="57">
                        <c:v>2005</c:v>
                      </c:pt>
                      <c:pt idx="58">
                        <c:v>2006</c:v>
                      </c:pt>
                      <c:pt idx="59">
                        <c:v>2007</c:v>
                      </c:pt>
                      <c:pt idx="60">
                        <c:v>2008</c:v>
                      </c:pt>
                      <c:pt idx="61">
                        <c:v>2009</c:v>
                      </c:pt>
                      <c:pt idx="62">
                        <c:v>2010</c:v>
                      </c:pt>
                      <c:pt idx="63">
                        <c:v>2011</c:v>
                      </c:pt>
                      <c:pt idx="64">
                        <c:v>2012</c:v>
                      </c:pt>
                      <c:pt idx="65">
                        <c:v>2013</c:v>
                      </c:pt>
                      <c:pt idx="66">
                        <c:v>2014</c:v>
                      </c:pt>
                      <c:pt idx="67">
                        <c:v>2015</c:v>
                      </c:pt>
                      <c:pt idx="68">
                        <c:v>2016</c:v>
                      </c:pt>
                      <c:pt idx="69">
                        <c:v>2017</c:v>
                      </c:pt>
                      <c:pt idx="70">
                        <c:v>2018</c:v>
                      </c:pt>
                      <c:pt idx="71">
                        <c:v>2019</c:v>
                      </c:pt>
                      <c:pt idx="72">
                        <c:v>2020</c:v>
                      </c:pt>
                      <c:pt idx="73">
                        <c:v>2021</c:v>
                      </c:pt>
                    </c:numCache>
                  </c:numRef>
                </c:cat>
                <c:val>
                  <c:numRef>
                    <c:extLst>
                      <c:ext uri="{02D57815-91ED-43cb-92C2-25804820EDAC}">
                        <c15:formulaRef>
                          <c15:sqref>'global-primary-energy'!$C$2:$C$75</c15:sqref>
                        </c15:formulaRef>
                      </c:ext>
                    </c:extLst>
                    <c:numCache>
                      <c:formatCode>General</c:formatCode>
                      <c:ptCount val="74"/>
                      <c:pt idx="0">
                        <c:v>1800</c:v>
                      </c:pt>
                      <c:pt idx="1">
                        <c:v>1810</c:v>
                      </c:pt>
                      <c:pt idx="2">
                        <c:v>1820</c:v>
                      </c:pt>
                      <c:pt idx="3">
                        <c:v>1830</c:v>
                      </c:pt>
                      <c:pt idx="4">
                        <c:v>1840</c:v>
                      </c:pt>
                      <c:pt idx="5">
                        <c:v>1850</c:v>
                      </c:pt>
                      <c:pt idx="6">
                        <c:v>1860</c:v>
                      </c:pt>
                      <c:pt idx="7">
                        <c:v>1870</c:v>
                      </c:pt>
                      <c:pt idx="8">
                        <c:v>1880</c:v>
                      </c:pt>
                      <c:pt idx="9">
                        <c:v>1890</c:v>
                      </c:pt>
                      <c:pt idx="10">
                        <c:v>1900</c:v>
                      </c:pt>
                      <c:pt idx="11">
                        <c:v>1910</c:v>
                      </c:pt>
                      <c:pt idx="12">
                        <c:v>1920</c:v>
                      </c:pt>
                      <c:pt idx="13">
                        <c:v>1930</c:v>
                      </c:pt>
                      <c:pt idx="14">
                        <c:v>1940</c:v>
                      </c:pt>
                      <c:pt idx="15">
                        <c:v>1950</c:v>
                      </c:pt>
                      <c:pt idx="16">
                        <c:v>1960</c:v>
                      </c:pt>
                      <c:pt idx="17">
                        <c:v>1965</c:v>
                      </c:pt>
                      <c:pt idx="18">
                        <c:v>1966</c:v>
                      </c:pt>
                      <c:pt idx="19">
                        <c:v>1967</c:v>
                      </c:pt>
                      <c:pt idx="20">
                        <c:v>1968</c:v>
                      </c:pt>
                      <c:pt idx="21">
                        <c:v>1969</c:v>
                      </c:pt>
                      <c:pt idx="22">
                        <c:v>1970</c:v>
                      </c:pt>
                      <c:pt idx="23">
                        <c:v>1971</c:v>
                      </c:pt>
                      <c:pt idx="24">
                        <c:v>1972</c:v>
                      </c:pt>
                      <c:pt idx="25">
                        <c:v>1973</c:v>
                      </c:pt>
                      <c:pt idx="26">
                        <c:v>1974</c:v>
                      </c:pt>
                      <c:pt idx="27">
                        <c:v>1975</c:v>
                      </c:pt>
                      <c:pt idx="28">
                        <c:v>1976</c:v>
                      </c:pt>
                      <c:pt idx="29">
                        <c:v>1977</c:v>
                      </c:pt>
                      <c:pt idx="30">
                        <c:v>1978</c:v>
                      </c:pt>
                      <c:pt idx="31">
                        <c:v>1979</c:v>
                      </c:pt>
                      <c:pt idx="32">
                        <c:v>1980</c:v>
                      </c:pt>
                      <c:pt idx="33">
                        <c:v>1981</c:v>
                      </c:pt>
                      <c:pt idx="34">
                        <c:v>1982</c:v>
                      </c:pt>
                      <c:pt idx="35">
                        <c:v>1983</c:v>
                      </c:pt>
                      <c:pt idx="36">
                        <c:v>1984</c:v>
                      </c:pt>
                      <c:pt idx="37">
                        <c:v>1985</c:v>
                      </c:pt>
                      <c:pt idx="38">
                        <c:v>1986</c:v>
                      </c:pt>
                      <c:pt idx="39">
                        <c:v>1987</c:v>
                      </c:pt>
                      <c:pt idx="40">
                        <c:v>1988</c:v>
                      </c:pt>
                      <c:pt idx="41">
                        <c:v>1989</c:v>
                      </c:pt>
                      <c:pt idx="42">
                        <c:v>1990</c:v>
                      </c:pt>
                      <c:pt idx="43">
                        <c:v>1991</c:v>
                      </c:pt>
                      <c:pt idx="44">
                        <c:v>1992</c:v>
                      </c:pt>
                      <c:pt idx="45">
                        <c:v>1993</c:v>
                      </c:pt>
                      <c:pt idx="46">
                        <c:v>1994</c:v>
                      </c:pt>
                      <c:pt idx="47">
                        <c:v>1995</c:v>
                      </c:pt>
                      <c:pt idx="48">
                        <c:v>1996</c:v>
                      </c:pt>
                      <c:pt idx="49">
                        <c:v>1997</c:v>
                      </c:pt>
                      <c:pt idx="50">
                        <c:v>1998</c:v>
                      </c:pt>
                      <c:pt idx="51">
                        <c:v>1999</c:v>
                      </c:pt>
                      <c:pt idx="52">
                        <c:v>2000</c:v>
                      </c:pt>
                      <c:pt idx="53">
                        <c:v>2001</c:v>
                      </c:pt>
                      <c:pt idx="54">
                        <c:v>2002</c:v>
                      </c:pt>
                      <c:pt idx="55">
                        <c:v>2003</c:v>
                      </c:pt>
                      <c:pt idx="56">
                        <c:v>2004</c:v>
                      </c:pt>
                      <c:pt idx="57">
                        <c:v>2005</c:v>
                      </c:pt>
                      <c:pt idx="58">
                        <c:v>2006</c:v>
                      </c:pt>
                      <c:pt idx="59">
                        <c:v>2007</c:v>
                      </c:pt>
                      <c:pt idx="60">
                        <c:v>2008</c:v>
                      </c:pt>
                      <c:pt idx="61">
                        <c:v>2009</c:v>
                      </c:pt>
                      <c:pt idx="62">
                        <c:v>2010</c:v>
                      </c:pt>
                      <c:pt idx="63">
                        <c:v>2011</c:v>
                      </c:pt>
                      <c:pt idx="64">
                        <c:v>2012</c:v>
                      </c:pt>
                      <c:pt idx="65">
                        <c:v>2013</c:v>
                      </c:pt>
                      <c:pt idx="66">
                        <c:v>2014</c:v>
                      </c:pt>
                      <c:pt idx="67">
                        <c:v>2015</c:v>
                      </c:pt>
                      <c:pt idx="68">
                        <c:v>2016</c:v>
                      </c:pt>
                      <c:pt idx="69">
                        <c:v>2017</c:v>
                      </c:pt>
                      <c:pt idx="70">
                        <c:v>2018</c:v>
                      </c:pt>
                      <c:pt idx="71">
                        <c:v>2019</c:v>
                      </c:pt>
                      <c:pt idx="72">
                        <c:v>2020</c:v>
                      </c:pt>
                      <c:pt idx="73">
                        <c:v>2021</c:v>
                      </c:pt>
                    </c:numCache>
                  </c:numRef>
                </c:val>
                <c:extLst>
                  <c:ext xmlns:c16="http://schemas.microsoft.com/office/drawing/2014/chart" uri="{C3380CC4-5D6E-409C-BE32-E72D297353CC}">
                    <c16:uniqueId val="{0000000A-6B3B-417D-8AF5-E7B28F6DC9FC}"/>
                  </c:ext>
                </c:extLst>
              </c15:ser>
            </c15:filteredAreaSeries>
          </c:ext>
        </c:extLst>
      </c:areaChart>
      <c:catAx>
        <c:axId val="13700031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010303"/>
        <c:crosses val="autoZero"/>
        <c:auto val="1"/>
        <c:lblAlgn val="ctr"/>
        <c:lblOffset val="100"/>
        <c:noMultiLvlLbl val="0"/>
      </c:catAx>
      <c:valAx>
        <c:axId val="137010303"/>
        <c:scaling>
          <c:orientation val="minMax"/>
          <c:max val="16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Energy,</a:t>
                </a:r>
                <a:r>
                  <a:rPr lang="en-US" baseline="0"/>
                  <a:t> terrawatt-hourss (TWh)</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000319"/>
        <c:crosses val="autoZero"/>
        <c:crossBetween val="midCat"/>
      </c:valAx>
      <c:spPr>
        <a:noFill/>
        <a:ln>
          <a:noFill/>
        </a:ln>
        <a:effectLst/>
      </c:spPr>
    </c:plotArea>
    <c:legend>
      <c:legendPos val="r"/>
      <c:layout>
        <c:manualLayout>
          <c:xMode val="edge"/>
          <c:yMode val="edge"/>
          <c:x val="0.1525706642438926"/>
          <c:y val="0.10189311442452673"/>
          <c:w val="0.19144642977320142"/>
          <c:h val="0.45682524978495337"/>
        </c:manualLayout>
      </c:layout>
      <c:overlay val="1"/>
      <c:spPr>
        <a:solidFill>
          <a:schemeClr val="bg1"/>
        </a:solidFill>
        <a:ln>
          <a:solidFill>
            <a:schemeClr val="bg1">
              <a:lumMod val="8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areaChart>
        <c:grouping val="stacked"/>
        <c:varyColors val="0"/>
        <c:ser>
          <c:idx val="1"/>
          <c:order val="0"/>
          <c:tx>
            <c:strRef>
              <c:f>'Sheet3 (2)'!$A$2</c:f>
              <c:strCache>
                <c:ptCount val="1"/>
                <c:pt idx="0">
                  <c:v>Africa</c:v>
                </c:pt>
              </c:strCache>
            </c:strRef>
          </c:tx>
          <c:spPr>
            <a:solidFill>
              <a:schemeClr val="accent2"/>
            </a:solidFill>
            <a:ln>
              <a:noFill/>
            </a:ln>
            <a:effectLst/>
          </c:spPr>
          <c:cat>
            <c:numRef>
              <c:f>'Sheet3 (2)'!$AI$2:$AI$273</c:f>
              <c:numCache>
                <c:formatCode>General</c:formatCode>
                <c:ptCount val="272"/>
                <c:pt idx="0">
                  <c:v>2021</c:v>
                </c:pt>
                <c:pt idx="1">
                  <c:v>2020</c:v>
                </c:pt>
                <c:pt idx="2">
                  <c:v>2019</c:v>
                </c:pt>
                <c:pt idx="3">
                  <c:v>2018</c:v>
                </c:pt>
                <c:pt idx="4">
                  <c:v>2017</c:v>
                </c:pt>
                <c:pt idx="5">
                  <c:v>2016</c:v>
                </c:pt>
                <c:pt idx="6">
                  <c:v>2015</c:v>
                </c:pt>
                <c:pt idx="7">
                  <c:v>2014</c:v>
                </c:pt>
                <c:pt idx="8">
                  <c:v>2013</c:v>
                </c:pt>
                <c:pt idx="9">
                  <c:v>2012</c:v>
                </c:pt>
                <c:pt idx="10">
                  <c:v>2011</c:v>
                </c:pt>
                <c:pt idx="11">
                  <c:v>2010</c:v>
                </c:pt>
                <c:pt idx="12">
                  <c:v>2009</c:v>
                </c:pt>
                <c:pt idx="13">
                  <c:v>2008</c:v>
                </c:pt>
                <c:pt idx="14">
                  <c:v>2007</c:v>
                </c:pt>
                <c:pt idx="15">
                  <c:v>2006</c:v>
                </c:pt>
                <c:pt idx="16">
                  <c:v>2005</c:v>
                </c:pt>
                <c:pt idx="17">
                  <c:v>2004</c:v>
                </c:pt>
                <c:pt idx="18">
                  <c:v>2003</c:v>
                </c:pt>
                <c:pt idx="19">
                  <c:v>2002</c:v>
                </c:pt>
                <c:pt idx="20">
                  <c:v>2001</c:v>
                </c:pt>
                <c:pt idx="21">
                  <c:v>2000</c:v>
                </c:pt>
                <c:pt idx="22">
                  <c:v>1999</c:v>
                </c:pt>
                <c:pt idx="23">
                  <c:v>1998</c:v>
                </c:pt>
                <c:pt idx="24">
                  <c:v>1997</c:v>
                </c:pt>
                <c:pt idx="25">
                  <c:v>1996</c:v>
                </c:pt>
                <c:pt idx="26">
                  <c:v>1995</c:v>
                </c:pt>
                <c:pt idx="27">
                  <c:v>1994</c:v>
                </c:pt>
                <c:pt idx="28">
                  <c:v>1993</c:v>
                </c:pt>
                <c:pt idx="29">
                  <c:v>1992</c:v>
                </c:pt>
                <c:pt idx="30">
                  <c:v>1991</c:v>
                </c:pt>
                <c:pt idx="31">
                  <c:v>1990</c:v>
                </c:pt>
                <c:pt idx="32">
                  <c:v>1989</c:v>
                </c:pt>
                <c:pt idx="33">
                  <c:v>1988</c:v>
                </c:pt>
                <c:pt idx="34">
                  <c:v>1987</c:v>
                </c:pt>
                <c:pt idx="35">
                  <c:v>1986</c:v>
                </c:pt>
                <c:pt idx="36">
                  <c:v>1985</c:v>
                </c:pt>
                <c:pt idx="37">
                  <c:v>1984</c:v>
                </c:pt>
                <c:pt idx="38">
                  <c:v>1983</c:v>
                </c:pt>
                <c:pt idx="39">
                  <c:v>1982</c:v>
                </c:pt>
                <c:pt idx="40">
                  <c:v>1981</c:v>
                </c:pt>
                <c:pt idx="41">
                  <c:v>1980</c:v>
                </c:pt>
                <c:pt idx="42">
                  <c:v>1979</c:v>
                </c:pt>
                <c:pt idx="43">
                  <c:v>1978</c:v>
                </c:pt>
                <c:pt idx="44">
                  <c:v>1977</c:v>
                </c:pt>
                <c:pt idx="45">
                  <c:v>1976</c:v>
                </c:pt>
                <c:pt idx="46">
                  <c:v>1975</c:v>
                </c:pt>
                <c:pt idx="47">
                  <c:v>1974</c:v>
                </c:pt>
                <c:pt idx="48">
                  <c:v>1973</c:v>
                </c:pt>
                <c:pt idx="49">
                  <c:v>1972</c:v>
                </c:pt>
                <c:pt idx="50">
                  <c:v>1971</c:v>
                </c:pt>
                <c:pt idx="51">
                  <c:v>1970</c:v>
                </c:pt>
                <c:pt idx="52">
                  <c:v>1969</c:v>
                </c:pt>
                <c:pt idx="53">
                  <c:v>1968</c:v>
                </c:pt>
                <c:pt idx="54">
                  <c:v>1967</c:v>
                </c:pt>
                <c:pt idx="55">
                  <c:v>1966</c:v>
                </c:pt>
                <c:pt idx="56">
                  <c:v>1965</c:v>
                </c:pt>
                <c:pt idx="57">
                  <c:v>1964</c:v>
                </c:pt>
                <c:pt idx="58">
                  <c:v>1963</c:v>
                </c:pt>
                <c:pt idx="59">
                  <c:v>1962</c:v>
                </c:pt>
                <c:pt idx="60">
                  <c:v>1961</c:v>
                </c:pt>
                <c:pt idx="61">
                  <c:v>1960</c:v>
                </c:pt>
                <c:pt idx="62">
                  <c:v>1959</c:v>
                </c:pt>
                <c:pt idx="63">
                  <c:v>1958</c:v>
                </c:pt>
                <c:pt idx="64">
                  <c:v>1957</c:v>
                </c:pt>
                <c:pt idx="65">
                  <c:v>1956</c:v>
                </c:pt>
                <c:pt idx="66">
                  <c:v>1955</c:v>
                </c:pt>
                <c:pt idx="67">
                  <c:v>1954</c:v>
                </c:pt>
                <c:pt idx="68">
                  <c:v>1953</c:v>
                </c:pt>
                <c:pt idx="69">
                  <c:v>1952</c:v>
                </c:pt>
                <c:pt idx="70">
                  <c:v>1951</c:v>
                </c:pt>
                <c:pt idx="71">
                  <c:v>1950</c:v>
                </c:pt>
                <c:pt idx="72">
                  <c:v>1949</c:v>
                </c:pt>
                <c:pt idx="73">
                  <c:v>1948</c:v>
                </c:pt>
                <c:pt idx="74">
                  <c:v>1947</c:v>
                </c:pt>
                <c:pt idx="75">
                  <c:v>1946</c:v>
                </c:pt>
                <c:pt idx="76">
                  <c:v>1945</c:v>
                </c:pt>
                <c:pt idx="77">
                  <c:v>1944</c:v>
                </c:pt>
                <c:pt idx="78">
                  <c:v>1943</c:v>
                </c:pt>
                <c:pt idx="79">
                  <c:v>1942</c:v>
                </c:pt>
                <c:pt idx="80">
                  <c:v>1941</c:v>
                </c:pt>
                <c:pt idx="81">
                  <c:v>1940</c:v>
                </c:pt>
                <c:pt idx="82">
                  <c:v>1939</c:v>
                </c:pt>
                <c:pt idx="83">
                  <c:v>1938</c:v>
                </c:pt>
                <c:pt idx="84">
                  <c:v>1937</c:v>
                </c:pt>
                <c:pt idx="85">
                  <c:v>1936</c:v>
                </c:pt>
                <c:pt idx="86">
                  <c:v>1935</c:v>
                </c:pt>
                <c:pt idx="87">
                  <c:v>1934</c:v>
                </c:pt>
                <c:pt idx="88">
                  <c:v>1933</c:v>
                </c:pt>
                <c:pt idx="89">
                  <c:v>1932</c:v>
                </c:pt>
                <c:pt idx="90">
                  <c:v>1931</c:v>
                </c:pt>
                <c:pt idx="91">
                  <c:v>1930</c:v>
                </c:pt>
                <c:pt idx="92">
                  <c:v>1929</c:v>
                </c:pt>
                <c:pt idx="93">
                  <c:v>1928</c:v>
                </c:pt>
                <c:pt idx="94">
                  <c:v>1927</c:v>
                </c:pt>
                <c:pt idx="95">
                  <c:v>1926</c:v>
                </c:pt>
                <c:pt idx="96">
                  <c:v>1925</c:v>
                </c:pt>
                <c:pt idx="97">
                  <c:v>1924</c:v>
                </c:pt>
                <c:pt idx="98">
                  <c:v>1923</c:v>
                </c:pt>
                <c:pt idx="99">
                  <c:v>1922</c:v>
                </c:pt>
                <c:pt idx="100">
                  <c:v>1921</c:v>
                </c:pt>
                <c:pt idx="101">
                  <c:v>1920</c:v>
                </c:pt>
                <c:pt idx="102">
                  <c:v>1919</c:v>
                </c:pt>
                <c:pt idx="103">
                  <c:v>1918</c:v>
                </c:pt>
                <c:pt idx="104">
                  <c:v>1917</c:v>
                </c:pt>
                <c:pt idx="105">
                  <c:v>1916</c:v>
                </c:pt>
                <c:pt idx="106">
                  <c:v>1915</c:v>
                </c:pt>
                <c:pt idx="107">
                  <c:v>1914</c:v>
                </c:pt>
                <c:pt idx="108">
                  <c:v>1913</c:v>
                </c:pt>
                <c:pt idx="109">
                  <c:v>1912</c:v>
                </c:pt>
                <c:pt idx="110">
                  <c:v>1911</c:v>
                </c:pt>
                <c:pt idx="111">
                  <c:v>1910</c:v>
                </c:pt>
                <c:pt idx="112">
                  <c:v>1909</c:v>
                </c:pt>
                <c:pt idx="113">
                  <c:v>1908</c:v>
                </c:pt>
                <c:pt idx="114">
                  <c:v>1907</c:v>
                </c:pt>
                <c:pt idx="115">
                  <c:v>1906</c:v>
                </c:pt>
                <c:pt idx="116">
                  <c:v>1905</c:v>
                </c:pt>
                <c:pt idx="117">
                  <c:v>1904</c:v>
                </c:pt>
                <c:pt idx="118">
                  <c:v>1903</c:v>
                </c:pt>
                <c:pt idx="119">
                  <c:v>1902</c:v>
                </c:pt>
                <c:pt idx="120">
                  <c:v>1901</c:v>
                </c:pt>
                <c:pt idx="121">
                  <c:v>1900</c:v>
                </c:pt>
                <c:pt idx="122">
                  <c:v>1899</c:v>
                </c:pt>
                <c:pt idx="123">
                  <c:v>1898</c:v>
                </c:pt>
                <c:pt idx="124">
                  <c:v>1897</c:v>
                </c:pt>
                <c:pt idx="125">
                  <c:v>1896</c:v>
                </c:pt>
                <c:pt idx="126">
                  <c:v>1895</c:v>
                </c:pt>
                <c:pt idx="127">
                  <c:v>1894</c:v>
                </c:pt>
                <c:pt idx="128">
                  <c:v>1893</c:v>
                </c:pt>
                <c:pt idx="129">
                  <c:v>1892</c:v>
                </c:pt>
                <c:pt idx="130">
                  <c:v>1891</c:v>
                </c:pt>
                <c:pt idx="131">
                  <c:v>1890</c:v>
                </c:pt>
                <c:pt idx="132">
                  <c:v>1889</c:v>
                </c:pt>
                <c:pt idx="133">
                  <c:v>1888</c:v>
                </c:pt>
                <c:pt idx="134">
                  <c:v>1887</c:v>
                </c:pt>
                <c:pt idx="135">
                  <c:v>1886</c:v>
                </c:pt>
                <c:pt idx="136">
                  <c:v>1885</c:v>
                </c:pt>
                <c:pt idx="137">
                  <c:v>1884</c:v>
                </c:pt>
                <c:pt idx="138">
                  <c:v>1883</c:v>
                </c:pt>
                <c:pt idx="139">
                  <c:v>1882</c:v>
                </c:pt>
                <c:pt idx="140">
                  <c:v>1881</c:v>
                </c:pt>
                <c:pt idx="141">
                  <c:v>1880</c:v>
                </c:pt>
                <c:pt idx="142">
                  <c:v>1879</c:v>
                </c:pt>
                <c:pt idx="143">
                  <c:v>1878</c:v>
                </c:pt>
                <c:pt idx="144">
                  <c:v>1877</c:v>
                </c:pt>
                <c:pt idx="145">
                  <c:v>1876</c:v>
                </c:pt>
                <c:pt idx="146">
                  <c:v>1875</c:v>
                </c:pt>
                <c:pt idx="147">
                  <c:v>1874</c:v>
                </c:pt>
                <c:pt idx="148">
                  <c:v>1873</c:v>
                </c:pt>
                <c:pt idx="149">
                  <c:v>1872</c:v>
                </c:pt>
                <c:pt idx="150">
                  <c:v>1871</c:v>
                </c:pt>
                <c:pt idx="151">
                  <c:v>1870</c:v>
                </c:pt>
                <c:pt idx="152">
                  <c:v>1869</c:v>
                </c:pt>
                <c:pt idx="153">
                  <c:v>1868</c:v>
                </c:pt>
                <c:pt idx="154">
                  <c:v>1867</c:v>
                </c:pt>
                <c:pt idx="155">
                  <c:v>1866</c:v>
                </c:pt>
                <c:pt idx="156">
                  <c:v>1865</c:v>
                </c:pt>
                <c:pt idx="157">
                  <c:v>1864</c:v>
                </c:pt>
                <c:pt idx="158">
                  <c:v>1863</c:v>
                </c:pt>
                <c:pt idx="159">
                  <c:v>1862</c:v>
                </c:pt>
                <c:pt idx="160">
                  <c:v>1861</c:v>
                </c:pt>
                <c:pt idx="161">
                  <c:v>1860</c:v>
                </c:pt>
                <c:pt idx="162">
                  <c:v>1859</c:v>
                </c:pt>
                <c:pt idx="163">
                  <c:v>1858</c:v>
                </c:pt>
                <c:pt idx="164">
                  <c:v>1857</c:v>
                </c:pt>
                <c:pt idx="165">
                  <c:v>1856</c:v>
                </c:pt>
                <c:pt idx="166">
                  <c:v>1855</c:v>
                </c:pt>
                <c:pt idx="167">
                  <c:v>1854</c:v>
                </c:pt>
                <c:pt idx="168">
                  <c:v>1853</c:v>
                </c:pt>
                <c:pt idx="169">
                  <c:v>1852</c:v>
                </c:pt>
                <c:pt idx="170">
                  <c:v>1851</c:v>
                </c:pt>
                <c:pt idx="171">
                  <c:v>1850</c:v>
                </c:pt>
                <c:pt idx="172">
                  <c:v>1849</c:v>
                </c:pt>
                <c:pt idx="173">
                  <c:v>1848</c:v>
                </c:pt>
                <c:pt idx="174">
                  <c:v>1847</c:v>
                </c:pt>
                <c:pt idx="175">
                  <c:v>1846</c:v>
                </c:pt>
                <c:pt idx="176">
                  <c:v>1845</c:v>
                </c:pt>
                <c:pt idx="177">
                  <c:v>1844</c:v>
                </c:pt>
                <c:pt idx="178">
                  <c:v>1843</c:v>
                </c:pt>
                <c:pt idx="179">
                  <c:v>1842</c:v>
                </c:pt>
                <c:pt idx="180">
                  <c:v>1841</c:v>
                </c:pt>
                <c:pt idx="181">
                  <c:v>1840</c:v>
                </c:pt>
                <c:pt idx="182">
                  <c:v>1839</c:v>
                </c:pt>
                <c:pt idx="183">
                  <c:v>1838</c:v>
                </c:pt>
                <c:pt idx="184">
                  <c:v>1837</c:v>
                </c:pt>
                <c:pt idx="185">
                  <c:v>1836</c:v>
                </c:pt>
                <c:pt idx="186">
                  <c:v>1835</c:v>
                </c:pt>
                <c:pt idx="187">
                  <c:v>1834</c:v>
                </c:pt>
                <c:pt idx="188">
                  <c:v>1833</c:v>
                </c:pt>
                <c:pt idx="189">
                  <c:v>1832</c:v>
                </c:pt>
                <c:pt idx="190">
                  <c:v>1831</c:v>
                </c:pt>
                <c:pt idx="191">
                  <c:v>1830</c:v>
                </c:pt>
                <c:pt idx="192">
                  <c:v>1829</c:v>
                </c:pt>
                <c:pt idx="193">
                  <c:v>1828</c:v>
                </c:pt>
                <c:pt idx="194">
                  <c:v>1827</c:v>
                </c:pt>
                <c:pt idx="195">
                  <c:v>1826</c:v>
                </c:pt>
                <c:pt idx="196">
                  <c:v>1825</c:v>
                </c:pt>
                <c:pt idx="197">
                  <c:v>1824</c:v>
                </c:pt>
                <c:pt idx="198">
                  <c:v>1823</c:v>
                </c:pt>
                <c:pt idx="199">
                  <c:v>1822</c:v>
                </c:pt>
                <c:pt idx="200">
                  <c:v>1821</c:v>
                </c:pt>
                <c:pt idx="201">
                  <c:v>1820</c:v>
                </c:pt>
                <c:pt idx="202">
                  <c:v>1819</c:v>
                </c:pt>
                <c:pt idx="203">
                  <c:v>1818</c:v>
                </c:pt>
                <c:pt idx="204">
                  <c:v>1817</c:v>
                </c:pt>
                <c:pt idx="205">
                  <c:v>1816</c:v>
                </c:pt>
                <c:pt idx="206">
                  <c:v>1815</c:v>
                </c:pt>
                <c:pt idx="207">
                  <c:v>1814</c:v>
                </c:pt>
                <c:pt idx="208">
                  <c:v>1813</c:v>
                </c:pt>
                <c:pt idx="209">
                  <c:v>1812</c:v>
                </c:pt>
                <c:pt idx="210">
                  <c:v>1811</c:v>
                </c:pt>
                <c:pt idx="211">
                  <c:v>1810</c:v>
                </c:pt>
                <c:pt idx="212">
                  <c:v>1809</c:v>
                </c:pt>
                <c:pt idx="213">
                  <c:v>1808</c:v>
                </c:pt>
                <c:pt idx="214">
                  <c:v>1807</c:v>
                </c:pt>
                <c:pt idx="215">
                  <c:v>1806</c:v>
                </c:pt>
                <c:pt idx="216">
                  <c:v>1805</c:v>
                </c:pt>
                <c:pt idx="217">
                  <c:v>1804</c:v>
                </c:pt>
                <c:pt idx="218">
                  <c:v>1803</c:v>
                </c:pt>
                <c:pt idx="219">
                  <c:v>1802</c:v>
                </c:pt>
                <c:pt idx="220">
                  <c:v>1801</c:v>
                </c:pt>
                <c:pt idx="221">
                  <c:v>1800</c:v>
                </c:pt>
                <c:pt idx="222">
                  <c:v>1799</c:v>
                </c:pt>
                <c:pt idx="223">
                  <c:v>1798</c:v>
                </c:pt>
                <c:pt idx="224">
                  <c:v>1797</c:v>
                </c:pt>
                <c:pt idx="225">
                  <c:v>1796</c:v>
                </c:pt>
                <c:pt idx="226">
                  <c:v>1795</c:v>
                </c:pt>
                <c:pt idx="227">
                  <c:v>1794</c:v>
                </c:pt>
                <c:pt idx="228">
                  <c:v>1793</c:v>
                </c:pt>
                <c:pt idx="229">
                  <c:v>1792</c:v>
                </c:pt>
                <c:pt idx="230">
                  <c:v>1791</c:v>
                </c:pt>
                <c:pt idx="231">
                  <c:v>1790</c:v>
                </c:pt>
                <c:pt idx="232">
                  <c:v>1789</c:v>
                </c:pt>
                <c:pt idx="233">
                  <c:v>1788</c:v>
                </c:pt>
                <c:pt idx="234">
                  <c:v>1787</c:v>
                </c:pt>
                <c:pt idx="235">
                  <c:v>1786</c:v>
                </c:pt>
                <c:pt idx="236">
                  <c:v>1785</c:v>
                </c:pt>
                <c:pt idx="237">
                  <c:v>1784</c:v>
                </c:pt>
                <c:pt idx="238">
                  <c:v>1783</c:v>
                </c:pt>
                <c:pt idx="239">
                  <c:v>1782</c:v>
                </c:pt>
                <c:pt idx="240">
                  <c:v>1781</c:v>
                </c:pt>
                <c:pt idx="241">
                  <c:v>1780</c:v>
                </c:pt>
                <c:pt idx="242">
                  <c:v>1779</c:v>
                </c:pt>
                <c:pt idx="243">
                  <c:v>1778</c:v>
                </c:pt>
                <c:pt idx="244">
                  <c:v>1777</c:v>
                </c:pt>
                <c:pt idx="245">
                  <c:v>1776</c:v>
                </c:pt>
                <c:pt idx="246">
                  <c:v>1775</c:v>
                </c:pt>
                <c:pt idx="247">
                  <c:v>1774</c:v>
                </c:pt>
                <c:pt idx="248">
                  <c:v>1773</c:v>
                </c:pt>
                <c:pt idx="249">
                  <c:v>1772</c:v>
                </c:pt>
                <c:pt idx="250">
                  <c:v>1771</c:v>
                </c:pt>
                <c:pt idx="251">
                  <c:v>1770</c:v>
                </c:pt>
                <c:pt idx="252">
                  <c:v>1769</c:v>
                </c:pt>
                <c:pt idx="253">
                  <c:v>1768</c:v>
                </c:pt>
                <c:pt idx="254">
                  <c:v>1767</c:v>
                </c:pt>
                <c:pt idx="255">
                  <c:v>1766</c:v>
                </c:pt>
                <c:pt idx="256">
                  <c:v>1765</c:v>
                </c:pt>
                <c:pt idx="257">
                  <c:v>1764</c:v>
                </c:pt>
                <c:pt idx="258">
                  <c:v>1763</c:v>
                </c:pt>
                <c:pt idx="259">
                  <c:v>1762</c:v>
                </c:pt>
                <c:pt idx="260">
                  <c:v>1761</c:v>
                </c:pt>
                <c:pt idx="261">
                  <c:v>1760</c:v>
                </c:pt>
                <c:pt idx="262">
                  <c:v>1759</c:v>
                </c:pt>
                <c:pt idx="263">
                  <c:v>1758</c:v>
                </c:pt>
                <c:pt idx="264">
                  <c:v>1757</c:v>
                </c:pt>
                <c:pt idx="265">
                  <c:v>1756</c:v>
                </c:pt>
                <c:pt idx="266">
                  <c:v>1755</c:v>
                </c:pt>
                <c:pt idx="267">
                  <c:v>1754</c:v>
                </c:pt>
                <c:pt idx="268">
                  <c:v>1753</c:v>
                </c:pt>
                <c:pt idx="269">
                  <c:v>1752</c:v>
                </c:pt>
                <c:pt idx="270">
                  <c:v>1751</c:v>
                </c:pt>
                <c:pt idx="271">
                  <c:v>1750</c:v>
                </c:pt>
              </c:numCache>
            </c:numRef>
          </c:cat>
          <c:val>
            <c:numRef>
              <c:f>'Sheet3 (2)'!$D$2:$D$273</c:f>
              <c:numCache>
                <c:formatCode>General</c:formatCode>
                <c:ptCount val="272"/>
                <c:pt idx="0">
                  <c:v>1450796300</c:v>
                </c:pt>
                <c:pt idx="1">
                  <c:v>1385889400</c:v>
                </c:pt>
                <c:pt idx="2">
                  <c:v>1467491800</c:v>
                </c:pt>
                <c:pt idx="3">
                  <c:v>1366411000</c:v>
                </c:pt>
                <c:pt idx="4">
                  <c:v>1379490000</c:v>
                </c:pt>
                <c:pt idx="5">
                  <c:v>1363459100</c:v>
                </c:pt>
                <c:pt idx="6">
                  <c:v>1323759000</c:v>
                </c:pt>
                <c:pt idx="7">
                  <c:v>1350089200</c:v>
                </c:pt>
                <c:pt idx="8">
                  <c:v>1268892300</c:v>
                </c:pt>
                <c:pt idx="9">
                  <c:v>1259536900</c:v>
                </c:pt>
                <c:pt idx="10">
                  <c:v>1251306000</c:v>
                </c:pt>
                <c:pt idx="11">
                  <c:v>1214749200</c:v>
                </c:pt>
                <c:pt idx="12">
                  <c:v>1171780000</c:v>
                </c:pt>
                <c:pt idx="13">
                  <c:v>1181174800</c:v>
                </c:pt>
                <c:pt idx="14">
                  <c:v>1132287500</c:v>
                </c:pt>
                <c:pt idx="15">
                  <c:v>1090145000</c:v>
                </c:pt>
                <c:pt idx="16">
                  <c:v>1057360960</c:v>
                </c:pt>
                <c:pt idx="17">
                  <c:v>1036636900</c:v>
                </c:pt>
                <c:pt idx="18">
                  <c:v>967169860</c:v>
                </c:pt>
                <c:pt idx="19">
                  <c:v>892558700</c:v>
                </c:pt>
                <c:pt idx="20">
                  <c:v>883999940</c:v>
                </c:pt>
                <c:pt idx="21">
                  <c:v>886403400</c:v>
                </c:pt>
                <c:pt idx="22">
                  <c:v>830411140</c:v>
                </c:pt>
                <c:pt idx="23">
                  <c:v>837844000</c:v>
                </c:pt>
                <c:pt idx="24">
                  <c:v>812606300</c:v>
                </c:pt>
                <c:pt idx="25">
                  <c:v>783331900</c:v>
                </c:pt>
                <c:pt idx="26">
                  <c:v>771882300</c:v>
                </c:pt>
                <c:pt idx="27">
                  <c:v>719465300</c:v>
                </c:pt>
                <c:pt idx="28">
                  <c:v>708741060</c:v>
                </c:pt>
                <c:pt idx="29">
                  <c:v>668606100</c:v>
                </c:pt>
                <c:pt idx="30">
                  <c:v>688953700</c:v>
                </c:pt>
                <c:pt idx="31">
                  <c:v>659297200</c:v>
                </c:pt>
                <c:pt idx="32">
                  <c:v>699179460</c:v>
                </c:pt>
                <c:pt idx="33">
                  <c:v>726006600</c:v>
                </c:pt>
                <c:pt idx="34">
                  <c:v>690763200</c:v>
                </c:pt>
                <c:pt idx="35">
                  <c:v>690670600</c:v>
                </c:pt>
                <c:pt idx="36">
                  <c:v>666655200</c:v>
                </c:pt>
                <c:pt idx="37">
                  <c:v>650254140</c:v>
                </c:pt>
                <c:pt idx="38">
                  <c:v>595413200</c:v>
                </c:pt>
                <c:pt idx="39">
                  <c:v>572576960</c:v>
                </c:pt>
                <c:pt idx="40">
                  <c:v>549365200</c:v>
                </c:pt>
                <c:pt idx="41">
                  <c:v>536490200</c:v>
                </c:pt>
                <c:pt idx="42">
                  <c:v>499991800</c:v>
                </c:pt>
                <c:pt idx="43">
                  <c:v>463266720</c:v>
                </c:pt>
                <c:pt idx="44">
                  <c:v>433844580</c:v>
                </c:pt>
                <c:pt idx="45">
                  <c:v>420856770</c:v>
                </c:pt>
                <c:pt idx="46">
                  <c:v>387828830</c:v>
                </c:pt>
                <c:pt idx="47">
                  <c:v>388864800</c:v>
                </c:pt>
                <c:pt idx="48">
                  <c:v>378421020</c:v>
                </c:pt>
                <c:pt idx="49">
                  <c:v>352238850</c:v>
                </c:pt>
                <c:pt idx="50">
                  <c:v>332203940</c:v>
                </c:pt>
                <c:pt idx="51">
                  <c:v>302942700</c:v>
                </c:pt>
                <c:pt idx="52">
                  <c:v>278139500</c:v>
                </c:pt>
                <c:pt idx="53">
                  <c:v>257600220</c:v>
                </c:pt>
                <c:pt idx="54">
                  <c:v>237257680</c:v>
                </c:pt>
                <c:pt idx="55">
                  <c:v>221261600</c:v>
                </c:pt>
                <c:pt idx="56">
                  <c:v>213784600</c:v>
                </c:pt>
                <c:pt idx="57">
                  <c:v>193763900</c:v>
                </c:pt>
                <c:pt idx="58">
                  <c:v>176448430</c:v>
                </c:pt>
                <c:pt idx="59">
                  <c:v>166426480</c:v>
                </c:pt>
                <c:pt idx="60">
                  <c:v>162078600</c:v>
                </c:pt>
                <c:pt idx="61">
                  <c:v>156640450</c:v>
                </c:pt>
                <c:pt idx="62">
                  <c:v>147910850</c:v>
                </c:pt>
                <c:pt idx="63">
                  <c:v>148304510</c:v>
                </c:pt>
                <c:pt idx="64">
                  <c:v>139953090</c:v>
                </c:pt>
                <c:pt idx="65">
                  <c:v>133509440</c:v>
                </c:pt>
                <c:pt idx="66">
                  <c:v>128058296</c:v>
                </c:pt>
                <c:pt idx="67">
                  <c:v>116156920</c:v>
                </c:pt>
                <c:pt idx="68">
                  <c:v>110796130</c:v>
                </c:pt>
                <c:pt idx="69">
                  <c:v>108882370</c:v>
                </c:pt>
                <c:pt idx="70">
                  <c:v>99862080</c:v>
                </c:pt>
                <c:pt idx="71">
                  <c:v>93452170</c:v>
                </c:pt>
                <c:pt idx="72">
                  <c:v>77323530</c:v>
                </c:pt>
                <c:pt idx="73">
                  <c:v>71733140</c:v>
                </c:pt>
                <c:pt idx="74">
                  <c:v>67934744</c:v>
                </c:pt>
                <c:pt idx="75">
                  <c:v>68159370</c:v>
                </c:pt>
                <c:pt idx="76">
                  <c:v>67527180</c:v>
                </c:pt>
                <c:pt idx="77">
                  <c:v>66632910</c:v>
                </c:pt>
                <c:pt idx="78">
                  <c:v>60119628</c:v>
                </c:pt>
                <c:pt idx="79">
                  <c:v>58822884</c:v>
                </c:pt>
                <c:pt idx="80">
                  <c:v>54023456</c:v>
                </c:pt>
                <c:pt idx="81">
                  <c:v>49649184</c:v>
                </c:pt>
                <c:pt idx="82">
                  <c:v>46852930</c:v>
                </c:pt>
                <c:pt idx="83">
                  <c:v>44013164</c:v>
                </c:pt>
                <c:pt idx="84">
                  <c:v>41844264</c:v>
                </c:pt>
                <c:pt idx="85">
                  <c:v>39015950</c:v>
                </c:pt>
                <c:pt idx="86">
                  <c:v>35909544</c:v>
                </c:pt>
                <c:pt idx="87">
                  <c:v>32539280</c:v>
                </c:pt>
                <c:pt idx="88">
                  <c:v>28491132</c:v>
                </c:pt>
                <c:pt idx="89">
                  <c:v>26622752</c:v>
                </c:pt>
                <c:pt idx="90">
                  <c:v>29463712</c:v>
                </c:pt>
                <c:pt idx="91">
                  <c:v>33695670</c:v>
                </c:pt>
                <c:pt idx="92">
                  <c:v>35801616</c:v>
                </c:pt>
                <c:pt idx="93">
                  <c:v>34770320</c:v>
                </c:pt>
                <c:pt idx="94">
                  <c:v>33840704</c:v>
                </c:pt>
                <c:pt idx="95">
                  <c:v>34437936</c:v>
                </c:pt>
                <c:pt idx="96">
                  <c:v>32184576</c:v>
                </c:pt>
                <c:pt idx="97">
                  <c:v>30631040</c:v>
                </c:pt>
                <c:pt idx="98">
                  <c:v>29044528</c:v>
                </c:pt>
                <c:pt idx="99">
                  <c:v>23969888</c:v>
                </c:pt>
                <c:pt idx="100">
                  <c:v>27985632</c:v>
                </c:pt>
                <c:pt idx="101">
                  <c:v>28051584</c:v>
                </c:pt>
                <c:pt idx="102">
                  <c:v>25442816</c:v>
                </c:pt>
                <c:pt idx="103">
                  <c:v>24724672</c:v>
                </c:pt>
                <c:pt idx="104">
                  <c:v>25343888</c:v>
                </c:pt>
                <c:pt idx="105">
                  <c:v>23255408</c:v>
                </c:pt>
                <c:pt idx="106">
                  <c:v>19606064</c:v>
                </c:pt>
                <c:pt idx="107">
                  <c:v>19551104</c:v>
                </c:pt>
                <c:pt idx="108">
                  <c:v>19606064</c:v>
                </c:pt>
                <c:pt idx="109">
                  <c:v>17953600</c:v>
                </c:pt>
                <c:pt idx="110">
                  <c:v>16865392</c:v>
                </c:pt>
                <c:pt idx="111">
                  <c:v>17411328</c:v>
                </c:pt>
                <c:pt idx="112">
                  <c:v>15385136</c:v>
                </c:pt>
                <c:pt idx="113">
                  <c:v>13402912</c:v>
                </c:pt>
                <c:pt idx="114">
                  <c:v>12930256</c:v>
                </c:pt>
                <c:pt idx="115">
                  <c:v>11717472</c:v>
                </c:pt>
                <c:pt idx="116">
                  <c:v>10262864</c:v>
                </c:pt>
                <c:pt idx="117">
                  <c:v>8910848</c:v>
                </c:pt>
                <c:pt idx="118">
                  <c:v>7895920</c:v>
                </c:pt>
                <c:pt idx="119">
                  <c:v>5825760</c:v>
                </c:pt>
                <c:pt idx="120">
                  <c:v>3909488</c:v>
                </c:pt>
                <c:pt idx="121">
                  <c:v>2330304</c:v>
                </c:pt>
                <c:pt idx="122">
                  <c:v>5517984</c:v>
                </c:pt>
                <c:pt idx="123">
                  <c:v>6049264</c:v>
                </c:pt>
                <c:pt idx="124">
                  <c:v>4777856</c:v>
                </c:pt>
                <c:pt idx="125">
                  <c:v>4257568</c:v>
                </c:pt>
                <c:pt idx="126">
                  <c:v>3337904</c:v>
                </c:pt>
                <c:pt idx="127">
                  <c:v>2432896</c:v>
                </c:pt>
                <c:pt idx="128">
                  <c:v>1799024</c:v>
                </c:pt>
                <c:pt idx="129">
                  <c:v>479984</c:v>
                </c:pt>
                <c:pt idx="130">
                  <c:v>296784</c:v>
                </c:pt>
                <c:pt idx="131">
                  <c:v>296784</c:v>
                </c:pt>
                <c:pt idx="132">
                  <c:v>131904</c:v>
                </c:pt>
                <c:pt idx="133">
                  <c:v>80608</c:v>
                </c:pt>
                <c:pt idx="134">
                  <c:v>47632</c:v>
                </c:pt>
                <c:pt idx="135">
                  <c:v>47632</c:v>
                </c:pt>
                <c:pt idx="136">
                  <c:v>36640</c:v>
                </c:pt>
                <c:pt idx="137">
                  <c:v>21984</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numCache>
            </c:numRef>
          </c:val>
          <c:extLst>
            <c:ext xmlns:c16="http://schemas.microsoft.com/office/drawing/2014/chart" uri="{C3380CC4-5D6E-409C-BE32-E72D297353CC}">
              <c16:uniqueId val="{00000000-8F39-4254-9BC0-093CA2A7CE92}"/>
            </c:ext>
          </c:extLst>
        </c:ser>
        <c:ser>
          <c:idx val="2"/>
          <c:order val="1"/>
          <c:tx>
            <c:strRef>
              <c:f>'Sheet3 (2)'!$E$2</c:f>
              <c:strCache>
                <c:ptCount val="1"/>
                <c:pt idx="0">
                  <c:v>China</c:v>
                </c:pt>
              </c:strCache>
            </c:strRef>
          </c:tx>
          <c:spPr>
            <a:solidFill>
              <a:schemeClr val="accent3"/>
            </a:solidFill>
            <a:ln w="25400">
              <a:noFill/>
            </a:ln>
            <a:effectLst/>
          </c:spPr>
          <c:cat>
            <c:numRef>
              <c:f>'Sheet3 (2)'!$AI$2:$AI$273</c:f>
              <c:numCache>
                <c:formatCode>General</c:formatCode>
                <c:ptCount val="272"/>
                <c:pt idx="0">
                  <c:v>2021</c:v>
                </c:pt>
                <c:pt idx="1">
                  <c:v>2020</c:v>
                </c:pt>
                <c:pt idx="2">
                  <c:v>2019</c:v>
                </c:pt>
                <c:pt idx="3">
                  <c:v>2018</c:v>
                </c:pt>
                <c:pt idx="4">
                  <c:v>2017</c:v>
                </c:pt>
                <c:pt idx="5">
                  <c:v>2016</c:v>
                </c:pt>
                <c:pt idx="6">
                  <c:v>2015</c:v>
                </c:pt>
                <c:pt idx="7">
                  <c:v>2014</c:v>
                </c:pt>
                <c:pt idx="8">
                  <c:v>2013</c:v>
                </c:pt>
                <c:pt idx="9">
                  <c:v>2012</c:v>
                </c:pt>
                <c:pt idx="10">
                  <c:v>2011</c:v>
                </c:pt>
                <c:pt idx="11">
                  <c:v>2010</c:v>
                </c:pt>
                <c:pt idx="12">
                  <c:v>2009</c:v>
                </c:pt>
                <c:pt idx="13">
                  <c:v>2008</c:v>
                </c:pt>
                <c:pt idx="14">
                  <c:v>2007</c:v>
                </c:pt>
                <c:pt idx="15">
                  <c:v>2006</c:v>
                </c:pt>
                <c:pt idx="16">
                  <c:v>2005</c:v>
                </c:pt>
                <c:pt idx="17">
                  <c:v>2004</c:v>
                </c:pt>
                <c:pt idx="18">
                  <c:v>2003</c:v>
                </c:pt>
                <c:pt idx="19">
                  <c:v>2002</c:v>
                </c:pt>
                <c:pt idx="20">
                  <c:v>2001</c:v>
                </c:pt>
                <c:pt idx="21">
                  <c:v>2000</c:v>
                </c:pt>
                <c:pt idx="22">
                  <c:v>1999</c:v>
                </c:pt>
                <c:pt idx="23">
                  <c:v>1998</c:v>
                </c:pt>
                <c:pt idx="24">
                  <c:v>1997</c:v>
                </c:pt>
                <c:pt idx="25">
                  <c:v>1996</c:v>
                </c:pt>
                <c:pt idx="26">
                  <c:v>1995</c:v>
                </c:pt>
                <c:pt idx="27">
                  <c:v>1994</c:v>
                </c:pt>
                <c:pt idx="28">
                  <c:v>1993</c:v>
                </c:pt>
                <c:pt idx="29">
                  <c:v>1992</c:v>
                </c:pt>
                <c:pt idx="30">
                  <c:v>1991</c:v>
                </c:pt>
                <c:pt idx="31">
                  <c:v>1990</c:v>
                </c:pt>
                <c:pt idx="32">
                  <c:v>1989</c:v>
                </c:pt>
                <c:pt idx="33">
                  <c:v>1988</c:v>
                </c:pt>
                <c:pt idx="34">
                  <c:v>1987</c:v>
                </c:pt>
                <c:pt idx="35">
                  <c:v>1986</c:v>
                </c:pt>
                <c:pt idx="36">
                  <c:v>1985</c:v>
                </c:pt>
                <c:pt idx="37">
                  <c:v>1984</c:v>
                </c:pt>
                <c:pt idx="38">
                  <c:v>1983</c:v>
                </c:pt>
                <c:pt idx="39">
                  <c:v>1982</c:v>
                </c:pt>
                <c:pt idx="40">
                  <c:v>1981</c:v>
                </c:pt>
                <c:pt idx="41">
                  <c:v>1980</c:v>
                </c:pt>
                <c:pt idx="42">
                  <c:v>1979</c:v>
                </c:pt>
                <c:pt idx="43">
                  <c:v>1978</c:v>
                </c:pt>
                <c:pt idx="44">
                  <c:v>1977</c:v>
                </c:pt>
                <c:pt idx="45">
                  <c:v>1976</c:v>
                </c:pt>
                <c:pt idx="46">
                  <c:v>1975</c:v>
                </c:pt>
                <c:pt idx="47">
                  <c:v>1974</c:v>
                </c:pt>
                <c:pt idx="48">
                  <c:v>1973</c:v>
                </c:pt>
                <c:pt idx="49">
                  <c:v>1972</c:v>
                </c:pt>
                <c:pt idx="50">
                  <c:v>1971</c:v>
                </c:pt>
                <c:pt idx="51">
                  <c:v>1970</c:v>
                </c:pt>
                <c:pt idx="52">
                  <c:v>1969</c:v>
                </c:pt>
                <c:pt idx="53">
                  <c:v>1968</c:v>
                </c:pt>
                <c:pt idx="54">
                  <c:v>1967</c:v>
                </c:pt>
                <c:pt idx="55">
                  <c:v>1966</c:v>
                </c:pt>
                <c:pt idx="56">
                  <c:v>1965</c:v>
                </c:pt>
                <c:pt idx="57">
                  <c:v>1964</c:v>
                </c:pt>
                <c:pt idx="58">
                  <c:v>1963</c:v>
                </c:pt>
                <c:pt idx="59">
                  <c:v>1962</c:v>
                </c:pt>
                <c:pt idx="60">
                  <c:v>1961</c:v>
                </c:pt>
                <c:pt idx="61">
                  <c:v>1960</c:v>
                </c:pt>
                <c:pt idx="62">
                  <c:v>1959</c:v>
                </c:pt>
                <c:pt idx="63">
                  <c:v>1958</c:v>
                </c:pt>
                <c:pt idx="64">
                  <c:v>1957</c:v>
                </c:pt>
                <c:pt idx="65">
                  <c:v>1956</c:v>
                </c:pt>
                <c:pt idx="66">
                  <c:v>1955</c:v>
                </c:pt>
                <c:pt idx="67">
                  <c:v>1954</c:v>
                </c:pt>
                <c:pt idx="68">
                  <c:v>1953</c:v>
                </c:pt>
                <c:pt idx="69">
                  <c:v>1952</c:v>
                </c:pt>
                <c:pt idx="70">
                  <c:v>1951</c:v>
                </c:pt>
                <c:pt idx="71">
                  <c:v>1950</c:v>
                </c:pt>
                <c:pt idx="72">
                  <c:v>1949</c:v>
                </c:pt>
                <c:pt idx="73">
                  <c:v>1948</c:v>
                </c:pt>
                <c:pt idx="74">
                  <c:v>1947</c:v>
                </c:pt>
                <c:pt idx="75">
                  <c:v>1946</c:v>
                </c:pt>
                <c:pt idx="76">
                  <c:v>1945</c:v>
                </c:pt>
                <c:pt idx="77">
                  <c:v>1944</c:v>
                </c:pt>
                <c:pt idx="78">
                  <c:v>1943</c:v>
                </c:pt>
                <c:pt idx="79">
                  <c:v>1942</c:v>
                </c:pt>
                <c:pt idx="80">
                  <c:v>1941</c:v>
                </c:pt>
                <c:pt idx="81">
                  <c:v>1940</c:v>
                </c:pt>
                <c:pt idx="82">
                  <c:v>1939</c:v>
                </c:pt>
                <c:pt idx="83">
                  <c:v>1938</c:v>
                </c:pt>
                <c:pt idx="84">
                  <c:v>1937</c:v>
                </c:pt>
                <c:pt idx="85">
                  <c:v>1936</c:v>
                </c:pt>
                <c:pt idx="86">
                  <c:v>1935</c:v>
                </c:pt>
                <c:pt idx="87">
                  <c:v>1934</c:v>
                </c:pt>
                <c:pt idx="88">
                  <c:v>1933</c:v>
                </c:pt>
                <c:pt idx="89">
                  <c:v>1932</c:v>
                </c:pt>
                <c:pt idx="90">
                  <c:v>1931</c:v>
                </c:pt>
                <c:pt idx="91">
                  <c:v>1930</c:v>
                </c:pt>
                <c:pt idx="92">
                  <c:v>1929</c:v>
                </c:pt>
                <c:pt idx="93">
                  <c:v>1928</c:v>
                </c:pt>
                <c:pt idx="94">
                  <c:v>1927</c:v>
                </c:pt>
                <c:pt idx="95">
                  <c:v>1926</c:v>
                </c:pt>
                <c:pt idx="96">
                  <c:v>1925</c:v>
                </c:pt>
                <c:pt idx="97">
                  <c:v>1924</c:v>
                </c:pt>
                <c:pt idx="98">
                  <c:v>1923</c:v>
                </c:pt>
                <c:pt idx="99">
                  <c:v>1922</c:v>
                </c:pt>
                <c:pt idx="100">
                  <c:v>1921</c:v>
                </c:pt>
                <c:pt idx="101">
                  <c:v>1920</c:v>
                </c:pt>
                <c:pt idx="102">
                  <c:v>1919</c:v>
                </c:pt>
                <c:pt idx="103">
                  <c:v>1918</c:v>
                </c:pt>
                <c:pt idx="104">
                  <c:v>1917</c:v>
                </c:pt>
                <c:pt idx="105">
                  <c:v>1916</c:v>
                </c:pt>
                <c:pt idx="106">
                  <c:v>1915</c:v>
                </c:pt>
                <c:pt idx="107">
                  <c:v>1914</c:v>
                </c:pt>
                <c:pt idx="108">
                  <c:v>1913</c:v>
                </c:pt>
                <c:pt idx="109">
                  <c:v>1912</c:v>
                </c:pt>
                <c:pt idx="110">
                  <c:v>1911</c:v>
                </c:pt>
                <c:pt idx="111">
                  <c:v>1910</c:v>
                </c:pt>
                <c:pt idx="112">
                  <c:v>1909</c:v>
                </c:pt>
                <c:pt idx="113">
                  <c:v>1908</c:v>
                </c:pt>
                <c:pt idx="114">
                  <c:v>1907</c:v>
                </c:pt>
                <c:pt idx="115">
                  <c:v>1906</c:v>
                </c:pt>
                <c:pt idx="116">
                  <c:v>1905</c:v>
                </c:pt>
                <c:pt idx="117">
                  <c:v>1904</c:v>
                </c:pt>
                <c:pt idx="118">
                  <c:v>1903</c:v>
                </c:pt>
                <c:pt idx="119">
                  <c:v>1902</c:v>
                </c:pt>
                <c:pt idx="120">
                  <c:v>1901</c:v>
                </c:pt>
                <c:pt idx="121">
                  <c:v>1900</c:v>
                </c:pt>
                <c:pt idx="122">
                  <c:v>1899</c:v>
                </c:pt>
                <c:pt idx="123">
                  <c:v>1898</c:v>
                </c:pt>
                <c:pt idx="124">
                  <c:v>1897</c:v>
                </c:pt>
                <c:pt idx="125">
                  <c:v>1896</c:v>
                </c:pt>
                <c:pt idx="126">
                  <c:v>1895</c:v>
                </c:pt>
                <c:pt idx="127">
                  <c:v>1894</c:v>
                </c:pt>
                <c:pt idx="128">
                  <c:v>1893</c:v>
                </c:pt>
                <c:pt idx="129">
                  <c:v>1892</c:v>
                </c:pt>
                <c:pt idx="130">
                  <c:v>1891</c:v>
                </c:pt>
                <c:pt idx="131">
                  <c:v>1890</c:v>
                </c:pt>
                <c:pt idx="132">
                  <c:v>1889</c:v>
                </c:pt>
                <c:pt idx="133">
                  <c:v>1888</c:v>
                </c:pt>
                <c:pt idx="134">
                  <c:v>1887</c:v>
                </c:pt>
                <c:pt idx="135">
                  <c:v>1886</c:v>
                </c:pt>
                <c:pt idx="136">
                  <c:v>1885</c:v>
                </c:pt>
                <c:pt idx="137">
                  <c:v>1884</c:v>
                </c:pt>
                <c:pt idx="138">
                  <c:v>1883</c:v>
                </c:pt>
                <c:pt idx="139">
                  <c:v>1882</c:v>
                </c:pt>
                <c:pt idx="140">
                  <c:v>1881</c:v>
                </c:pt>
                <c:pt idx="141">
                  <c:v>1880</c:v>
                </c:pt>
                <c:pt idx="142">
                  <c:v>1879</c:v>
                </c:pt>
                <c:pt idx="143">
                  <c:v>1878</c:v>
                </c:pt>
                <c:pt idx="144">
                  <c:v>1877</c:v>
                </c:pt>
                <c:pt idx="145">
                  <c:v>1876</c:v>
                </c:pt>
                <c:pt idx="146">
                  <c:v>1875</c:v>
                </c:pt>
                <c:pt idx="147">
                  <c:v>1874</c:v>
                </c:pt>
                <c:pt idx="148">
                  <c:v>1873</c:v>
                </c:pt>
                <c:pt idx="149">
                  <c:v>1872</c:v>
                </c:pt>
                <c:pt idx="150">
                  <c:v>1871</c:v>
                </c:pt>
                <c:pt idx="151">
                  <c:v>1870</c:v>
                </c:pt>
                <c:pt idx="152">
                  <c:v>1869</c:v>
                </c:pt>
                <c:pt idx="153">
                  <c:v>1868</c:v>
                </c:pt>
                <c:pt idx="154">
                  <c:v>1867</c:v>
                </c:pt>
                <c:pt idx="155">
                  <c:v>1866</c:v>
                </c:pt>
                <c:pt idx="156">
                  <c:v>1865</c:v>
                </c:pt>
                <c:pt idx="157">
                  <c:v>1864</c:v>
                </c:pt>
                <c:pt idx="158">
                  <c:v>1863</c:v>
                </c:pt>
                <c:pt idx="159">
                  <c:v>1862</c:v>
                </c:pt>
                <c:pt idx="160">
                  <c:v>1861</c:v>
                </c:pt>
                <c:pt idx="161">
                  <c:v>1860</c:v>
                </c:pt>
                <c:pt idx="162">
                  <c:v>1859</c:v>
                </c:pt>
                <c:pt idx="163">
                  <c:v>1858</c:v>
                </c:pt>
                <c:pt idx="164">
                  <c:v>1857</c:v>
                </c:pt>
                <c:pt idx="165">
                  <c:v>1856</c:v>
                </c:pt>
                <c:pt idx="166">
                  <c:v>1855</c:v>
                </c:pt>
                <c:pt idx="167">
                  <c:v>1854</c:v>
                </c:pt>
                <c:pt idx="168">
                  <c:v>1853</c:v>
                </c:pt>
                <c:pt idx="169">
                  <c:v>1852</c:v>
                </c:pt>
                <c:pt idx="170">
                  <c:v>1851</c:v>
                </c:pt>
                <c:pt idx="171">
                  <c:v>1850</c:v>
                </c:pt>
                <c:pt idx="172">
                  <c:v>1849</c:v>
                </c:pt>
                <c:pt idx="173">
                  <c:v>1848</c:v>
                </c:pt>
                <c:pt idx="174">
                  <c:v>1847</c:v>
                </c:pt>
                <c:pt idx="175">
                  <c:v>1846</c:v>
                </c:pt>
                <c:pt idx="176">
                  <c:v>1845</c:v>
                </c:pt>
                <c:pt idx="177">
                  <c:v>1844</c:v>
                </c:pt>
                <c:pt idx="178">
                  <c:v>1843</c:v>
                </c:pt>
                <c:pt idx="179">
                  <c:v>1842</c:v>
                </c:pt>
                <c:pt idx="180">
                  <c:v>1841</c:v>
                </c:pt>
                <c:pt idx="181">
                  <c:v>1840</c:v>
                </c:pt>
                <c:pt idx="182">
                  <c:v>1839</c:v>
                </c:pt>
                <c:pt idx="183">
                  <c:v>1838</c:v>
                </c:pt>
                <c:pt idx="184">
                  <c:v>1837</c:v>
                </c:pt>
                <c:pt idx="185">
                  <c:v>1836</c:v>
                </c:pt>
                <c:pt idx="186">
                  <c:v>1835</c:v>
                </c:pt>
                <c:pt idx="187">
                  <c:v>1834</c:v>
                </c:pt>
                <c:pt idx="188">
                  <c:v>1833</c:v>
                </c:pt>
                <c:pt idx="189">
                  <c:v>1832</c:v>
                </c:pt>
                <c:pt idx="190">
                  <c:v>1831</c:v>
                </c:pt>
                <c:pt idx="191">
                  <c:v>1830</c:v>
                </c:pt>
                <c:pt idx="192">
                  <c:v>1829</c:v>
                </c:pt>
                <c:pt idx="193">
                  <c:v>1828</c:v>
                </c:pt>
                <c:pt idx="194">
                  <c:v>1827</c:v>
                </c:pt>
                <c:pt idx="195">
                  <c:v>1826</c:v>
                </c:pt>
                <c:pt idx="196">
                  <c:v>1825</c:v>
                </c:pt>
                <c:pt idx="197">
                  <c:v>1824</c:v>
                </c:pt>
                <c:pt idx="198">
                  <c:v>1823</c:v>
                </c:pt>
                <c:pt idx="199">
                  <c:v>1822</c:v>
                </c:pt>
                <c:pt idx="200">
                  <c:v>1821</c:v>
                </c:pt>
                <c:pt idx="201">
                  <c:v>1820</c:v>
                </c:pt>
                <c:pt idx="202">
                  <c:v>1819</c:v>
                </c:pt>
                <c:pt idx="203">
                  <c:v>1818</c:v>
                </c:pt>
                <c:pt idx="204">
                  <c:v>1817</c:v>
                </c:pt>
                <c:pt idx="205">
                  <c:v>1816</c:v>
                </c:pt>
                <c:pt idx="206">
                  <c:v>1815</c:v>
                </c:pt>
                <c:pt idx="207">
                  <c:v>1814</c:v>
                </c:pt>
                <c:pt idx="208">
                  <c:v>1813</c:v>
                </c:pt>
                <c:pt idx="209">
                  <c:v>1812</c:v>
                </c:pt>
                <c:pt idx="210">
                  <c:v>1811</c:v>
                </c:pt>
                <c:pt idx="211">
                  <c:v>1810</c:v>
                </c:pt>
                <c:pt idx="212">
                  <c:v>1809</c:v>
                </c:pt>
                <c:pt idx="213">
                  <c:v>1808</c:v>
                </c:pt>
                <c:pt idx="214">
                  <c:v>1807</c:v>
                </c:pt>
                <c:pt idx="215">
                  <c:v>1806</c:v>
                </c:pt>
                <c:pt idx="216">
                  <c:v>1805</c:v>
                </c:pt>
                <c:pt idx="217">
                  <c:v>1804</c:v>
                </c:pt>
                <c:pt idx="218">
                  <c:v>1803</c:v>
                </c:pt>
                <c:pt idx="219">
                  <c:v>1802</c:v>
                </c:pt>
                <c:pt idx="220">
                  <c:v>1801</c:v>
                </c:pt>
                <c:pt idx="221">
                  <c:v>1800</c:v>
                </c:pt>
                <c:pt idx="222">
                  <c:v>1799</c:v>
                </c:pt>
                <c:pt idx="223">
                  <c:v>1798</c:v>
                </c:pt>
                <c:pt idx="224">
                  <c:v>1797</c:v>
                </c:pt>
                <c:pt idx="225">
                  <c:v>1796</c:v>
                </c:pt>
                <c:pt idx="226">
                  <c:v>1795</c:v>
                </c:pt>
                <c:pt idx="227">
                  <c:v>1794</c:v>
                </c:pt>
                <c:pt idx="228">
                  <c:v>1793</c:v>
                </c:pt>
                <c:pt idx="229">
                  <c:v>1792</c:v>
                </c:pt>
                <c:pt idx="230">
                  <c:v>1791</c:v>
                </c:pt>
                <c:pt idx="231">
                  <c:v>1790</c:v>
                </c:pt>
                <c:pt idx="232">
                  <c:v>1789</c:v>
                </c:pt>
                <c:pt idx="233">
                  <c:v>1788</c:v>
                </c:pt>
                <c:pt idx="234">
                  <c:v>1787</c:v>
                </c:pt>
                <c:pt idx="235">
                  <c:v>1786</c:v>
                </c:pt>
                <c:pt idx="236">
                  <c:v>1785</c:v>
                </c:pt>
                <c:pt idx="237">
                  <c:v>1784</c:v>
                </c:pt>
                <c:pt idx="238">
                  <c:v>1783</c:v>
                </c:pt>
                <c:pt idx="239">
                  <c:v>1782</c:v>
                </c:pt>
                <c:pt idx="240">
                  <c:v>1781</c:v>
                </c:pt>
                <c:pt idx="241">
                  <c:v>1780</c:v>
                </c:pt>
                <c:pt idx="242">
                  <c:v>1779</c:v>
                </c:pt>
                <c:pt idx="243">
                  <c:v>1778</c:v>
                </c:pt>
                <c:pt idx="244">
                  <c:v>1777</c:v>
                </c:pt>
                <c:pt idx="245">
                  <c:v>1776</c:v>
                </c:pt>
                <c:pt idx="246">
                  <c:v>1775</c:v>
                </c:pt>
                <c:pt idx="247">
                  <c:v>1774</c:v>
                </c:pt>
                <c:pt idx="248">
                  <c:v>1773</c:v>
                </c:pt>
                <c:pt idx="249">
                  <c:v>1772</c:v>
                </c:pt>
                <c:pt idx="250">
                  <c:v>1771</c:v>
                </c:pt>
                <c:pt idx="251">
                  <c:v>1770</c:v>
                </c:pt>
                <c:pt idx="252">
                  <c:v>1769</c:v>
                </c:pt>
                <c:pt idx="253">
                  <c:v>1768</c:v>
                </c:pt>
                <c:pt idx="254">
                  <c:v>1767</c:v>
                </c:pt>
                <c:pt idx="255">
                  <c:v>1766</c:v>
                </c:pt>
                <c:pt idx="256">
                  <c:v>1765</c:v>
                </c:pt>
                <c:pt idx="257">
                  <c:v>1764</c:v>
                </c:pt>
                <c:pt idx="258">
                  <c:v>1763</c:v>
                </c:pt>
                <c:pt idx="259">
                  <c:v>1762</c:v>
                </c:pt>
                <c:pt idx="260">
                  <c:v>1761</c:v>
                </c:pt>
                <c:pt idx="261">
                  <c:v>1760</c:v>
                </c:pt>
                <c:pt idx="262">
                  <c:v>1759</c:v>
                </c:pt>
                <c:pt idx="263">
                  <c:v>1758</c:v>
                </c:pt>
                <c:pt idx="264">
                  <c:v>1757</c:v>
                </c:pt>
                <c:pt idx="265">
                  <c:v>1756</c:v>
                </c:pt>
                <c:pt idx="266">
                  <c:v>1755</c:v>
                </c:pt>
                <c:pt idx="267">
                  <c:v>1754</c:v>
                </c:pt>
                <c:pt idx="268">
                  <c:v>1753</c:v>
                </c:pt>
                <c:pt idx="269">
                  <c:v>1752</c:v>
                </c:pt>
                <c:pt idx="270">
                  <c:v>1751</c:v>
                </c:pt>
                <c:pt idx="271">
                  <c:v>1750</c:v>
                </c:pt>
              </c:numCache>
            </c:numRef>
          </c:cat>
          <c:val>
            <c:numRef>
              <c:f>'Sheet3 (2)'!$H$2:$H$273</c:f>
              <c:numCache>
                <c:formatCode>General</c:formatCode>
                <c:ptCount val="272"/>
                <c:pt idx="0">
                  <c:v>11472369000</c:v>
                </c:pt>
                <c:pt idx="1">
                  <c:v>10956213000</c:v>
                </c:pt>
                <c:pt idx="2">
                  <c:v>10740996000</c:v>
                </c:pt>
                <c:pt idx="3">
                  <c:v>10353877000</c:v>
                </c:pt>
                <c:pt idx="4">
                  <c:v>10011107000</c:v>
                </c:pt>
                <c:pt idx="5">
                  <c:v>9764980000</c:v>
                </c:pt>
                <c:pt idx="6">
                  <c:v>9866905000</c:v>
                </c:pt>
                <c:pt idx="7">
                  <c:v>9998621000</c:v>
                </c:pt>
                <c:pt idx="8">
                  <c:v>9956309000</c:v>
                </c:pt>
                <c:pt idx="9">
                  <c:v>9779281000</c:v>
                </c:pt>
                <c:pt idx="10">
                  <c:v>9528556000</c:v>
                </c:pt>
                <c:pt idx="11">
                  <c:v>8616653000</c:v>
                </c:pt>
                <c:pt idx="12">
                  <c:v>7886532600</c:v>
                </c:pt>
                <c:pt idx="13">
                  <c:v>7496832000</c:v>
                </c:pt>
                <c:pt idx="14">
                  <c:v>6978611700</c:v>
                </c:pt>
                <c:pt idx="15">
                  <c:v>6488804000</c:v>
                </c:pt>
                <c:pt idx="16">
                  <c:v>5876555300</c:v>
                </c:pt>
                <c:pt idx="17">
                  <c:v>5223755000</c:v>
                </c:pt>
                <c:pt idx="18">
                  <c:v>4827446000</c:v>
                </c:pt>
                <c:pt idx="19">
                  <c:v>4112459000</c:v>
                </c:pt>
                <c:pt idx="20">
                  <c:v>3723730700</c:v>
                </c:pt>
                <c:pt idx="21">
                  <c:v>3644464000</c:v>
                </c:pt>
                <c:pt idx="22">
                  <c:v>3552842000</c:v>
                </c:pt>
                <c:pt idx="23">
                  <c:v>3360455400</c:v>
                </c:pt>
                <c:pt idx="24">
                  <c:v>3510169000</c:v>
                </c:pt>
                <c:pt idx="25">
                  <c:v>3503233500</c:v>
                </c:pt>
                <c:pt idx="26">
                  <c:v>3357909000</c:v>
                </c:pt>
                <c:pt idx="27">
                  <c:v>3100002000</c:v>
                </c:pt>
                <c:pt idx="28">
                  <c:v>2921651000</c:v>
                </c:pt>
                <c:pt idx="29">
                  <c:v>2730787600</c:v>
                </c:pt>
                <c:pt idx="30">
                  <c:v>2606096100</c:v>
                </c:pt>
                <c:pt idx="31">
                  <c:v>2484854800</c:v>
                </c:pt>
                <c:pt idx="32">
                  <c:v>2463654400</c:v>
                </c:pt>
                <c:pt idx="33">
                  <c:v>2425893600</c:v>
                </c:pt>
                <c:pt idx="34">
                  <c:v>2257738500</c:v>
                </c:pt>
                <c:pt idx="35">
                  <c:v>2104213400</c:v>
                </c:pt>
                <c:pt idx="36">
                  <c:v>1998083000</c:v>
                </c:pt>
                <c:pt idx="37">
                  <c:v>1844828000</c:v>
                </c:pt>
                <c:pt idx="38">
                  <c:v>1694216800</c:v>
                </c:pt>
                <c:pt idx="39">
                  <c:v>1606585000</c:v>
                </c:pt>
                <c:pt idx="40">
                  <c:v>1476487800</c:v>
                </c:pt>
                <c:pt idx="41">
                  <c:v>1494495900</c:v>
                </c:pt>
                <c:pt idx="42">
                  <c:v>1525661200</c:v>
                </c:pt>
                <c:pt idx="43">
                  <c:v>1492777900</c:v>
                </c:pt>
                <c:pt idx="44">
                  <c:v>1340831100</c:v>
                </c:pt>
                <c:pt idx="45">
                  <c:v>1226421200</c:v>
                </c:pt>
                <c:pt idx="46">
                  <c:v>1183215000</c:v>
                </c:pt>
                <c:pt idx="47">
                  <c:v>1028099840</c:v>
                </c:pt>
                <c:pt idx="48">
                  <c:v>1008292600</c:v>
                </c:pt>
                <c:pt idx="49">
                  <c:v>968645570</c:v>
                </c:pt>
                <c:pt idx="50">
                  <c:v>909209700</c:v>
                </c:pt>
                <c:pt idx="51">
                  <c:v>807952640</c:v>
                </c:pt>
                <c:pt idx="52">
                  <c:v>607683300</c:v>
                </c:pt>
                <c:pt idx="53">
                  <c:v>495506560</c:v>
                </c:pt>
                <c:pt idx="54">
                  <c:v>460225900</c:v>
                </c:pt>
                <c:pt idx="55">
                  <c:v>549459260</c:v>
                </c:pt>
                <c:pt idx="56">
                  <c:v>500286370</c:v>
                </c:pt>
                <c:pt idx="57">
                  <c:v>460637100</c:v>
                </c:pt>
                <c:pt idx="58">
                  <c:v>456779460</c:v>
                </c:pt>
                <c:pt idx="59">
                  <c:v>459618080</c:v>
                </c:pt>
                <c:pt idx="60">
                  <c:v>570630200</c:v>
                </c:pt>
                <c:pt idx="61">
                  <c:v>798799940</c:v>
                </c:pt>
                <c:pt idx="62">
                  <c:v>720151550</c:v>
                </c:pt>
                <c:pt idx="63">
                  <c:v>524617060</c:v>
                </c:pt>
                <c:pt idx="64">
                  <c:v>255784960</c:v>
                </c:pt>
                <c:pt idx="65">
                  <c:v>215823980</c:v>
                </c:pt>
                <c:pt idx="66">
                  <c:v>190521460</c:v>
                </c:pt>
                <c:pt idx="67">
                  <c:v>160877400</c:v>
                </c:pt>
                <c:pt idx="68">
                  <c:v>133782880</c:v>
                </c:pt>
                <c:pt idx="69">
                  <c:v>127999330</c:v>
                </c:pt>
                <c:pt idx="70">
                  <c:v>102115210</c:v>
                </c:pt>
                <c:pt idx="71">
                  <c:v>78835290</c:v>
                </c:pt>
                <c:pt idx="72">
                  <c:v>62081100</c:v>
                </c:pt>
                <c:pt idx="73">
                  <c:v>38400104</c:v>
                </c:pt>
                <c:pt idx="74">
                  <c:v>41836136</c:v>
                </c:pt>
                <c:pt idx="75">
                  <c:v>36107050</c:v>
                </c:pt>
                <c:pt idx="76">
                  <c:v>55892210</c:v>
                </c:pt>
                <c:pt idx="77">
                  <c:v>103003570</c:v>
                </c:pt>
                <c:pt idx="78">
                  <c:v>108994540</c:v>
                </c:pt>
                <c:pt idx="79">
                  <c:v>127613384</c:v>
                </c:pt>
                <c:pt idx="80">
                  <c:v>113978570</c:v>
                </c:pt>
                <c:pt idx="81">
                  <c:v>90790530</c:v>
                </c:pt>
                <c:pt idx="82">
                  <c:v>74426990</c:v>
                </c:pt>
                <c:pt idx="83">
                  <c:v>61365520</c:v>
                </c:pt>
                <c:pt idx="84">
                  <c:v>70968650</c:v>
                </c:pt>
                <c:pt idx="85">
                  <c:v>75477250</c:v>
                </c:pt>
                <c:pt idx="86">
                  <c:v>72645970</c:v>
                </c:pt>
                <c:pt idx="87">
                  <c:v>62382628</c:v>
                </c:pt>
                <c:pt idx="88">
                  <c:v>54111180</c:v>
                </c:pt>
                <c:pt idx="89">
                  <c:v>50269150</c:v>
                </c:pt>
                <c:pt idx="90">
                  <c:v>51904660</c:v>
                </c:pt>
                <c:pt idx="91">
                  <c:v>49558456</c:v>
                </c:pt>
                <c:pt idx="92">
                  <c:v>48281828</c:v>
                </c:pt>
                <c:pt idx="93">
                  <c:v>47591444</c:v>
                </c:pt>
                <c:pt idx="94">
                  <c:v>45808580</c:v>
                </c:pt>
                <c:pt idx="95">
                  <c:v>43660164</c:v>
                </c:pt>
                <c:pt idx="96">
                  <c:v>45954840</c:v>
                </c:pt>
                <c:pt idx="97">
                  <c:v>48846084</c:v>
                </c:pt>
                <c:pt idx="98">
                  <c:v>46517556</c:v>
                </c:pt>
                <c:pt idx="99">
                  <c:v>39971524</c:v>
                </c:pt>
                <c:pt idx="100">
                  <c:v>38762732</c:v>
                </c:pt>
                <c:pt idx="101">
                  <c:v>40278456</c:v>
                </c:pt>
                <c:pt idx="102">
                  <c:v>37997296</c:v>
                </c:pt>
                <c:pt idx="103">
                  <c:v>34747964</c:v>
                </c:pt>
                <c:pt idx="104">
                  <c:v>32023448</c:v>
                </c:pt>
                <c:pt idx="105">
                  <c:v>30130690</c:v>
                </c:pt>
                <c:pt idx="106">
                  <c:v>25420578</c:v>
                </c:pt>
                <c:pt idx="107">
                  <c:v>26718416</c:v>
                </c:pt>
                <c:pt idx="108">
                  <c:v>24251576</c:v>
                </c:pt>
                <c:pt idx="109">
                  <c:v>17029154</c:v>
                </c:pt>
                <c:pt idx="110">
                  <c:v>24630506</c:v>
                </c:pt>
                <c:pt idx="111">
                  <c:v>25009438</c:v>
                </c:pt>
                <c:pt idx="112">
                  <c:v>24251576</c:v>
                </c:pt>
                <c:pt idx="113">
                  <c:v>22735854</c:v>
                </c:pt>
                <c:pt idx="114">
                  <c:v>19893872</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numCache>
            </c:numRef>
          </c:val>
          <c:extLst>
            <c:ext xmlns:c16="http://schemas.microsoft.com/office/drawing/2014/chart" uri="{C3380CC4-5D6E-409C-BE32-E72D297353CC}">
              <c16:uniqueId val="{00000001-8F39-4254-9BC0-093CA2A7CE92}"/>
            </c:ext>
          </c:extLst>
        </c:ser>
        <c:ser>
          <c:idx val="0"/>
          <c:order val="2"/>
          <c:tx>
            <c:strRef>
              <c:f>'Sheet3 (2)'!$I$2</c:f>
              <c:strCache>
                <c:ptCount val="1"/>
                <c:pt idx="0">
                  <c:v>North America (excl. USA)</c:v>
                </c:pt>
              </c:strCache>
            </c:strRef>
          </c:tx>
          <c:spPr>
            <a:solidFill>
              <a:schemeClr val="accent1"/>
            </a:solidFill>
            <a:ln w="25400">
              <a:noFill/>
            </a:ln>
            <a:effectLst/>
          </c:spPr>
          <c:cat>
            <c:numRef>
              <c:f>'Sheet3 (2)'!$AI$2:$AI$273</c:f>
              <c:numCache>
                <c:formatCode>General</c:formatCode>
                <c:ptCount val="272"/>
                <c:pt idx="0">
                  <c:v>2021</c:v>
                </c:pt>
                <c:pt idx="1">
                  <c:v>2020</c:v>
                </c:pt>
                <c:pt idx="2">
                  <c:v>2019</c:v>
                </c:pt>
                <c:pt idx="3">
                  <c:v>2018</c:v>
                </c:pt>
                <c:pt idx="4">
                  <c:v>2017</c:v>
                </c:pt>
                <c:pt idx="5">
                  <c:v>2016</c:v>
                </c:pt>
                <c:pt idx="6">
                  <c:v>2015</c:v>
                </c:pt>
                <c:pt idx="7">
                  <c:v>2014</c:v>
                </c:pt>
                <c:pt idx="8">
                  <c:v>2013</c:v>
                </c:pt>
                <c:pt idx="9">
                  <c:v>2012</c:v>
                </c:pt>
                <c:pt idx="10">
                  <c:v>2011</c:v>
                </c:pt>
                <c:pt idx="11">
                  <c:v>2010</c:v>
                </c:pt>
                <c:pt idx="12">
                  <c:v>2009</c:v>
                </c:pt>
                <c:pt idx="13">
                  <c:v>2008</c:v>
                </c:pt>
                <c:pt idx="14">
                  <c:v>2007</c:v>
                </c:pt>
                <c:pt idx="15">
                  <c:v>2006</c:v>
                </c:pt>
                <c:pt idx="16">
                  <c:v>2005</c:v>
                </c:pt>
                <c:pt idx="17">
                  <c:v>2004</c:v>
                </c:pt>
                <c:pt idx="18">
                  <c:v>2003</c:v>
                </c:pt>
                <c:pt idx="19">
                  <c:v>2002</c:v>
                </c:pt>
                <c:pt idx="20">
                  <c:v>2001</c:v>
                </c:pt>
                <c:pt idx="21">
                  <c:v>2000</c:v>
                </c:pt>
                <c:pt idx="22">
                  <c:v>1999</c:v>
                </c:pt>
                <c:pt idx="23">
                  <c:v>1998</c:v>
                </c:pt>
                <c:pt idx="24">
                  <c:v>1997</c:v>
                </c:pt>
                <c:pt idx="25">
                  <c:v>1996</c:v>
                </c:pt>
                <c:pt idx="26">
                  <c:v>1995</c:v>
                </c:pt>
                <c:pt idx="27">
                  <c:v>1994</c:v>
                </c:pt>
                <c:pt idx="28">
                  <c:v>1993</c:v>
                </c:pt>
                <c:pt idx="29">
                  <c:v>1992</c:v>
                </c:pt>
                <c:pt idx="30">
                  <c:v>1991</c:v>
                </c:pt>
                <c:pt idx="31">
                  <c:v>1990</c:v>
                </c:pt>
                <c:pt idx="32">
                  <c:v>1989</c:v>
                </c:pt>
                <c:pt idx="33">
                  <c:v>1988</c:v>
                </c:pt>
                <c:pt idx="34">
                  <c:v>1987</c:v>
                </c:pt>
                <c:pt idx="35">
                  <c:v>1986</c:v>
                </c:pt>
                <c:pt idx="36">
                  <c:v>1985</c:v>
                </c:pt>
                <c:pt idx="37">
                  <c:v>1984</c:v>
                </c:pt>
                <c:pt idx="38">
                  <c:v>1983</c:v>
                </c:pt>
                <c:pt idx="39">
                  <c:v>1982</c:v>
                </c:pt>
                <c:pt idx="40">
                  <c:v>1981</c:v>
                </c:pt>
                <c:pt idx="41">
                  <c:v>1980</c:v>
                </c:pt>
                <c:pt idx="42">
                  <c:v>1979</c:v>
                </c:pt>
                <c:pt idx="43">
                  <c:v>1978</c:v>
                </c:pt>
                <c:pt idx="44">
                  <c:v>1977</c:v>
                </c:pt>
                <c:pt idx="45">
                  <c:v>1976</c:v>
                </c:pt>
                <c:pt idx="46">
                  <c:v>1975</c:v>
                </c:pt>
                <c:pt idx="47">
                  <c:v>1974</c:v>
                </c:pt>
                <c:pt idx="48">
                  <c:v>1973</c:v>
                </c:pt>
                <c:pt idx="49">
                  <c:v>1972</c:v>
                </c:pt>
                <c:pt idx="50">
                  <c:v>1971</c:v>
                </c:pt>
                <c:pt idx="51">
                  <c:v>1970</c:v>
                </c:pt>
                <c:pt idx="52">
                  <c:v>1969</c:v>
                </c:pt>
                <c:pt idx="53">
                  <c:v>1968</c:v>
                </c:pt>
                <c:pt idx="54">
                  <c:v>1967</c:v>
                </c:pt>
                <c:pt idx="55">
                  <c:v>1966</c:v>
                </c:pt>
                <c:pt idx="56">
                  <c:v>1965</c:v>
                </c:pt>
                <c:pt idx="57">
                  <c:v>1964</c:v>
                </c:pt>
                <c:pt idx="58">
                  <c:v>1963</c:v>
                </c:pt>
                <c:pt idx="59">
                  <c:v>1962</c:v>
                </c:pt>
                <c:pt idx="60">
                  <c:v>1961</c:v>
                </c:pt>
                <c:pt idx="61">
                  <c:v>1960</c:v>
                </c:pt>
                <c:pt idx="62">
                  <c:v>1959</c:v>
                </c:pt>
                <c:pt idx="63">
                  <c:v>1958</c:v>
                </c:pt>
                <c:pt idx="64">
                  <c:v>1957</c:v>
                </c:pt>
                <c:pt idx="65">
                  <c:v>1956</c:v>
                </c:pt>
                <c:pt idx="66">
                  <c:v>1955</c:v>
                </c:pt>
                <c:pt idx="67">
                  <c:v>1954</c:v>
                </c:pt>
                <c:pt idx="68">
                  <c:v>1953</c:v>
                </c:pt>
                <c:pt idx="69">
                  <c:v>1952</c:v>
                </c:pt>
                <c:pt idx="70">
                  <c:v>1951</c:v>
                </c:pt>
                <c:pt idx="71">
                  <c:v>1950</c:v>
                </c:pt>
                <c:pt idx="72">
                  <c:v>1949</c:v>
                </c:pt>
                <c:pt idx="73">
                  <c:v>1948</c:v>
                </c:pt>
                <c:pt idx="74">
                  <c:v>1947</c:v>
                </c:pt>
                <c:pt idx="75">
                  <c:v>1946</c:v>
                </c:pt>
                <c:pt idx="76">
                  <c:v>1945</c:v>
                </c:pt>
                <c:pt idx="77">
                  <c:v>1944</c:v>
                </c:pt>
                <c:pt idx="78">
                  <c:v>1943</c:v>
                </c:pt>
                <c:pt idx="79">
                  <c:v>1942</c:v>
                </c:pt>
                <c:pt idx="80">
                  <c:v>1941</c:v>
                </c:pt>
                <c:pt idx="81">
                  <c:v>1940</c:v>
                </c:pt>
                <c:pt idx="82">
                  <c:v>1939</c:v>
                </c:pt>
                <c:pt idx="83">
                  <c:v>1938</c:v>
                </c:pt>
                <c:pt idx="84">
                  <c:v>1937</c:v>
                </c:pt>
                <c:pt idx="85">
                  <c:v>1936</c:v>
                </c:pt>
                <c:pt idx="86">
                  <c:v>1935</c:v>
                </c:pt>
                <c:pt idx="87">
                  <c:v>1934</c:v>
                </c:pt>
                <c:pt idx="88">
                  <c:v>1933</c:v>
                </c:pt>
                <c:pt idx="89">
                  <c:v>1932</c:v>
                </c:pt>
                <c:pt idx="90">
                  <c:v>1931</c:v>
                </c:pt>
                <c:pt idx="91">
                  <c:v>1930</c:v>
                </c:pt>
                <c:pt idx="92">
                  <c:v>1929</c:v>
                </c:pt>
                <c:pt idx="93">
                  <c:v>1928</c:v>
                </c:pt>
                <c:pt idx="94">
                  <c:v>1927</c:v>
                </c:pt>
                <c:pt idx="95">
                  <c:v>1926</c:v>
                </c:pt>
                <c:pt idx="96">
                  <c:v>1925</c:v>
                </c:pt>
                <c:pt idx="97">
                  <c:v>1924</c:v>
                </c:pt>
                <c:pt idx="98">
                  <c:v>1923</c:v>
                </c:pt>
                <c:pt idx="99">
                  <c:v>1922</c:v>
                </c:pt>
                <c:pt idx="100">
                  <c:v>1921</c:v>
                </c:pt>
                <c:pt idx="101">
                  <c:v>1920</c:v>
                </c:pt>
                <c:pt idx="102">
                  <c:v>1919</c:v>
                </c:pt>
                <c:pt idx="103">
                  <c:v>1918</c:v>
                </c:pt>
                <c:pt idx="104">
                  <c:v>1917</c:v>
                </c:pt>
                <c:pt idx="105">
                  <c:v>1916</c:v>
                </c:pt>
                <c:pt idx="106">
                  <c:v>1915</c:v>
                </c:pt>
                <c:pt idx="107">
                  <c:v>1914</c:v>
                </c:pt>
                <c:pt idx="108">
                  <c:v>1913</c:v>
                </c:pt>
                <c:pt idx="109">
                  <c:v>1912</c:v>
                </c:pt>
                <c:pt idx="110">
                  <c:v>1911</c:v>
                </c:pt>
                <c:pt idx="111">
                  <c:v>1910</c:v>
                </c:pt>
                <c:pt idx="112">
                  <c:v>1909</c:v>
                </c:pt>
                <c:pt idx="113">
                  <c:v>1908</c:v>
                </c:pt>
                <c:pt idx="114">
                  <c:v>1907</c:v>
                </c:pt>
                <c:pt idx="115">
                  <c:v>1906</c:v>
                </c:pt>
                <c:pt idx="116">
                  <c:v>1905</c:v>
                </c:pt>
                <c:pt idx="117">
                  <c:v>1904</c:v>
                </c:pt>
                <c:pt idx="118">
                  <c:v>1903</c:v>
                </c:pt>
                <c:pt idx="119">
                  <c:v>1902</c:v>
                </c:pt>
                <c:pt idx="120">
                  <c:v>1901</c:v>
                </c:pt>
                <c:pt idx="121">
                  <c:v>1900</c:v>
                </c:pt>
                <c:pt idx="122">
                  <c:v>1899</c:v>
                </c:pt>
                <c:pt idx="123">
                  <c:v>1898</c:v>
                </c:pt>
                <c:pt idx="124">
                  <c:v>1897</c:v>
                </c:pt>
                <c:pt idx="125">
                  <c:v>1896</c:v>
                </c:pt>
                <c:pt idx="126">
                  <c:v>1895</c:v>
                </c:pt>
                <c:pt idx="127">
                  <c:v>1894</c:v>
                </c:pt>
                <c:pt idx="128">
                  <c:v>1893</c:v>
                </c:pt>
                <c:pt idx="129">
                  <c:v>1892</c:v>
                </c:pt>
                <c:pt idx="130">
                  <c:v>1891</c:v>
                </c:pt>
                <c:pt idx="131">
                  <c:v>1890</c:v>
                </c:pt>
                <c:pt idx="132">
                  <c:v>1889</c:v>
                </c:pt>
                <c:pt idx="133">
                  <c:v>1888</c:v>
                </c:pt>
                <c:pt idx="134">
                  <c:v>1887</c:v>
                </c:pt>
                <c:pt idx="135">
                  <c:v>1886</c:v>
                </c:pt>
                <c:pt idx="136">
                  <c:v>1885</c:v>
                </c:pt>
                <c:pt idx="137">
                  <c:v>1884</c:v>
                </c:pt>
                <c:pt idx="138">
                  <c:v>1883</c:v>
                </c:pt>
                <c:pt idx="139">
                  <c:v>1882</c:v>
                </c:pt>
                <c:pt idx="140">
                  <c:v>1881</c:v>
                </c:pt>
                <c:pt idx="141">
                  <c:v>1880</c:v>
                </c:pt>
                <c:pt idx="142">
                  <c:v>1879</c:v>
                </c:pt>
                <c:pt idx="143">
                  <c:v>1878</c:v>
                </c:pt>
                <c:pt idx="144">
                  <c:v>1877</c:v>
                </c:pt>
                <c:pt idx="145">
                  <c:v>1876</c:v>
                </c:pt>
                <c:pt idx="146">
                  <c:v>1875</c:v>
                </c:pt>
                <c:pt idx="147">
                  <c:v>1874</c:v>
                </c:pt>
                <c:pt idx="148">
                  <c:v>1873</c:v>
                </c:pt>
                <c:pt idx="149">
                  <c:v>1872</c:v>
                </c:pt>
                <c:pt idx="150">
                  <c:v>1871</c:v>
                </c:pt>
                <c:pt idx="151">
                  <c:v>1870</c:v>
                </c:pt>
                <c:pt idx="152">
                  <c:v>1869</c:v>
                </c:pt>
                <c:pt idx="153">
                  <c:v>1868</c:v>
                </c:pt>
                <c:pt idx="154">
                  <c:v>1867</c:v>
                </c:pt>
                <c:pt idx="155">
                  <c:v>1866</c:v>
                </c:pt>
                <c:pt idx="156">
                  <c:v>1865</c:v>
                </c:pt>
                <c:pt idx="157">
                  <c:v>1864</c:v>
                </c:pt>
                <c:pt idx="158">
                  <c:v>1863</c:v>
                </c:pt>
                <c:pt idx="159">
                  <c:v>1862</c:v>
                </c:pt>
                <c:pt idx="160">
                  <c:v>1861</c:v>
                </c:pt>
                <c:pt idx="161">
                  <c:v>1860</c:v>
                </c:pt>
                <c:pt idx="162">
                  <c:v>1859</c:v>
                </c:pt>
                <c:pt idx="163">
                  <c:v>1858</c:v>
                </c:pt>
                <c:pt idx="164">
                  <c:v>1857</c:v>
                </c:pt>
                <c:pt idx="165">
                  <c:v>1856</c:v>
                </c:pt>
                <c:pt idx="166">
                  <c:v>1855</c:v>
                </c:pt>
                <c:pt idx="167">
                  <c:v>1854</c:v>
                </c:pt>
                <c:pt idx="168">
                  <c:v>1853</c:v>
                </c:pt>
                <c:pt idx="169">
                  <c:v>1852</c:v>
                </c:pt>
                <c:pt idx="170">
                  <c:v>1851</c:v>
                </c:pt>
                <c:pt idx="171">
                  <c:v>1850</c:v>
                </c:pt>
                <c:pt idx="172">
                  <c:v>1849</c:v>
                </c:pt>
                <c:pt idx="173">
                  <c:v>1848</c:v>
                </c:pt>
                <c:pt idx="174">
                  <c:v>1847</c:v>
                </c:pt>
                <c:pt idx="175">
                  <c:v>1846</c:v>
                </c:pt>
                <c:pt idx="176">
                  <c:v>1845</c:v>
                </c:pt>
                <c:pt idx="177">
                  <c:v>1844</c:v>
                </c:pt>
                <c:pt idx="178">
                  <c:v>1843</c:v>
                </c:pt>
                <c:pt idx="179">
                  <c:v>1842</c:v>
                </c:pt>
                <c:pt idx="180">
                  <c:v>1841</c:v>
                </c:pt>
                <c:pt idx="181">
                  <c:v>1840</c:v>
                </c:pt>
                <c:pt idx="182">
                  <c:v>1839</c:v>
                </c:pt>
                <c:pt idx="183">
                  <c:v>1838</c:v>
                </c:pt>
                <c:pt idx="184">
                  <c:v>1837</c:v>
                </c:pt>
                <c:pt idx="185">
                  <c:v>1836</c:v>
                </c:pt>
                <c:pt idx="186">
                  <c:v>1835</c:v>
                </c:pt>
                <c:pt idx="187">
                  <c:v>1834</c:v>
                </c:pt>
                <c:pt idx="188">
                  <c:v>1833</c:v>
                </c:pt>
                <c:pt idx="189">
                  <c:v>1832</c:v>
                </c:pt>
                <c:pt idx="190">
                  <c:v>1831</c:v>
                </c:pt>
                <c:pt idx="191">
                  <c:v>1830</c:v>
                </c:pt>
                <c:pt idx="192">
                  <c:v>1829</c:v>
                </c:pt>
                <c:pt idx="193">
                  <c:v>1828</c:v>
                </c:pt>
                <c:pt idx="194">
                  <c:v>1827</c:v>
                </c:pt>
                <c:pt idx="195">
                  <c:v>1826</c:v>
                </c:pt>
                <c:pt idx="196">
                  <c:v>1825</c:v>
                </c:pt>
                <c:pt idx="197">
                  <c:v>1824</c:v>
                </c:pt>
                <c:pt idx="198">
                  <c:v>1823</c:v>
                </c:pt>
                <c:pt idx="199">
                  <c:v>1822</c:v>
                </c:pt>
                <c:pt idx="200">
                  <c:v>1821</c:v>
                </c:pt>
                <c:pt idx="201">
                  <c:v>1820</c:v>
                </c:pt>
                <c:pt idx="202">
                  <c:v>1819</c:v>
                </c:pt>
                <c:pt idx="203">
                  <c:v>1818</c:v>
                </c:pt>
                <c:pt idx="204">
                  <c:v>1817</c:v>
                </c:pt>
                <c:pt idx="205">
                  <c:v>1816</c:v>
                </c:pt>
                <c:pt idx="206">
                  <c:v>1815</c:v>
                </c:pt>
                <c:pt idx="207">
                  <c:v>1814</c:v>
                </c:pt>
                <c:pt idx="208">
                  <c:v>1813</c:v>
                </c:pt>
                <c:pt idx="209">
                  <c:v>1812</c:v>
                </c:pt>
                <c:pt idx="210">
                  <c:v>1811</c:v>
                </c:pt>
                <c:pt idx="211">
                  <c:v>1810</c:v>
                </c:pt>
                <c:pt idx="212">
                  <c:v>1809</c:v>
                </c:pt>
                <c:pt idx="213">
                  <c:v>1808</c:v>
                </c:pt>
                <c:pt idx="214">
                  <c:v>1807</c:v>
                </c:pt>
                <c:pt idx="215">
                  <c:v>1806</c:v>
                </c:pt>
                <c:pt idx="216">
                  <c:v>1805</c:v>
                </c:pt>
                <c:pt idx="217">
                  <c:v>1804</c:v>
                </c:pt>
                <c:pt idx="218">
                  <c:v>1803</c:v>
                </c:pt>
                <c:pt idx="219">
                  <c:v>1802</c:v>
                </c:pt>
                <c:pt idx="220">
                  <c:v>1801</c:v>
                </c:pt>
                <c:pt idx="221">
                  <c:v>1800</c:v>
                </c:pt>
                <c:pt idx="222">
                  <c:v>1799</c:v>
                </c:pt>
                <c:pt idx="223">
                  <c:v>1798</c:v>
                </c:pt>
                <c:pt idx="224">
                  <c:v>1797</c:v>
                </c:pt>
                <c:pt idx="225">
                  <c:v>1796</c:v>
                </c:pt>
                <c:pt idx="226">
                  <c:v>1795</c:v>
                </c:pt>
                <c:pt idx="227">
                  <c:v>1794</c:v>
                </c:pt>
                <c:pt idx="228">
                  <c:v>1793</c:v>
                </c:pt>
                <c:pt idx="229">
                  <c:v>1792</c:v>
                </c:pt>
                <c:pt idx="230">
                  <c:v>1791</c:v>
                </c:pt>
                <c:pt idx="231">
                  <c:v>1790</c:v>
                </c:pt>
                <c:pt idx="232">
                  <c:v>1789</c:v>
                </c:pt>
                <c:pt idx="233">
                  <c:v>1788</c:v>
                </c:pt>
                <c:pt idx="234">
                  <c:v>1787</c:v>
                </c:pt>
                <c:pt idx="235">
                  <c:v>1786</c:v>
                </c:pt>
                <c:pt idx="236">
                  <c:v>1785</c:v>
                </c:pt>
                <c:pt idx="237">
                  <c:v>1784</c:v>
                </c:pt>
                <c:pt idx="238">
                  <c:v>1783</c:v>
                </c:pt>
                <c:pt idx="239">
                  <c:v>1782</c:v>
                </c:pt>
                <c:pt idx="240">
                  <c:v>1781</c:v>
                </c:pt>
                <c:pt idx="241">
                  <c:v>1780</c:v>
                </c:pt>
                <c:pt idx="242">
                  <c:v>1779</c:v>
                </c:pt>
                <c:pt idx="243">
                  <c:v>1778</c:v>
                </c:pt>
                <c:pt idx="244">
                  <c:v>1777</c:v>
                </c:pt>
                <c:pt idx="245">
                  <c:v>1776</c:v>
                </c:pt>
                <c:pt idx="246">
                  <c:v>1775</c:v>
                </c:pt>
                <c:pt idx="247">
                  <c:v>1774</c:v>
                </c:pt>
                <c:pt idx="248">
                  <c:v>1773</c:v>
                </c:pt>
                <c:pt idx="249">
                  <c:v>1772</c:v>
                </c:pt>
                <c:pt idx="250">
                  <c:v>1771</c:v>
                </c:pt>
                <c:pt idx="251">
                  <c:v>1770</c:v>
                </c:pt>
                <c:pt idx="252">
                  <c:v>1769</c:v>
                </c:pt>
                <c:pt idx="253">
                  <c:v>1768</c:v>
                </c:pt>
                <c:pt idx="254">
                  <c:v>1767</c:v>
                </c:pt>
                <c:pt idx="255">
                  <c:v>1766</c:v>
                </c:pt>
                <c:pt idx="256">
                  <c:v>1765</c:v>
                </c:pt>
                <c:pt idx="257">
                  <c:v>1764</c:v>
                </c:pt>
                <c:pt idx="258">
                  <c:v>1763</c:v>
                </c:pt>
                <c:pt idx="259">
                  <c:v>1762</c:v>
                </c:pt>
                <c:pt idx="260">
                  <c:v>1761</c:v>
                </c:pt>
                <c:pt idx="261">
                  <c:v>1760</c:v>
                </c:pt>
                <c:pt idx="262">
                  <c:v>1759</c:v>
                </c:pt>
                <c:pt idx="263">
                  <c:v>1758</c:v>
                </c:pt>
                <c:pt idx="264">
                  <c:v>1757</c:v>
                </c:pt>
                <c:pt idx="265">
                  <c:v>1756</c:v>
                </c:pt>
                <c:pt idx="266">
                  <c:v>1755</c:v>
                </c:pt>
                <c:pt idx="267">
                  <c:v>1754</c:v>
                </c:pt>
                <c:pt idx="268">
                  <c:v>1753</c:v>
                </c:pt>
                <c:pt idx="269">
                  <c:v>1752</c:v>
                </c:pt>
                <c:pt idx="270">
                  <c:v>1751</c:v>
                </c:pt>
                <c:pt idx="271">
                  <c:v>1750</c:v>
                </c:pt>
              </c:numCache>
            </c:numRef>
          </c:cat>
          <c:val>
            <c:numRef>
              <c:f>'Sheet3 (2)'!$L$4:$L$273</c:f>
              <c:numCache>
                <c:formatCode>General</c:formatCode>
                <c:ptCount val="270"/>
                <c:pt idx="0">
                  <c:v>1241705600</c:v>
                </c:pt>
                <c:pt idx="1">
                  <c:v>1237907300</c:v>
                </c:pt>
                <c:pt idx="2">
                  <c:v>1214823600</c:v>
                </c:pt>
                <c:pt idx="3">
                  <c:v>1221472500</c:v>
                </c:pt>
                <c:pt idx="4">
                  <c:v>1240785400</c:v>
                </c:pt>
                <c:pt idx="5">
                  <c:v>1234207500</c:v>
                </c:pt>
                <c:pt idx="6">
                  <c:v>1245626200</c:v>
                </c:pt>
                <c:pt idx="7">
                  <c:v>1246537200</c:v>
                </c:pt>
                <c:pt idx="8">
                  <c:v>1228821600</c:v>
                </c:pt>
                <c:pt idx="9">
                  <c:v>1197941400</c:v>
                </c:pt>
                <c:pt idx="10">
                  <c:v>1190095200</c:v>
                </c:pt>
                <c:pt idx="11">
                  <c:v>1241570800</c:v>
                </c:pt>
                <c:pt idx="12">
                  <c:v>1244044500</c:v>
                </c:pt>
                <c:pt idx="13">
                  <c:v>1210704900</c:v>
                </c:pt>
                <c:pt idx="14">
                  <c:v>1194622800</c:v>
                </c:pt>
                <c:pt idx="15">
                  <c:v>1167688100</c:v>
                </c:pt>
                <c:pt idx="16">
                  <c:v>1171127600</c:v>
                </c:pt>
                <c:pt idx="17">
                  <c:v>1120893200</c:v>
                </c:pt>
                <c:pt idx="18">
                  <c:v>1109624600</c:v>
                </c:pt>
                <c:pt idx="19">
                  <c:v>1097527400</c:v>
                </c:pt>
                <c:pt idx="20">
                  <c:v>1057639740</c:v>
                </c:pt>
                <c:pt idx="21">
                  <c:v>1035708500</c:v>
                </c:pt>
                <c:pt idx="22">
                  <c:v>1009317000</c:v>
                </c:pt>
                <c:pt idx="23">
                  <c:v>966366000</c:v>
                </c:pt>
                <c:pt idx="24">
                  <c:v>929728640</c:v>
                </c:pt>
                <c:pt idx="25">
                  <c:v>930045000</c:v>
                </c:pt>
                <c:pt idx="26">
                  <c:v>897045060</c:v>
                </c:pt>
                <c:pt idx="27">
                  <c:v>890175550</c:v>
                </c:pt>
                <c:pt idx="28">
                  <c:v>875212800</c:v>
                </c:pt>
                <c:pt idx="29">
                  <c:v>871434050</c:v>
                </c:pt>
                <c:pt idx="30">
                  <c:v>886173760</c:v>
                </c:pt>
                <c:pt idx="31">
                  <c:v>855818700</c:v>
                </c:pt>
                <c:pt idx="32">
                  <c:v>831021950</c:v>
                </c:pt>
                <c:pt idx="33">
                  <c:v>786920640</c:v>
                </c:pt>
                <c:pt idx="34">
                  <c:v>812797200</c:v>
                </c:pt>
                <c:pt idx="35">
                  <c:v>799922940</c:v>
                </c:pt>
                <c:pt idx="36">
                  <c:v>774350340</c:v>
                </c:pt>
                <c:pt idx="37">
                  <c:v>816549760</c:v>
                </c:pt>
                <c:pt idx="38">
                  <c:v>809348000</c:v>
                </c:pt>
                <c:pt idx="39">
                  <c:v>812742600</c:v>
                </c:pt>
                <c:pt idx="40">
                  <c:v>784000500</c:v>
                </c:pt>
                <c:pt idx="41">
                  <c:v>735848450</c:v>
                </c:pt>
                <c:pt idx="42">
                  <c:v>701630400</c:v>
                </c:pt>
                <c:pt idx="43">
                  <c:v>686997440</c:v>
                </c:pt>
                <c:pt idx="44">
                  <c:v>649930100</c:v>
                </c:pt>
                <c:pt idx="45">
                  <c:v>630465540</c:v>
                </c:pt>
                <c:pt idx="46">
                  <c:v>612299700</c:v>
                </c:pt>
                <c:pt idx="47">
                  <c:v>589318900</c:v>
                </c:pt>
                <c:pt idx="48">
                  <c:v>550828800</c:v>
                </c:pt>
                <c:pt idx="49">
                  <c:v>522947330</c:v>
                </c:pt>
                <c:pt idx="50">
                  <c:v>466754200</c:v>
                </c:pt>
                <c:pt idx="51">
                  <c:v>448665660</c:v>
                </c:pt>
                <c:pt idx="52">
                  <c:v>421708640</c:v>
                </c:pt>
                <c:pt idx="53">
                  <c:v>385067740</c:v>
                </c:pt>
                <c:pt idx="54">
                  <c:v>372098750</c:v>
                </c:pt>
                <c:pt idx="55">
                  <c:v>356920500</c:v>
                </c:pt>
                <c:pt idx="56">
                  <c:v>315996930</c:v>
                </c:pt>
                <c:pt idx="57">
                  <c:v>315658620</c:v>
                </c:pt>
                <c:pt idx="58">
                  <c:v>297653860</c:v>
                </c:pt>
                <c:pt idx="59">
                  <c:v>291974180</c:v>
                </c:pt>
                <c:pt idx="60">
                  <c:v>283146600</c:v>
                </c:pt>
                <c:pt idx="61">
                  <c:v>275742500</c:v>
                </c:pt>
                <c:pt idx="62">
                  <c:v>267649400</c:v>
                </c:pt>
                <c:pt idx="63">
                  <c:v>264210620</c:v>
                </c:pt>
                <c:pt idx="64">
                  <c:v>237878140</c:v>
                </c:pt>
                <c:pt idx="65">
                  <c:v>228890610</c:v>
                </c:pt>
                <c:pt idx="66">
                  <c:v>219090140</c:v>
                </c:pt>
                <c:pt idx="67">
                  <c:v>217095780</c:v>
                </c:pt>
                <c:pt idx="68">
                  <c:v>222073340</c:v>
                </c:pt>
                <c:pt idx="69">
                  <c:v>203292770</c:v>
                </c:pt>
                <c:pt idx="70">
                  <c:v>187993800</c:v>
                </c:pt>
                <c:pt idx="71">
                  <c:v>207768020</c:v>
                </c:pt>
                <c:pt idx="72">
                  <c:v>190847200</c:v>
                </c:pt>
                <c:pt idx="73">
                  <c:v>180216860</c:v>
                </c:pt>
                <c:pt idx="74">
                  <c:v>168791870</c:v>
                </c:pt>
                <c:pt idx="75">
                  <c:v>175281300</c:v>
                </c:pt>
                <c:pt idx="76">
                  <c:v>170587300</c:v>
                </c:pt>
                <c:pt idx="77">
                  <c:v>162729200</c:v>
                </c:pt>
                <c:pt idx="78">
                  <c:v>155970560</c:v>
                </c:pt>
                <c:pt idx="79">
                  <c:v>145262560</c:v>
                </c:pt>
                <c:pt idx="80">
                  <c:v>130460400</c:v>
                </c:pt>
                <c:pt idx="81">
                  <c:v>121722660</c:v>
                </c:pt>
                <c:pt idx="82">
                  <c:v>128930220</c:v>
                </c:pt>
                <c:pt idx="83">
                  <c:v>116688980</c:v>
                </c:pt>
                <c:pt idx="84">
                  <c:v>107909070</c:v>
                </c:pt>
                <c:pt idx="85">
                  <c:v>105905150</c:v>
                </c:pt>
                <c:pt idx="86">
                  <c:v>92390900</c:v>
                </c:pt>
                <c:pt idx="87">
                  <c:v>91618264</c:v>
                </c:pt>
                <c:pt idx="88">
                  <c:v>97681736</c:v>
                </c:pt>
                <c:pt idx="89">
                  <c:v>120791256</c:v>
                </c:pt>
                <c:pt idx="90">
                  <c:v>126628990</c:v>
                </c:pt>
                <c:pt idx="91">
                  <c:v>122577250</c:v>
                </c:pt>
                <c:pt idx="92">
                  <c:v>126535780</c:v>
                </c:pt>
                <c:pt idx="93">
                  <c:v>132000400</c:v>
                </c:pt>
                <c:pt idx="94">
                  <c:v>134278270</c:v>
                </c:pt>
                <c:pt idx="95">
                  <c:v>146911740</c:v>
                </c:pt>
                <c:pt idx="96">
                  <c:v>166228350</c:v>
                </c:pt>
                <c:pt idx="97">
                  <c:v>155741980</c:v>
                </c:pt>
                <c:pt idx="98">
                  <c:v>171771980</c:v>
                </c:pt>
                <c:pt idx="99">
                  <c:v>161692320</c:v>
                </c:pt>
                <c:pt idx="100">
                  <c:v>117823250</c:v>
                </c:pt>
                <c:pt idx="101">
                  <c:v>120930320</c:v>
                </c:pt>
                <c:pt idx="102">
                  <c:v>111902220</c:v>
                </c:pt>
                <c:pt idx="103">
                  <c:v>94054880</c:v>
                </c:pt>
                <c:pt idx="104">
                  <c:v>75764190</c:v>
                </c:pt>
                <c:pt idx="105">
                  <c:v>78812640</c:v>
                </c:pt>
                <c:pt idx="106">
                  <c:v>91248260</c:v>
                </c:pt>
                <c:pt idx="107">
                  <c:v>76101280</c:v>
                </c:pt>
                <c:pt idx="108">
                  <c:v>68795260</c:v>
                </c:pt>
                <c:pt idx="109">
                  <c:v>55843024</c:v>
                </c:pt>
                <c:pt idx="110">
                  <c:v>49104930</c:v>
                </c:pt>
                <c:pt idx="111">
                  <c:v>51178750</c:v>
                </c:pt>
                <c:pt idx="112">
                  <c:v>49255150</c:v>
                </c:pt>
                <c:pt idx="113">
                  <c:v>39307390</c:v>
                </c:pt>
                <c:pt idx="114">
                  <c:v>37094336</c:v>
                </c:pt>
                <c:pt idx="115">
                  <c:v>34815330</c:v>
                </c:pt>
                <c:pt idx="116">
                  <c:v>29517184</c:v>
                </c:pt>
                <c:pt idx="117">
                  <c:v>27073296</c:v>
                </c:pt>
                <c:pt idx="118">
                  <c:v>25157024</c:v>
                </c:pt>
                <c:pt idx="119">
                  <c:v>21628592</c:v>
                </c:pt>
                <c:pt idx="120">
                  <c:v>19924832</c:v>
                </c:pt>
                <c:pt idx="121">
                  <c:v>16444032</c:v>
                </c:pt>
                <c:pt idx="122">
                  <c:v>15487728</c:v>
                </c:pt>
                <c:pt idx="123">
                  <c:v>15227584</c:v>
                </c:pt>
                <c:pt idx="124">
                  <c:v>14025792</c:v>
                </c:pt>
                <c:pt idx="125">
                  <c:v>14718288</c:v>
                </c:pt>
                <c:pt idx="126">
                  <c:v>15385136</c:v>
                </c:pt>
                <c:pt idx="127">
                  <c:v>14469136</c:v>
                </c:pt>
                <c:pt idx="128">
                  <c:v>14461808</c:v>
                </c:pt>
                <c:pt idx="129">
                  <c:v>12413632</c:v>
                </c:pt>
                <c:pt idx="130">
                  <c:v>11292448</c:v>
                </c:pt>
                <c:pt idx="131">
                  <c:v>13311312</c:v>
                </c:pt>
                <c:pt idx="132">
                  <c:v>10149280</c:v>
                </c:pt>
                <c:pt idx="133">
                  <c:v>8797264</c:v>
                </c:pt>
                <c:pt idx="134">
                  <c:v>8244000.5</c:v>
                </c:pt>
                <c:pt idx="135">
                  <c:v>8599408</c:v>
                </c:pt>
                <c:pt idx="136">
                  <c:v>7430592</c:v>
                </c:pt>
                <c:pt idx="137">
                  <c:v>6617184</c:v>
                </c:pt>
                <c:pt idx="138">
                  <c:v>5591264</c:v>
                </c:pt>
                <c:pt idx="139">
                  <c:v>5232192</c:v>
                </c:pt>
                <c:pt idx="140">
                  <c:v>2183744</c:v>
                </c:pt>
                <c:pt idx="141">
                  <c:v>1934592</c:v>
                </c:pt>
                <c:pt idx="142">
                  <c:v>2022527.9</c:v>
                </c:pt>
                <c:pt idx="143">
                  <c:v>1857648</c:v>
                </c:pt>
                <c:pt idx="144">
                  <c:v>1875968</c:v>
                </c:pt>
                <c:pt idx="145">
                  <c:v>1623152</c:v>
                </c:pt>
                <c:pt idx="146">
                  <c:v>1608496</c:v>
                </c:pt>
                <c:pt idx="147">
                  <c:v>1846656</c:v>
                </c:pt>
                <c:pt idx="148">
                  <c:v>1780704</c:v>
                </c:pt>
                <c:pt idx="149">
                  <c:v>1223776</c:v>
                </c:pt>
                <c:pt idx="150">
                  <c:v>685168</c:v>
                </c:pt>
                <c:pt idx="151">
                  <c:v>945312</c:v>
                </c:pt>
                <c:pt idx="152">
                  <c:v>1593840</c:v>
                </c:pt>
                <c:pt idx="153">
                  <c:v>1242096</c:v>
                </c:pt>
                <c:pt idx="154">
                  <c:v>1018592</c:v>
                </c:pt>
                <c:pt idx="155">
                  <c:v>842720</c:v>
                </c:pt>
                <c:pt idx="156">
                  <c:v>703488</c:v>
                </c:pt>
                <c:pt idx="157">
                  <c:v>560592</c:v>
                </c:pt>
                <c:pt idx="158">
                  <c:v>458000</c:v>
                </c:pt>
                <c:pt idx="159">
                  <c:v>381056</c:v>
                </c:pt>
                <c:pt idx="160">
                  <c:v>315104</c:v>
                </c:pt>
                <c:pt idx="161">
                  <c:v>263808</c:v>
                </c:pt>
                <c:pt idx="162">
                  <c:v>216176</c:v>
                </c:pt>
                <c:pt idx="163">
                  <c:v>179536</c:v>
                </c:pt>
                <c:pt idx="164">
                  <c:v>150224</c:v>
                </c:pt>
                <c:pt idx="165">
                  <c:v>124576</c:v>
                </c:pt>
                <c:pt idx="166">
                  <c:v>102592</c:v>
                </c:pt>
                <c:pt idx="167">
                  <c:v>84272</c:v>
                </c:pt>
                <c:pt idx="168">
                  <c:v>69616</c:v>
                </c:pt>
                <c:pt idx="169">
                  <c:v>58624</c:v>
                </c:pt>
                <c:pt idx="170">
                  <c:v>47632</c:v>
                </c:pt>
                <c:pt idx="171">
                  <c:v>40304</c:v>
                </c:pt>
                <c:pt idx="172">
                  <c:v>32976</c:v>
                </c:pt>
                <c:pt idx="173">
                  <c:v>25648</c:v>
                </c:pt>
                <c:pt idx="174">
                  <c:v>3664</c:v>
                </c:pt>
                <c:pt idx="175">
                  <c:v>3664</c:v>
                </c:pt>
                <c:pt idx="176">
                  <c:v>3664</c:v>
                </c:pt>
                <c:pt idx="177">
                  <c:v>3664</c:v>
                </c:pt>
                <c:pt idx="178">
                  <c:v>3664</c:v>
                </c:pt>
                <c:pt idx="179">
                  <c:v>3664</c:v>
                </c:pt>
                <c:pt idx="180">
                  <c:v>3664</c:v>
                </c:pt>
                <c:pt idx="181">
                  <c:v>3664</c:v>
                </c:pt>
                <c:pt idx="182">
                  <c:v>3664</c:v>
                </c:pt>
                <c:pt idx="183">
                  <c:v>3664</c:v>
                </c:pt>
                <c:pt idx="184">
                  <c:v>3664</c:v>
                </c:pt>
                <c:pt idx="185">
                  <c:v>3664</c:v>
                </c:pt>
                <c:pt idx="186">
                  <c:v>3664</c:v>
                </c:pt>
                <c:pt idx="187">
                  <c:v>3664</c:v>
                </c:pt>
                <c:pt idx="188">
                  <c:v>3664</c:v>
                </c:pt>
                <c:pt idx="189">
                  <c:v>3664</c:v>
                </c:pt>
                <c:pt idx="190">
                  <c:v>3664</c:v>
                </c:pt>
                <c:pt idx="191">
                  <c:v>3664</c:v>
                </c:pt>
                <c:pt idx="192">
                  <c:v>3664</c:v>
                </c:pt>
                <c:pt idx="193">
                  <c:v>3664</c:v>
                </c:pt>
                <c:pt idx="194">
                  <c:v>3664</c:v>
                </c:pt>
                <c:pt idx="195">
                  <c:v>3664</c:v>
                </c:pt>
                <c:pt idx="196">
                  <c:v>3664</c:v>
                </c:pt>
                <c:pt idx="197">
                  <c:v>3664</c:v>
                </c:pt>
                <c:pt idx="198">
                  <c:v>3664</c:v>
                </c:pt>
                <c:pt idx="199">
                  <c:v>3664</c:v>
                </c:pt>
                <c:pt idx="200">
                  <c:v>3664</c:v>
                </c:pt>
                <c:pt idx="201">
                  <c:v>3664</c:v>
                </c:pt>
                <c:pt idx="202">
                  <c:v>3664</c:v>
                </c:pt>
                <c:pt idx="203">
                  <c:v>3664</c:v>
                </c:pt>
                <c:pt idx="204">
                  <c:v>3664</c:v>
                </c:pt>
                <c:pt idx="205">
                  <c:v>3664</c:v>
                </c:pt>
                <c:pt idx="206">
                  <c:v>3664</c:v>
                </c:pt>
                <c:pt idx="207">
                  <c:v>3664</c:v>
                </c:pt>
                <c:pt idx="208">
                  <c:v>3664</c:v>
                </c:pt>
                <c:pt idx="209">
                  <c:v>3664</c:v>
                </c:pt>
                <c:pt idx="210">
                  <c:v>3664</c:v>
                </c:pt>
                <c:pt idx="211">
                  <c:v>3664</c:v>
                </c:pt>
                <c:pt idx="212">
                  <c:v>3664</c:v>
                </c:pt>
                <c:pt idx="213">
                  <c:v>3664</c:v>
                </c:pt>
                <c:pt idx="214">
                  <c:v>3664</c:v>
                </c:pt>
                <c:pt idx="215">
                  <c:v>3664</c:v>
                </c:pt>
                <c:pt idx="216">
                  <c:v>3664</c:v>
                </c:pt>
                <c:pt idx="217">
                  <c:v>3664</c:v>
                </c:pt>
                <c:pt idx="218">
                  <c:v>3664</c:v>
                </c:pt>
                <c:pt idx="219">
                  <c:v>3664</c:v>
                </c:pt>
                <c:pt idx="220">
                  <c:v>3664</c:v>
                </c:pt>
                <c:pt idx="221">
                  <c:v>3664</c:v>
                </c:pt>
                <c:pt idx="222">
                  <c:v>3664</c:v>
                </c:pt>
                <c:pt idx="223">
                  <c:v>3664</c:v>
                </c:pt>
                <c:pt idx="224">
                  <c:v>3664</c:v>
                </c:pt>
                <c:pt idx="225">
                  <c:v>3664</c:v>
                </c:pt>
                <c:pt idx="226">
                  <c:v>3664</c:v>
                </c:pt>
                <c:pt idx="227">
                  <c:v>3664</c:v>
                </c:pt>
                <c:pt idx="228">
                  <c:v>3664</c:v>
                </c:pt>
                <c:pt idx="229">
                  <c:v>3664</c:v>
                </c:pt>
                <c:pt idx="230">
                  <c:v>3664</c:v>
                </c:pt>
                <c:pt idx="231">
                  <c:v>3664</c:v>
                </c:pt>
                <c:pt idx="232">
                  <c:v>3664</c:v>
                </c:pt>
                <c:pt idx="233">
                  <c:v>3664</c:v>
                </c:pt>
                <c:pt idx="234">
                  <c:v>3664</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numCache>
            </c:numRef>
          </c:val>
          <c:extLst>
            <c:ext xmlns:c16="http://schemas.microsoft.com/office/drawing/2014/chart" uri="{C3380CC4-5D6E-409C-BE32-E72D297353CC}">
              <c16:uniqueId val="{00000002-8F39-4254-9BC0-093CA2A7CE92}"/>
            </c:ext>
          </c:extLst>
        </c:ser>
        <c:ser>
          <c:idx val="4"/>
          <c:order val="3"/>
          <c:tx>
            <c:strRef>
              <c:f>'Sheet3 (2)'!$Q$2</c:f>
              <c:strCache>
                <c:ptCount val="1"/>
                <c:pt idx="0">
                  <c:v>International transport</c:v>
                </c:pt>
              </c:strCache>
            </c:strRef>
          </c:tx>
          <c:spPr>
            <a:solidFill>
              <a:schemeClr val="accent5"/>
            </a:solidFill>
            <a:ln w="25400">
              <a:noFill/>
            </a:ln>
            <a:effectLst/>
          </c:spPr>
          <c:cat>
            <c:numRef>
              <c:f>'Sheet3 (2)'!$AI$2:$AI$273</c:f>
              <c:numCache>
                <c:formatCode>General</c:formatCode>
                <c:ptCount val="272"/>
                <c:pt idx="0">
                  <c:v>2021</c:v>
                </c:pt>
                <c:pt idx="1">
                  <c:v>2020</c:v>
                </c:pt>
                <c:pt idx="2">
                  <c:v>2019</c:v>
                </c:pt>
                <c:pt idx="3">
                  <c:v>2018</c:v>
                </c:pt>
                <c:pt idx="4">
                  <c:v>2017</c:v>
                </c:pt>
                <c:pt idx="5">
                  <c:v>2016</c:v>
                </c:pt>
                <c:pt idx="6">
                  <c:v>2015</c:v>
                </c:pt>
                <c:pt idx="7">
                  <c:v>2014</c:v>
                </c:pt>
                <c:pt idx="8">
                  <c:v>2013</c:v>
                </c:pt>
                <c:pt idx="9">
                  <c:v>2012</c:v>
                </c:pt>
                <c:pt idx="10">
                  <c:v>2011</c:v>
                </c:pt>
                <c:pt idx="11">
                  <c:v>2010</c:v>
                </c:pt>
                <c:pt idx="12">
                  <c:v>2009</c:v>
                </c:pt>
                <c:pt idx="13">
                  <c:v>2008</c:v>
                </c:pt>
                <c:pt idx="14">
                  <c:v>2007</c:v>
                </c:pt>
                <c:pt idx="15">
                  <c:v>2006</c:v>
                </c:pt>
                <c:pt idx="16">
                  <c:v>2005</c:v>
                </c:pt>
                <c:pt idx="17">
                  <c:v>2004</c:v>
                </c:pt>
                <c:pt idx="18">
                  <c:v>2003</c:v>
                </c:pt>
                <c:pt idx="19">
                  <c:v>2002</c:v>
                </c:pt>
                <c:pt idx="20">
                  <c:v>2001</c:v>
                </c:pt>
                <c:pt idx="21">
                  <c:v>2000</c:v>
                </c:pt>
                <c:pt idx="22">
                  <c:v>1999</c:v>
                </c:pt>
                <c:pt idx="23">
                  <c:v>1998</c:v>
                </c:pt>
                <c:pt idx="24">
                  <c:v>1997</c:v>
                </c:pt>
                <c:pt idx="25">
                  <c:v>1996</c:v>
                </c:pt>
                <c:pt idx="26">
                  <c:v>1995</c:v>
                </c:pt>
                <c:pt idx="27">
                  <c:v>1994</c:v>
                </c:pt>
                <c:pt idx="28">
                  <c:v>1993</c:v>
                </c:pt>
                <c:pt idx="29">
                  <c:v>1992</c:v>
                </c:pt>
                <c:pt idx="30">
                  <c:v>1991</c:v>
                </c:pt>
                <c:pt idx="31">
                  <c:v>1990</c:v>
                </c:pt>
                <c:pt idx="32">
                  <c:v>1989</c:v>
                </c:pt>
                <c:pt idx="33">
                  <c:v>1988</c:v>
                </c:pt>
                <c:pt idx="34">
                  <c:v>1987</c:v>
                </c:pt>
                <c:pt idx="35">
                  <c:v>1986</c:v>
                </c:pt>
                <c:pt idx="36">
                  <c:v>1985</c:v>
                </c:pt>
                <c:pt idx="37">
                  <c:v>1984</c:v>
                </c:pt>
                <c:pt idx="38">
                  <c:v>1983</c:v>
                </c:pt>
                <c:pt idx="39">
                  <c:v>1982</c:v>
                </c:pt>
                <c:pt idx="40">
                  <c:v>1981</c:v>
                </c:pt>
                <c:pt idx="41">
                  <c:v>1980</c:v>
                </c:pt>
                <c:pt idx="42">
                  <c:v>1979</c:v>
                </c:pt>
                <c:pt idx="43">
                  <c:v>1978</c:v>
                </c:pt>
                <c:pt idx="44">
                  <c:v>1977</c:v>
                </c:pt>
                <c:pt idx="45">
                  <c:v>1976</c:v>
                </c:pt>
                <c:pt idx="46">
                  <c:v>1975</c:v>
                </c:pt>
                <c:pt idx="47">
                  <c:v>1974</c:v>
                </c:pt>
                <c:pt idx="48">
                  <c:v>1973</c:v>
                </c:pt>
                <c:pt idx="49">
                  <c:v>1972</c:v>
                </c:pt>
                <c:pt idx="50">
                  <c:v>1971</c:v>
                </c:pt>
                <c:pt idx="51">
                  <c:v>1970</c:v>
                </c:pt>
                <c:pt idx="52">
                  <c:v>1969</c:v>
                </c:pt>
                <c:pt idx="53">
                  <c:v>1968</c:v>
                </c:pt>
                <c:pt idx="54">
                  <c:v>1967</c:v>
                </c:pt>
                <c:pt idx="55">
                  <c:v>1966</c:v>
                </c:pt>
                <c:pt idx="56">
                  <c:v>1965</c:v>
                </c:pt>
                <c:pt idx="57">
                  <c:v>1964</c:v>
                </c:pt>
                <c:pt idx="58">
                  <c:v>1963</c:v>
                </c:pt>
                <c:pt idx="59">
                  <c:v>1962</c:v>
                </c:pt>
                <c:pt idx="60">
                  <c:v>1961</c:v>
                </c:pt>
                <c:pt idx="61">
                  <c:v>1960</c:v>
                </c:pt>
                <c:pt idx="62">
                  <c:v>1959</c:v>
                </c:pt>
                <c:pt idx="63">
                  <c:v>1958</c:v>
                </c:pt>
                <c:pt idx="64">
                  <c:v>1957</c:v>
                </c:pt>
                <c:pt idx="65">
                  <c:v>1956</c:v>
                </c:pt>
                <c:pt idx="66">
                  <c:v>1955</c:v>
                </c:pt>
                <c:pt idx="67">
                  <c:v>1954</c:v>
                </c:pt>
                <c:pt idx="68">
                  <c:v>1953</c:v>
                </c:pt>
                <c:pt idx="69">
                  <c:v>1952</c:v>
                </c:pt>
                <c:pt idx="70">
                  <c:v>1951</c:v>
                </c:pt>
                <c:pt idx="71">
                  <c:v>1950</c:v>
                </c:pt>
                <c:pt idx="72">
                  <c:v>1949</c:v>
                </c:pt>
                <c:pt idx="73">
                  <c:v>1948</c:v>
                </c:pt>
                <c:pt idx="74">
                  <c:v>1947</c:v>
                </c:pt>
                <c:pt idx="75">
                  <c:v>1946</c:v>
                </c:pt>
                <c:pt idx="76">
                  <c:v>1945</c:v>
                </c:pt>
                <c:pt idx="77">
                  <c:v>1944</c:v>
                </c:pt>
                <c:pt idx="78">
                  <c:v>1943</c:v>
                </c:pt>
                <c:pt idx="79">
                  <c:v>1942</c:v>
                </c:pt>
                <c:pt idx="80">
                  <c:v>1941</c:v>
                </c:pt>
                <c:pt idx="81">
                  <c:v>1940</c:v>
                </c:pt>
                <c:pt idx="82">
                  <c:v>1939</c:v>
                </c:pt>
                <c:pt idx="83">
                  <c:v>1938</c:v>
                </c:pt>
                <c:pt idx="84">
                  <c:v>1937</c:v>
                </c:pt>
                <c:pt idx="85">
                  <c:v>1936</c:v>
                </c:pt>
                <c:pt idx="86">
                  <c:v>1935</c:v>
                </c:pt>
                <c:pt idx="87">
                  <c:v>1934</c:v>
                </c:pt>
                <c:pt idx="88">
                  <c:v>1933</c:v>
                </c:pt>
                <c:pt idx="89">
                  <c:v>1932</c:v>
                </c:pt>
                <c:pt idx="90">
                  <c:v>1931</c:v>
                </c:pt>
                <c:pt idx="91">
                  <c:v>1930</c:v>
                </c:pt>
                <c:pt idx="92">
                  <c:v>1929</c:v>
                </c:pt>
                <c:pt idx="93">
                  <c:v>1928</c:v>
                </c:pt>
                <c:pt idx="94">
                  <c:v>1927</c:v>
                </c:pt>
                <c:pt idx="95">
                  <c:v>1926</c:v>
                </c:pt>
                <c:pt idx="96">
                  <c:v>1925</c:v>
                </c:pt>
                <c:pt idx="97">
                  <c:v>1924</c:v>
                </c:pt>
                <c:pt idx="98">
                  <c:v>1923</c:v>
                </c:pt>
                <c:pt idx="99">
                  <c:v>1922</c:v>
                </c:pt>
                <c:pt idx="100">
                  <c:v>1921</c:v>
                </c:pt>
                <c:pt idx="101">
                  <c:v>1920</c:v>
                </c:pt>
                <c:pt idx="102">
                  <c:v>1919</c:v>
                </c:pt>
                <c:pt idx="103">
                  <c:v>1918</c:v>
                </c:pt>
                <c:pt idx="104">
                  <c:v>1917</c:v>
                </c:pt>
                <c:pt idx="105">
                  <c:v>1916</c:v>
                </c:pt>
                <c:pt idx="106">
                  <c:v>1915</c:v>
                </c:pt>
                <c:pt idx="107">
                  <c:v>1914</c:v>
                </c:pt>
                <c:pt idx="108">
                  <c:v>1913</c:v>
                </c:pt>
                <c:pt idx="109">
                  <c:v>1912</c:v>
                </c:pt>
                <c:pt idx="110">
                  <c:v>1911</c:v>
                </c:pt>
                <c:pt idx="111">
                  <c:v>1910</c:v>
                </c:pt>
                <c:pt idx="112">
                  <c:v>1909</c:v>
                </c:pt>
                <c:pt idx="113">
                  <c:v>1908</c:v>
                </c:pt>
                <c:pt idx="114">
                  <c:v>1907</c:v>
                </c:pt>
                <c:pt idx="115">
                  <c:v>1906</c:v>
                </c:pt>
                <c:pt idx="116">
                  <c:v>1905</c:v>
                </c:pt>
                <c:pt idx="117">
                  <c:v>1904</c:v>
                </c:pt>
                <c:pt idx="118">
                  <c:v>1903</c:v>
                </c:pt>
                <c:pt idx="119">
                  <c:v>1902</c:v>
                </c:pt>
                <c:pt idx="120">
                  <c:v>1901</c:v>
                </c:pt>
                <c:pt idx="121">
                  <c:v>1900</c:v>
                </c:pt>
                <c:pt idx="122">
                  <c:v>1899</c:v>
                </c:pt>
                <c:pt idx="123">
                  <c:v>1898</c:v>
                </c:pt>
                <c:pt idx="124">
                  <c:v>1897</c:v>
                </c:pt>
                <c:pt idx="125">
                  <c:v>1896</c:v>
                </c:pt>
                <c:pt idx="126">
                  <c:v>1895</c:v>
                </c:pt>
                <c:pt idx="127">
                  <c:v>1894</c:v>
                </c:pt>
                <c:pt idx="128">
                  <c:v>1893</c:v>
                </c:pt>
                <c:pt idx="129">
                  <c:v>1892</c:v>
                </c:pt>
                <c:pt idx="130">
                  <c:v>1891</c:v>
                </c:pt>
                <c:pt idx="131">
                  <c:v>1890</c:v>
                </c:pt>
                <c:pt idx="132">
                  <c:v>1889</c:v>
                </c:pt>
                <c:pt idx="133">
                  <c:v>1888</c:v>
                </c:pt>
                <c:pt idx="134">
                  <c:v>1887</c:v>
                </c:pt>
                <c:pt idx="135">
                  <c:v>1886</c:v>
                </c:pt>
                <c:pt idx="136">
                  <c:v>1885</c:v>
                </c:pt>
                <c:pt idx="137">
                  <c:v>1884</c:v>
                </c:pt>
                <c:pt idx="138">
                  <c:v>1883</c:v>
                </c:pt>
                <c:pt idx="139">
                  <c:v>1882</c:v>
                </c:pt>
                <c:pt idx="140">
                  <c:v>1881</c:v>
                </c:pt>
                <c:pt idx="141">
                  <c:v>1880</c:v>
                </c:pt>
                <c:pt idx="142">
                  <c:v>1879</c:v>
                </c:pt>
                <c:pt idx="143">
                  <c:v>1878</c:v>
                </c:pt>
                <c:pt idx="144">
                  <c:v>1877</c:v>
                </c:pt>
                <c:pt idx="145">
                  <c:v>1876</c:v>
                </c:pt>
                <c:pt idx="146">
                  <c:v>1875</c:v>
                </c:pt>
                <c:pt idx="147">
                  <c:v>1874</c:v>
                </c:pt>
                <c:pt idx="148">
                  <c:v>1873</c:v>
                </c:pt>
                <c:pt idx="149">
                  <c:v>1872</c:v>
                </c:pt>
                <c:pt idx="150">
                  <c:v>1871</c:v>
                </c:pt>
                <c:pt idx="151">
                  <c:v>1870</c:v>
                </c:pt>
                <c:pt idx="152">
                  <c:v>1869</c:v>
                </c:pt>
                <c:pt idx="153">
                  <c:v>1868</c:v>
                </c:pt>
                <c:pt idx="154">
                  <c:v>1867</c:v>
                </c:pt>
                <c:pt idx="155">
                  <c:v>1866</c:v>
                </c:pt>
                <c:pt idx="156">
                  <c:v>1865</c:v>
                </c:pt>
                <c:pt idx="157">
                  <c:v>1864</c:v>
                </c:pt>
                <c:pt idx="158">
                  <c:v>1863</c:v>
                </c:pt>
                <c:pt idx="159">
                  <c:v>1862</c:v>
                </c:pt>
                <c:pt idx="160">
                  <c:v>1861</c:v>
                </c:pt>
                <c:pt idx="161">
                  <c:v>1860</c:v>
                </c:pt>
                <c:pt idx="162">
                  <c:v>1859</c:v>
                </c:pt>
                <c:pt idx="163">
                  <c:v>1858</c:v>
                </c:pt>
                <c:pt idx="164">
                  <c:v>1857</c:v>
                </c:pt>
                <c:pt idx="165">
                  <c:v>1856</c:v>
                </c:pt>
                <c:pt idx="166">
                  <c:v>1855</c:v>
                </c:pt>
                <c:pt idx="167">
                  <c:v>1854</c:v>
                </c:pt>
                <c:pt idx="168">
                  <c:v>1853</c:v>
                </c:pt>
                <c:pt idx="169">
                  <c:v>1852</c:v>
                </c:pt>
                <c:pt idx="170">
                  <c:v>1851</c:v>
                </c:pt>
                <c:pt idx="171">
                  <c:v>1850</c:v>
                </c:pt>
                <c:pt idx="172">
                  <c:v>1849</c:v>
                </c:pt>
                <c:pt idx="173">
                  <c:v>1848</c:v>
                </c:pt>
                <c:pt idx="174">
                  <c:v>1847</c:v>
                </c:pt>
                <c:pt idx="175">
                  <c:v>1846</c:v>
                </c:pt>
                <c:pt idx="176">
                  <c:v>1845</c:v>
                </c:pt>
                <c:pt idx="177">
                  <c:v>1844</c:v>
                </c:pt>
                <c:pt idx="178">
                  <c:v>1843</c:v>
                </c:pt>
                <c:pt idx="179">
                  <c:v>1842</c:v>
                </c:pt>
                <c:pt idx="180">
                  <c:v>1841</c:v>
                </c:pt>
                <c:pt idx="181">
                  <c:v>1840</c:v>
                </c:pt>
                <c:pt idx="182">
                  <c:v>1839</c:v>
                </c:pt>
                <c:pt idx="183">
                  <c:v>1838</c:v>
                </c:pt>
                <c:pt idx="184">
                  <c:v>1837</c:v>
                </c:pt>
                <c:pt idx="185">
                  <c:v>1836</c:v>
                </c:pt>
                <c:pt idx="186">
                  <c:v>1835</c:v>
                </c:pt>
                <c:pt idx="187">
                  <c:v>1834</c:v>
                </c:pt>
                <c:pt idx="188">
                  <c:v>1833</c:v>
                </c:pt>
                <c:pt idx="189">
                  <c:v>1832</c:v>
                </c:pt>
                <c:pt idx="190">
                  <c:v>1831</c:v>
                </c:pt>
                <c:pt idx="191">
                  <c:v>1830</c:v>
                </c:pt>
                <c:pt idx="192">
                  <c:v>1829</c:v>
                </c:pt>
                <c:pt idx="193">
                  <c:v>1828</c:v>
                </c:pt>
                <c:pt idx="194">
                  <c:v>1827</c:v>
                </c:pt>
                <c:pt idx="195">
                  <c:v>1826</c:v>
                </c:pt>
                <c:pt idx="196">
                  <c:v>1825</c:v>
                </c:pt>
                <c:pt idx="197">
                  <c:v>1824</c:v>
                </c:pt>
                <c:pt idx="198">
                  <c:v>1823</c:v>
                </c:pt>
                <c:pt idx="199">
                  <c:v>1822</c:v>
                </c:pt>
                <c:pt idx="200">
                  <c:v>1821</c:v>
                </c:pt>
                <c:pt idx="201">
                  <c:v>1820</c:v>
                </c:pt>
                <c:pt idx="202">
                  <c:v>1819</c:v>
                </c:pt>
                <c:pt idx="203">
                  <c:v>1818</c:v>
                </c:pt>
                <c:pt idx="204">
                  <c:v>1817</c:v>
                </c:pt>
                <c:pt idx="205">
                  <c:v>1816</c:v>
                </c:pt>
                <c:pt idx="206">
                  <c:v>1815</c:v>
                </c:pt>
                <c:pt idx="207">
                  <c:v>1814</c:v>
                </c:pt>
                <c:pt idx="208">
                  <c:v>1813</c:v>
                </c:pt>
                <c:pt idx="209">
                  <c:v>1812</c:v>
                </c:pt>
                <c:pt idx="210">
                  <c:v>1811</c:v>
                </c:pt>
                <c:pt idx="211">
                  <c:v>1810</c:v>
                </c:pt>
                <c:pt idx="212">
                  <c:v>1809</c:v>
                </c:pt>
                <c:pt idx="213">
                  <c:v>1808</c:v>
                </c:pt>
                <c:pt idx="214">
                  <c:v>1807</c:v>
                </c:pt>
                <c:pt idx="215">
                  <c:v>1806</c:v>
                </c:pt>
                <c:pt idx="216">
                  <c:v>1805</c:v>
                </c:pt>
                <c:pt idx="217">
                  <c:v>1804</c:v>
                </c:pt>
                <c:pt idx="218">
                  <c:v>1803</c:v>
                </c:pt>
                <c:pt idx="219">
                  <c:v>1802</c:v>
                </c:pt>
                <c:pt idx="220">
                  <c:v>1801</c:v>
                </c:pt>
                <c:pt idx="221">
                  <c:v>1800</c:v>
                </c:pt>
                <c:pt idx="222">
                  <c:v>1799</c:v>
                </c:pt>
                <c:pt idx="223">
                  <c:v>1798</c:v>
                </c:pt>
                <c:pt idx="224">
                  <c:v>1797</c:v>
                </c:pt>
                <c:pt idx="225">
                  <c:v>1796</c:v>
                </c:pt>
                <c:pt idx="226">
                  <c:v>1795</c:v>
                </c:pt>
                <c:pt idx="227">
                  <c:v>1794</c:v>
                </c:pt>
                <c:pt idx="228">
                  <c:v>1793</c:v>
                </c:pt>
                <c:pt idx="229">
                  <c:v>1792</c:v>
                </c:pt>
                <c:pt idx="230">
                  <c:v>1791</c:v>
                </c:pt>
                <c:pt idx="231">
                  <c:v>1790</c:v>
                </c:pt>
                <c:pt idx="232">
                  <c:v>1789</c:v>
                </c:pt>
                <c:pt idx="233">
                  <c:v>1788</c:v>
                </c:pt>
                <c:pt idx="234">
                  <c:v>1787</c:v>
                </c:pt>
                <c:pt idx="235">
                  <c:v>1786</c:v>
                </c:pt>
                <c:pt idx="236">
                  <c:v>1785</c:v>
                </c:pt>
                <c:pt idx="237">
                  <c:v>1784</c:v>
                </c:pt>
                <c:pt idx="238">
                  <c:v>1783</c:v>
                </c:pt>
                <c:pt idx="239">
                  <c:v>1782</c:v>
                </c:pt>
                <c:pt idx="240">
                  <c:v>1781</c:v>
                </c:pt>
                <c:pt idx="241">
                  <c:v>1780</c:v>
                </c:pt>
                <c:pt idx="242">
                  <c:v>1779</c:v>
                </c:pt>
                <c:pt idx="243">
                  <c:v>1778</c:v>
                </c:pt>
                <c:pt idx="244">
                  <c:v>1777</c:v>
                </c:pt>
                <c:pt idx="245">
                  <c:v>1776</c:v>
                </c:pt>
                <c:pt idx="246">
                  <c:v>1775</c:v>
                </c:pt>
                <c:pt idx="247">
                  <c:v>1774</c:v>
                </c:pt>
                <c:pt idx="248">
                  <c:v>1773</c:v>
                </c:pt>
                <c:pt idx="249">
                  <c:v>1772</c:v>
                </c:pt>
                <c:pt idx="250">
                  <c:v>1771</c:v>
                </c:pt>
                <c:pt idx="251">
                  <c:v>1770</c:v>
                </c:pt>
                <c:pt idx="252">
                  <c:v>1769</c:v>
                </c:pt>
                <c:pt idx="253">
                  <c:v>1768</c:v>
                </c:pt>
                <c:pt idx="254">
                  <c:v>1767</c:v>
                </c:pt>
                <c:pt idx="255">
                  <c:v>1766</c:v>
                </c:pt>
                <c:pt idx="256">
                  <c:v>1765</c:v>
                </c:pt>
                <c:pt idx="257">
                  <c:v>1764</c:v>
                </c:pt>
                <c:pt idx="258">
                  <c:v>1763</c:v>
                </c:pt>
                <c:pt idx="259">
                  <c:v>1762</c:v>
                </c:pt>
                <c:pt idx="260">
                  <c:v>1761</c:v>
                </c:pt>
                <c:pt idx="261">
                  <c:v>1760</c:v>
                </c:pt>
                <c:pt idx="262">
                  <c:v>1759</c:v>
                </c:pt>
                <c:pt idx="263">
                  <c:v>1758</c:v>
                </c:pt>
                <c:pt idx="264">
                  <c:v>1757</c:v>
                </c:pt>
                <c:pt idx="265">
                  <c:v>1756</c:v>
                </c:pt>
                <c:pt idx="266">
                  <c:v>1755</c:v>
                </c:pt>
                <c:pt idx="267">
                  <c:v>1754</c:v>
                </c:pt>
                <c:pt idx="268">
                  <c:v>1753</c:v>
                </c:pt>
                <c:pt idx="269">
                  <c:v>1752</c:v>
                </c:pt>
                <c:pt idx="270">
                  <c:v>1751</c:v>
                </c:pt>
                <c:pt idx="271">
                  <c:v>1750</c:v>
                </c:pt>
              </c:numCache>
            </c:numRef>
          </c:cat>
          <c:val>
            <c:numRef>
              <c:f>'Sheet3 (2)'!$T$2:$T$273</c:f>
              <c:numCache>
                <c:formatCode>General</c:formatCode>
                <c:ptCount val="272"/>
                <c:pt idx="0">
                  <c:v>1021749200</c:v>
                </c:pt>
                <c:pt idx="1">
                  <c:v>938508700</c:v>
                </c:pt>
                <c:pt idx="2">
                  <c:v>1249558300</c:v>
                </c:pt>
                <c:pt idx="3">
                  <c:v>1270690800</c:v>
                </c:pt>
                <c:pt idx="4">
                  <c:v>1230507000</c:v>
                </c:pt>
                <c:pt idx="5">
                  <c:v>1170781300</c:v>
                </c:pt>
                <c:pt idx="6">
                  <c:v>1158394600</c:v>
                </c:pt>
                <c:pt idx="7">
                  <c:v>1117464300</c:v>
                </c:pt>
                <c:pt idx="8">
                  <c:v>1111054700</c:v>
                </c:pt>
                <c:pt idx="9">
                  <c:v>1094904700</c:v>
                </c:pt>
                <c:pt idx="10">
                  <c:v>1108942200</c:v>
                </c:pt>
                <c:pt idx="11">
                  <c:v>1080785000</c:v>
                </c:pt>
                <c:pt idx="12">
                  <c:v>1016859650</c:v>
                </c:pt>
                <c:pt idx="13">
                  <c:v>1061552640</c:v>
                </c:pt>
                <c:pt idx="14">
                  <c:v>1052404400</c:v>
                </c:pt>
                <c:pt idx="15">
                  <c:v>994997250</c:v>
                </c:pt>
                <c:pt idx="16">
                  <c:v>942667840</c:v>
                </c:pt>
                <c:pt idx="17">
                  <c:v>904370560</c:v>
                </c:pt>
                <c:pt idx="18">
                  <c:v>831974850</c:v>
                </c:pt>
                <c:pt idx="19">
                  <c:v>797232100</c:v>
                </c:pt>
                <c:pt idx="20">
                  <c:v>778838850</c:v>
                </c:pt>
                <c:pt idx="21">
                  <c:v>783562430</c:v>
                </c:pt>
                <c:pt idx="22">
                  <c:v>772921300</c:v>
                </c:pt>
                <c:pt idx="23">
                  <c:v>748133200</c:v>
                </c:pt>
                <c:pt idx="24">
                  <c:v>705702700</c:v>
                </c:pt>
                <c:pt idx="25">
                  <c:v>670944900</c:v>
                </c:pt>
                <c:pt idx="26">
                  <c:v>620068000</c:v>
                </c:pt>
                <c:pt idx="27">
                  <c:v>586924900</c:v>
                </c:pt>
                <c:pt idx="28">
                  <c:v>559591700</c:v>
                </c:pt>
                <c:pt idx="29">
                  <c:v>555937200</c:v>
                </c:pt>
                <c:pt idx="30">
                  <c:v>545247000</c:v>
                </c:pt>
                <c:pt idx="31">
                  <c:v>550364540</c:v>
                </c:pt>
                <c:pt idx="32">
                  <c:v>565030850</c:v>
                </c:pt>
                <c:pt idx="33">
                  <c:v>545381400</c:v>
                </c:pt>
                <c:pt idx="34">
                  <c:v>527351800</c:v>
                </c:pt>
                <c:pt idx="35">
                  <c:v>393544300</c:v>
                </c:pt>
                <c:pt idx="36">
                  <c:v>367316670</c:v>
                </c:pt>
                <c:pt idx="37">
                  <c:v>359619400</c:v>
                </c:pt>
                <c:pt idx="38">
                  <c:v>358303330</c:v>
                </c:pt>
                <c:pt idx="39">
                  <c:v>373180580</c:v>
                </c:pt>
                <c:pt idx="40">
                  <c:v>412146560</c:v>
                </c:pt>
                <c:pt idx="41">
                  <c:v>446415070</c:v>
                </c:pt>
                <c:pt idx="42">
                  <c:v>457396260</c:v>
                </c:pt>
                <c:pt idx="43">
                  <c:v>455752060</c:v>
                </c:pt>
                <c:pt idx="44">
                  <c:v>449019550</c:v>
                </c:pt>
                <c:pt idx="45">
                  <c:v>438834200</c:v>
                </c:pt>
                <c:pt idx="46">
                  <c:v>447611700</c:v>
                </c:pt>
                <c:pt idx="47">
                  <c:v>489085380</c:v>
                </c:pt>
                <c:pt idx="48">
                  <c:v>526630750</c:v>
                </c:pt>
                <c:pt idx="49">
                  <c:v>491918940</c:v>
                </c:pt>
                <c:pt idx="50">
                  <c:v>461309820</c:v>
                </c:pt>
                <c:pt idx="51">
                  <c:v>436855840</c:v>
                </c:pt>
                <c:pt idx="52">
                  <c:v>414403330</c:v>
                </c:pt>
                <c:pt idx="53">
                  <c:v>395869700</c:v>
                </c:pt>
                <c:pt idx="54">
                  <c:v>374269800</c:v>
                </c:pt>
                <c:pt idx="55">
                  <c:v>349818140</c:v>
                </c:pt>
                <c:pt idx="56">
                  <c:v>323290850</c:v>
                </c:pt>
                <c:pt idx="57">
                  <c:v>312974800</c:v>
                </c:pt>
                <c:pt idx="58">
                  <c:v>285688420</c:v>
                </c:pt>
                <c:pt idx="59">
                  <c:v>272901820</c:v>
                </c:pt>
                <c:pt idx="60">
                  <c:v>263218260</c:v>
                </c:pt>
                <c:pt idx="61">
                  <c:v>238099400</c:v>
                </c:pt>
                <c:pt idx="62">
                  <c:v>213369380</c:v>
                </c:pt>
                <c:pt idx="63">
                  <c:v>207906350</c:v>
                </c:pt>
                <c:pt idx="64">
                  <c:v>223683540</c:v>
                </c:pt>
                <c:pt idx="65">
                  <c:v>201223220</c:v>
                </c:pt>
                <c:pt idx="66">
                  <c:v>187091170</c:v>
                </c:pt>
                <c:pt idx="67">
                  <c:v>162692590</c:v>
                </c:pt>
                <c:pt idx="68">
                  <c:v>162102690</c:v>
                </c:pt>
                <c:pt idx="69">
                  <c:v>156156020</c:v>
                </c:pt>
                <c:pt idx="70">
                  <c:v>153177180</c:v>
                </c:pt>
                <c:pt idx="71">
                  <c:v>128393890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numCache>
            </c:numRef>
          </c:val>
          <c:extLst>
            <c:ext xmlns:c16="http://schemas.microsoft.com/office/drawing/2014/chart" uri="{C3380CC4-5D6E-409C-BE32-E72D297353CC}">
              <c16:uniqueId val="{00000003-8F39-4254-9BC0-093CA2A7CE92}"/>
            </c:ext>
          </c:extLst>
        </c:ser>
        <c:ser>
          <c:idx val="5"/>
          <c:order val="4"/>
          <c:tx>
            <c:strRef>
              <c:f>'Sheet3 (2)'!$U$2</c:f>
              <c:strCache>
                <c:ptCount val="1"/>
                <c:pt idx="0">
                  <c:v>South America</c:v>
                </c:pt>
              </c:strCache>
            </c:strRef>
          </c:tx>
          <c:spPr>
            <a:solidFill>
              <a:schemeClr val="accent6"/>
            </a:solidFill>
            <a:ln w="25400">
              <a:noFill/>
            </a:ln>
            <a:effectLst/>
          </c:spPr>
          <c:cat>
            <c:numRef>
              <c:f>'Sheet3 (2)'!$AI$2:$AI$273</c:f>
              <c:numCache>
                <c:formatCode>General</c:formatCode>
                <c:ptCount val="272"/>
                <c:pt idx="0">
                  <c:v>2021</c:v>
                </c:pt>
                <c:pt idx="1">
                  <c:v>2020</c:v>
                </c:pt>
                <c:pt idx="2">
                  <c:v>2019</c:v>
                </c:pt>
                <c:pt idx="3">
                  <c:v>2018</c:v>
                </c:pt>
                <c:pt idx="4">
                  <c:v>2017</c:v>
                </c:pt>
                <c:pt idx="5">
                  <c:v>2016</c:v>
                </c:pt>
                <c:pt idx="6">
                  <c:v>2015</c:v>
                </c:pt>
                <c:pt idx="7">
                  <c:v>2014</c:v>
                </c:pt>
                <c:pt idx="8">
                  <c:v>2013</c:v>
                </c:pt>
                <c:pt idx="9">
                  <c:v>2012</c:v>
                </c:pt>
                <c:pt idx="10">
                  <c:v>2011</c:v>
                </c:pt>
                <c:pt idx="11">
                  <c:v>2010</c:v>
                </c:pt>
                <c:pt idx="12">
                  <c:v>2009</c:v>
                </c:pt>
                <c:pt idx="13">
                  <c:v>2008</c:v>
                </c:pt>
                <c:pt idx="14">
                  <c:v>2007</c:v>
                </c:pt>
                <c:pt idx="15">
                  <c:v>2006</c:v>
                </c:pt>
                <c:pt idx="16">
                  <c:v>2005</c:v>
                </c:pt>
                <c:pt idx="17">
                  <c:v>2004</c:v>
                </c:pt>
                <c:pt idx="18">
                  <c:v>2003</c:v>
                </c:pt>
                <c:pt idx="19">
                  <c:v>2002</c:v>
                </c:pt>
                <c:pt idx="20">
                  <c:v>2001</c:v>
                </c:pt>
                <c:pt idx="21">
                  <c:v>2000</c:v>
                </c:pt>
                <c:pt idx="22">
                  <c:v>1999</c:v>
                </c:pt>
                <c:pt idx="23">
                  <c:v>1998</c:v>
                </c:pt>
                <c:pt idx="24">
                  <c:v>1997</c:v>
                </c:pt>
                <c:pt idx="25">
                  <c:v>1996</c:v>
                </c:pt>
                <c:pt idx="26">
                  <c:v>1995</c:v>
                </c:pt>
                <c:pt idx="27">
                  <c:v>1994</c:v>
                </c:pt>
                <c:pt idx="28">
                  <c:v>1993</c:v>
                </c:pt>
                <c:pt idx="29">
                  <c:v>1992</c:v>
                </c:pt>
                <c:pt idx="30">
                  <c:v>1991</c:v>
                </c:pt>
                <c:pt idx="31">
                  <c:v>1990</c:v>
                </c:pt>
                <c:pt idx="32">
                  <c:v>1989</c:v>
                </c:pt>
                <c:pt idx="33">
                  <c:v>1988</c:v>
                </c:pt>
                <c:pt idx="34">
                  <c:v>1987</c:v>
                </c:pt>
                <c:pt idx="35">
                  <c:v>1986</c:v>
                </c:pt>
                <c:pt idx="36">
                  <c:v>1985</c:v>
                </c:pt>
                <c:pt idx="37">
                  <c:v>1984</c:v>
                </c:pt>
                <c:pt idx="38">
                  <c:v>1983</c:v>
                </c:pt>
                <c:pt idx="39">
                  <c:v>1982</c:v>
                </c:pt>
                <c:pt idx="40">
                  <c:v>1981</c:v>
                </c:pt>
                <c:pt idx="41">
                  <c:v>1980</c:v>
                </c:pt>
                <c:pt idx="42">
                  <c:v>1979</c:v>
                </c:pt>
                <c:pt idx="43">
                  <c:v>1978</c:v>
                </c:pt>
                <c:pt idx="44">
                  <c:v>1977</c:v>
                </c:pt>
                <c:pt idx="45">
                  <c:v>1976</c:v>
                </c:pt>
                <c:pt idx="46">
                  <c:v>1975</c:v>
                </c:pt>
                <c:pt idx="47">
                  <c:v>1974</c:v>
                </c:pt>
                <c:pt idx="48">
                  <c:v>1973</c:v>
                </c:pt>
                <c:pt idx="49">
                  <c:v>1972</c:v>
                </c:pt>
                <c:pt idx="50">
                  <c:v>1971</c:v>
                </c:pt>
                <c:pt idx="51">
                  <c:v>1970</c:v>
                </c:pt>
                <c:pt idx="52">
                  <c:v>1969</c:v>
                </c:pt>
                <c:pt idx="53">
                  <c:v>1968</c:v>
                </c:pt>
                <c:pt idx="54">
                  <c:v>1967</c:v>
                </c:pt>
                <c:pt idx="55">
                  <c:v>1966</c:v>
                </c:pt>
                <c:pt idx="56">
                  <c:v>1965</c:v>
                </c:pt>
                <c:pt idx="57">
                  <c:v>1964</c:v>
                </c:pt>
                <c:pt idx="58">
                  <c:v>1963</c:v>
                </c:pt>
                <c:pt idx="59">
                  <c:v>1962</c:v>
                </c:pt>
                <c:pt idx="60">
                  <c:v>1961</c:v>
                </c:pt>
                <c:pt idx="61">
                  <c:v>1960</c:v>
                </c:pt>
                <c:pt idx="62">
                  <c:v>1959</c:v>
                </c:pt>
                <c:pt idx="63">
                  <c:v>1958</c:v>
                </c:pt>
                <c:pt idx="64">
                  <c:v>1957</c:v>
                </c:pt>
                <c:pt idx="65">
                  <c:v>1956</c:v>
                </c:pt>
                <c:pt idx="66">
                  <c:v>1955</c:v>
                </c:pt>
                <c:pt idx="67">
                  <c:v>1954</c:v>
                </c:pt>
                <c:pt idx="68">
                  <c:v>1953</c:v>
                </c:pt>
                <c:pt idx="69">
                  <c:v>1952</c:v>
                </c:pt>
                <c:pt idx="70">
                  <c:v>1951</c:v>
                </c:pt>
                <c:pt idx="71">
                  <c:v>1950</c:v>
                </c:pt>
                <c:pt idx="72">
                  <c:v>1949</c:v>
                </c:pt>
                <c:pt idx="73">
                  <c:v>1948</c:v>
                </c:pt>
                <c:pt idx="74">
                  <c:v>1947</c:v>
                </c:pt>
                <c:pt idx="75">
                  <c:v>1946</c:v>
                </c:pt>
                <c:pt idx="76">
                  <c:v>1945</c:v>
                </c:pt>
                <c:pt idx="77">
                  <c:v>1944</c:v>
                </c:pt>
                <c:pt idx="78">
                  <c:v>1943</c:v>
                </c:pt>
                <c:pt idx="79">
                  <c:v>1942</c:v>
                </c:pt>
                <c:pt idx="80">
                  <c:v>1941</c:v>
                </c:pt>
                <c:pt idx="81">
                  <c:v>1940</c:v>
                </c:pt>
                <c:pt idx="82">
                  <c:v>1939</c:v>
                </c:pt>
                <c:pt idx="83">
                  <c:v>1938</c:v>
                </c:pt>
                <c:pt idx="84">
                  <c:v>1937</c:v>
                </c:pt>
                <c:pt idx="85">
                  <c:v>1936</c:v>
                </c:pt>
                <c:pt idx="86">
                  <c:v>1935</c:v>
                </c:pt>
                <c:pt idx="87">
                  <c:v>1934</c:v>
                </c:pt>
                <c:pt idx="88">
                  <c:v>1933</c:v>
                </c:pt>
                <c:pt idx="89">
                  <c:v>1932</c:v>
                </c:pt>
                <c:pt idx="90">
                  <c:v>1931</c:v>
                </c:pt>
                <c:pt idx="91">
                  <c:v>1930</c:v>
                </c:pt>
                <c:pt idx="92">
                  <c:v>1929</c:v>
                </c:pt>
                <c:pt idx="93">
                  <c:v>1928</c:v>
                </c:pt>
                <c:pt idx="94">
                  <c:v>1927</c:v>
                </c:pt>
                <c:pt idx="95">
                  <c:v>1926</c:v>
                </c:pt>
                <c:pt idx="96">
                  <c:v>1925</c:v>
                </c:pt>
                <c:pt idx="97">
                  <c:v>1924</c:v>
                </c:pt>
                <c:pt idx="98">
                  <c:v>1923</c:v>
                </c:pt>
                <c:pt idx="99">
                  <c:v>1922</c:v>
                </c:pt>
                <c:pt idx="100">
                  <c:v>1921</c:v>
                </c:pt>
                <c:pt idx="101">
                  <c:v>1920</c:v>
                </c:pt>
                <c:pt idx="102">
                  <c:v>1919</c:v>
                </c:pt>
                <c:pt idx="103">
                  <c:v>1918</c:v>
                </c:pt>
                <c:pt idx="104">
                  <c:v>1917</c:v>
                </c:pt>
                <c:pt idx="105">
                  <c:v>1916</c:v>
                </c:pt>
                <c:pt idx="106">
                  <c:v>1915</c:v>
                </c:pt>
                <c:pt idx="107">
                  <c:v>1914</c:v>
                </c:pt>
                <c:pt idx="108">
                  <c:v>1913</c:v>
                </c:pt>
                <c:pt idx="109">
                  <c:v>1912</c:v>
                </c:pt>
                <c:pt idx="110">
                  <c:v>1911</c:v>
                </c:pt>
                <c:pt idx="111">
                  <c:v>1910</c:v>
                </c:pt>
                <c:pt idx="112">
                  <c:v>1909</c:v>
                </c:pt>
                <c:pt idx="113">
                  <c:v>1908</c:v>
                </c:pt>
                <c:pt idx="114">
                  <c:v>1907</c:v>
                </c:pt>
                <c:pt idx="115">
                  <c:v>1906</c:v>
                </c:pt>
                <c:pt idx="116">
                  <c:v>1905</c:v>
                </c:pt>
                <c:pt idx="117">
                  <c:v>1904</c:v>
                </c:pt>
                <c:pt idx="118">
                  <c:v>1903</c:v>
                </c:pt>
                <c:pt idx="119">
                  <c:v>1902</c:v>
                </c:pt>
                <c:pt idx="120">
                  <c:v>1901</c:v>
                </c:pt>
                <c:pt idx="121">
                  <c:v>1900</c:v>
                </c:pt>
                <c:pt idx="122">
                  <c:v>1899</c:v>
                </c:pt>
                <c:pt idx="123">
                  <c:v>1898</c:v>
                </c:pt>
                <c:pt idx="124">
                  <c:v>1897</c:v>
                </c:pt>
                <c:pt idx="125">
                  <c:v>1896</c:v>
                </c:pt>
                <c:pt idx="126">
                  <c:v>1895</c:v>
                </c:pt>
                <c:pt idx="127">
                  <c:v>1894</c:v>
                </c:pt>
                <c:pt idx="128">
                  <c:v>1893</c:v>
                </c:pt>
                <c:pt idx="129">
                  <c:v>1892</c:v>
                </c:pt>
                <c:pt idx="130">
                  <c:v>1891</c:v>
                </c:pt>
                <c:pt idx="131">
                  <c:v>1890</c:v>
                </c:pt>
                <c:pt idx="132">
                  <c:v>1889</c:v>
                </c:pt>
                <c:pt idx="133">
                  <c:v>1888</c:v>
                </c:pt>
                <c:pt idx="134">
                  <c:v>1887</c:v>
                </c:pt>
                <c:pt idx="135">
                  <c:v>1886</c:v>
                </c:pt>
                <c:pt idx="136">
                  <c:v>1885</c:v>
                </c:pt>
                <c:pt idx="137">
                  <c:v>1884</c:v>
                </c:pt>
                <c:pt idx="138">
                  <c:v>1883</c:v>
                </c:pt>
                <c:pt idx="139">
                  <c:v>1882</c:v>
                </c:pt>
                <c:pt idx="140">
                  <c:v>1881</c:v>
                </c:pt>
                <c:pt idx="141">
                  <c:v>1880</c:v>
                </c:pt>
                <c:pt idx="142">
                  <c:v>1879</c:v>
                </c:pt>
                <c:pt idx="143">
                  <c:v>1878</c:v>
                </c:pt>
                <c:pt idx="144">
                  <c:v>1877</c:v>
                </c:pt>
                <c:pt idx="145">
                  <c:v>1876</c:v>
                </c:pt>
                <c:pt idx="146">
                  <c:v>1875</c:v>
                </c:pt>
                <c:pt idx="147">
                  <c:v>1874</c:v>
                </c:pt>
                <c:pt idx="148">
                  <c:v>1873</c:v>
                </c:pt>
                <c:pt idx="149">
                  <c:v>1872</c:v>
                </c:pt>
                <c:pt idx="150">
                  <c:v>1871</c:v>
                </c:pt>
                <c:pt idx="151">
                  <c:v>1870</c:v>
                </c:pt>
                <c:pt idx="152">
                  <c:v>1869</c:v>
                </c:pt>
                <c:pt idx="153">
                  <c:v>1868</c:v>
                </c:pt>
                <c:pt idx="154">
                  <c:v>1867</c:v>
                </c:pt>
                <c:pt idx="155">
                  <c:v>1866</c:v>
                </c:pt>
                <c:pt idx="156">
                  <c:v>1865</c:v>
                </c:pt>
                <c:pt idx="157">
                  <c:v>1864</c:v>
                </c:pt>
                <c:pt idx="158">
                  <c:v>1863</c:v>
                </c:pt>
                <c:pt idx="159">
                  <c:v>1862</c:v>
                </c:pt>
                <c:pt idx="160">
                  <c:v>1861</c:v>
                </c:pt>
                <c:pt idx="161">
                  <c:v>1860</c:v>
                </c:pt>
                <c:pt idx="162">
                  <c:v>1859</c:v>
                </c:pt>
                <c:pt idx="163">
                  <c:v>1858</c:v>
                </c:pt>
                <c:pt idx="164">
                  <c:v>1857</c:v>
                </c:pt>
                <c:pt idx="165">
                  <c:v>1856</c:v>
                </c:pt>
                <c:pt idx="166">
                  <c:v>1855</c:v>
                </c:pt>
                <c:pt idx="167">
                  <c:v>1854</c:v>
                </c:pt>
                <c:pt idx="168">
                  <c:v>1853</c:v>
                </c:pt>
                <c:pt idx="169">
                  <c:v>1852</c:v>
                </c:pt>
                <c:pt idx="170">
                  <c:v>1851</c:v>
                </c:pt>
                <c:pt idx="171">
                  <c:v>1850</c:v>
                </c:pt>
                <c:pt idx="172">
                  <c:v>1849</c:v>
                </c:pt>
                <c:pt idx="173">
                  <c:v>1848</c:v>
                </c:pt>
                <c:pt idx="174">
                  <c:v>1847</c:v>
                </c:pt>
                <c:pt idx="175">
                  <c:v>1846</c:v>
                </c:pt>
                <c:pt idx="176">
                  <c:v>1845</c:v>
                </c:pt>
                <c:pt idx="177">
                  <c:v>1844</c:v>
                </c:pt>
                <c:pt idx="178">
                  <c:v>1843</c:v>
                </c:pt>
                <c:pt idx="179">
                  <c:v>1842</c:v>
                </c:pt>
                <c:pt idx="180">
                  <c:v>1841</c:v>
                </c:pt>
                <c:pt idx="181">
                  <c:v>1840</c:v>
                </c:pt>
                <c:pt idx="182">
                  <c:v>1839</c:v>
                </c:pt>
                <c:pt idx="183">
                  <c:v>1838</c:v>
                </c:pt>
                <c:pt idx="184">
                  <c:v>1837</c:v>
                </c:pt>
                <c:pt idx="185">
                  <c:v>1836</c:v>
                </c:pt>
                <c:pt idx="186">
                  <c:v>1835</c:v>
                </c:pt>
                <c:pt idx="187">
                  <c:v>1834</c:v>
                </c:pt>
                <c:pt idx="188">
                  <c:v>1833</c:v>
                </c:pt>
                <c:pt idx="189">
                  <c:v>1832</c:v>
                </c:pt>
                <c:pt idx="190">
                  <c:v>1831</c:v>
                </c:pt>
                <c:pt idx="191">
                  <c:v>1830</c:v>
                </c:pt>
                <c:pt idx="192">
                  <c:v>1829</c:v>
                </c:pt>
                <c:pt idx="193">
                  <c:v>1828</c:v>
                </c:pt>
                <c:pt idx="194">
                  <c:v>1827</c:v>
                </c:pt>
                <c:pt idx="195">
                  <c:v>1826</c:v>
                </c:pt>
                <c:pt idx="196">
                  <c:v>1825</c:v>
                </c:pt>
                <c:pt idx="197">
                  <c:v>1824</c:v>
                </c:pt>
                <c:pt idx="198">
                  <c:v>1823</c:v>
                </c:pt>
                <c:pt idx="199">
                  <c:v>1822</c:v>
                </c:pt>
                <c:pt idx="200">
                  <c:v>1821</c:v>
                </c:pt>
                <c:pt idx="201">
                  <c:v>1820</c:v>
                </c:pt>
                <c:pt idx="202">
                  <c:v>1819</c:v>
                </c:pt>
                <c:pt idx="203">
                  <c:v>1818</c:v>
                </c:pt>
                <c:pt idx="204">
                  <c:v>1817</c:v>
                </c:pt>
                <c:pt idx="205">
                  <c:v>1816</c:v>
                </c:pt>
                <c:pt idx="206">
                  <c:v>1815</c:v>
                </c:pt>
                <c:pt idx="207">
                  <c:v>1814</c:v>
                </c:pt>
                <c:pt idx="208">
                  <c:v>1813</c:v>
                </c:pt>
                <c:pt idx="209">
                  <c:v>1812</c:v>
                </c:pt>
                <c:pt idx="210">
                  <c:v>1811</c:v>
                </c:pt>
                <c:pt idx="211">
                  <c:v>1810</c:v>
                </c:pt>
                <c:pt idx="212">
                  <c:v>1809</c:v>
                </c:pt>
                <c:pt idx="213">
                  <c:v>1808</c:v>
                </c:pt>
                <c:pt idx="214">
                  <c:v>1807</c:v>
                </c:pt>
                <c:pt idx="215">
                  <c:v>1806</c:v>
                </c:pt>
                <c:pt idx="216">
                  <c:v>1805</c:v>
                </c:pt>
                <c:pt idx="217">
                  <c:v>1804</c:v>
                </c:pt>
                <c:pt idx="218">
                  <c:v>1803</c:v>
                </c:pt>
                <c:pt idx="219">
                  <c:v>1802</c:v>
                </c:pt>
                <c:pt idx="220">
                  <c:v>1801</c:v>
                </c:pt>
                <c:pt idx="221">
                  <c:v>1800</c:v>
                </c:pt>
                <c:pt idx="222">
                  <c:v>1799</c:v>
                </c:pt>
                <c:pt idx="223">
                  <c:v>1798</c:v>
                </c:pt>
                <c:pt idx="224">
                  <c:v>1797</c:v>
                </c:pt>
                <c:pt idx="225">
                  <c:v>1796</c:v>
                </c:pt>
                <c:pt idx="226">
                  <c:v>1795</c:v>
                </c:pt>
                <c:pt idx="227">
                  <c:v>1794</c:v>
                </c:pt>
                <c:pt idx="228">
                  <c:v>1793</c:v>
                </c:pt>
                <c:pt idx="229">
                  <c:v>1792</c:v>
                </c:pt>
                <c:pt idx="230">
                  <c:v>1791</c:v>
                </c:pt>
                <c:pt idx="231">
                  <c:v>1790</c:v>
                </c:pt>
                <c:pt idx="232">
                  <c:v>1789</c:v>
                </c:pt>
                <c:pt idx="233">
                  <c:v>1788</c:v>
                </c:pt>
                <c:pt idx="234">
                  <c:v>1787</c:v>
                </c:pt>
                <c:pt idx="235">
                  <c:v>1786</c:v>
                </c:pt>
                <c:pt idx="236">
                  <c:v>1785</c:v>
                </c:pt>
                <c:pt idx="237">
                  <c:v>1784</c:v>
                </c:pt>
                <c:pt idx="238">
                  <c:v>1783</c:v>
                </c:pt>
                <c:pt idx="239">
                  <c:v>1782</c:v>
                </c:pt>
                <c:pt idx="240">
                  <c:v>1781</c:v>
                </c:pt>
                <c:pt idx="241">
                  <c:v>1780</c:v>
                </c:pt>
                <c:pt idx="242">
                  <c:v>1779</c:v>
                </c:pt>
                <c:pt idx="243">
                  <c:v>1778</c:v>
                </c:pt>
                <c:pt idx="244">
                  <c:v>1777</c:v>
                </c:pt>
                <c:pt idx="245">
                  <c:v>1776</c:v>
                </c:pt>
                <c:pt idx="246">
                  <c:v>1775</c:v>
                </c:pt>
                <c:pt idx="247">
                  <c:v>1774</c:v>
                </c:pt>
                <c:pt idx="248">
                  <c:v>1773</c:v>
                </c:pt>
                <c:pt idx="249">
                  <c:v>1772</c:v>
                </c:pt>
                <c:pt idx="250">
                  <c:v>1771</c:v>
                </c:pt>
                <c:pt idx="251">
                  <c:v>1770</c:v>
                </c:pt>
                <c:pt idx="252">
                  <c:v>1769</c:v>
                </c:pt>
                <c:pt idx="253">
                  <c:v>1768</c:v>
                </c:pt>
                <c:pt idx="254">
                  <c:v>1767</c:v>
                </c:pt>
                <c:pt idx="255">
                  <c:v>1766</c:v>
                </c:pt>
                <c:pt idx="256">
                  <c:v>1765</c:v>
                </c:pt>
                <c:pt idx="257">
                  <c:v>1764</c:v>
                </c:pt>
                <c:pt idx="258">
                  <c:v>1763</c:v>
                </c:pt>
                <c:pt idx="259">
                  <c:v>1762</c:v>
                </c:pt>
                <c:pt idx="260">
                  <c:v>1761</c:v>
                </c:pt>
                <c:pt idx="261">
                  <c:v>1760</c:v>
                </c:pt>
                <c:pt idx="262">
                  <c:v>1759</c:v>
                </c:pt>
                <c:pt idx="263">
                  <c:v>1758</c:v>
                </c:pt>
                <c:pt idx="264">
                  <c:v>1757</c:v>
                </c:pt>
                <c:pt idx="265">
                  <c:v>1756</c:v>
                </c:pt>
                <c:pt idx="266">
                  <c:v>1755</c:v>
                </c:pt>
                <c:pt idx="267">
                  <c:v>1754</c:v>
                </c:pt>
                <c:pt idx="268">
                  <c:v>1753</c:v>
                </c:pt>
                <c:pt idx="269">
                  <c:v>1752</c:v>
                </c:pt>
                <c:pt idx="270">
                  <c:v>1751</c:v>
                </c:pt>
                <c:pt idx="271">
                  <c:v>1750</c:v>
                </c:pt>
              </c:numCache>
            </c:numRef>
          </c:cat>
          <c:val>
            <c:numRef>
              <c:f>'Sheet3 (2)'!$X$2:$X$273</c:f>
              <c:numCache>
                <c:formatCode>General</c:formatCode>
                <c:ptCount val="272"/>
                <c:pt idx="0">
                  <c:v>1074998500</c:v>
                </c:pt>
                <c:pt idx="1">
                  <c:v>981189700</c:v>
                </c:pt>
                <c:pt idx="2">
                  <c:v>1073178300</c:v>
                </c:pt>
                <c:pt idx="3">
                  <c:v>1064608300</c:v>
                </c:pt>
                <c:pt idx="4">
                  <c:v>1125113000</c:v>
                </c:pt>
                <c:pt idx="5">
                  <c:v>1152787700</c:v>
                </c:pt>
                <c:pt idx="6">
                  <c:v>1193827100</c:v>
                </c:pt>
                <c:pt idx="7">
                  <c:v>1229192000</c:v>
                </c:pt>
                <c:pt idx="8">
                  <c:v>1209994200</c:v>
                </c:pt>
                <c:pt idx="9">
                  <c:v>1144498200</c:v>
                </c:pt>
                <c:pt idx="10">
                  <c:v>1104312700</c:v>
                </c:pt>
                <c:pt idx="11">
                  <c:v>1082467100</c:v>
                </c:pt>
                <c:pt idx="12">
                  <c:v>991982200</c:v>
                </c:pt>
                <c:pt idx="13">
                  <c:v>1007550700</c:v>
                </c:pt>
                <c:pt idx="14">
                  <c:v>940783040</c:v>
                </c:pt>
                <c:pt idx="15">
                  <c:v>912942900</c:v>
                </c:pt>
                <c:pt idx="16">
                  <c:v>901994300</c:v>
                </c:pt>
                <c:pt idx="17">
                  <c:v>867598600</c:v>
                </c:pt>
                <c:pt idx="18">
                  <c:v>858202200</c:v>
                </c:pt>
                <c:pt idx="19">
                  <c:v>847045000</c:v>
                </c:pt>
                <c:pt idx="20">
                  <c:v>832130200</c:v>
                </c:pt>
                <c:pt idx="21">
                  <c:v>821225150</c:v>
                </c:pt>
                <c:pt idx="22">
                  <c:v>839313000</c:v>
                </c:pt>
                <c:pt idx="23">
                  <c:v>821017860</c:v>
                </c:pt>
                <c:pt idx="24">
                  <c:v>768431700</c:v>
                </c:pt>
                <c:pt idx="25">
                  <c:v>728112500</c:v>
                </c:pt>
                <c:pt idx="26">
                  <c:v>701795840</c:v>
                </c:pt>
                <c:pt idx="27">
                  <c:v>671660000</c:v>
                </c:pt>
                <c:pt idx="28">
                  <c:v>654170560</c:v>
                </c:pt>
                <c:pt idx="29">
                  <c:v>619454460</c:v>
                </c:pt>
                <c:pt idx="30">
                  <c:v>607538700</c:v>
                </c:pt>
                <c:pt idx="31">
                  <c:v>599903700</c:v>
                </c:pt>
                <c:pt idx="32">
                  <c:v>579498940</c:v>
                </c:pt>
                <c:pt idx="33">
                  <c:v>580028740</c:v>
                </c:pt>
                <c:pt idx="34">
                  <c:v>557024960</c:v>
                </c:pt>
                <c:pt idx="35">
                  <c:v>529491800</c:v>
                </c:pt>
                <c:pt idx="36">
                  <c:v>501639780</c:v>
                </c:pt>
                <c:pt idx="37">
                  <c:v>491320500</c:v>
                </c:pt>
                <c:pt idx="38">
                  <c:v>485664480</c:v>
                </c:pt>
                <c:pt idx="39">
                  <c:v>490539600</c:v>
                </c:pt>
                <c:pt idx="40">
                  <c:v>489327420</c:v>
                </c:pt>
                <c:pt idx="41">
                  <c:v>508002560</c:v>
                </c:pt>
                <c:pt idx="42">
                  <c:v>494202700</c:v>
                </c:pt>
                <c:pt idx="43">
                  <c:v>461793820</c:v>
                </c:pt>
                <c:pt idx="44">
                  <c:v>434580900</c:v>
                </c:pt>
                <c:pt idx="45">
                  <c:v>419089250</c:v>
                </c:pt>
                <c:pt idx="46">
                  <c:v>411325100</c:v>
                </c:pt>
                <c:pt idx="47">
                  <c:v>416231420</c:v>
                </c:pt>
                <c:pt idx="48">
                  <c:v>392424450</c:v>
                </c:pt>
                <c:pt idx="49">
                  <c:v>362353600</c:v>
                </c:pt>
                <c:pt idx="50">
                  <c:v>346378800</c:v>
                </c:pt>
                <c:pt idx="51">
                  <c:v>337687700</c:v>
                </c:pt>
                <c:pt idx="52">
                  <c:v>311131040</c:v>
                </c:pt>
                <c:pt idx="53">
                  <c:v>287533380</c:v>
                </c:pt>
                <c:pt idx="54">
                  <c:v>267277700</c:v>
                </c:pt>
                <c:pt idx="55">
                  <c:v>251936270</c:v>
                </c:pt>
                <c:pt idx="56">
                  <c:v>240054110</c:v>
                </c:pt>
                <c:pt idx="57">
                  <c:v>230116670</c:v>
                </c:pt>
                <c:pt idx="58">
                  <c:v>219363220</c:v>
                </c:pt>
                <c:pt idx="59">
                  <c:v>215624780</c:v>
                </c:pt>
                <c:pt idx="60">
                  <c:v>201765780</c:v>
                </c:pt>
                <c:pt idx="61">
                  <c:v>199162530</c:v>
                </c:pt>
                <c:pt idx="62">
                  <c:v>196996210</c:v>
                </c:pt>
                <c:pt idx="63">
                  <c:v>178754820</c:v>
                </c:pt>
                <c:pt idx="64">
                  <c:v>192917950</c:v>
                </c:pt>
                <c:pt idx="65">
                  <c:v>184182370</c:v>
                </c:pt>
                <c:pt idx="66">
                  <c:v>170080400</c:v>
                </c:pt>
                <c:pt idx="67">
                  <c:v>151056110</c:v>
                </c:pt>
                <c:pt idx="68">
                  <c:v>140642960</c:v>
                </c:pt>
                <c:pt idx="69">
                  <c:v>141474460</c:v>
                </c:pt>
                <c:pt idx="70">
                  <c:v>131287170</c:v>
                </c:pt>
                <c:pt idx="71">
                  <c:v>112577080</c:v>
                </c:pt>
                <c:pt idx="72">
                  <c:v>70824630</c:v>
                </c:pt>
                <c:pt idx="73">
                  <c:v>69504090</c:v>
                </c:pt>
                <c:pt idx="74">
                  <c:v>62107070</c:v>
                </c:pt>
                <c:pt idx="75">
                  <c:v>118776020</c:v>
                </c:pt>
                <c:pt idx="76">
                  <c:v>54137150</c:v>
                </c:pt>
                <c:pt idx="77">
                  <c:v>53866372</c:v>
                </c:pt>
                <c:pt idx="78">
                  <c:v>48569504</c:v>
                </c:pt>
                <c:pt idx="79">
                  <c:v>48166196</c:v>
                </c:pt>
                <c:pt idx="80">
                  <c:v>50752570</c:v>
                </c:pt>
                <c:pt idx="81">
                  <c:v>50716700</c:v>
                </c:pt>
                <c:pt idx="82">
                  <c:v>47060380</c:v>
                </c:pt>
                <c:pt idx="83">
                  <c:v>46272796</c:v>
                </c:pt>
                <c:pt idx="84">
                  <c:v>50161732</c:v>
                </c:pt>
                <c:pt idx="85">
                  <c:v>39596510</c:v>
                </c:pt>
                <c:pt idx="86">
                  <c:v>41081412</c:v>
                </c:pt>
                <c:pt idx="87">
                  <c:v>37257450</c:v>
                </c:pt>
                <c:pt idx="88">
                  <c:v>32898528</c:v>
                </c:pt>
                <c:pt idx="89">
                  <c:v>28960146</c:v>
                </c:pt>
                <c:pt idx="90">
                  <c:v>25545738</c:v>
                </c:pt>
                <c:pt idx="91">
                  <c:v>29122492</c:v>
                </c:pt>
                <c:pt idx="92">
                  <c:v>34424330</c:v>
                </c:pt>
                <c:pt idx="93">
                  <c:v>31427830</c:v>
                </c:pt>
                <c:pt idx="94">
                  <c:v>30081440</c:v>
                </c:pt>
                <c:pt idx="95">
                  <c:v>27381072</c:v>
                </c:pt>
                <c:pt idx="96">
                  <c:v>26384464</c:v>
                </c:pt>
                <c:pt idx="97">
                  <c:v>24332624</c:v>
                </c:pt>
                <c:pt idx="98">
                  <c:v>19759952</c:v>
                </c:pt>
                <c:pt idx="99">
                  <c:v>17162176</c:v>
                </c:pt>
                <c:pt idx="100">
                  <c:v>14428832</c:v>
                </c:pt>
                <c:pt idx="101">
                  <c:v>14641344</c:v>
                </c:pt>
                <c:pt idx="102">
                  <c:v>12900944</c:v>
                </c:pt>
                <c:pt idx="103">
                  <c:v>10999328</c:v>
                </c:pt>
                <c:pt idx="104">
                  <c:v>10867424</c:v>
                </c:pt>
                <c:pt idx="105">
                  <c:v>13619088</c:v>
                </c:pt>
                <c:pt idx="106">
                  <c:v>15088352</c:v>
                </c:pt>
                <c:pt idx="107">
                  <c:v>17195152</c:v>
                </c:pt>
                <c:pt idx="108">
                  <c:v>21122960</c:v>
                </c:pt>
                <c:pt idx="109">
                  <c:v>19990784</c:v>
                </c:pt>
                <c:pt idx="110">
                  <c:v>19162720</c:v>
                </c:pt>
                <c:pt idx="111">
                  <c:v>17246448</c:v>
                </c:pt>
                <c:pt idx="112">
                  <c:v>13406576</c:v>
                </c:pt>
                <c:pt idx="113">
                  <c:v>14886832</c:v>
                </c:pt>
                <c:pt idx="114">
                  <c:v>12684768</c:v>
                </c:pt>
                <c:pt idx="115">
                  <c:v>12329360</c:v>
                </c:pt>
                <c:pt idx="116">
                  <c:v>9211296</c:v>
                </c:pt>
                <c:pt idx="117">
                  <c:v>8665360</c:v>
                </c:pt>
                <c:pt idx="118">
                  <c:v>7676080</c:v>
                </c:pt>
                <c:pt idx="119">
                  <c:v>7379296</c:v>
                </c:pt>
                <c:pt idx="120">
                  <c:v>6401008</c:v>
                </c:pt>
                <c:pt idx="121">
                  <c:v>3165696</c:v>
                </c:pt>
                <c:pt idx="122">
                  <c:v>3715296</c:v>
                </c:pt>
                <c:pt idx="123">
                  <c:v>3176688</c:v>
                </c:pt>
                <c:pt idx="124">
                  <c:v>2758992</c:v>
                </c:pt>
                <c:pt idx="125">
                  <c:v>2879904</c:v>
                </c:pt>
                <c:pt idx="126">
                  <c:v>2828608</c:v>
                </c:pt>
                <c:pt idx="127">
                  <c:v>2033520</c:v>
                </c:pt>
                <c:pt idx="128">
                  <c:v>1601168</c:v>
                </c:pt>
                <c:pt idx="129">
                  <c:v>1450944</c:v>
                </c:pt>
                <c:pt idx="130">
                  <c:v>985616</c:v>
                </c:pt>
                <c:pt idx="131">
                  <c:v>1381328</c:v>
                </c:pt>
                <c:pt idx="132">
                  <c:v>1762384</c:v>
                </c:pt>
                <c:pt idx="133">
                  <c:v>897680</c:v>
                </c:pt>
                <c:pt idx="134">
                  <c:v>1091872</c:v>
                </c:pt>
                <c:pt idx="135">
                  <c:v>7328</c:v>
                </c:pt>
                <c:pt idx="136">
                  <c:v>3664</c:v>
                </c:pt>
                <c:pt idx="137">
                  <c:v>3664</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numCache>
            </c:numRef>
          </c:val>
          <c:extLst>
            <c:ext xmlns:c16="http://schemas.microsoft.com/office/drawing/2014/chart" uri="{C3380CC4-5D6E-409C-BE32-E72D297353CC}">
              <c16:uniqueId val="{00000004-8F39-4254-9BC0-093CA2A7CE92}"/>
            </c:ext>
          </c:extLst>
        </c:ser>
        <c:ser>
          <c:idx val="6"/>
          <c:order val="5"/>
          <c:tx>
            <c:strRef>
              <c:f>'Sheet3 (2)'!$Y$2</c:f>
              <c:strCache>
                <c:ptCount val="1"/>
                <c:pt idx="0">
                  <c:v>India</c:v>
                </c:pt>
              </c:strCache>
            </c:strRef>
          </c:tx>
          <c:spPr>
            <a:solidFill>
              <a:schemeClr val="accent1">
                <a:lumMod val="60000"/>
              </a:schemeClr>
            </a:solidFill>
            <a:ln w="25400">
              <a:noFill/>
            </a:ln>
            <a:effectLst/>
          </c:spPr>
          <c:cat>
            <c:numRef>
              <c:f>'Sheet3 (2)'!$AI$2:$AI$273</c:f>
              <c:numCache>
                <c:formatCode>General</c:formatCode>
                <c:ptCount val="272"/>
                <c:pt idx="0">
                  <c:v>2021</c:v>
                </c:pt>
                <c:pt idx="1">
                  <c:v>2020</c:v>
                </c:pt>
                <c:pt idx="2">
                  <c:v>2019</c:v>
                </c:pt>
                <c:pt idx="3">
                  <c:v>2018</c:v>
                </c:pt>
                <c:pt idx="4">
                  <c:v>2017</c:v>
                </c:pt>
                <c:pt idx="5">
                  <c:v>2016</c:v>
                </c:pt>
                <c:pt idx="6">
                  <c:v>2015</c:v>
                </c:pt>
                <c:pt idx="7">
                  <c:v>2014</c:v>
                </c:pt>
                <c:pt idx="8">
                  <c:v>2013</c:v>
                </c:pt>
                <c:pt idx="9">
                  <c:v>2012</c:v>
                </c:pt>
                <c:pt idx="10">
                  <c:v>2011</c:v>
                </c:pt>
                <c:pt idx="11">
                  <c:v>2010</c:v>
                </c:pt>
                <c:pt idx="12">
                  <c:v>2009</c:v>
                </c:pt>
                <c:pt idx="13">
                  <c:v>2008</c:v>
                </c:pt>
                <c:pt idx="14">
                  <c:v>2007</c:v>
                </c:pt>
                <c:pt idx="15">
                  <c:v>2006</c:v>
                </c:pt>
                <c:pt idx="16">
                  <c:v>2005</c:v>
                </c:pt>
                <c:pt idx="17">
                  <c:v>2004</c:v>
                </c:pt>
                <c:pt idx="18">
                  <c:v>2003</c:v>
                </c:pt>
                <c:pt idx="19">
                  <c:v>2002</c:v>
                </c:pt>
                <c:pt idx="20">
                  <c:v>2001</c:v>
                </c:pt>
                <c:pt idx="21">
                  <c:v>2000</c:v>
                </c:pt>
                <c:pt idx="22">
                  <c:v>1999</c:v>
                </c:pt>
                <c:pt idx="23">
                  <c:v>1998</c:v>
                </c:pt>
                <c:pt idx="24">
                  <c:v>1997</c:v>
                </c:pt>
                <c:pt idx="25">
                  <c:v>1996</c:v>
                </c:pt>
                <c:pt idx="26">
                  <c:v>1995</c:v>
                </c:pt>
                <c:pt idx="27">
                  <c:v>1994</c:v>
                </c:pt>
                <c:pt idx="28">
                  <c:v>1993</c:v>
                </c:pt>
                <c:pt idx="29">
                  <c:v>1992</c:v>
                </c:pt>
                <c:pt idx="30">
                  <c:v>1991</c:v>
                </c:pt>
                <c:pt idx="31">
                  <c:v>1990</c:v>
                </c:pt>
                <c:pt idx="32">
                  <c:v>1989</c:v>
                </c:pt>
                <c:pt idx="33">
                  <c:v>1988</c:v>
                </c:pt>
                <c:pt idx="34">
                  <c:v>1987</c:v>
                </c:pt>
                <c:pt idx="35">
                  <c:v>1986</c:v>
                </c:pt>
                <c:pt idx="36">
                  <c:v>1985</c:v>
                </c:pt>
                <c:pt idx="37">
                  <c:v>1984</c:v>
                </c:pt>
                <c:pt idx="38">
                  <c:v>1983</c:v>
                </c:pt>
                <c:pt idx="39">
                  <c:v>1982</c:v>
                </c:pt>
                <c:pt idx="40">
                  <c:v>1981</c:v>
                </c:pt>
                <c:pt idx="41">
                  <c:v>1980</c:v>
                </c:pt>
                <c:pt idx="42">
                  <c:v>1979</c:v>
                </c:pt>
                <c:pt idx="43">
                  <c:v>1978</c:v>
                </c:pt>
                <c:pt idx="44">
                  <c:v>1977</c:v>
                </c:pt>
                <c:pt idx="45">
                  <c:v>1976</c:v>
                </c:pt>
                <c:pt idx="46">
                  <c:v>1975</c:v>
                </c:pt>
                <c:pt idx="47">
                  <c:v>1974</c:v>
                </c:pt>
                <c:pt idx="48">
                  <c:v>1973</c:v>
                </c:pt>
                <c:pt idx="49">
                  <c:v>1972</c:v>
                </c:pt>
                <c:pt idx="50">
                  <c:v>1971</c:v>
                </c:pt>
                <c:pt idx="51">
                  <c:v>1970</c:v>
                </c:pt>
                <c:pt idx="52">
                  <c:v>1969</c:v>
                </c:pt>
                <c:pt idx="53">
                  <c:v>1968</c:v>
                </c:pt>
                <c:pt idx="54">
                  <c:v>1967</c:v>
                </c:pt>
                <c:pt idx="55">
                  <c:v>1966</c:v>
                </c:pt>
                <c:pt idx="56">
                  <c:v>1965</c:v>
                </c:pt>
                <c:pt idx="57">
                  <c:v>1964</c:v>
                </c:pt>
                <c:pt idx="58">
                  <c:v>1963</c:v>
                </c:pt>
                <c:pt idx="59">
                  <c:v>1962</c:v>
                </c:pt>
                <c:pt idx="60">
                  <c:v>1961</c:v>
                </c:pt>
                <c:pt idx="61">
                  <c:v>1960</c:v>
                </c:pt>
                <c:pt idx="62">
                  <c:v>1959</c:v>
                </c:pt>
                <c:pt idx="63">
                  <c:v>1958</c:v>
                </c:pt>
                <c:pt idx="64">
                  <c:v>1957</c:v>
                </c:pt>
                <c:pt idx="65">
                  <c:v>1956</c:v>
                </c:pt>
                <c:pt idx="66">
                  <c:v>1955</c:v>
                </c:pt>
                <c:pt idx="67">
                  <c:v>1954</c:v>
                </c:pt>
                <c:pt idx="68">
                  <c:v>1953</c:v>
                </c:pt>
                <c:pt idx="69">
                  <c:v>1952</c:v>
                </c:pt>
                <c:pt idx="70">
                  <c:v>1951</c:v>
                </c:pt>
                <c:pt idx="71">
                  <c:v>1950</c:v>
                </c:pt>
                <c:pt idx="72">
                  <c:v>1949</c:v>
                </c:pt>
                <c:pt idx="73">
                  <c:v>1948</c:v>
                </c:pt>
                <c:pt idx="74">
                  <c:v>1947</c:v>
                </c:pt>
                <c:pt idx="75">
                  <c:v>1946</c:v>
                </c:pt>
                <c:pt idx="76">
                  <c:v>1945</c:v>
                </c:pt>
                <c:pt idx="77">
                  <c:v>1944</c:v>
                </c:pt>
                <c:pt idx="78">
                  <c:v>1943</c:v>
                </c:pt>
                <c:pt idx="79">
                  <c:v>1942</c:v>
                </c:pt>
                <c:pt idx="80">
                  <c:v>1941</c:v>
                </c:pt>
                <c:pt idx="81">
                  <c:v>1940</c:v>
                </c:pt>
                <c:pt idx="82">
                  <c:v>1939</c:v>
                </c:pt>
                <c:pt idx="83">
                  <c:v>1938</c:v>
                </c:pt>
                <c:pt idx="84">
                  <c:v>1937</c:v>
                </c:pt>
                <c:pt idx="85">
                  <c:v>1936</c:v>
                </c:pt>
                <c:pt idx="86">
                  <c:v>1935</c:v>
                </c:pt>
                <c:pt idx="87">
                  <c:v>1934</c:v>
                </c:pt>
                <c:pt idx="88">
                  <c:v>1933</c:v>
                </c:pt>
                <c:pt idx="89">
                  <c:v>1932</c:v>
                </c:pt>
                <c:pt idx="90">
                  <c:v>1931</c:v>
                </c:pt>
                <c:pt idx="91">
                  <c:v>1930</c:v>
                </c:pt>
                <c:pt idx="92">
                  <c:v>1929</c:v>
                </c:pt>
                <c:pt idx="93">
                  <c:v>1928</c:v>
                </c:pt>
                <c:pt idx="94">
                  <c:v>1927</c:v>
                </c:pt>
                <c:pt idx="95">
                  <c:v>1926</c:v>
                </c:pt>
                <c:pt idx="96">
                  <c:v>1925</c:v>
                </c:pt>
                <c:pt idx="97">
                  <c:v>1924</c:v>
                </c:pt>
                <c:pt idx="98">
                  <c:v>1923</c:v>
                </c:pt>
                <c:pt idx="99">
                  <c:v>1922</c:v>
                </c:pt>
                <c:pt idx="100">
                  <c:v>1921</c:v>
                </c:pt>
                <c:pt idx="101">
                  <c:v>1920</c:v>
                </c:pt>
                <c:pt idx="102">
                  <c:v>1919</c:v>
                </c:pt>
                <c:pt idx="103">
                  <c:v>1918</c:v>
                </c:pt>
                <c:pt idx="104">
                  <c:v>1917</c:v>
                </c:pt>
                <c:pt idx="105">
                  <c:v>1916</c:v>
                </c:pt>
                <c:pt idx="106">
                  <c:v>1915</c:v>
                </c:pt>
                <c:pt idx="107">
                  <c:v>1914</c:v>
                </c:pt>
                <c:pt idx="108">
                  <c:v>1913</c:v>
                </c:pt>
                <c:pt idx="109">
                  <c:v>1912</c:v>
                </c:pt>
                <c:pt idx="110">
                  <c:v>1911</c:v>
                </c:pt>
                <c:pt idx="111">
                  <c:v>1910</c:v>
                </c:pt>
                <c:pt idx="112">
                  <c:v>1909</c:v>
                </c:pt>
                <c:pt idx="113">
                  <c:v>1908</c:v>
                </c:pt>
                <c:pt idx="114">
                  <c:v>1907</c:v>
                </c:pt>
                <c:pt idx="115">
                  <c:v>1906</c:v>
                </c:pt>
                <c:pt idx="116">
                  <c:v>1905</c:v>
                </c:pt>
                <c:pt idx="117">
                  <c:v>1904</c:v>
                </c:pt>
                <c:pt idx="118">
                  <c:v>1903</c:v>
                </c:pt>
                <c:pt idx="119">
                  <c:v>1902</c:v>
                </c:pt>
                <c:pt idx="120">
                  <c:v>1901</c:v>
                </c:pt>
                <c:pt idx="121">
                  <c:v>1900</c:v>
                </c:pt>
                <c:pt idx="122">
                  <c:v>1899</c:v>
                </c:pt>
                <c:pt idx="123">
                  <c:v>1898</c:v>
                </c:pt>
                <c:pt idx="124">
                  <c:v>1897</c:v>
                </c:pt>
                <c:pt idx="125">
                  <c:v>1896</c:v>
                </c:pt>
                <c:pt idx="126">
                  <c:v>1895</c:v>
                </c:pt>
                <c:pt idx="127">
                  <c:v>1894</c:v>
                </c:pt>
                <c:pt idx="128">
                  <c:v>1893</c:v>
                </c:pt>
                <c:pt idx="129">
                  <c:v>1892</c:v>
                </c:pt>
                <c:pt idx="130">
                  <c:v>1891</c:v>
                </c:pt>
                <c:pt idx="131">
                  <c:v>1890</c:v>
                </c:pt>
                <c:pt idx="132">
                  <c:v>1889</c:v>
                </c:pt>
                <c:pt idx="133">
                  <c:v>1888</c:v>
                </c:pt>
                <c:pt idx="134">
                  <c:v>1887</c:v>
                </c:pt>
                <c:pt idx="135">
                  <c:v>1886</c:v>
                </c:pt>
                <c:pt idx="136">
                  <c:v>1885</c:v>
                </c:pt>
                <c:pt idx="137">
                  <c:v>1884</c:v>
                </c:pt>
                <c:pt idx="138">
                  <c:v>1883</c:v>
                </c:pt>
                <c:pt idx="139">
                  <c:v>1882</c:v>
                </c:pt>
                <c:pt idx="140">
                  <c:v>1881</c:v>
                </c:pt>
                <c:pt idx="141">
                  <c:v>1880</c:v>
                </c:pt>
                <c:pt idx="142">
                  <c:v>1879</c:v>
                </c:pt>
                <c:pt idx="143">
                  <c:v>1878</c:v>
                </c:pt>
                <c:pt idx="144">
                  <c:v>1877</c:v>
                </c:pt>
                <c:pt idx="145">
                  <c:v>1876</c:v>
                </c:pt>
                <c:pt idx="146">
                  <c:v>1875</c:v>
                </c:pt>
                <c:pt idx="147">
                  <c:v>1874</c:v>
                </c:pt>
                <c:pt idx="148">
                  <c:v>1873</c:v>
                </c:pt>
                <c:pt idx="149">
                  <c:v>1872</c:v>
                </c:pt>
                <c:pt idx="150">
                  <c:v>1871</c:v>
                </c:pt>
                <c:pt idx="151">
                  <c:v>1870</c:v>
                </c:pt>
                <c:pt idx="152">
                  <c:v>1869</c:v>
                </c:pt>
                <c:pt idx="153">
                  <c:v>1868</c:v>
                </c:pt>
                <c:pt idx="154">
                  <c:v>1867</c:v>
                </c:pt>
                <c:pt idx="155">
                  <c:v>1866</c:v>
                </c:pt>
                <c:pt idx="156">
                  <c:v>1865</c:v>
                </c:pt>
                <c:pt idx="157">
                  <c:v>1864</c:v>
                </c:pt>
                <c:pt idx="158">
                  <c:v>1863</c:v>
                </c:pt>
                <c:pt idx="159">
                  <c:v>1862</c:v>
                </c:pt>
                <c:pt idx="160">
                  <c:v>1861</c:v>
                </c:pt>
                <c:pt idx="161">
                  <c:v>1860</c:v>
                </c:pt>
                <c:pt idx="162">
                  <c:v>1859</c:v>
                </c:pt>
                <c:pt idx="163">
                  <c:v>1858</c:v>
                </c:pt>
                <c:pt idx="164">
                  <c:v>1857</c:v>
                </c:pt>
                <c:pt idx="165">
                  <c:v>1856</c:v>
                </c:pt>
                <c:pt idx="166">
                  <c:v>1855</c:v>
                </c:pt>
                <c:pt idx="167">
                  <c:v>1854</c:v>
                </c:pt>
                <c:pt idx="168">
                  <c:v>1853</c:v>
                </c:pt>
                <c:pt idx="169">
                  <c:v>1852</c:v>
                </c:pt>
                <c:pt idx="170">
                  <c:v>1851</c:v>
                </c:pt>
                <c:pt idx="171">
                  <c:v>1850</c:v>
                </c:pt>
                <c:pt idx="172">
                  <c:v>1849</c:v>
                </c:pt>
                <c:pt idx="173">
                  <c:v>1848</c:v>
                </c:pt>
                <c:pt idx="174">
                  <c:v>1847</c:v>
                </c:pt>
                <c:pt idx="175">
                  <c:v>1846</c:v>
                </c:pt>
                <c:pt idx="176">
                  <c:v>1845</c:v>
                </c:pt>
                <c:pt idx="177">
                  <c:v>1844</c:v>
                </c:pt>
                <c:pt idx="178">
                  <c:v>1843</c:v>
                </c:pt>
                <c:pt idx="179">
                  <c:v>1842</c:v>
                </c:pt>
                <c:pt idx="180">
                  <c:v>1841</c:v>
                </c:pt>
                <c:pt idx="181">
                  <c:v>1840</c:v>
                </c:pt>
                <c:pt idx="182">
                  <c:v>1839</c:v>
                </c:pt>
                <c:pt idx="183">
                  <c:v>1838</c:v>
                </c:pt>
                <c:pt idx="184">
                  <c:v>1837</c:v>
                </c:pt>
                <c:pt idx="185">
                  <c:v>1836</c:v>
                </c:pt>
                <c:pt idx="186">
                  <c:v>1835</c:v>
                </c:pt>
                <c:pt idx="187">
                  <c:v>1834</c:v>
                </c:pt>
                <c:pt idx="188">
                  <c:v>1833</c:v>
                </c:pt>
                <c:pt idx="189">
                  <c:v>1832</c:v>
                </c:pt>
                <c:pt idx="190">
                  <c:v>1831</c:v>
                </c:pt>
                <c:pt idx="191">
                  <c:v>1830</c:v>
                </c:pt>
                <c:pt idx="192">
                  <c:v>1829</c:v>
                </c:pt>
                <c:pt idx="193">
                  <c:v>1828</c:v>
                </c:pt>
                <c:pt idx="194">
                  <c:v>1827</c:v>
                </c:pt>
                <c:pt idx="195">
                  <c:v>1826</c:v>
                </c:pt>
                <c:pt idx="196">
                  <c:v>1825</c:v>
                </c:pt>
                <c:pt idx="197">
                  <c:v>1824</c:v>
                </c:pt>
                <c:pt idx="198">
                  <c:v>1823</c:v>
                </c:pt>
                <c:pt idx="199">
                  <c:v>1822</c:v>
                </c:pt>
                <c:pt idx="200">
                  <c:v>1821</c:v>
                </c:pt>
                <c:pt idx="201">
                  <c:v>1820</c:v>
                </c:pt>
                <c:pt idx="202">
                  <c:v>1819</c:v>
                </c:pt>
                <c:pt idx="203">
                  <c:v>1818</c:v>
                </c:pt>
                <c:pt idx="204">
                  <c:v>1817</c:v>
                </c:pt>
                <c:pt idx="205">
                  <c:v>1816</c:v>
                </c:pt>
                <c:pt idx="206">
                  <c:v>1815</c:v>
                </c:pt>
                <c:pt idx="207">
                  <c:v>1814</c:v>
                </c:pt>
                <c:pt idx="208">
                  <c:v>1813</c:v>
                </c:pt>
                <c:pt idx="209">
                  <c:v>1812</c:v>
                </c:pt>
                <c:pt idx="210">
                  <c:v>1811</c:v>
                </c:pt>
                <c:pt idx="211">
                  <c:v>1810</c:v>
                </c:pt>
                <c:pt idx="212">
                  <c:v>1809</c:v>
                </c:pt>
                <c:pt idx="213">
                  <c:v>1808</c:v>
                </c:pt>
                <c:pt idx="214">
                  <c:v>1807</c:v>
                </c:pt>
                <c:pt idx="215">
                  <c:v>1806</c:v>
                </c:pt>
                <c:pt idx="216">
                  <c:v>1805</c:v>
                </c:pt>
                <c:pt idx="217">
                  <c:v>1804</c:v>
                </c:pt>
                <c:pt idx="218">
                  <c:v>1803</c:v>
                </c:pt>
                <c:pt idx="219">
                  <c:v>1802</c:v>
                </c:pt>
                <c:pt idx="220">
                  <c:v>1801</c:v>
                </c:pt>
                <c:pt idx="221">
                  <c:v>1800</c:v>
                </c:pt>
                <c:pt idx="222">
                  <c:v>1799</c:v>
                </c:pt>
                <c:pt idx="223">
                  <c:v>1798</c:v>
                </c:pt>
                <c:pt idx="224">
                  <c:v>1797</c:v>
                </c:pt>
                <c:pt idx="225">
                  <c:v>1796</c:v>
                </c:pt>
                <c:pt idx="226">
                  <c:v>1795</c:v>
                </c:pt>
                <c:pt idx="227">
                  <c:v>1794</c:v>
                </c:pt>
                <c:pt idx="228">
                  <c:v>1793</c:v>
                </c:pt>
                <c:pt idx="229">
                  <c:v>1792</c:v>
                </c:pt>
                <c:pt idx="230">
                  <c:v>1791</c:v>
                </c:pt>
                <c:pt idx="231">
                  <c:v>1790</c:v>
                </c:pt>
                <c:pt idx="232">
                  <c:v>1789</c:v>
                </c:pt>
                <c:pt idx="233">
                  <c:v>1788</c:v>
                </c:pt>
                <c:pt idx="234">
                  <c:v>1787</c:v>
                </c:pt>
                <c:pt idx="235">
                  <c:v>1786</c:v>
                </c:pt>
                <c:pt idx="236">
                  <c:v>1785</c:v>
                </c:pt>
                <c:pt idx="237">
                  <c:v>1784</c:v>
                </c:pt>
                <c:pt idx="238">
                  <c:v>1783</c:v>
                </c:pt>
                <c:pt idx="239">
                  <c:v>1782</c:v>
                </c:pt>
                <c:pt idx="240">
                  <c:v>1781</c:v>
                </c:pt>
                <c:pt idx="241">
                  <c:v>1780</c:v>
                </c:pt>
                <c:pt idx="242">
                  <c:v>1779</c:v>
                </c:pt>
                <c:pt idx="243">
                  <c:v>1778</c:v>
                </c:pt>
                <c:pt idx="244">
                  <c:v>1777</c:v>
                </c:pt>
                <c:pt idx="245">
                  <c:v>1776</c:v>
                </c:pt>
                <c:pt idx="246">
                  <c:v>1775</c:v>
                </c:pt>
                <c:pt idx="247">
                  <c:v>1774</c:v>
                </c:pt>
                <c:pt idx="248">
                  <c:v>1773</c:v>
                </c:pt>
                <c:pt idx="249">
                  <c:v>1772</c:v>
                </c:pt>
                <c:pt idx="250">
                  <c:v>1771</c:v>
                </c:pt>
                <c:pt idx="251">
                  <c:v>1770</c:v>
                </c:pt>
                <c:pt idx="252">
                  <c:v>1769</c:v>
                </c:pt>
                <c:pt idx="253">
                  <c:v>1768</c:v>
                </c:pt>
                <c:pt idx="254">
                  <c:v>1767</c:v>
                </c:pt>
                <c:pt idx="255">
                  <c:v>1766</c:v>
                </c:pt>
                <c:pt idx="256">
                  <c:v>1765</c:v>
                </c:pt>
                <c:pt idx="257">
                  <c:v>1764</c:v>
                </c:pt>
                <c:pt idx="258">
                  <c:v>1763</c:v>
                </c:pt>
                <c:pt idx="259">
                  <c:v>1762</c:v>
                </c:pt>
                <c:pt idx="260">
                  <c:v>1761</c:v>
                </c:pt>
                <c:pt idx="261">
                  <c:v>1760</c:v>
                </c:pt>
                <c:pt idx="262">
                  <c:v>1759</c:v>
                </c:pt>
                <c:pt idx="263">
                  <c:v>1758</c:v>
                </c:pt>
                <c:pt idx="264">
                  <c:v>1757</c:v>
                </c:pt>
                <c:pt idx="265">
                  <c:v>1756</c:v>
                </c:pt>
                <c:pt idx="266">
                  <c:v>1755</c:v>
                </c:pt>
                <c:pt idx="267">
                  <c:v>1754</c:v>
                </c:pt>
                <c:pt idx="268">
                  <c:v>1753</c:v>
                </c:pt>
                <c:pt idx="269">
                  <c:v>1752</c:v>
                </c:pt>
                <c:pt idx="270">
                  <c:v>1751</c:v>
                </c:pt>
                <c:pt idx="271">
                  <c:v>1750</c:v>
                </c:pt>
              </c:numCache>
            </c:numRef>
          </c:cat>
          <c:val>
            <c:numRef>
              <c:f>'Sheet3 (2)'!$AB$2:$AB$273</c:f>
              <c:numCache>
                <c:formatCode>General</c:formatCode>
                <c:ptCount val="272"/>
                <c:pt idx="0">
                  <c:v>2709683700</c:v>
                </c:pt>
                <c:pt idx="1">
                  <c:v>2445012000</c:v>
                </c:pt>
                <c:pt idx="2">
                  <c:v>2626459400</c:v>
                </c:pt>
                <c:pt idx="3">
                  <c:v>2600446500</c:v>
                </c:pt>
                <c:pt idx="4">
                  <c:v>2434868000</c:v>
                </c:pt>
                <c:pt idx="5">
                  <c:v>2383816000</c:v>
                </c:pt>
                <c:pt idx="6">
                  <c:v>2270766000</c:v>
                </c:pt>
                <c:pt idx="7">
                  <c:v>2187343000</c:v>
                </c:pt>
                <c:pt idx="8">
                  <c:v>2037415600</c:v>
                </c:pt>
                <c:pt idx="9">
                  <c:v>1962594300</c:v>
                </c:pt>
                <c:pt idx="10">
                  <c:v>1778472600</c:v>
                </c:pt>
                <c:pt idx="11">
                  <c:v>1676495000</c:v>
                </c:pt>
                <c:pt idx="12">
                  <c:v>1611416200</c:v>
                </c:pt>
                <c:pt idx="13">
                  <c:v>1461518300</c:v>
                </c:pt>
                <c:pt idx="14">
                  <c:v>1356953100</c:v>
                </c:pt>
                <c:pt idx="15">
                  <c:v>1258643300</c:v>
                </c:pt>
                <c:pt idx="16">
                  <c:v>1184926500</c:v>
                </c:pt>
                <c:pt idx="17">
                  <c:v>1124517800</c:v>
                </c:pt>
                <c:pt idx="18">
                  <c:v>1058725300</c:v>
                </c:pt>
                <c:pt idx="19">
                  <c:v>1022175200</c:v>
                </c:pt>
                <c:pt idx="20">
                  <c:v>991731700</c:v>
                </c:pt>
                <c:pt idx="21">
                  <c:v>978103800</c:v>
                </c:pt>
                <c:pt idx="22">
                  <c:v>950950850</c:v>
                </c:pt>
                <c:pt idx="23">
                  <c:v>876952060</c:v>
                </c:pt>
                <c:pt idx="24">
                  <c:v>858935100</c:v>
                </c:pt>
                <c:pt idx="25">
                  <c:v>825200830</c:v>
                </c:pt>
                <c:pt idx="26">
                  <c:v>761449200</c:v>
                </c:pt>
                <c:pt idx="27">
                  <c:v>716268600</c:v>
                </c:pt>
                <c:pt idx="28">
                  <c:v>677299800</c:v>
                </c:pt>
                <c:pt idx="29">
                  <c:v>655447550</c:v>
                </c:pt>
                <c:pt idx="30">
                  <c:v>615365500</c:v>
                </c:pt>
                <c:pt idx="31">
                  <c:v>577996540</c:v>
                </c:pt>
                <c:pt idx="32">
                  <c:v>540651500</c:v>
                </c:pt>
                <c:pt idx="33">
                  <c:v>491692600</c:v>
                </c:pt>
                <c:pt idx="34">
                  <c:v>455343460</c:v>
                </c:pt>
                <c:pt idx="35">
                  <c:v>426309760</c:v>
                </c:pt>
                <c:pt idx="36">
                  <c:v>397592480</c:v>
                </c:pt>
                <c:pt idx="37">
                  <c:v>361559740</c:v>
                </c:pt>
                <c:pt idx="38">
                  <c:v>352199170</c:v>
                </c:pt>
                <c:pt idx="39">
                  <c:v>325380320</c:v>
                </c:pt>
                <c:pt idx="40">
                  <c:v>314966460</c:v>
                </c:pt>
                <c:pt idx="41">
                  <c:v>291711360</c:v>
                </c:pt>
                <c:pt idx="42">
                  <c:v>276284960</c:v>
                </c:pt>
                <c:pt idx="43">
                  <c:v>263149780</c:v>
                </c:pt>
                <c:pt idx="44">
                  <c:v>258961970</c:v>
                </c:pt>
                <c:pt idx="45">
                  <c:v>244749580</c:v>
                </c:pt>
                <c:pt idx="46">
                  <c:v>234209330</c:v>
                </c:pt>
                <c:pt idx="47">
                  <c:v>215853380</c:v>
                </c:pt>
                <c:pt idx="48">
                  <c:v>209095230</c:v>
                </c:pt>
                <c:pt idx="49">
                  <c:v>203036160</c:v>
                </c:pt>
                <c:pt idx="50">
                  <c:v>191963860</c:v>
                </c:pt>
                <c:pt idx="51">
                  <c:v>181722820</c:v>
                </c:pt>
                <c:pt idx="52">
                  <c:v>177413540</c:v>
                </c:pt>
                <c:pt idx="53">
                  <c:v>174069500</c:v>
                </c:pt>
                <c:pt idx="54">
                  <c:v>159556000</c:v>
                </c:pt>
                <c:pt idx="55">
                  <c:v>159373570</c:v>
                </c:pt>
                <c:pt idx="56">
                  <c:v>153702100</c:v>
                </c:pt>
                <c:pt idx="57">
                  <c:v>139488400</c:v>
                </c:pt>
                <c:pt idx="58">
                  <c:v>142444290</c:v>
                </c:pt>
                <c:pt idx="59">
                  <c:v>132581680</c:v>
                </c:pt>
                <c:pt idx="60">
                  <c:v>120404400</c:v>
                </c:pt>
                <c:pt idx="61">
                  <c:v>111325176</c:v>
                </c:pt>
                <c:pt idx="62">
                  <c:v>101447370</c:v>
                </c:pt>
                <c:pt idx="63">
                  <c:v>95815880</c:v>
                </c:pt>
                <c:pt idx="64">
                  <c:v>91635460</c:v>
                </c:pt>
                <c:pt idx="65">
                  <c:v>81656450</c:v>
                </c:pt>
                <c:pt idx="66">
                  <c:v>78787820</c:v>
                </c:pt>
                <c:pt idx="67">
                  <c:v>72413710</c:v>
                </c:pt>
                <c:pt idx="68">
                  <c:v>68704904</c:v>
                </c:pt>
                <c:pt idx="69">
                  <c:v>67426220</c:v>
                </c:pt>
                <c:pt idx="70">
                  <c:v>64022190</c:v>
                </c:pt>
                <c:pt idx="71">
                  <c:v>61102630</c:v>
                </c:pt>
                <c:pt idx="72">
                  <c:v>56187910</c:v>
                </c:pt>
                <c:pt idx="73">
                  <c:v>53204148</c:v>
                </c:pt>
                <c:pt idx="74">
                  <c:v>53180348</c:v>
                </c:pt>
                <c:pt idx="75">
                  <c:v>52225064</c:v>
                </c:pt>
                <c:pt idx="76">
                  <c:v>52874104</c:v>
                </c:pt>
                <c:pt idx="77">
                  <c:v>47696050</c:v>
                </c:pt>
                <c:pt idx="78">
                  <c:v>46644484</c:v>
                </c:pt>
                <c:pt idx="79">
                  <c:v>53529604</c:v>
                </c:pt>
                <c:pt idx="80">
                  <c:v>53581170</c:v>
                </c:pt>
                <c:pt idx="81">
                  <c:v>52309590</c:v>
                </c:pt>
                <c:pt idx="82">
                  <c:v>49312292</c:v>
                </c:pt>
                <c:pt idx="83">
                  <c:v>50379724</c:v>
                </c:pt>
                <c:pt idx="84">
                  <c:v>45067340</c:v>
                </c:pt>
                <c:pt idx="85">
                  <c:v>40684530</c:v>
                </c:pt>
                <c:pt idx="86">
                  <c:v>41393252</c:v>
                </c:pt>
                <c:pt idx="87">
                  <c:v>39611080</c:v>
                </c:pt>
                <c:pt idx="88">
                  <c:v>35467388</c:v>
                </c:pt>
                <c:pt idx="89">
                  <c:v>36129520</c:v>
                </c:pt>
                <c:pt idx="90">
                  <c:v>38851076</c:v>
                </c:pt>
                <c:pt idx="91">
                  <c:v>42399550</c:v>
                </c:pt>
                <c:pt idx="92">
                  <c:v>41707932</c:v>
                </c:pt>
                <c:pt idx="93">
                  <c:v>40073010</c:v>
                </c:pt>
                <c:pt idx="94">
                  <c:v>41883844</c:v>
                </c:pt>
                <c:pt idx="95">
                  <c:v>39942630</c:v>
                </c:pt>
                <c:pt idx="96">
                  <c:v>40084972</c:v>
                </c:pt>
                <c:pt idx="97">
                  <c:v>40628000</c:v>
                </c:pt>
                <c:pt idx="98">
                  <c:v>37971936</c:v>
                </c:pt>
                <c:pt idx="99">
                  <c:v>36903416</c:v>
                </c:pt>
                <c:pt idx="100">
                  <c:v>37505560</c:v>
                </c:pt>
                <c:pt idx="101">
                  <c:v>34868020</c:v>
                </c:pt>
                <c:pt idx="102">
                  <c:v>42974810</c:v>
                </c:pt>
                <c:pt idx="103">
                  <c:v>39359360</c:v>
                </c:pt>
                <c:pt idx="104">
                  <c:v>35019810</c:v>
                </c:pt>
                <c:pt idx="105">
                  <c:v>33517548</c:v>
                </c:pt>
                <c:pt idx="106">
                  <c:v>33141762</c:v>
                </c:pt>
                <c:pt idx="107">
                  <c:v>31698182</c:v>
                </c:pt>
                <c:pt idx="108">
                  <c:v>31466798</c:v>
                </c:pt>
                <c:pt idx="109">
                  <c:v>28521480</c:v>
                </c:pt>
                <c:pt idx="110">
                  <c:v>24782474</c:v>
                </c:pt>
                <c:pt idx="111">
                  <c:v>23487344</c:v>
                </c:pt>
                <c:pt idx="112">
                  <c:v>24142678</c:v>
                </c:pt>
                <c:pt idx="113">
                  <c:v>24908272</c:v>
                </c:pt>
                <c:pt idx="114">
                  <c:v>21772426</c:v>
                </c:pt>
                <c:pt idx="115">
                  <c:v>19549438</c:v>
                </c:pt>
                <c:pt idx="116">
                  <c:v>16930738</c:v>
                </c:pt>
                <c:pt idx="117">
                  <c:v>16561026</c:v>
                </c:pt>
                <c:pt idx="118">
                  <c:v>14802139</c:v>
                </c:pt>
                <c:pt idx="119">
                  <c:v>14515440</c:v>
                </c:pt>
                <c:pt idx="120">
                  <c:v>13179692</c:v>
                </c:pt>
                <c:pt idx="121">
                  <c:v>11929576</c:v>
                </c:pt>
                <c:pt idx="122">
                  <c:v>10054490</c:v>
                </c:pt>
                <c:pt idx="123">
                  <c:v>9125196</c:v>
                </c:pt>
                <c:pt idx="124">
                  <c:v>8253381.5</c:v>
                </c:pt>
                <c:pt idx="125">
                  <c:v>7608035</c:v>
                </c:pt>
                <c:pt idx="126">
                  <c:v>7034711</c:v>
                </c:pt>
                <c:pt idx="127">
                  <c:v>5616710</c:v>
                </c:pt>
                <c:pt idx="128">
                  <c:v>5543195</c:v>
                </c:pt>
                <c:pt idx="129">
                  <c:v>5247296</c:v>
                </c:pt>
                <c:pt idx="130">
                  <c:v>4772425</c:v>
                </c:pt>
                <c:pt idx="131">
                  <c:v>4431674</c:v>
                </c:pt>
                <c:pt idx="132">
                  <c:v>4021832</c:v>
                </c:pt>
                <c:pt idx="133">
                  <c:v>3409556</c:v>
                </c:pt>
                <c:pt idx="134">
                  <c:v>3066019</c:v>
                </c:pt>
                <c:pt idx="135">
                  <c:v>2772064</c:v>
                </c:pt>
                <c:pt idx="136">
                  <c:v>2459404</c:v>
                </c:pt>
                <c:pt idx="137">
                  <c:v>2730015</c:v>
                </c:pt>
                <c:pt idx="138">
                  <c:v>2440909</c:v>
                </c:pt>
                <c:pt idx="139">
                  <c:v>2196295</c:v>
                </c:pt>
                <c:pt idx="140">
                  <c:v>1839335</c:v>
                </c:pt>
                <c:pt idx="141">
                  <c:v>1886776</c:v>
                </c:pt>
                <c:pt idx="142">
                  <c:v>1684384</c:v>
                </c:pt>
                <c:pt idx="143">
                  <c:v>1766911</c:v>
                </c:pt>
                <c:pt idx="144">
                  <c:v>0</c:v>
                </c:pt>
                <c:pt idx="145">
                  <c:v>0</c:v>
                </c:pt>
                <c:pt idx="146">
                  <c:v>0</c:v>
                </c:pt>
                <c:pt idx="147">
                  <c:v>0</c:v>
                </c:pt>
                <c:pt idx="148">
                  <c:v>0</c:v>
                </c:pt>
                <c:pt idx="149">
                  <c:v>0</c:v>
                </c:pt>
                <c:pt idx="150">
                  <c:v>0</c:v>
                </c:pt>
                <c:pt idx="151">
                  <c:v>0</c:v>
                </c:pt>
                <c:pt idx="152">
                  <c:v>0</c:v>
                </c:pt>
                <c:pt idx="153">
                  <c:v>0</c:v>
                </c:pt>
                <c:pt idx="154">
                  <c:v>0</c:v>
                </c:pt>
                <c:pt idx="155">
                  <c:v>639801</c:v>
                </c:pt>
                <c:pt idx="156">
                  <c:v>566870</c:v>
                </c:pt>
                <c:pt idx="157">
                  <c:v>576815</c:v>
                </c:pt>
                <c:pt idx="158">
                  <c:v>609965</c:v>
                </c:pt>
                <c:pt idx="159">
                  <c:v>550295</c:v>
                </c:pt>
                <c:pt idx="160">
                  <c:v>497254</c:v>
                </c:pt>
                <c:pt idx="161">
                  <c:v>643116</c:v>
                </c:pt>
                <c:pt idx="162">
                  <c:v>636486</c:v>
                </c:pt>
                <c:pt idx="163">
                  <c:v>394488</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numCache>
            </c:numRef>
          </c:val>
          <c:extLst>
            <c:ext xmlns:c16="http://schemas.microsoft.com/office/drawing/2014/chart" uri="{C3380CC4-5D6E-409C-BE32-E72D297353CC}">
              <c16:uniqueId val="{00000005-8F39-4254-9BC0-093CA2A7CE92}"/>
            </c:ext>
          </c:extLst>
        </c:ser>
        <c:ser>
          <c:idx val="3"/>
          <c:order val="6"/>
          <c:tx>
            <c:strRef>
              <c:f>'Sheet3 (2)'!$M$2</c:f>
              <c:strCache>
                <c:ptCount val="1"/>
                <c:pt idx="0">
                  <c:v>United States</c:v>
                </c:pt>
              </c:strCache>
            </c:strRef>
          </c:tx>
          <c:spPr>
            <a:solidFill>
              <a:schemeClr val="accent4"/>
            </a:solidFill>
            <a:ln w="25400">
              <a:noFill/>
            </a:ln>
            <a:effectLst/>
          </c:spPr>
          <c:cat>
            <c:numRef>
              <c:f>'Sheet3 (2)'!$AI$2:$AI$273</c:f>
              <c:numCache>
                <c:formatCode>General</c:formatCode>
                <c:ptCount val="272"/>
                <c:pt idx="0">
                  <c:v>2021</c:v>
                </c:pt>
                <c:pt idx="1">
                  <c:v>2020</c:v>
                </c:pt>
                <c:pt idx="2">
                  <c:v>2019</c:v>
                </c:pt>
                <c:pt idx="3">
                  <c:v>2018</c:v>
                </c:pt>
                <c:pt idx="4">
                  <c:v>2017</c:v>
                </c:pt>
                <c:pt idx="5">
                  <c:v>2016</c:v>
                </c:pt>
                <c:pt idx="6">
                  <c:v>2015</c:v>
                </c:pt>
                <c:pt idx="7">
                  <c:v>2014</c:v>
                </c:pt>
                <c:pt idx="8">
                  <c:v>2013</c:v>
                </c:pt>
                <c:pt idx="9">
                  <c:v>2012</c:v>
                </c:pt>
                <c:pt idx="10">
                  <c:v>2011</c:v>
                </c:pt>
                <c:pt idx="11">
                  <c:v>2010</c:v>
                </c:pt>
                <c:pt idx="12">
                  <c:v>2009</c:v>
                </c:pt>
                <c:pt idx="13">
                  <c:v>2008</c:v>
                </c:pt>
                <c:pt idx="14">
                  <c:v>2007</c:v>
                </c:pt>
                <c:pt idx="15">
                  <c:v>2006</c:v>
                </c:pt>
                <c:pt idx="16">
                  <c:v>2005</c:v>
                </c:pt>
                <c:pt idx="17">
                  <c:v>2004</c:v>
                </c:pt>
                <c:pt idx="18">
                  <c:v>2003</c:v>
                </c:pt>
                <c:pt idx="19">
                  <c:v>2002</c:v>
                </c:pt>
                <c:pt idx="20">
                  <c:v>2001</c:v>
                </c:pt>
                <c:pt idx="21">
                  <c:v>2000</c:v>
                </c:pt>
                <c:pt idx="22">
                  <c:v>1999</c:v>
                </c:pt>
                <c:pt idx="23">
                  <c:v>1998</c:v>
                </c:pt>
                <c:pt idx="24">
                  <c:v>1997</c:v>
                </c:pt>
                <c:pt idx="25">
                  <c:v>1996</c:v>
                </c:pt>
                <c:pt idx="26">
                  <c:v>1995</c:v>
                </c:pt>
                <c:pt idx="27">
                  <c:v>1994</c:v>
                </c:pt>
                <c:pt idx="28">
                  <c:v>1993</c:v>
                </c:pt>
                <c:pt idx="29">
                  <c:v>1992</c:v>
                </c:pt>
                <c:pt idx="30">
                  <c:v>1991</c:v>
                </c:pt>
                <c:pt idx="31">
                  <c:v>1990</c:v>
                </c:pt>
                <c:pt idx="32">
                  <c:v>1989</c:v>
                </c:pt>
                <c:pt idx="33">
                  <c:v>1988</c:v>
                </c:pt>
                <c:pt idx="34">
                  <c:v>1987</c:v>
                </c:pt>
                <c:pt idx="35">
                  <c:v>1986</c:v>
                </c:pt>
                <c:pt idx="36">
                  <c:v>1985</c:v>
                </c:pt>
                <c:pt idx="37">
                  <c:v>1984</c:v>
                </c:pt>
                <c:pt idx="38">
                  <c:v>1983</c:v>
                </c:pt>
                <c:pt idx="39">
                  <c:v>1982</c:v>
                </c:pt>
                <c:pt idx="40">
                  <c:v>1981</c:v>
                </c:pt>
                <c:pt idx="41">
                  <c:v>1980</c:v>
                </c:pt>
                <c:pt idx="42">
                  <c:v>1979</c:v>
                </c:pt>
                <c:pt idx="43">
                  <c:v>1978</c:v>
                </c:pt>
                <c:pt idx="44">
                  <c:v>1977</c:v>
                </c:pt>
                <c:pt idx="45">
                  <c:v>1976</c:v>
                </c:pt>
                <c:pt idx="46">
                  <c:v>1975</c:v>
                </c:pt>
                <c:pt idx="47">
                  <c:v>1974</c:v>
                </c:pt>
                <c:pt idx="48">
                  <c:v>1973</c:v>
                </c:pt>
                <c:pt idx="49">
                  <c:v>1972</c:v>
                </c:pt>
                <c:pt idx="50">
                  <c:v>1971</c:v>
                </c:pt>
                <c:pt idx="51">
                  <c:v>1970</c:v>
                </c:pt>
                <c:pt idx="52">
                  <c:v>1969</c:v>
                </c:pt>
                <c:pt idx="53">
                  <c:v>1968</c:v>
                </c:pt>
                <c:pt idx="54">
                  <c:v>1967</c:v>
                </c:pt>
                <c:pt idx="55">
                  <c:v>1966</c:v>
                </c:pt>
                <c:pt idx="56">
                  <c:v>1965</c:v>
                </c:pt>
                <c:pt idx="57">
                  <c:v>1964</c:v>
                </c:pt>
                <c:pt idx="58">
                  <c:v>1963</c:v>
                </c:pt>
                <c:pt idx="59">
                  <c:v>1962</c:v>
                </c:pt>
                <c:pt idx="60">
                  <c:v>1961</c:v>
                </c:pt>
                <c:pt idx="61">
                  <c:v>1960</c:v>
                </c:pt>
                <c:pt idx="62">
                  <c:v>1959</c:v>
                </c:pt>
                <c:pt idx="63">
                  <c:v>1958</c:v>
                </c:pt>
                <c:pt idx="64">
                  <c:v>1957</c:v>
                </c:pt>
                <c:pt idx="65">
                  <c:v>1956</c:v>
                </c:pt>
                <c:pt idx="66">
                  <c:v>1955</c:v>
                </c:pt>
                <c:pt idx="67">
                  <c:v>1954</c:v>
                </c:pt>
                <c:pt idx="68">
                  <c:v>1953</c:v>
                </c:pt>
                <c:pt idx="69">
                  <c:v>1952</c:v>
                </c:pt>
                <c:pt idx="70">
                  <c:v>1951</c:v>
                </c:pt>
                <c:pt idx="71">
                  <c:v>1950</c:v>
                </c:pt>
                <c:pt idx="72">
                  <c:v>1949</c:v>
                </c:pt>
                <c:pt idx="73">
                  <c:v>1948</c:v>
                </c:pt>
                <c:pt idx="74">
                  <c:v>1947</c:v>
                </c:pt>
                <c:pt idx="75">
                  <c:v>1946</c:v>
                </c:pt>
                <c:pt idx="76">
                  <c:v>1945</c:v>
                </c:pt>
                <c:pt idx="77">
                  <c:v>1944</c:v>
                </c:pt>
                <c:pt idx="78">
                  <c:v>1943</c:v>
                </c:pt>
                <c:pt idx="79">
                  <c:v>1942</c:v>
                </c:pt>
                <c:pt idx="80">
                  <c:v>1941</c:v>
                </c:pt>
                <c:pt idx="81">
                  <c:v>1940</c:v>
                </c:pt>
                <c:pt idx="82">
                  <c:v>1939</c:v>
                </c:pt>
                <c:pt idx="83">
                  <c:v>1938</c:v>
                </c:pt>
                <c:pt idx="84">
                  <c:v>1937</c:v>
                </c:pt>
                <c:pt idx="85">
                  <c:v>1936</c:v>
                </c:pt>
                <c:pt idx="86">
                  <c:v>1935</c:v>
                </c:pt>
                <c:pt idx="87">
                  <c:v>1934</c:v>
                </c:pt>
                <c:pt idx="88">
                  <c:v>1933</c:v>
                </c:pt>
                <c:pt idx="89">
                  <c:v>1932</c:v>
                </c:pt>
                <c:pt idx="90">
                  <c:v>1931</c:v>
                </c:pt>
                <c:pt idx="91">
                  <c:v>1930</c:v>
                </c:pt>
                <c:pt idx="92">
                  <c:v>1929</c:v>
                </c:pt>
                <c:pt idx="93">
                  <c:v>1928</c:v>
                </c:pt>
                <c:pt idx="94">
                  <c:v>1927</c:v>
                </c:pt>
                <c:pt idx="95">
                  <c:v>1926</c:v>
                </c:pt>
                <c:pt idx="96">
                  <c:v>1925</c:v>
                </c:pt>
                <c:pt idx="97">
                  <c:v>1924</c:v>
                </c:pt>
                <c:pt idx="98">
                  <c:v>1923</c:v>
                </c:pt>
                <c:pt idx="99">
                  <c:v>1922</c:v>
                </c:pt>
                <c:pt idx="100">
                  <c:v>1921</c:v>
                </c:pt>
                <c:pt idx="101">
                  <c:v>1920</c:v>
                </c:pt>
                <c:pt idx="102">
                  <c:v>1919</c:v>
                </c:pt>
                <c:pt idx="103">
                  <c:v>1918</c:v>
                </c:pt>
                <c:pt idx="104">
                  <c:v>1917</c:v>
                </c:pt>
                <c:pt idx="105">
                  <c:v>1916</c:v>
                </c:pt>
                <c:pt idx="106">
                  <c:v>1915</c:v>
                </c:pt>
                <c:pt idx="107">
                  <c:v>1914</c:v>
                </c:pt>
                <c:pt idx="108">
                  <c:v>1913</c:v>
                </c:pt>
                <c:pt idx="109">
                  <c:v>1912</c:v>
                </c:pt>
                <c:pt idx="110">
                  <c:v>1911</c:v>
                </c:pt>
                <c:pt idx="111">
                  <c:v>1910</c:v>
                </c:pt>
                <c:pt idx="112">
                  <c:v>1909</c:v>
                </c:pt>
                <c:pt idx="113">
                  <c:v>1908</c:v>
                </c:pt>
                <c:pt idx="114">
                  <c:v>1907</c:v>
                </c:pt>
                <c:pt idx="115">
                  <c:v>1906</c:v>
                </c:pt>
                <c:pt idx="116">
                  <c:v>1905</c:v>
                </c:pt>
                <c:pt idx="117">
                  <c:v>1904</c:v>
                </c:pt>
                <c:pt idx="118">
                  <c:v>1903</c:v>
                </c:pt>
                <c:pt idx="119">
                  <c:v>1902</c:v>
                </c:pt>
                <c:pt idx="120">
                  <c:v>1901</c:v>
                </c:pt>
                <c:pt idx="121">
                  <c:v>1900</c:v>
                </c:pt>
                <c:pt idx="122">
                  <c:v>1899</c:v>
                </c:pt>
                <c:pt idx="123">
                  <c:v>1898</c:v>
                </c:pt>
                <c:pt idx="124">
                  <c:v>1897</c:v>
                </c:pt>
                <c:pt idx="125">
                  <c:v>1896</c:v>
                </c:pt>
                <c:pt idx="126">
                  <c:v>1895</c:v>
                </c:pt>
                <c:pt idx="127">
                  <c:v>1894</c:v>
                </c:pt>
                <c:pt idx="128">
                  <c:v>1893</c:v>
                </c:pt>
                <c:pt idx="129">
                  <c:v>1892</c:v>
                </c:pt>
                <c:pt idx="130">
                  <c:v>1891</c:v>
                </c:pt>
                <c:pt idx="131">
                  <c:v>1890</c:v>
                </c:pt>
                <c:pt idx="132">
                  <c:v>1889</c:v>
                </c:pt>
                <c:pt idx="133">
                  <c:v>1888</c:v>
                </c:pt>
                <c:pt idx="134">
                  <c:v>1887</c:v>
                </c:pt>
                <c:pt idx="135">
                  <c:v>1886</c:v>
                </c:pt>
                <c:pt idx="136">
                  <c:v>1885</c:v>
                </c:pt>
                <c:pt idx="137">
                  <c:v>1884</c:v>
                </c:pt>
                <c:pt idx="138">
                  <c:v>1883</c:v>
                </c:pt>
                <c:pt idx="139">
                  <c:v>1882</c:v>
                </c:pt>
                <c:pt idx="140">
                  <c:v>1881</c:v>
                </c:pt>
                <c:pt idx="141">
                  <c:v>1880</c:v>
                </c:pt>
                <c:pt idx="142">
                  <c:v>1879</c:v>
                </c:pt>
                <c:pt idx="143">
                  <c:v>1878</c:v>
                </c:pt>
                <c:pt idx="144">
                  <c:v>1877</c:v>
                </c:pt>
                <c:pt idx="145">
                  <c:v>1876</c:v>
                </c:pt>
                <c:pt idx="146">
                  <c:v>1875</c:v>
                </c:pt>
                <c:pt idx="147">
                  <c:v>1874</c:v>
                </c:pt>
                <c:pt idx="148">
                  <c:v>1873</c:v>
                </c:pt>
                <c:pt idx="149">
                  <c:v>1872</c:v>
                </c:pt>
                <c:pt idx="150">
                  <c:v>1871</c:v>
                </c:pt>
                <c:pt idx="151">
                  <c:v>1870</c:v>
                </c:pt>
                <c:pt idx="152">
                  <c:v>1869</c:v>
                </c:pt>
                <c:pt idx="153">
                  <c:v>1868</c:v>
                </c:pt>
                <c:pt idx="154">
                  <c:v>1867</c:v>
                </c:pt>
                <c:pt idx="155">
                  <c:v>1866</c:v>
                </c:pt>
                <c:pt idx="156">
                  <c:v>1865</c:v>
                </c:pt>
                <c:pt idx="157">
                  <c:v>1864</c:v>
                </c:pt>
                <c:pt idx="158">
                  <c:v>1863</c:v>
                </c:pt>
                <c:pt idx="159">
                  <c:v>1862</c:v>
                </c:pt>
                <c:pt idx="160">
                  <c:v>1861</c:v>
                </c:pt>
                <c:pt idx="161">
                  <c:v>1860</c:v>
                </c:pt>
                <c:pt idx="162">
                  <c:v>1859</c:v>
                </c:pt>
                <c:pt idx="163">
                  <c:v>1858</c:v>
                </c:pt>
                <c:pt idx="164">
                  <c:v>1857</c:v>
                </c:pt>
                <c:pt idx="165">
                  <c:v>1856</c:v>
                </c:pt>
                <c:pt idx="166">
                  <c:v>1855</c:v>
                </c:pt>
                <c:pt idx="167">
                  <c:v>1854</c:v>
                </c:pt>
                <c:pt idx="168">
                  <c:v>1853</c:v>
                </c:pt>
                <c:pt idx="169">
                  <c:v>1852</c:v>
                </c:pt>
                <c:pt idx="170">
                  <c:v>1851</c:v>
                </c:pt>
                <c:pt idx="171">
                  <c:v>1850</c:v>
                </c:pt>
                <c:pt idx="172">
                  <c:v>1849</c:v>
                </c:pt>
                <c:pt idx="173">
                  <c:v>1848</c:v>
                </c:pt>
                <c:pt idx="174">
                  <c:v>1847</c:v>
                </c:pt>
                <c:pt idx="175">
                  <c:v>1846</c:v>
                </c:pt>
                <c:pt idx="176">
                  <c:v>1845</c:v>
                </c:pt>
                <c:pt idx="177">
                  <c:v>1844</c:v>
                </c:pt>
                <c:pt idx="178">
                  <c:v>1843</c:v>
                </c:pt>
                <c:pt idx="179">
                  <c:v>1842</c:v>
                </c:pt>
                <c:pt idx="180">
                  <c:v>1841</c:v>
                </c:pt>
                <c:pt idx="181">
                  <c:v>1840</c:v>
                </c:pt>
                <c:pt idx="182">
                  <c:v>1839</c:v>
                </c:pt>
                <c:pt idx="183">
                  <c:v>1838</c:v>
                </c:pt>
                <c:pt idx="184">
                  <c:v>1837</c:v>
                </c:pt>
                <c:pt idx="185">
                  <c:v>1836</c:v>
                </c:pt>
                <c:pt idx="186">
                  <c:v>1835</c:v>
                </c:pt>
                <c:pt idx="187">
                  <c:v>1834</c:v>
                </c:pt>
                <c:pt idx="188">
                  <c:v>1833</c:v>
                </c:pt>
                <c:pt idx="189">
                  <c:v>1832</c:v>
                </c:pt>
                <c:pt idx="190">
                  <c:v>1831</c:v>
                </c:pt>
                <c:pt idx="191">
                  <c:v>1830</c:v>
                </c:pt>
                <c:pt idx="192">
                  <c:v>1829</c:v>
                </c:pt>
                <c:pt idx="193">
                  <c:v>1828</c:v>
                </c:pt>
                <c:pt idx="194">
                  <c:v>1827</c:v>
                </c:pt>
                <c:pt idx="195">
                  <c:v>1826</c:v>
                </c:pt>
                <c:pt idx="196">
                  <c:v>1825</c:v>
                </c:pt>
                <c:pt idx="197">
                  <c:v>1824</c:v>
                </c:pt>
                <c:pt idx="198">
                  <c:v>1823</c:v>
                </c:pt>
                <c:pt idx="199">
                  <c:v>1822</c:v>
                </c:pt>
                <c:pt idx="200">
                  <c:v>1821</c:v>
                </c:pt>
                <c:pt idx="201">
                  <c:v>1820</c:v>
                </c:pt>
                <c:pt idx="202">
                  <c:v>1819</c:v>
                </c:pt>
                <c:pt idx="203">
                  <c:v>1818</c:v>
                </c:pt>
                <c:pt idx="204">
                  <c:v>1817</c:v>
                </c:pt>
                <c:pt idx="205">
                  <c:v>1816</c:v>
                </c:pt>
                <c:pt idx="206">
                  <c:v>1815</c:v>
                </c:pt>
                <c:pt idx="207">
                  <c:v>1814</c:v>
                </c:pt>
                <c:pt idx="208">
                  <c:v>1813</c:v>
                </c:pt>
                <c:pt idx="209">
                  <c:v>1812</c:v>
                </c:pt>
                <c:pt idx="210">
                  <c:v>1811</c:v>
                </c:pt>
                <c:pt idx="211">
                  <c:v>1810</c:v>
                </c:pt>
                <c:pt idx="212">
                  <c:v>1809</c:v>
                </c:pt>
                <c:pt idx="213">
                  <c:v>1808</c:v>
                </c:pt>
                <c:pt idx="214">
                  <c:v>1807</c:v>
                </c:pt>
                <c:pt idx="215">
                  <c:v>1806</c:v>
                </c:pt>
                <c:pt idx="216">
                  <c:v>1805</c:v>
                </c:pt>
                <c:pt idx="217">
                  <c:v>1804</c:v>
                </c:pt>
                <c:pt idx="218">
                  <c:v>1803</c:v>
                </c:pt>
                <c:pt idx="219">
                  <c:v>1802</c:v>
                </c:pt>
                <c:pt idx="220">
                  <c:v>1801</c:v>
                </c:pt>
                <c:pt idx="221">
                  <c:v>1800</c:v>
                </c:pt>
                <c:pt idx="222">
                  <c:v>1799</c:v>
                </c:pt>
                <c:pt idx="223">
                  <c:v>1798</c:v>
                </c:pt>
                <c:pt idx="224">
                  <c:v>1797</c:v>
                </c:pt>
                <c:pt idx="225">
                  <c:v>1796</c:v>
                </c:pt>
                <c:pt idx="226">
                  <c:v>1795</c:v>
                </c:pt>
                <c:pt idx="227">
                  <c:v>1794</c:v>
                </c:pt>
                <c:pt idx="228">
                  <c:v>1793</c:v>
                </c:pt>
                <c:pt idx="229">
                  <c:v>1792</c:v>
                </c:pt>
                <c:pt idx="230">
                  <c:v>1791</c:v>
                </c:pt>
                <c:pt idx="231">
                  <c:v>1790</c:v>
                </c:pt>
                <c:pt idx="232">
                  <c:v>1789</c:v>
                </c:pt>
                <c:pt idx="233">
                  <c:v>1788</c:v>
                </c:pt>
                <c:pt idx="234">
                  <c:v>1787</c:v>
                </c:pt>
                <c:pt idx="235">
                  <c:v>1786</c:v>
                </c:pt>
                <c:pt idx="236">
                  <c:v>1785</c:v>
                </c:pt>
                <c:pt idx="237">
                  <c:v>1784</c:v>
                </c:pt>
                <c:pt idx="238">
                  <c:v>1783</c:v>
                </c:pt>
                <c:pt idx="239">
                  <c:v>1782</c:v>
                </c:pt>
                <c:pt idx="240">
                  <c:v>1781</c:v>
                </c:pt>
                <c:pt idx="241">
                  <c:v>1780</c:v>
                </c:pt>
                <c:pt idx="242">
                  <c:v>1779</c:v>
                </c:pt>
                <c:pt idx="243">
                  <c:v>1778</c:v>
                </c:pt>
                <c:pt idx="244">
                  <c:v>1777</c:v>
                </c:pt>
                <c:pt idx="245">
                  <c:v>1776</c:v>
                </c:pt>
                <c:pt idx="246">
                  <c:v>1775</c:v>
                </c:pt>
                <c:pt idx="247">
                  <c:v>1774</c:v>
                </c:pt>
                <c:pt idx="248">
                  <c:v>1773</c:v>
                </c:pt>
                <c:pt idx="249">
                  <c:v>1772</c:v>
                </c:pt>
                <c:pt idx="250">
                  <c:v>1771</c:v>
                </c:pt>
                <c:pt idx="251">
                  <c:v>1770</c:v>
                </c:pt>
                <c:pt idx="252">
                  <c:v>1769</c:v>
                </c:pt>
                <c:pt idx="253">
                  <c:v>1768</c:v>
                </c:pt>
                <c:pt idx="254">
                  <c:v>1767</c:v>
                </c:pt>
                <c:pt idx="255">
                  <c:v>1766</c:v>
                </c:pt>
                <c:pt idx="256">
                  <c:v>1765</c:v>
                </c:pt>
                <c:pt idx="257">
                  <c:v>1764</c:v>
                </c:pt>
                <c:pt idx="258">
                  <c:v>1763</c:v>
                </c:pt>
                <c:pt idx="259">
                  <c:v>1762</c:v>
                </c:pt>
                <c:pt idx="260">
                  <c:v>1761</c:v>
                </c:pt>
                <c:pt idx="261">
                  <c:v>1760</c:v>
                </c:pt>
                <c:pt idx="262">
                  <c:v>1759</c:v>
                </c:pt>
                <c:pt idx="263">
                  <c:v>1758</c:v>
                </c:pt>
                <c:pt idx="264">
                  <c:v>1757</c:v>
                </c:pt>
                <c:pt idx="265">
                  <c:v>1756</c:v>
                </c:pt>
                <c:pt idx="266">
                  <c:v>1755</c:v>
                </c:pt>
                <c:pt idx="267">
                  <c:v>1754</c:v>
                </c:pt>
                <c:pt idx="268">
                  <c:v>1753</c:v>
                </c:pt>
                <c:pt idx="269">
                  <c:v>1752</c:v>
                </c:pt>
                <c:pt idx="270">
                  <c:v>1751</c:v>
                </c:pt>
                <c:pt idx="271">
                  <c:v>1750</c:v>
                </c:pt>
              </c:numCache>
            </c:numRef>
          </c:cat>
          <c:val>
            <c:numRef>
              <c:f>'Sheet3 (2)'!$P$2:$P$273</c:f>
              <c:numCache>
                <c:formatCode>General</c:formatCode>
                <c:ptCount val="272"/>
                <c:pt idx="0">
                  <c:v>5007336000</c:v>
                </c:pt>
                <c:pt idx="1">
                  <c:v>4715691000</c:v>
                </c:pt>
                <c:pt idx="2">
                  <c:v>5259144000</c:v>
                </c:pt>
                <c:pt idx="3">
                  <c:v>5376657400</c:v>
                </c:pt>
                <c:pt idx="4">
                  <c:v>5210957300</c:v>
                </c:pt>
                <c:pt idx="5">
                  <c:v>5251757600</c:v>
                </c:pt>
                <c:pt idx="6">
                  <c:v>5376578000</c:v>
                </c:pt>
                <c:pt idx="7">
                  <c:v>5528871000</c:v>
                </c:pt>
                <c:pt idx="8">
                  <c:v>5480926000</c:v>
                </c:pt>
                <c:pt idx="9">
                  <c:v>5345454000</c:v>
                </c:pt>
                <c:pt idx="10">
                  <c:v>5546629000</c:v>
                </c:pt>
                <c:pt idx="11">
                  <c:v>5681392000</c:v>
                </c:pt>
                <c:pt idx="12">
                  <c:v>5482978000</c:v>
                </c:pt>
                <c:pt idx="13">
                  <c:v>5918868500</c:v>
                </c:pt>
                <c:pt idx="14">
                  <c:v>6135287300</c:v>
                </c:pt>
                <c:pt idx="15">
                  <c:v>6057163300</c:v>
                </c:pt>
                <c:pt idx="16">
                  <c:v>6137603600</c:v>
                </c:pt>
                <c:pt idx="17">
                  <c:v>6117963000</c:v>
                </c:pt>
                <c:pt idx="18">
                  <c:v>6015804400</c:v>
                </c:pt>
                <c:pt idx="19">
                  <c:v>5952699000</c:v>
                </c:pt>
                <c:pt idx="20">
                  <c:v>5911988000</c:v>
                </c:pt>
                <c:pt idx="21">
                  <c:v>6016350700</c:v>
                </c:pt>
                <c:pt idx="22">
                  <c:v>5810331600</c:v>
                </c:pt>
                <c:pt idx="23">
                  <c:v>5737129500</c:v>
                </c:pt>
                <c:pt idx="24">
                  <c:v>5691864600</c:v>
                </c:pt>
                <c:pt idx="25">
                  <c:v>5616430600</c:v>
                </c:pt>
                <c:pt idx="26">
                  <c:v>5427798500</c:v>
                </c:pt>
                <c:pt idx="27">
                  <c:v>5365579000</c:v>
                </c:pt>
                <c:pt idx="28">
                  <c:v>5274363000</c:v>
                </c:pt>
                <c:pt idx="29">
                  <c:v>5175220000</c:v>
                </c:pt>
                <c:pt idx="30">
                  <c:v>5064987000</c:v>
                </c:pt>
                <c:pt idx="31">
                  <c:v>5122496000</c:v>
                </c:pt>
                <c:pt idx="32">
                  <c:v>5132134400</c:v>
                </c:pt>
                <c:pt idx="33">
                  <c:v>5050475500</c:v>
                </c:pt>
                <c:pt idx="34">
                  <c:v>4825650700</c:v>
                </c:pt>
                <c:pt idx="35">
                  <c:v>4663369700</c:v>
                </c:pt>
                <c:pt idx="36">
                  <c:v>4652580000</c:v>
                </c:pt>
                <c:pt idx="37">
                  <c:v>4662141400</c:v>
                </c:pt>
                <c:pt idx="38">
                  <c:v>4429374000</c:v>
                </c:pt>
                <c:pt idx="39">
                  <c:v>4447256000</c:v>
                </c:pt>
                <c:pt idx="40">
                  <c:v>4686369300</c:v>
                </c:pt>
                <c:pt idx="41">
                  <c:v>4808520700</c:v>
                </c:pt>
                <c:pt idx="42">
                  <c:v>5008578600</c:v>
                </c:pt>
                <c:pt idx="43">
                  <c:v>4941361700</c:v>
                </c:pt>
                <c:pt idx="44">
                  <c:v>4889607000</c:v>
                </c:pt>
                <c:pt idx="45">
                  <c:v>4747762000</c:v>
                </c:pt>
                <c:pt idx="46">
                  <c:v>4478226000</c:v>
                </c:pt>
                <c:pt idx="47">
                  <c:v>4621046000</c:v>
                </c:pt>
                <c:pt idx="48">
                  <c:v>4785048600</c:v>
                </c:pt>
                <c:pt idx="49">
                  <c:v>4573015000</c:v>
                </c:pt>
                <c:pt idx="50">
                  <c:v>4365465000</c:v>
                </c:pt>
                <c:pt idx="51">
                  <c:v>4339686000</c:v>
                </c:pt>
                <c:pt idx="52">
                  <c:v>4035145200</c:v>
                </c:pt>
                <c:pt idx="53">
                  <c:v>3840919600</c:v>
                </c:pt>
                <c:pt idx="54">
                  <c:v>3705461000</c:v>
                </c:pt>
                <c:pt idx="55">
                  <c:v>3571421400</c:v>
                </c:pt>
                <c:pt idx="56">
                  <c:v>3399547000</c:v>
                </c:pt>
                <c:pt idx="57">
                  <c:v>3264313600</c:v>
                </c:pt>
                <c:pt idx="58">
                  <c:v>3126487600</c:v>
                </c:pt>
                <c:pt idx="59">
                  <c:v>2993902000</c:v>
                </c:pt>
                <c:pt idx="60">
                  <c:v>2886872800</c:v>
                </c:pt>
                <c:pt idx="61">
                  <c:v>2897315000</c:v>
                </c:pt>
                <c:pt idx="62">
                  <c:v>2831923200</c:v>
                </c:pt>
                <c:pt idx="63">
                  <c:v>2747107600</c:v>
                </c:pt>
                <c:pt idx="64">
                  <c:v>2835772200</c:v>
                </c:pt>
                <c:pt idx="65">
                  <c:v>2859995000</c:v>
                </c:pt>
                <c:pt idx="66">
                  <c:v>2728512000</c:v>
                </c:pt>
                <c:pt idx="67">
                  <c:v>2489462300</c:v>
                </c:pt>
                <c:pt idx="68">
                  <c:v>2612971300</c:v>
                </c:pt>
                <c:pt idx="69">
                  <c:v>2551219500</c:v>
                </c:pt>
                <c:pt idx="70">
                  <c:v>2618711600</c:v>
                </c:pt>
                <c:pt idx="71">
                  <c:v>2541485300</c:v>
                </c:pt>
                <c:pt idx="72">
                  <c:v>2164862200</c:v>
                </c:pt>
                <c:pt idx="73">
                  <c:v>2582558700</c:v>
                </c:pt>
                <c:pt idx="74">
                  <c:v>2485854500</c:v>
                </c:pt>
                <c:pt idx="75">
                  <c:v>2257493800</c:v>
                </c:pt>
                <c:pt idx="76">
                  <c:v>2359551500</c:v>
                </c:pt>
                <c:pt idx="77">
                  <c:v>2444903700</c:v>
                </c:pt>
                <c:pt idx="78">
                  <c:v>2272059100</c:v>
                </c:pt>
                <c:pt idx="79">
                  <c:v>2198264800</c:v>
                </c:pt>
                <c:pt idx="80">
                  <c:v>2043585000</c:v>
                </c:pt>
                <c:pt idx="81">
                  <c:v>1874985100</c:v>
                </c:pt>
                <c:pt idx="82">
                  <c:v>1670920400</c:v>
                </c:pt>
                <c:pt idx="83">
                  <c:v>1515749900</c:v>
                </c:pt>
                <c:pt idx="84">
                  <c:v>1792609900</c:v>
                </c:pt>
                <c:pt idx="85">
                  <c:v>1713411700</c:v>
                </c:pt>
                <c:pt idx="86">
                  <c:v>1492320900</c:v>
                </c:pt>
                <c:pt idx="87">
                  <c:v>1436238600</c:v>
                </c:pt>
                <c:pt idx="88">
                  <c:v>1348876800</c:v>
                </c:pt>
                <c:pt idx="89">
                  <c:v>1257814100</c:v>
                </c:pt>
                <c:pt idx="90">
                  <c:v>1484959100</c:v>
                </c:pt>
                <c:pt idx="91">
                  <c:v>1744916200</c:v>
                </c:pt>
                <c:pt idx="92">
                  <c:v>1963506200</c:v>
                </c:pt>
                <c:pt idx="93">
                  <c:v>1830965000</c:v>
                </c:pt>
                <c:pt idx="94">
                  <c:v>1862839200</c:v>
                </c:pt>
                <c:pt idx="95">
                  <c:v>1906048500</c:v>
                </c:pt>
                <c:pt idx="96">
                  <c:v>1758185500</c:v>
                </c:pt>
                <c:pt idx="97">
                  <c:v>1698320300</c:v>
                </c:pt>
                <c:pt idx="98">
                  <c:v>1896735900</c:v>
                </c:pt>
                <c:pt idx="99">
                  <c:v>1435758300</c:v>
                </c:pt>
                <c:pt idx="100">
                  <c:v>1423668600</c:v>
                </c:pt>
                <c:pt idx="101">
                  <c:v>1738245800</c:v>
                </c:pt>
                <c:pt idx="102">
                  <c:v>1479158800</c:v>
                </c:pt>
                <c:pt idx="103">
                  <c:v>1747718100</c:v>
                </c:pt>
                <c:pt idx="104">
                  <c:v>1670970600</c:v>
                </c:pt>
                <c:pt idx="105">
                  <c:v>1518980700</c:v>
                </c:pt>
                <c:pt idx="106">
                  <c:v>1367697000</c:v>
                </c:pt>
                <c:pt idx="107">
                  <c:v>1317980300</c:v>
                </c:pt>
                <c:pt idx="108">
                  <c:v>1442542100</c:v>
                </c:pt>
                <c:pt idx="109">
                  <c:v>1343565600</c:v>
                </c:pt>
                <c:pt idx="110">
                  <c:v>1258666600</c:v>
                </c:pt>
                <c:pt idx="111">
                  <c:v>1271582100</c:v>
                </c:pt>
                <c:pt idx="112">
                  <c:v>1165706200</c:v>
                </c:pt>
                <c:pt idx="113">
                  <c:v>1052812860</c:v>
                </c:pt>
                <c:pt idx="114">
                  <c:v>1203861500</c:v>
                </c:pt>
                <c:pt idx="115">
                  <c:v>1035471170</c:v>
                </c:pt>
                <c:pt idx="116">
                  <c:v>986482400</c:v>
                </c:pt>
                <c:pt idx="117">
                  <c:v>882057540</c:v>
                </c:pt>
                <c:pt idx="118">
                  <c:v>894406900</c:v>
                </c:pt>
                <c:pt idx="119">
                  <c:v>764495740</c:v>
                </c:pt>
                <c:pt idx="120">
                  <c:v>721527550</c:v>
                </c:pt>
                <c:pt idx="121">
                  <c:v>662738400</c:v>
                </c:pt>
                <c:pt idx="122">
                  <c:v>625534000</c:v>
                </c:pt>
                <c:pt idx="123">
                  <c:v>545321500</c:v>
                </c:pt>
                <c:pt idx="124">
                  <c:v>500287140</c:v>
                </c:pt>
                <c:pt idx="125">
                  <c:v>480882460</c:v>
                </c:pt>
                <c:pt idx="126">
                  <c:v>479948100</c:v>
                </c:pt>
                <c:pt idx="127">
                  <c:v>425050370</c:v>
                </c:pt>
                <c:pt idx="128">
                  <c:v>454094850</c:v>
                </c:pt>
                <c:pt idx="129">
                  <c:v>450449200</c:v>
                </c:pt>
                <c:pt idx="130">
                  <c:v>427424580</c:v>
                </c:pt>
                <c:pt idx="131">
                  <c:v>401747300</c:v>
                </c:pt>
                <c:pt idx="132">
                  <c:v>335542400</c:v>
                </c:pt>
                <c:pt idx="133">
                  <c:v>373875100</c:v>
                </c:pt>
                <c:pt idx="134">
                  <c:v>307380830</c:v>
                </c:pt>
                <c:pt idx="135">
                  <c:v>287463170</c:v>
                </c:pt>
                <c:pt idx="136">
                  <c:v>272162270</c:v>
                </c:pt>
                <c:pt idx="137">
                  <c:v>267589570</c:v>
                </c:pt>
                <c:pt idx="138">
                  <c:v>253882580</c:v>
                </c:pt>
                <c:pt idx="139">
                  <c:v>235393950</c:v>
                </c:pt>
                <c:pt idx="140">
                  <c:v>210192900</c:v>
                </c:pt>
                <c:pt idx="141">
                  <c:v>198684240</c:v>
                </c:pt>
                <c:pt idx="142">
                  <c:v>175468960</c:v>
                </c:pt>
                <c:pt idx="143">
                  <c:v>143903600</c:v>
                </c:pt>
                <c:pt idx="144">
                  <c:v>147175550</c:v>
                </c:pt>
                <c:pt idx="145">
                  <c:v>132820010</c:v>
                </c:pt>
                <c:pt idx="146">
                  <c:v>135747540</c:v>
                </c:pt>
                <c:pt idx="147">
                  <c:v>134296590</c:v>
                </c:pt>
                <c:pt idx="148">
                  <c:v>139506800</c:v>
                </c:pt>
                <c:pt idx="149">
                  <c:v>126305410</c:v>
                </c:pt>
                <c:pt idx="150">
                  <c:v>103020690</c:v>
                </c:pt>
                <c:pt idx="151">
                  <c:v>98620220</c:v>
                </c:pt>
                <c:pt idx="152">
                  <c:v>93695810</c:v>
                </c:pt>
                <c:pt idx="153">
                  <c:v>82352060</c:v>
                </c:pt>
                <c:pt idx="154">
                  <c:v>72865970</c:v>
                </c:pt>
                <c:pt idx="155">
                  <c:v>59232224</c:v>
                </c:pt>
                <c:pt idx="156">
                  <c:v>58821856</c:v>
                </c:pt>
                <c:pt idx="157">
                  <c:v>58656976</c:v>
                </c:pt>
                <c:pt idx="158">
                  <c:v>54809776</c:v>
                </c:pt>
                <c:pt idx="159">
                  <c:v>47448800</c:v>
                </c:pt>
                <c:pt idx="160">
                  <c:v>45679090</c:v>
                </c:pt>
                <c:pt idx="161">
                  <c:v>47437810</c:v>
                </c:pt>
                <c:pt idx="162">
                  <c:v>45320016</c:v>
                </c:pt>
                <c:pt idx="163">
                  <c:v>41648690</c:v>
                </c:pt>
                <c:pt idx="164">
                  <c:v>41055120</c:v>
                </c:pt>
                <c:pt idx="165">
                  <c:v>40036530</c:v>
                </c:pt>
                <c:pt idx="166">
                  <c:v>38160560</c:v>
                </c:pt>
                <c:pt idx="167">
                  <c:v>33159198</c:v>
                </c:pt>
                <c:pt idx="168">
                  <c:v>30162048</c:v>
                </c:pt>
                <c:pt idx="169">
                  <c:v>26791168</c:v>
                </c:pt>
                <c:pt idx="170">
                  <c:v>24633072</c:v>
                </c:pt>
                <c:pt idx="171">
                  <c:v>19792928</c:v>
                </c:pt>
                <c:pt idx="172">
                  <c:v>18221072</c:v>
                </c:pt>
                <c:pt idx="173">
                  <c:v>16784784</c:v>
                </c:pt>
                <c:pt idx="174">
                  <c:v>15070032</c:v>
                </c:pt>
                <c:pt idx="175">
                  <c:v>12710416</c:v>
                </c:pt>
                <c:pt idx="176">
                  <c:v>11204512</c:v>
                </c:pt>
                <c:pt idx="177">
                  <c:v>9306560</c:v>
                </c:pt>
                <c:pt idx="178">
                  <c:v>7764016</c:v>
                </c:pt>
                <c:pt idx="179">
                  <c:v>6917632</c:v>
                </c:pt>
                <c:pt idx="180">
                  <c:v>6214144</c:v>
                </c:pt>
                <c:pt idx="181">
                  <c:v>5873392</c:v>
                </c:pt>
                <c:pt idx="182">
                  <c:v>5517984</c:v>
                </c:pt>
                <c:pt idx="183">
                  <c:v>5030672</c:v>
                </c:pt>
                <c:pt idx="184">
                  <c:v>5305472</c:v>
                </c:pt>
                <c:pt idx="185">
                  <c:v>4730224</c:v>
                </c:pt>
                <c:pt idx="186">
                  <c:v>4316192</c:v>
                </c:pt>
                <c:pt idx="187">
                  <c:v>3381872</c:v>
                </c:pt>
                <c:pt idx="188">
                  <c:v>3528432</c:v>
                </c:pt>
                <c:pt idx="189">
                  <c:v>3022800</c:v>
                </c:pt>
                <c:pt idx="190">
                  <c:v>2264352</c:v>
                </c:pt>
                <c:pt idx="191">
                  <c:v>2088480</c:v>
                </c:pt>
                <c:pt idx="192">
                  <c:v>1795360</c:v>
                </c:pt>
                <c:pt idx="193">
                  <c:v>1593840</c:v>
                </c:pt>
                <c:pt idx="194">
                  <c:v>1447280</c:v>
                </c:pt>
                <c:pt idx="195">
                  <c:v>1315376</c:v>
                </c:pt>
                <c:pt idx="196">
                  <c:v>1135840</c:v>
                </c:pt>
                <c:pt idx="197">
                  <c:v>1014928</c:v>
                </c:pt>
                <c:pt idx="198">
                  <c:v>901344</c:v>
                </c:pt>
                <c:pt idx="199">
                  <c:v>864704</c:v>
                </c:pt>
                <c:pt idx="200">
                  <c:v>828064</c:v>
                </c:pt>
                <c:pt idx="201">
                  <c:v>791424</c:v>
                </c:pt>
                <c:pt idx="202">
                  <c:v>762112</c:v>
                </c:pt>
                <c:pt idx="203">
                  <c:v>780432</c:v>
                </c:pt>
                <c:pt idx="204">
                  <c:v>718144</c:v>
                </c:pt>
                <c:pt idx="205">
                  <c:v>663184</c:v>
                </c:pt>
                <c:pt idx="206">
                  <c:v>600896</c:v>
                </c:pt>
                <c:pt idx="207">
                  <c:v>560592</c:v>
                </c:pt>
                <c:pt idx="208">
                  <c:v>520288</c:v>
                </c:pt>
                <c:pt idx="209">
                  <c:v>483648</c:v>
                </c:pt>
                <c:pt idx="210">
                  <c:v>447008</c:v>
                </c:pt>
                <c:pt idx="211">
                  <c:v>417696</c:v>
                </c:pt>
                <c:pt idx="212">
                  <c:v>403040</c:v>
                </c:pt>
                <c:pt idx="213">
                  <c:v>392048</c:v>
                </c:pt>
                <c:pt idx="214">
                  <c:v>377392</c:v>
                </c:pt>
                <c:pt idx="215">
                  <c:v>333424</c:v>
                </c:pt>
                <c:pt idx="216">
                  <c:v>340752</c:v>
                </c:pt>
                <c:pt idx="217">
                  <c:v>333424</c:v>
                </c:pt>
                <c:pt idx="218">
                  <c:v>296784</c:v>
                </c:pt>
                <c:pt idx="219">
                  <c:v>289456</c:v>
                </c:pt>
                <c:pt idx="220">
                  <c:v>267472</c:v>
                </c:pt>
                <c:pt idx="221">
                  <c:v>252815.98</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numCache>
            </c:numRef>
          </c:val>
          <c:extLst>
            <c:ext xmlns:c16="http://schemas.microsoft.com/office/drawing/2014/chart" uri="{C3380CC4-5D6E-409C-BE32-E72D297353CC}">
              <c16:uniqueId val="{00000006-8F39-4254-9BC0-093CA2A7CE92}"/>
            </c:ext>
          </c:extLst>
        </c:ser>
        <c:ser>
          <c:idx val="7"/>
          <c:order val="7"/>
          <c:tx>
            <c:strRef>
              <c:f>'Sheet3 (2)'!$AC$2</c:f>
              <c:strCache>
                <c:ptCount val="1"/>
                <c:pt idx="0">
                  <c:v>Asia (excl. China and India)</c:v>
                </c:pt>
              </c:strCache>
            </c:strRef>
          </c:tx>
          <c:spPr>
            <a:solidFill>
              <a:schemeClr val="accent2">
                <a:lumMod val="60000"/>
              </a:schemeClr>
            </a:solidFill>
            <a:ln w="25400">
              <a:noFill/>
            </a:ln>
            <a:effectLst/>
          </c:spPr>
          <c:cat>
            <c:numRef>
              <c:f>'Sheet3 (2)'!$AI$2:$AI$273</c:f>
              <c:numCache>
                <c:formatCode>General</c:formatCode>
                <c:ptCount val="272"/>
                <c:pt idx="0">
                  <c:v>2021</c:v>
                </c:pt>
                <c:pt idx="1">
                  <c:v>2020</c:v>
                </c:pt>
                <c:pt idx="2">
                  <c:v>2019</c:v>
                </c:pt>
                <c:pt idx="3">
                  <c:v>2018</c:v>
                </c:pt>
                <c:pt idx="4">
                  <c:v>2017</c:v>
                </c:pt>
                <c:pt idx="5">
                  <c:v>2016</c:v>
                </c:pt>
                <c:pt idx="6">
                  <c:v>2015</c:v>
                </c:pt>
                <c:pt idx="7">
                  <c:v>2014</c:v>
                </c:pt>
                <c:pt idx="8">
                  <c:v>2013</c:v>
                </c:pt>
                <c:pt idx="9">
                  <c:v>2012</c:v>
                </c:pt>
                <c:pt idx="10">
                  <c:v>2011</c:v>
                </c:pt>
                <c:pt idx="11">
                  <c:v>2010</c:v>
                </c:pt>
                <c:pt idx="12">
                  <c:v>2009</c:v>
                </c:pt>
                <c:pt idx="13">
                  <c:v>2008</c:v>
                </c:pt>
                <c:pt idx="14">
                  <c:v>2007</c:v>
                </c:pt>
                <c:pt idx="15">
                  <c:v>2006</c:v>
                </c:pt>
                <c:pt idx="16">
                  <c:v>2005</c:v>
                </c:pt>
                <c:pt idx="17">
                  <c:v>2004</c:v>
                </c:pt>
                <c:pt idx="18">
                  <c:v>2003</c:v>
                </c:pt>
                <c:pt idx="19">
                  <c:v>2002</c:v>
                </c:pt>
                <c:pt idx="20">
                  <c:v>2001</c:v>
                </c:pt>
                <c:pt idx="21">
                  <c:v>2000</c:v>
                </c:pt>
                <c:pt idx="22">
                  <c:v>1999</c:v>
                </c:pt>
                <c:pt idx="23">
                  <c:v>1998</c:v>
                </c:pt>
                <c:pt idx="24">
                  <c:v>1997</c:v>
                </c:pt>
                <c:pt idx="25">
                  <c:v>1996</c:v>
                </c:pt>
                <c:pt idx="26">
                  <c:v>1995</c:v>
                </c:pt>
                <c:pt idx="27">
                  <c:v>1994</c:v>
                </c:pt>
                <c:pt idx="28">
                  <c:v>1993</c:v>
                </c:pt>
                <c:pt idx="29">
                  <c:v>1992</c:v>
                </c:pt>
                <c:pt idx="30">
                  <c:v>1991</c:v>
                </c:pt>
                <c:pt idx="31">
                  <c:v>1990</c:v>
                </c:pt>
                <c:pt idx="32">
                  <c:v>1989</c:v>
                </c:pt>
                <c:pt idx="33">
                  <c:v>1988</c:v>
                </c:pt>
                <c:pt idx="34">
                  <c:v>1987</c:v>
                </c:pt>
                <c:pt idx="35">
                  <c:v>1986</c:v>
                </c:pt>
                <c:pt idx="36">
                  <c:v>1985</c:v>
                </c:pt>
                <c:pt idx="37">
                  <c:v>1984</c:v>
                </c:pt>
                <c:pt idx="38">
                  <c:v>1983</c:v>
                </c:pt>
                <c:pt idx="39">
                  <c:v>1982</c:v>
                </c:pt>
                <c:pt idx="40">
                  <c:v>1981</c:v>
                </c:pt>
                <c:pt idx="41">
                  <c:v>1980</c:v>
                </c:pt>
                <c:pt idx="42">
                  <c:v>1979</c:v>
                </c:pt>
                <c:pt idx="43">
                  <c:v>1978</c:v>
                </c:pt>
                <c:pt idx="44">
                  <c:v>1977</c:v>
                </c:pt>
                <c:pt idx="45">
                  <c:v>1976</c:v>
                </c:pt>
                <c:pt idx="46">
                  <c:v>1975</c:v>
                </c:pt>
                <c:pt idx="47">
                  <c:v>1974</c:v>
                </c:pt>
                <c:pt idx="48">
                  <c:v>1973</c:v>
                </c:pt>
                <c:pt idx="49">
                  <c:v>1972</c:v>
                </c:pt>
                <c:pt idx="50">
                  <c:v>1971</c:v>
                </c:pt>
                <c:pt idx="51">
                  <c:v>1970</c:v>
                </c:pt>
                <c:pt idx="52">
                  <c:v>1969</c:v>
                </c:pt>
                <c:pt idx="53">
                  <c:v>1968</c:v>
                </c:pt>
                <c:pt idx="54">
                  <c:v>1967</c:v>
                </c:pt>
                <c:pt idx="55">
                  <c:v>1966</c:v>
                </c:pt>
                <c:pt idx="56">
                  <c:v>1965</c:v>
                </c:pt>
                <c:pt idx="57">
                  <c:v>1964</c:v>
                </c:pt>
                <c:pt idx="58">
                  <c:v>1963</c:v>
                </c:pt>
                <c:pt idx="59">
                  <c:v>1962</c:v>
                </c:pt>
                <c:pt idx="60">
                  <c:v>1961</c:v>
                </c:pt>
                <c:pt idx="61">
                  <c:v>1960</c:v>
                </c:pt>
                <c:pt idx="62">
                  <c:v>1959</c:v>
                </c:pt>
                <c:pt idx="63">
                  <c:v>1958</c:v>
                </c:pt>
                <c:pt idx="64">
                  <c:v>1957</c:v>
                </c:pt>
                <c:pt idx="65">
                  <c:v>1956</c:v>
                </c:pt>
                <c:pt idx="66">
                  <c:v>1955</c:v>
                </c:pt>
                <c:pt idx="67">
                  <c:v>1954</c:v>
                </c:pt>
                <c:pt idx="68">
                  <c:v>1953</c:v>
                </c:pt>
                <c:pt idx="69">
                  <c:v>1952</c:v>
                </c:pt>
                <c:pt idx="70">
                  <c:v>1951</c:v>
                </c:pt>
                <c:pt idx="71">
                  <c:v>1950</c:v>
                </c:pt>
                <c:pt idx="72">
                  <c:v>1949</c:v>
                </c:pt>
                <c:pt idx="73">
                  <c:v>1948</c:v>
                </c:pt>
                <c:pt idx="74">
                  <c:v>1947</c:v>
                </c:pt>
                <c:pt idx="75">
                  <c:v>1946</c:v>
                </c:pt>
                <c:pt idx="76">
                  <c:v>1945</c:v>
                </c:pt>
                <c:pt idx="77">
                  <c:v>1944</c:v>
                </c:pt>
                <c:pt idx="78">
                  <c:v>1943</c:v>
                </c:pt>
                <c:pt idx="79">
                  <c:v>1942</c:v>
                </c:pt>
                <c:pt idx="80">
                  <c:v>1941</c:v>
                </c:pt>
                <c:pt idx="81">
                  <c:v>1940</c:v>
                </c:pt>
                <c:pt idx="82">
                  <c:v>1939</c:v>
                </c:pt>
                <c:pt idx="83">
                  <c:v>1938</c:v>
                </c:pt>
                <c:pt idx="84">
                  <c:v>1937</c:v>
                </c:pt>
                <c:pt idx="85">
                  <c:v>1936</c:v>
                </c:pt>
                <c:pt idx="86">
                  <c:v>1935</c:v>
                </c:pt>
                <c:pt idx="87">
                  <c:v>1934</c:v>
                </c:pt>
                <c:pt idx="88">
                  <c:v>1933</c:v>
                </c:pt>
                <c:pt idx="89">
                  <c:v>1932</c:v>
                </c:pt>
                <c:pt idx="90">
                  <c:v>1931</c:v>
                </c:pt>
                <c:pt idx="91">
                  <c:v>1930</c:v>
                </c:pt>
                <c:pt idx="92">
                  <c:v>1929</c:v>
                </c:pt>
                <c:pt idx="93">
                  <c:v>1928</c:v>
                </c:pt>
                <c:pt idx="94">
                  <c:v>1927</c:v>
                </c:pt>
                <c:pt idx="95">
                  <c:v>1926</c:v>
                </c:pt>
                <c:pt idx="96">
                  <c:v>1925</c:v>
                </c:pt>
                <c:pt idx="97">
                  <c:v>1924</c:v>
                </c:pt>
                <c:pt idx="98">
                  <c:v>1923</c:v>
                </c:pt>
                <c:pt idx="99">
                  <c:v>1922</c:v>
                </c:pt>
                <c:pt idx="100">
                  <c:v>1921</c:v>
                </c:pt>
                <c:pt idx="101">
                  <c:v>1920</c:v>
                </c:pt>
                <c:pt idx="102">
                  <c:v>1919</c:v>
                </c:pt>
                <c:pt idx="103">
                  <c:v>1918</c:v>
                </c:pt>
                <c:pt idx="104">
                  <c:v>1917</c:v>
                </c:pt>
                <c:pt idx="105">
                  <c:v>1916</c:v>
                </c:pt>
                <c:pt idx="106">
                  <c:v>1915</c:v>
                </c:pt>
                <c:pt idx="107">
                  <c:v>1914</c:v>
                </c:pt>
                <c:pt idx="108">
                  <c:v>1913</c:v>
                </c:pt>
                <c:pt idx="109">
                  <c:v>1912</c:v>
                </c:pt>
                <c:pt idx="110">
                  <c:v>1911</c:v>
                </c:pt>
                <c:pt idx="111">
                  <c:v>1910</c:v>
                </c:pt>
                <c:pt idx="112">
                  <c:v>1909</c:v>
                </c:pt>
                <c:pt idx="113">
                  <c:v>1908</c:v>
                </c:pt>
                <c:pt idx="114">
                  <c:v>1907</c:v>
                </c:pt>
                <c:pt idx="115">
                  <c:v>1906</c:v>
                </c:pt>
                <c:pt idx="116">
                  <c:v>1905</c:v>
                </c:pt>
                <c:pt idx="117">
                  <c:v>1904</c:v>
                </c:pt>
                <c:pt idx="118">
                  <c:v>1903</c:v>
                </c:pt>
                <c:pt idx="119">
                  <c:v>1902</c:v>
                </c:pt>
                <c:pt idx="120">
                  <c:v>1901</c:v>
                </c:pt>
                <c:pt idx="121">
                  <c:v>1900</c:v>
                </c:pt>
                <c:pt idx="122">
                  <c:v>1899</c:v>
                </c:pt>
                <c:pt idx="123">
                  <c:v>1898</c:v>
                </c:pt>
                <c:pt idx="124">
                  <c:v>1897</c:v>
                </c:pt>
                <c:pt idx="125">
                  <c:v>1896</c:v>
                </c:pt>
                <c:pt idx="126">
                  <c:v>1895</c:v>
                </c:pt>
                <c:pt idx="127">
                  <c:v>1894</c:v>
                </c:pt>
                <c:pt idx="128">
                  <c:v>1893</c:v>
                </c:pt>
                <c:pt idx="129">
                  <c:v>1892</c:v>
                </c:pt>
                <c:pt idx="130">
                  <c:v>1891</c:v>
                </c:pt>
                <c:pt idx="131">
                  <c:v>1890</c:v>
                </c:pt>
                <c:pt idx="132">
                  <c:v>1889</c:v>
                </c:pt>
                <c:pt idx="133">
                  <c:v>1888</c:v>
                </c:pt>
                <c:pt idx="134">
                  <c:v>1887</c:v>
                </c:pt>
                <c:pt idx="135">
                  <c:v>1886</c:v>
                </c:pt>
                <c:pt idx="136">
                  <c:v>1885</c:v>
                </c:pt>
                <c:pt idx="137">
                  <c:v>1884</c:v>
                </c:pt>
                <c:pt idx="138">
                  <c:v>1883</c:v>
                </c:pt>
                <c:pt idx="139">
                  <c:v>1882</c:v>
                </c:pt>
                <c:pt idx="140">
                  <c:v>1881</c:v>
                </c:pt>
                <c:pt idx="141">
                  <c:v>1880</c:v>
                </c:pt>
                <c:pt idx="142">
                  <c:v>1879</c:v>
                </c:pt>
                <c:pt idx="143">
                  <c:v>1878</c:v>
                </c:pt>
                <c:pt idx="144">
                  <c:v>1877</c:v>
                </c:pt>
                <c:pt idx="145">
                  <c:v>1876</c:v>
                </c:pt>
                <c:pt idx="146">
                  <c:v>1875</c:v>
                </c:pt>
                <c:pt idx="147">
                  <c:v>1874</c:v>
                </c:pt>
                <c:pt idx="148">
                  <c:v>1873</c:v>
                </c:pt>
                <c:pt idx="149">
                  <c:v>1872</c:v>
                </c:pt>
                <c:pt idx="150">
                  <c:v>1871</c:v>
                </c:pt>
                <c:pt idx="151">
                  <c:v>1870</c:v>
                </c:pt>
                <c:pt idx="152">
                  <c:v>1869</c:v>
                </c:pt>
                <c:pt idx="153">
                  <c:v>1868</c:v>
                </c:pt>
                <c:pt idx="154">
                  <c:v>1867</c:v>
                </c:pt>
                <c:pt idx="155">
                  <c:v>1866</c:v>
                </c:pt>
                <c:pt idx="156">
                  <c:v>1865</c:v>
                </c:pt>
                <c:pt idx="157">
                  <c:v>1864</c:v>
                </c:pt>
                <c:pt idx="158">
                  <c:v>1863</c:v>
                </c:pt>
                <c:pt idx="159">
                  <c:v>1862</c:v>
                </c:pt>
                <c:pt idx="160">
                  <c:v>1861</c:v>
                </c:pt>
                <c:pt idx="161">
                  <c:v>1860</c:v>
                </c:pt>
                <c:pt idx="162">
                  <c:v>1859</c:v>
                </c:pt>
                <c:pt idx="163">
                  <c:v>1858</c:v>
                </c:pt>
                <c:pt idx="164">
                  <c:v>1857</c:v>
                </c:pt>
                <c:pt idx="165">
                  <c:v>1856</c:v>
                </c:pt>
                <c:pt idx="166">
                  <c:v>1855</c:v>
                </c:pt>
                <c:pt idx="167">
                  <c:v>1854</c:v>
                </c:pt>
                <c:pt idx="168">
                  <c:v>1853</c:v>
                </c:pt>
                <c:pt idx="169">
                  <c:v>1852</c:v>
                </c:pt>
                <c:pt idx="170">
                  <c:v>1851</c:v>
                </c:pt>
                <c:pt idx="171">
                  <c:v>1850</c:v>
                </c:pt>
                <c:pt idx="172">
                  <c:v>1849</c:v>
                </c:pt>
                <c:pt idx="173">
                  <c:v>1848</c:v>
                </c:pt>
                <c:pt idx="174">
                  <c:v>1847</c:v>
                </c:pt>
                <c:pt idx="175">
                  <c:v>1846</c:v>
                </c:pt>
                <c:pt idx="176">
                  <c:v>1845</c:v>
                </c:pt>
                <c:pt idx="177">
                  <c:v>1844</c:v>
                </c:pt>
                <c:pt idx="178">
                  <c:v>1843</c:v>
                </c:pt>
                <c:pt idx="179">
                  <c:v>1842</c:v>
                </c:pt>
                <c:pt idx="180">
                  <c:v>1841</c:v>
                </c:pt>
                <c:pt idx="181">
                  <c:v>1840</c:v>
                </c:pt>
                <c:pt idx="182">
                  <c:v>1839</c:v>
                </c:pt>
                <c:pt idx="183">
                  <c:v>1838</c:v>
                </c:pt>
                <c:pt idx="184">
                  <c:v>1837</c:v>
                </c:pt>
                <c:pt idx="185">
                  <c:v>1836</c:v>
                </c:pt>
                <c:pt idx="186">
                  <c:v>1835</c:v>
                </c:pt>
                <c:pt idx="187">
                  <c:v>1834</c:v>
                </c:pt>
                <c:pt idx="188">
                  <c:v>1833</c:v>
                </c:pt>
                <c:pt idx="189">
                  <c:v>1832</c:v>
                </c:pt>
                <c:pt idx="190">
                  <c:v>1831</c:v>
                </c:pt>
                <c:pt idx="191">
                  <c:v>1830</c:v>
                </c:pt>
                <c:pt idx="192">
                  <c:v>1829</c:v>
                </c:pt>
                <c:pt idx="193">
                  <c:v>1828</c:v>
                </c:pt>
                <c:pt idx="194">
                  <c:v>1827</c:v>
                </c:pt>
                <c:pt idx="195">
                  <c:v>1826</c:v>
                </c:pt>
                <c:pt idx="196">
                  <c:v>1825</c:v>
                </c:pt>
                <c:pt idx="197">
                  <c:v>1824</c:v>
                </c:pt>
                <c:pt idx="198">
                  <c:v>1823</c:v>
                </c:pt>
                <c:pt idx="199">
                  <c:v>1822</c:v>
                </c:pt>
                <c:pt idx="200">
                  <c:v>1821</c:v>
                </c:pt>
                <c:pt idx="201">
                  <c:v>1820</c:v>
                </c:pt>
                <c:pt idx="202">
                  <c:v>1819</c:v>
                </c:pt>
                <c:pt idx="203">
                  <c:v>1818</c:v>
                </c:pt>
                <c:pt idx="204">
                  <c:v>1817</c:v>
                </c:pt>
                <c:pt idx="205">
                  <c:v>1816</c:v>
                </c:pt>
                <c:pt idx="206">
                  <c:v>1815</c:v>
                </c:pt>
                <c:pt idx="207">
                  <c:v>1814</c:v>
                </c:pt>
                <c:pt idx="208">
                  <c:v>1813</c:v>
                </c:pt>
                <c:pt idx="209">
                  <c:v>1812</c:v>
                </c:pt>
                <c:pt idx="210">
                  <c:v>1811</c:v>
                </c:pt>
                <c:pt idx="211">
                  <c:v>1810</c:v>
                </c:pt>
                <c:pt idx="212">
                  <c:v>1809</c:v>
                </c:pt>
                <c:pt idx="213">
                  <c:v>1808</c:v>
                </c:pt>
                <c:pt idx="214">
                  <c:v>1807</c:v>
                </c:pt>
                <c:pt idx="215">
                  <c:v>1806</c:v>
                </c:pt>
                <c:pt idx="216">
                  <c:v>1805</c:v>
                </c:pt>
                <c:pt idx="217">
                  <c:v>1804</c:v>
                </c:pt>
                <c:pt idx="218">
                  <c:v>1803</c:v>
                </c:pt>
                <c:pt idx="219">
                  <c:v>1802</c:v>
                </c:pt>
                <c:pt idx="220">
                  <c:v>1801</c:v>
                </c:pt>
                <c:pt idx="221">
                  <c:v>1800</c:v>
                </c:pt>
                <c:pt idx="222">
                  <c:v>1799</c:v>
                </c:pt>
                <c:pt idx="223">
                  <c:v>1798</c:v>
                </c:pt>
                <c:pt idx="224">
                  <c:v>1797</c:v>
                </c:pt>
                <c:pt idx="225">
                  <c:v>1796</c:v>
                </c:pt>
                <c:pt idx="226">
                  <c:v>1795</c:v>
                </c:pt>
                <c:pt idx="227">
                  <c:v>1794</c:v>
                </c:pt>
                <c:pt idx="228">
                  <c:v>1793</c:v>
                </c:pt>
                <c:pt idx="229">
                  <c:v>1792</c:v>
                </c:pt>
                <c:pt idx="230">
                  <c:v>1791</c:v>
                </c:pt>
                <c:pt idx="231">
                  <c:v>1790</c:v>
                </c:pt>
                <c:pt idx="232">
                  <c:v>1789</c:v>
                </c:pt>
                <c:pt idx="233">
                  <c:v>1788</c:v>
                </c:pt>
                <c:pt idx="234">
                  <c:v>1787</c:v>
                </c:pt>
                <c:pt idx="235">
                  <c:v>1786</c:v>
                </c:pt>
                <c:pt idx="236">
                  <c:v>1785</c:v>
                </c:pt>
                <c:pt idx="237">
                  <c:v>1784</c:v>
                </c:pt>
                <c:pt idx="238">
                  <c:v>1783</c:v>
                </c:pt>
                <c:pt idx="239">
                  <c:v>1782</c:v>
                </c:pt>
                <c:pt idx="240">
                  <c:v>1781</c:v>
                </c:pt>
                <c:pt idx="241">
                  <c:v>1780</c:v>
                </c:pt>
                <c:pt idx="242">
                  <c:v>1779</c:v>
                </c:pt>
                <c:pt idx="243">
                  <c:v>1778</c:v>
                </c:pt>
                <c:pt idx="244">
                  <c:v>1777</c:v>
                </c:pt>
                <c:pt idx="245">
                  <c:v>1776</c:v>
                </c:pt>
                <c:pt idx="246">
                  <c:v>1775</c:v>
                </c:pt>
                <c:pt idx="247">
                  <c:v>1774</c:v>
                </c:pt>
                <c:pt idx="248">
                  <c:v>1773</c:v>
                </c:pt>
                <c:pt idx="249">
                  <c:v>1772</c:v>
                </c:pt>
                <c:pt idx="250">
                  <c:v>1771</c:v>
                </c:pt>
                <c:pt idx="251">
                  <c:v>1770</c:v>
                </c:pt>
                <c:pt idx="252">
                  <c:v>1769</c:v>
                </c:pt>
                <c:pt idx="253">
                  <c:v>1768</c:v>
                </c:pt>
                <c:pt idx="254">
                  <c:v>1767</c:v>
                </c:pt>
                <c:pt idx="255">
                  <c:v>1766</c:v>
                </c:pt>
                <c:pt idx="256">
                  <c:v>1765</c:v>
                </c:pt>
                <c:pt idx="257">
                  <c:v>1764</c:v>
                </c:pt>
                <c:pt idx="258">
                  <c:v>1763</c:v>
                </c:pt>
                <c:pt idx="259">
                  <c:v>1762</c:v>
                </c:pt>
                <c:pt idx="260">
                  <c:v>1761</c:v>
                </c:pt>
                <c:pt idx="261">
                  <c:v>1760</c:v>
                </c:pt>
                <c:pt idx="262">
                  <c:v>1759</c:v>
                </c:pt>
                <c:pt idx="263">
                  <c:v>1758</c:v>
                </c:pt>
                <c:pt idx="264">
                  <c:v>1757</c:v>
                </c:pt>
                <c:pt idx="265">
                  <c:v>1756</c:v>
                </c:pt>
                <c:pt idx="266">
                  <c:v>1755</c:v>
                </c:pt>
                <c:pt idx="267">
                  <c:v>1754</c:v>
                </c:pt>
                <c:pt idx="268">
                  <c:v>1753</c:v>
                </c:pt>
                <c:pt idx="269">
                  <c:v>1752</c:v>
                </c:pt>
                <c:pt idx="270">
                  <c:v>1751</c:v>
                </c:pt>
                <c:pt idx="271">
                  <c:v>1750</c:v>
                </c:pt>
              </c:numCache>
            </c:numRef>
          </c:cat>
          <c:val>
            <c:numRef>
              <c:f>'Sheet3 (2)'!$AE$2:$AE$273</c:f>
              <c:numCache>
                <c:formatCode>General</c:formatCode>
                <c:ptCount val="272"/>
                <c:pt idx="0">
                  <c:v>2021</c:v>
                </c:pt>
                <c:pt idx="1">
                  <c:v>2020</c:v>
                </c:pt>
                <c:pt idx="2">
                  <c:v>2019</c:v>
                </c:pt>
                <c:pt idx="3">
                  <c:v>2018</c:v>
                </c:pt>
                <c:pt idx="4">
                  <c:v>2017</c:v>
                </c:pt>
                <c:pt idx="5">
                  <c:v>2016</c:v>
                </c:pt>
                <c:pt idx="6">
                  <c:v>2015</c:v>
                </c:pt>
                <c:pt idx="7">
                  <c:v>2014</c:v>
                </c:pt>
                <c:pt idx="8">
                  <c:v>2013</c:v>
                </c:pt>
                <c:pt idx="9">
                  <c:v>2012</c:v>
                </c:pt>
                <c:pt idx="10">
                  <c:v>2011</c:v>
                </c:pt>
                <c:pt idx="11">
                  <c:v>2010</c:v>
                </c:pt>
                <c:pt idx="12">
                  <c:v>2009</c:v>
                </c:pt>
                <c:pt idx="13">
                  <c:v>2008</c:v>
                </c:pt>
                <c:pt idx="14">
                  <c:v>2007</c:v>
                </c:pt>
                <c:pt idx="15">
                  <c:v>2006</c:v>
                </c:pt>
                <c:pt idx="16">
                  <c:v>2005</c:v>
                </c:pt>
                <c:pt idx="17">
                  <c:v>2004</c:v>
                </c:pt>
                <c:pt idx="18">
                  <c:v>2003</c:v>
                </c:pt>
                <c:pt idx="19">
                  <c:v>2002</c:v>
                </c:pt>
                <c:pt idx="20">
                  <c:v>2001</c:v>
                </c:pt>
                <c:pt idx="21">
                  <c:v>2000</c:v>
                </c:pt>
                <c:pt idx="22">
                  <c:v>1999</c:v>
                </c:pt>
                <c:pt idx="23">
                  <c:v>1998</c:v>
                </c:pt>
                <c:pt idx="24">
                  <c:v>1997</c:v>
                </c:pt>
                <c:pt idx="25">
                  <c:v>1996</c:v>
                </c:pt>
                <c:pt idx="26">
                  <c:v>1995</c:v>
                </c:pt>
                <c:pt idx="27">
                  <c:v>1994</c:v>
                </c:pt>
                <c:pt idx="28">
                  <c:v>1993</c:v>
                </c:pt>
                <c:pt idx="29">
                  <c:v>1992</c:v>
                </c:pt>
                <c:pt idx="30">
                  <c:v>1991</c:v>
                </c:pt>
                <c:pt idx="31">
                  <c:v>1990</c:v>
                </c:pt>
                <c:pt idx="32">
                  <c:v>1989</c:v>
                </c:pt>
                <c:pt idx="33">
                  <c:v>1988</c:v>
                </c:pt>
                <c:pt idx="34">
                  <c:v>1987</c:v>
                </c:pt>
                <c:pt idx="35">
                  <c:v>1986</c:v>
                </c:pt>
                <c:pt idx="36">
                  <c:v>1985</c:v>
                </c:pt>
                <c:pt idx="37">
                  <c:v>1984</c:v>
                </c:pt>
                <c:pt idx="38">
                  <c:v>1983</c:v>
                </c:pt>
                <c:pt idx="39">
                  <c:v>1982</c:v>
                </c:pt>
                <c:pt idx="40">
                  <c:v>1981</c:v>
                </c:pt>
                <c:pt idx="41">
                  <c:v>1980</c:v>
                </c:pt>
                <c:pt idx="42">
                  <c:v>1979</c:v>
                </c:pt>
                <c:pt idx="43">
                  <c:v>1978</c:v>
                </c:pt>
                <c:pt idx="44">
                  <c:v>1977</c:v>
                </c:pt>
                <c:pt idx="45">
                  <c:v>1976</c:v>
                </c:pt>
                <c:pt idx="46">
                  <c:v>1975</c:v>
                </c:pt>
                <c:pt idx="47">
                  <c:v>1974</c:v>
                </c:pt>
                <c:pt idx="48">
                  <c:v>1973</c:v>
                </c:pt>
                <c:pt idx="49">
                  <c:v>1972</c:v>
                </c:pt>
                <c:pt idx="50">
                  <c:v>1971</c:v>
                </c:pt>
                <c:pt idx="51">
                  <c:v>1970</c:v>
                </c:pt>
                <c:pt idx="52">
                  <c:v>1969</c:v>
                </c:pt>
                <c:pt idx="53">
                  <c:v>1968</c:v>
                </c:pt>
                <c:pt idx="54">
                  <c:v>1967</c:v>
                </c:pt>
                <c:pt idx="55">
                  <c:v>1966</c:v>
                </c:pt>
                <c:pt idx="56">
                  <c:v>1965</c:v>
                </c:pt>
                <c:pt idx="57">
                  <c:v>1964</c:v>
                </c:pt>
                <c:pt idx="58">
                  <c:v>1963</c:v>
                </c:pt>
                <c:pt idx="59">
                  <c:v>1962</c:v>
                </c:pt>
                <c:pt idx="60">
                  <c:v>1961</c:v>
                </c:pt>
                <c:pt idx="61">
                  <c:v>1960</c:v>
                </c:pt>
                <c:pt idx="62">
                  <c:v>1959</c:v>
                </c:pt>
                <c:pt idx="63">
                  <c:v>1958</c:v>
                </c:pt>
                <c:pt idx="64">
                  <c:v>1957</c:v>
                </c:pt>
                <c:pt idx="65">
                  <c:v>1956</c:v>
                </c:pt>
                <c:pt idx="66">
                  <c:v>1955</c:v>
                </c:pt>
                <c:pt idx="67">
                  <c:v>1954</c:v>
                </c:pt>
                <c:pt idx="68">
                  <c:v>1953</c:v>
                </c:pt>
                <c:pt idx="69">
                  <c:v>1952</c:v>
                </c:pt>
                <c:pt idx="70">
                  <c:v>1951</c:v>
                </c:pt>
                <c:pt idx="71">
                  <c:v>1950</c:v>
                </c:pt>
                <c:pt idx="72">
                  <c:v>1949</c:v>
                </c:pt>
                <c:pt idx="73">
                  <c:v>1948</c:v>
                </c:pt>
                <c:pt idx="74">
                  <c:v>1947</c:v>
                </c:pt>
                <c:pt idx="75">
                  <c:v>1946</c:v>
                </c:pt>
                <c:pt idx="76">
                  <c:v>1945</c:v>
                </c:pt>
                <c:pt idx="77">
                  <c:v>1944</c:v>
                </c:pt>
                <c:pt idx="78">
                  <c:v>1943</c:v>
                </c:pt>
                <c:pt idx="79">
                  <c:v>1942</c:v>
                </c:pt>
                <c:pt idx="80">
                  <c:v>1941</c:v>
                </c:pt>
                <c:pt idx="81">
                  <c:v>1940</c:v>
                </c:pt>
                <c:pt idx="82">
                  <c:v>1939</c:v>
                </c:pt>
                <c:pt idx="83">
                  <c:v>1938</c:v>
                </c:pt>
                <c:pt idx="84">
                  <c:v>1937</c:v>
                </c:pt>
                <c:pt idx="85">
                  <c:v>1936</c:v>
                </c:pt>
                <c:pt idx="86">
                  <c:v>1935</c:v>
                </c:pt>
                <c:pt idx="87">
                  <c:v>1934</c:v>
                </c:pt>
                <c:pt idx="88">
                  <c:v>1933</c:v>
                </c:pt>
                <c:pt idx="89">
                  <c:v>1932</c:v>
                </c:pt>
                <c:pt idx="90">
                  <c:v>1931</c:v>
                </c:pt>
                <c:pt idx="91">
                  <c:v>1930</c:v>
                </c:pt>
                <c:pt idx="92">
                  <c:v>1929</c:v>
                </c:pt>
                <c:pt idx="93">
                  <c:v>1928</c:v>
                </c:pt>
                <c:pt idx="94">
                  <c:v>1927</c:v>
                </c:pt>
                <c:pt idx="95">
                  <c:v>1926</c:v>
                </c:pt>
                <c:pt idx="96">
                  <c:v>1925</c:v>
                </c:pt>
                <c:pt idx="97">
                  <c:v>1924</c:v>
                </c:pt>
                <c:pt idx="98">
                  <c:v>1923</c:v>
                </c:pt>
                <c:pt idx="99">
                  <c:v>1922</c:v>
                </c:pt>
                <c:pt idx="100">
                  <c:v>1921</c:v>
                </c:pt>
                <c:pt idx="101">
                  <c:v>1920</c:v>
                </c:pt>
                <c:pt idx="102">
                  <c:v>1919</c:v>
                </c:pt>
                <c:pt idx="103">
                  <c:v>1918</c:v>
                </c:pt>
                <c:pt idx="104">
                  <c:v>1917</c:v>
                </c:pt>
                <c:pt idx="105">
                  <c:v>1916</c:v>
                </c:pt>
                <c:pt idx="106">
                  <c:v>1915</c:v>
                </c:pt>
                <c:pt idx="107">
                  <c:v>1914</c:v>
                </c:pt>
                <c:pt idx="108">
                  <c:v>1913</c:v>
                </c:pt>
                <c:pt idx="109">
                  <c:v>1912</c:v>
                </c:pt>
                <c:pt idx="110">
                  <c:v>1911</c:v>
                </c:pt>
                <c:pt idx="111">
                  <c:v>1910</c:v>
                </c:pt>
                <c:pt idx="112">
                  <c:v>1909</c:v>
                </c:pt>
                <c:pt idx="113">
                  <c:v>1908</c:v>
                </c:pt>
                <c:pt idx="114">
                  <c:v>1907</c:v>
                </c:pt>
                <c:pt idx="115">
                  <c:v>1906</c:v>
                </c:pt>
                <c:pt idx="116">
                  <c:v>1905</c:v>
                </c:pt>
                <c:pt idx="117">
                  <c:v>1904</c:v>
                </c:pt>
                <c:pt idx="118">
                  <c:v>1903</c:v>
                </c:pt>
                <c:pt idx="119">
                  <c:v>1902</c:v>
                </c:pt>
                <c:pt idx="120">
                  <c:v>1901</c:v>
                </c:pt>
                <c:pt idx="121">
                  <c:v>1900</c:v>
                </c:pt>
                <c:pt idx="122">
                  <c:v>1899</c:v>
                </c:pt>
                <c:pt idx="123">
                  <c:v>1898</c:v>
                </c:pt>
                <c:pt idx="124">
                  <c:v>1897</c:v>
                </c:pt>
                <c:pt idx="125">
                  <c:v>1896</c:v>
                </c:pt>
                <c:pt idx="126">
                  <c:v>1895</c:v>
                </c:pt>
                <c:pt idx="127">
                  <c:v>1894</c:v>
                </c:pt>
                <c:pt idx="128">
                  <c:v>1893</c:v>
                </c:pt>
                <c:pt idx="129">
                  <c:v>1892</c:v>
                </c:pt>
                <c:pt idx="130">
                  <c:v>1891</c:v>
                </c:pt>
                <c:pt idx="131">
                  <c:v>1890</c:v>
                </c:pt>
                <c:pt idx="132">
                  <c:v>1889</c:v>
                </c:pt>
                <c:pt idx="133">
                  <c:v>1888</c:v>
                </c:pt>
                <c:pt idx="134">
                  <c:v>1887</c:v>
                </c:pt>
                <c:pt idx="135">
                  <c:v>1886</c:v>
                </c:pt>
                <c:pt idx="136">
                  <c:v>1885</c:v>
                </c:pt>
                <c:pt idx="137">
                  <c:v>1884</c:v>
                </c:pt>
                <c:pt idx="138">
                  <c:v>1883</c:v>
                </c:pt>
                <c:pt idx="139">
                  <c:v>1882</c:v>
                </c:pt>
                <c:pt idx="140">
                  <c:v>1881</c:v>
                </c:pt>
                <c:pt idx="141">
                  <c:v>1880</c:v>
                </c:pt>
                <c:pt idx="142">
                  <c:v>1879</c:v>
                </c:pt>
                <c:pt idx="143">
                  <c:v>1878</c:v>
                </c:pt>
                <c:pt idx="144">
                  <c:v>1877</c:v>
                </c:pt>
                <c:pt idx="145">
                  <c:v>1876</c:v>
                </c:pt>
                <c:pt idx="146">
                  <c:v>1875</c:v>
                </c:pt>
                <c:pt idx="147">
                  <c:v>1874</c:v>
                </c:pt>
                <c:pt idx="148">
                  <c:v>1873</c:v>
                </c:pt>
                <c:pt idx="149">
                  <c:v>1872</c:v>
                </c:pt>
                <c:pt idx="150">
                  <c:v>1871</c:v>
                </c:pt>
                <c:pt idx="151">
                  <c:v>1870</c:v>
                </c:pt>
                <c:pt idx="152">
                  <c:v>1869</c:v>
                </c:pt>
                <c:pt idx="153">
                  <c:v>1868</c:v>
                </c:pt>
                <c:pt idx="154">
                  <c:v>1867</c:v>
                </c:pt>
                <c:pt idx="155">
                  <c:v>1866</c:v>
                </c:pt>
                <c:pt idx="156">
                  <c:v>1865</c:v>
                </c:pt>
                <c:pt idx="157">
                  <c:v>1864</c:v>
                </c:pt>
                <c:pt idx="158">
                  <c:v>1863</c:v>
                </c:pt>
                <c:pt idx="159">
                  <c:v>1862</c:v>
                </c:pt>
                <c:pt idx="160">
                  <c:v>1861</c:v>
                </c:pt>
                <c:pt idx="161">
                  <c:v>1860</c:v>
                </c:pt>
                <c:pt idx="162">
                  <c:v>1859</c:v>
                </c:pt>
                <c:pt idx="163">
                  <c:v>1858</c:v>
                </c:pt>
                <c:pt idx="164">
                  <c:v>1857</c:v>
                </c:pt>
                <c:pt idx="165">
                  <c:v>1856</c:v>
                </c:pt>
                <c:pt idx="166">
                  <c:v>1855</c:v>
                </c:pt>
                <c:pt idx="167">
                  <c:v>1854</c:v>
                </c:pt>
                <c:pt idx="168">
                  <c:v>1853</c:v>
                </c:pt>
                <c:pt idx="169">
                  <c:v>1852</c:v>
                </c:pt>
                <c:pt idx="170">
                  <c:v>1851</c:v>
                </c:pt>
                <c:pt idx="171">
                  <c:v>1850</c:v>
                </c:pt>
                <c:pt idx="172">
                  <c:v>1849</c:v>
                </c:pt>
                <c:pt idx="173">
                  <c:v>1848</c:v>
                </c:pt>
                <c:pt idx="174">
                  <c:v>1847</c:v>
                </c:pt>
                <c:pt idx="175">
                  <c:v>1846</c:v>
                </c:pt>
                <c:pt idx="176">
                  <c:v>1845</c:v>
                </c:pt>
                <c:pt idx="177">
                  <c:v>1844</c:v>
                </c:pt>
                <c:pt idx="178">
                  <c:v>1843</c:v>
                </c:pt>
                <c:pt idx="179">
                  <c:v>1842</c:v>
                </c:pt>
                <c:pt idx="180">
                  <c:v>1841</c:v>
                </c:pt>
                <c:pt idx="181">
                  <c:v>1840</c:v>
                </c:pt>
                <c:pt idx="182">
                  <c:v>1839</c:v>
                </c:pt>
                <c:pt idx="183">
                  <c:v>1838</c:v>
                </c:pt>
                <c:pt idx="184">
                  <c:v>1837</c:v>
                </c:pt>
                <c:pt idx="185">
                  <c:v>1836</c:v>
                </c:pt>
                <c:pt idx="186">
                  <c:v>1835</c:v>
                </c:pt>
                <c:pt idx="187">
                  <c:v>1834</c:v>
                </c:pt>
                <c:pt idx="188">
                  <c:v>1833</c:v>
                </c:pt>
                <c:pt idx="189">
                  <c:v>1832</c:v>
                </c:pt>
                <c:pt idx="190">
                  <c:v>1831</c:v>
                </c:pt>
                <c:pt idx="191">
                  <c:v>1830</c:v>
                </c:pt>
                <c:pt idx="192">
                  <c:v>1829</c:v>
                </c:pt>
                <c:pt idx="193">
                  <c:v>1828</c:v>
                </c:pt>
                <c:pt idx="194">
                  <c:v>1827</c:v>
                </c:pt>
                <c:pt idx="195">
                  <c:v>1826</c:v>
                </c:pt>
                <c:pt idx="196">
                  <c:v>1825</c:v>
                </c:pt>
                <c:pt idx="197">
                  <c:v>1824</c:v>
                </c:pt>
                <c:pt idx="198">
                  <c:v>1823</c:v>
                </c:pt>
                <c:pt idx="199">
                  <c:v>1822</c:v>
                </c:pt>
                <c:pt idx="200">
                  <c:v>1821</c:v>
                </c:pt>
                <c:pt idx="201">
                  <c:v>1820</c:v>
                </c:pt>
                <c:pt idx="202">
                  <c:v>1819</c:v>
                </c:pt>
                <c:pt idx="203">
                  <c:v>1818</c:v>
                </c:pt>
                <c:pt idx="204">
                  <c:v>1817</c:v>
                </c:pt>
                <c:pt idx="205">
                  <c:v>1816</c:v>
                </c:pt>
                <c:pt idx="206">
                  <c:v>1815</c:v>
                </c:pt>
                <c:pt idx="207">
                  <c:v>1814</c:v>
                </c:pt>
                <c:pt idx="208">
                  <c:v>1813</c:v>
                </c:pt>
                <c:pt idx="209">
                  <c:v>1812</c:v>
                </c:pt>
                <c:pt idx="210">
                  <c:v>1811</c:v>
                </c:pt>
                <c:pt idx="211">
                  <c:v>1810</c:v>
                </c:pt>
                <c:pt idx="212">
                  <c:v>1809</c:v>
                </c:pt>
                <c:pt idx="213">
                  <c:v>1808</c:v>
                </c:pt>
                <c:pt idx="214">
                  <c:v>1807</c:v>
                </c:pt>
                <c:pt idx="215">
                  <c:v>1806</c:v>
                </c:pt>
                <c:pt idx="216">
                  <c:v>1805</c:v>
                </c:pt>
                <c:pt idx="217">
                  <c:v>1804</c:v>
                </c:pt>
                <c:pt idx="218">
                  <c:v>1803</c:v>
                </c:pt>
                <c:pt idx="219">
                  <c:v>1802</c:v>
                </c:pt>
                <c:pt idx="220">
                  <c:v>1801</c:v>
                </c:pt>
                <c:pt idx="221">
                  <c:v>1800</c:v>
                </c:pt>
                <c:pt idx="222">
                  <c:v>1799</c:v>
                </c:pt>
                <c:pt idx="223">
                  <c:v>1798</c:v>
                </c:pt>
                <c:pt idx="224">
                  <c:v>1797</c:v>
                </c:pt>
                <c:pt idx="225">
                  <c:v>1796</c:v>
                </c:pt>
                <c:pt idx="226">
                  <c:v>1795</c:v>
                </c:pt>
                <c:pt idx="227">
                  <c:v>1794</c:v>
                </c:pt>
                <c:pt idx="228">
                  <c:v>1793</c:v>
                </c:pt>
                <c:pt idx="229">
                  <c:v>1792</c:v>
                </c:pt>
                <c:pt idx="230">
                  <c:v>1791</c:v>
                </c:pt>
                <c:pt idx="231">
                  <c:v>1790</c:v>
                </c:pt>
                <c:pt idx="232">
                  <c:v>1789</c:v>
                </c:pt>
                <c:pt idx="233">
                  <c:v>1788</c:v>
                </c:pt>
                <c:pt idx="234">
                  <c:v>1787</c:v>
                </c:pt>
                <c:pt idx="235">
                  <c:v>1786</c:v>
                </c:pt>
                <c:pt idx="236">
                  <c:v>1785</c:v>
                </c:pt>
                <c:pt idx="237">
                  <c:v>1784</c:v>
                </c:pt>
                <c:pt idx="238">
                  <c:v>1783</c:v>
                </c:pt>
                <c:pt idx="239">
                  <c:v>1782</c:v>
                </c:pt>
                <c:pt idx="240">
                  <c:v>1781</c:v>
                </c:pt>
                <c:pt idx="241">
                  <c:v>1780</c:v>
                </c:pt>
                <c:pt idx="242">
                  <c:v>1779</c:v>
                </c:pt>
                <c:pt idx="243">
                  <c:v>1778</c:v>
                </c:pt>
                <c:pt idx="244">
                  <c:v>1777</c:v>
                </c:pt>
                <c:pt idx="245">
                  <c:v>1776</c:v>
                </c:pt>
                <c:pt idx="246">
                  <c:v>1775</c:v>
                </c:pt>
                <c:pt idx="247">
                  <c:v>1774</c:v>
                </c:pt>
                <c:pt idx="248">
                  <c:v>1773</c:v>
                </c:pt>
                <c:pt idx="249">
                  <c:v>1772</c:v>
                </c:pt>
                <c:pt idx="250">
                  <c:v>1771</c:v>
                </c:pt>
                <c:pt idx="251">
                  <c:v>1770</c:v>
                </c:pt>
                <c:pt idx="252">
                  <c:v>1769</c:v>
                </c:pt>
                <c:pt idx="253">
                  <c:v>1768</c:v>
                </c:pt>
                <c:pt idx="254">
                  <c:v>1767</c:v>
                </c:pt>
                <c:pt idx="255">
                  <c:v>1766</c:v>
                </c:pt>
                <c:pt idx="256">
                  <c:v>1765</c:v>
                </c:pt>
                <c:pt idx="257">
                  <c:v>1764</c:v>
                </c:pt>
                <c:pt idx="258">
                  <c:v>1763</c:v>
                </c:pt>
                <c:pt idx="259">
                  <c:v>1762</c:v>
                </c:pt>
                <c:pt idx="260">
                  <c:v>1761</c:v>
                </c:pt>
                <c:pt idx="261">
                  <c:v>1760</c:v>
                </c:pt>
                <c:pt idx="262">
                  <c:v>1759</c:v>
                </c:pt>
                <c:pt idx="263">
                  <c:v>1758</c:v>
                </c:pt>
                <c:pt idx="264">
                  <c:v>1757</c:v>
                </c:pt>
                <c:pt idx="265">
                  <c:v>1756</c:v>
                </c:pt>
                <c:pt idx="266">
                  <c:v>1755</c:v>
                </c:pt>
                <c:pt idx="267">
                  <c:v>1754</c:v>
                </c:pt>
                <c:pt idx="268">
                  <c:v>1753</c:v>
                </c:pt>
                <c:pt idx="269">
                  <c:v>1752</c:v>
                </c:pt>
                <c:pt idx="270">
                  <c:v>1751</c:v>
                </c:pt>
                <c:pt idx="271">
                  <c:v>1750</c:v>
                </c:pt>
              </c:numCache>
            </c:numRef>
          </c:val>
          <c:extLst>
            <c:ext xmlns:c16="http://schemas.microsoft.com/office/drawing/2014/chart" uri="{C3380CC4-5D6E-409C-BE32-E72D297353CC}">
              <c16:uniqueId val="{00000007-8F39-4254-9BC0-093CA2A7CE92}"/>
            </c:ext>
          </c:extLst>
        </c:ser>
        <c:ser>
          <c:idx val="8"/>
          <c:order val="8"/>
          <c:tx>
            <c:strRef>
              <c:f>'Sheet3 (2)'!$AG$2</c:f>
              <c:strCache>
                <c:ptCount val="1"/>
                <c:pt idx="0">
                  <c:v>Europe</c:v>
                </c:pt>
              </c:strCache>
            </c:strRef>
          </c:tx>
          <c:spPr>
            <a:solidFill>
              <a:schemeClr val="accent3">
                <a:lumMod val="60000"/>
              </a:schemeClr>
            </a:solidFill>
            <a:ln w="25400">
              <a:noFill/>
            </a:ln>
            <a:effectLst/>
          </c:spPr>
          <c:cat>
            <c:numRef>
              <c:f>'Sheet3 (2)'!$AI$2:$AI$273</c:f>
              <c:numCache>
                <c:formatCode>General</c:formatCode>
                <c:ptCount val="272"/>
                <c:pt idx="0">
                  <c:v>2021</c:v>
                </c:pt>
                <c:pt idx="1">
                  <c:v>2020</c:v>
                </c:pt>
                <c:pt idx="2">
                  <c:v>2019</c:v>
                </c:pt>
                <c:pt idx="3">
                  <c:v>2018</c:v>
                </c:pt>
                <c:pt idx="4">
                  <c:v>2017</c:v>
                </c:pt>
                <c:pt idx="5">
                  <c:v>2016</c:v>
                </c:pt>
                <c:pt idx="6">
                  <c:v>2015</c:v>
                </c:pt>
                <c:pt idx="7">
                  <c:v>2014</c:v>
                </c:pt>
                <c:pt idx="8">
                  <c:v>2013</c:v>
                </c:pt>
                <c:pt idx="9">
                  <c:v>2012</c:v>
                </c:pt>
                <c:pt idx="10">
                  <c:v>2011</c:v>
                </c:pt>
                <c:pt idx="11">
                  <c:v>2010</c:v>
                </c:pt>
                <c:pt idx="12">
                  <c:v>2009</c:v>
                </c:pt>
                <c:pt idx="13">
                  <c:v>2008</c:v>
                </c:pt>
                <c:pt idx="14">
                  <c:v>2007</c:v>
                </c:pt>
                <c:pt idx="15">
                  <c:v>2006</c:v>
                </c:pt>
                <c:pt idx="16">
                  <c:v>2005</c:v>
                </c:pt>
                <c:pt idx="17">
                  <c:v>2004</c:v>
                </c:pt>
                <c:pt idx="18">
                  <c:v>2003</c:v>
                </c:pt>
                <c:pt idx="19">
                  <c:v>2002</c:v>
                </c:pt>
                <c:pt idx="20">
                  <c:v>2001</c:v>
                </c:pt>
                <c:pt idx="21">
                  <c:v>2000</c:v>
                </c:pt>
                <c:pt idx="22">
                  <c:v>1999</c:v>
                </c:pt>
                <c:pt idx="23">
                  <c:v>1998</c:v>
                </c:pt>
                <c:pt idx="24">
                  <c:v>1997</c:v>
                </c:pt>
                <c:pt idx="25">
                  <c:v>1996</c:v>
                </c:pt>
                <c:pt idx="26">
                  <c:v>1995</c:v>
                </c:pt>
                <c:pt idx="27">
                  <c:v>1994</c:v>
                </c:pt>
                <c:pt idx="28">
                  <c:v>1993</c:v>
                </c:pt>
                <c:pt idx="29">
                  <c:v>1992</c:v>
                </c:pt>
                <c:pt idx="30">
                  <c:v>1991</c:v>
                </c:pt>
                <c:pt idx="31">
                  <c:v>1990</c:v>
                </c:pt>
                <c:pt idx="32">
                  <c:v>1989</c:v>
                </c:pt>
                <c:pt idx="33">
                  <c:v>1988</c:v>
                </c:pt>
                <c:pt idx="34">
                  <c:v>1987</c:v>
                </c:pt>
                <c:pt idx="35">
                  <c:v>1986</c:v>
                </c:pt>
                <c:pt idx="36">
                  <c:v>1985</c:v>
                </c:pt>
                <c:pt idx="37">
                  <c:v>1984</c:v>
                </c:pt>
                <c:pt idx="38">
                  <c:v>1983</c:v>
                </c:pt>
                <c:pt idx="39">
                  <c:v>1982</c:v>
                </c:pt>
                <c:pt idx="40">
                  <c:v>1981</c:v>
                </c:pt>
                <c:pt idx="41">
                  <c:v>1980</c:v>
                </c:pt>
                <c:pt idx="42">
                  <c:v>1979</c:v>
                </c:pt>
                <c:pt idx="43">
                  <c:v>1978</c:v>
                </c:pt>
                <c:pt idx="44">
                  <c:v>1977</c:v>
                </c:pt>
                <c:pt idx="45">
                  <c:v>1976</c:v>
                </c:pt>
                <c:pt idx="46">
                  <c:v>1975</c:v>
                </c:pt>
                <c:pt idx="47">
                  <c:v>1974</c:v>
                </c:pt>
                <c:pt idx="48">
                  <c:v>1973</c:v>
                </c:pt>
                <c:pt idx="49">
                  <c:v>1972</c:v>
                </c:pt>
                <c:pt idx="50">
                  <c:v>1971</c:v>
                </c:pt>
                <c:pt idx="51">
                  <c:v>1970</c:v>
                </c:pt>
                <c:pt idx="52">
                  <c:v>1969</c:v>
                </c:pt>
                <c:pt idx="53">
                  <c:v>1968</c:v>
                </c:pt>
                <c:pt idx="54">
                  <c:v>1967</c:v>
                </c:pt>
                <c:pt idx="55">
                  <c:v>1966</c:v>
                </c:pt>
                <c:pt idx="56">
                  <c:v>1965</c:v>
                </c:pt>
                <c:pt idx="57">
                  <c:v>1964</c:v>
                </c:pt>
                <c:pt idx="58">
                  <c:v>1963</c:v>
                </c:pt>
                <c:pt idx="59">
                  <c:v>1962</c:v>
                </c:pt>
                <c:pt idx="60">
                  <c:v>1961</c:v>
                </c:pt>
                <c:pt idx="61">
                  <c:v>1960</c:v>
                </c:pt>
                <c:pt idx="62">
                  <c:v>1959</c:v>
                </c:pt>
                <c:pt idx="63">
                  <c:v>1958</c:v>
                </c:pt>
                <c:pt idx="64">
                  <c:v>1957</c:v>
                </c:pt>
                <c:pt idx="65">
                  <c:v>1956</c:v>
                </c:pt>
                <c:pt idx="66">
                  <c:v>1955</c:v>
                </c:pt>
                <c:pt idx="67">
                  <c:v>1954</c:v>
                </c:pt>
                <c:pt idx="68">
                  <c:v>1953</c:v>
                </c:pt>
                <c:pt idx="69">
                  <c:v>1952</c:v>
                </c:pt>
                <c:pt idx="70">
                  <c:v>1951</c:v>
                </c:pt>
                <c:pt idx="71">
                  <c:v>1950</c:v>
                </c:pt>
                <c:pt idx="72">
                  <c:v>1949</c:v>
                </c:pt>
                <c:pt idx="73">
                  <c:v>1948</c:v>
                </c:pt>
                <c:pt idx="74">
                  <c:v>1947</c:v>
                </c:pt>
                <c:pt idx="75">
                  <c:v>1946</c:v>
                </c:pt>
                <c:pt idx="76">
                  <c:v>1945</c:v>
                </c:pt>
                <c:pt idx="77">
                  <c:v>1944</c:v>
                </c:pt>
                <c:pt idx="78">
                  <c:v>1943</c:v>
                </c:pt>
                <c:pt idx="79">
                  <c:v>1942</c:v>
                </c:pt>
                <c:pt idx="80">
                  <c:v>1941</c:v>
                </c:pt>
                <c:pt idx="81">
                  <c:v>1940</c:v>
                </c:pt>
                <c:pt idx="82">
                  <c:v>1939</c:v>
                </c:pt>
                <c:pt idx="83">
                  <c:v>1938</c:v>
                </c:pt>
                <c:pt idx="84">
                  <c:v>1937</c:v>
                </c:pt>
                <c:pt idx="85">
                  <c:v>1936</c:v>
                </c:pt>
                <c:pt idx="86">
                  <c:v>1935</c:v>
                </c:pt>
                <c:pt idx="87">
                  <c:v>1934</c:v>
                </c:pt>
                <c:pt idx="88">
                  <c:v>1933</c:v>
                </c:pt>
                <c:pt idx="89">
                  <c:v>1932</c:v>
                </c:pt>
                <c:pt idx="90">
                  <c:v>1931</c:v>
                </c:pt>
                <c:pt idx="91">
                  <c:v>1930</c:v>
                </c:pt>
                <c:pt idx="92">
                  <c:v>1929</c:v>
                </c:pt>
                <c:pt idx="93">
                  <c:v>1928</c:v>
                </c:pt>
                <c:pt idx="94">
                  <c:v>1927</c:v>
                </c:pt>
                <c:pt idx="95">
                  <c:v>1926</c:v>
                </c:pt>
                <c:pt idx="96">
                  <c:v>1925</c:v>
                </c:pt>
                <c:pt idx="97">
                  <c:v>1924</c:v>
                </c:pt>
                <c:pt idx="98">
                  <c:v>1923</c:v>
                </c:pt>
                <c:pt idx="99">
                  <c:v>1922</c:v>
                </c:pt>
                <c:pt idx="100">
                  <c:v>1921</c:v>
                </c:pt>
                <c:pt idx="101">
                  <c:v>1920</c:v>
                </c:pt>
                <c:pt idx="102">
                  <c:v>1919</c:v>
                </c:pt>
                <c:pt idx="103">
                  <c:v>1918</c:v>
                </c:pt>
                <c:pt idx="104">
                  <c:v>1917</c:v>
                </c:pt>
                <c:pt idx="105">
                  <c:v>1916</c:v>
                </c:pt>
                <c:pt idx="106">
                  <c:v>1915</c:v>
                </c:pt>
                <c:pt idx="107">
                  <c:v>1914</c:v>
                </c:pt>
                <c:pt idx="108">
                  <c:v>1913</c:v>
                </c:pt>
                <c:pt idx="109">
                  <c:v>1912</c:v>
                </c:pt>
                <c:pt idx="110">
                  <c:v>1911</c:v>
                </c:pt>
                <c:pt idx="111">
                  <c:v>1910</c:v>
                </c:pt>
                <c:pt idx="112">
                  <c:v>1909</c:v>
                </c:pt>
                <c:pt idx="113">
                  <c:v>1908</c:v>
                </c:pt>
                <c:pt idx="114">
                  <c:v>1907</c:v>
                </c:pt>
                <c:pt idx="115">
                  <c:v>1906</c:v>
                </c:pt>
                <c:pt idx="116">
                  <c:v>1905</c:v>
                </c:pt>
                <c:pt idx="117">
                  <c:v>1904</c:v>
                </c:pt>
                <c:pt idx="118">
                  <c:v>1903</c:v>
                </c:pt>
                <c:pt idx="119">
                  <c:v>1902</c:v>
                </c:pt>
                <c:pt idx="120">
                  <c:v>1901</c:v>
                </c:pt>
                <c:pt idx="121">
                  <c:v>1900</c:v>
                </c:pt>
                <c:pt idx="122">
                  <c:v>1899</c:v>
                </c:pt>
                <c:pt idx="123">
                  <c:v>1898</c:v>
                </c:pt>
                <c:pt idx="124">
                  <c:v>1897</c:v>
                </c:pt>
                <c:pt idx="125">
                  <c:v>1896</c:v>
                </c:pt>
                <c:pt idx="126">
                  <c:v>1895</c:v>
                </c:pt>
                <c:pt idx="127">
                  <c:v>1894</c:v>
                </c:pt>
                <c:pt idx="128">
                  <c:v>1893</c:v>
                </c:pt>
                <c:pt idx="129">
                  <c:v>1892</c:v>
                </c:pt>
                <c:pt idx="130">
                  <c:v>1891</c:v>
                </c:pt>
                <c:pt idx="131">
                  <c:v>1890</c:v>
                </c:pt>
                <c:pt idx="132">
                  <c:v>1889</c:v>
                </c:pt>
                <c:pt idx="133">
                  <c:v>1888</c:v>
                </c:pt>
                <c:pt idx="134">
                  <c:v>1887</c:v>
                </c:pt>
                <c:pt idx="135">
                  <c:v>1886</c:v>
                </c:pt>
                <c:pt idx="136">
                  <c:v>1885</c:v>
                </c:pt>
                <c:pt idx="137">
                  <c:v>1884</c:v>
                </c:pt>
                <c:pt idx="138">
                  <c:v>1883</c:v>
                </c:pt>
                <c:pt idx="139">
                  <c:v>1882</c:v>
                </c:pt>
                <c:pt idx="140">
                  <c:v>1881</c:v>
                </c:pt>
                <c:pt idx="141">
                  <c:v>1880</c:v>
                </c:pt>
                <c:pt idx="142">
                  <c:v>1879</c:v>
                </c:pt>
                <c:pt idx="143">
                  <c:v>1878</c:v>
                </c:pt>
                <c:pt idx="144">
                  <c:v>1877</c:v>
                </c:pt>
                <c:pt idx="145">
                  <c:v>1876</c:v>
                </c:pt>
                <c:pt idx="146">
                  <c:v>1875</c:v>
                </c:pt>
                <c:pt idx="147">
                  <c:v>1874</c:v>
                </c:pt>
                <c:pt idx="148">
                  <c:v>1873</c:v>
                </c:pt>
                <c:pt idx="149">
                  <c:v>1872</c:v>
                </c:pt>
                <c:pt idx="150">
                  <c:v>1871</c:v>
                </c:pt>
                <c:pt idx="151">
                  <c:v>1870</c:v>
                </c:pt>
                <c:pt idx="152">
                  <c:v>1869</c:v>
                </c:pt>
                <c:pt idx="153">
                  <c:v>1868</c:v>
                </c:pt>
                <c:pt idx="154">
                  <c:v>1867</c:v>
                </c:pt>
                <c:pt idx="155">
                  <c:v>1866</c:v>
                </c:pt>
                <c:pt idx="156">
                  <c:v>1865</c:v>
                </c:pt>
                <c:pt idx="157">
                  <c:v>1864</c:v>
                </c:pt>
                <c:pt idx="158">
                  <c:v>1863</c:v>
                </c:pt>
                <c:pt idx="159">
                  <c:v>1862</c:v>
                </c:pt>
                <c:pt idx="160">
                  <c:v>1861</c:v>
                </c:pt>
                <c:pt idx="161">
                  <c:v>1860</c:v>
                </c:pt>
                <c:pt idx="162">
                  <c:v>1859</c:v>
                </c:pt>
                <c:pt idx="163">
                  <c:v>1858</c:v>
                </c:pt>
                <c:pt idx="164">
                  <c:v>1857</c:v>
                </c:pt>
                <c:pt idx="165">
                  <c:v>1856</c:v>
                </c:pt>
                <c:pt idx="166">
                  <c:v>1855</c:v>
                </c:pt>
                <c:pt idx="167">
                  <c:v>1854</c:v>
                </c:pt>
                <c:pt idx="168">
                  <c:v>1853</c:v>
                </c:pt>
                <c:pt idx="169">
                  <c:v>1852</c:v>
                </c:pt>
                <c:pt idx="170">
                  <c:v>1851</c:v>
                </c:pt>
                <c:pt idx="171">
                  <c:v>1850</c:v>
                </c:pt>
                <c:pt idx="172">
                  <c:v>1849</c:v>
                </c:pt>
                <c:pt idx="173">
                  <c:v>1848</c:v>
                </c:pt>
                <c:pt idx="174">
                  <c:v>1847</c:v>
                </c:pt>
                <c:pt idx="175">
                  <c:v>1846</c:v>
                </c:pt>
                <c:pt idx="176">
                  <c:v>1845</c:v>
                </c:pt>
                <c:pt idx="177">
                  <c:v>1844</c:v>
                </c:pt>
                <c:pt idx="178">
                  <c:v>1843</c:v>
                </c:pt>
                <c:pt idx="179">
                  <c:v>1842</c:v>
                </c:pt>
                <c:pt idx="180">
                  <c:v>1841</c:v>
                </c:pt>
                <c:pt idx="181">
                  <c:v>1840</c:v>
                </c:pt>
                <c:pt idx="182">
                  <c:v>1839</c:v>
                </c:pt>
                <c:pt idx="183">
                  <c:v>1838</c:v>
                </c:pt>
                <c:pt idx="184">
                  <c:v>1837</c:v>
                </c:pt>
                <c:pt idx="185">
                  <c:v>1836</c:v>
                </c:pt>
                <c:pt idx="186">
                  <c:v>1835</c:v>
                </c:pt>
                <c:pt idx="187">
                  <c:v>1834</c:v>
                </c:pt>
                <c:pt idx="188">
                  <c:v>1833</c:v>
                </c:pt>
                <c:pt idx="189">
                  <c:v>1832</c:v>
                </c:pt>
                <c:pt idx="190">
                  <c:v>1831</c:v>
                </c:pt>
                <c:pt idx="191">
                  <c:v>1830</c:v>
                </c:pt>
                <c:pt idx="192">
                  <c:v>1829</c:v>
                </c:pt>
                <c:pt idx="193">
                  <c:v>1828</c:v>
                </c:pt>
                <c:pt idx="194">
                  <c:v>1827</c:v>
                </c:pt>
                <c:pt idx="195">
                  <c:v>1826</c:v>
                </c:pt>
                <c:pt idx="196">
                  <c:v>1825</c:v>
                </c:pt>
                <c:pt idx="197">
                  <c:v>1824</c:v>
                </c:pt>
                <c:pt idx="198">
                  <c:v>1823</c:v>
                </c:pt>
                <c:pt idx="199">
                  <c:v>1822</c:v>
                </c:pt>
                <c:pt idx="200">
                  <c:v>1821</c:v>
                </c:pt>
                <c:pt idx="201">
                  <c:v>1820</c:v>
                </c:pt>
                <c:pt idx="202">
                  <c:v>1819</c:v>
                </c:pt>
                <c:pt idx="203">
                  <c:v>1818</c:v>
                </c:pt>
                <c:pt idx="204">
                  <c:v>1817</c:v>
                </c:pt>
                <c:pt idx="205">
                  <c:v>1816</c:v>
                </c:pt>
                <c:pt idx="206">
                  <c:v>1815</c:v>
                </c:pt>
                <c:pt idx="207">
                  <c:v>1814</c:v>
                </c:pt>
                <c:pt idx="208">
                  <c:v>1813</c:v>
                </c:pt>
                <c:pt idx="209">
                  <c:v>1812</c:v>
                </c:pt>
                <c:pt idx="210">
                  <c:v>1811</c:v>
                </c:pt>
                <c:pt idx="211">
                  <c:v>1810</c:v>
                </c:pt>
                <c:pt idx="212">
                  <c:v>1809</c:v>
                </c:pt>
                <c:pt idx="213">
                  <c:v>1808</c:v>
                </c:pt>
                <c:pt idx="214">
                  <c:v>1807</c:v>
                </c:pt>
                <c:pt idx="215">
                  <c:v>1806</c:v>
                </c:pt>
                <c:pt idx="216">
                  <c:v>1805</c:v>
                </c:pt>
                <c:pt idx="217">
                  <c:v>1804</c:v>
                </c:pt>
                <c:pt idx="218">
                  <c:v>1803</c:v>
                </c:pt>
                <c:pt idx="219">
                  <c:v>1802</c:v>
                </c:pt>
                <c:pt idx="220">
                  <c:v>1801</c:v>
                </c:pt>
                <c:pt idx="221">
                  <c:v>1800</c:v>
                </c:pt>
                <c:pt idx="222">
                  <c:v>1799</c:v>
                </c:pt>
                <c:pt idx="223">
                  <c:v>1798</c:v>
                </c:pt>
                <c:pt idx="224">
                  <c:v>1797</c:v>
                </c:pt>
                <c:pt idx="225">
                  <c:v>1796</c:v>
                </c:pt>
                <c:pt idx="226">
                  <c:v>1795</c:v>
                </c:pt>
                <c:pt idx="227">
                  <c:v>1794</c:v>
                </c:pt>
                <c:pt idx="228">
                  <c:v>1793</c:v>
                </c:pt>
                <c:pt idx="229">
                  <c:v>1792</c:v>
                </c:pt>
                <c:pt idx="230">
                  <c:v>1791</c:v>
                </c:pt>
                <c:pt idx="231">
                  <c:v>1790</c:v>
                </c:pt>
                <c:pt idx="232">
                  <c:v>1789</c:v>
                </c:pt>
                <c:pt idx="233">
                  <c:v>1788</c:v>
                </c:pt>
                <c:pt idx="234">
                  <c:v>1787</c:v>
                </c:pt>
                <c:pt idx="235">
                  <c:v>1786</c:v>
                </c:pt>
                <c:pt idx="236">
                  <c:v>1785</c:v>
                </c:pt>
                <c:pt idx="237">
                  <c:v>1784</c:v>
                </c:pt>
                <c:pt idx="238">
                  <c:v>1783</c:v>
                </c:pt>
                <c:pt idx="239">
                  <c:v>1782</c:v>
                </c:pt>
                <c:pt idx="240">
                  <c:v>1781</c:v>
                </c:pt>
                <c:pt idx="241">
                  <c:v>1780</c:v>
                </c:pt>
                <c:pt idx="242">
                  <c:v>1779</c:v>
                </c:pt>
                <c:pt idx="243">
                  <c:v>1778</c:v>
                </c:pt>
                <c:pt idx="244">
                  <c:v>1777</c:v>
                </c:pt>
                <c:pt idx="245">
                  <c:v>1776</c:v>
                </c:pt>
                <c:pt idx="246">
                  <c:v>1775</c:v>
                </c:pt>
                <c:pt idx="247">
                  <c:v>1774</c:v>
                </c:pt>
                <c:pt idx="248">
                  <c:v>1773</c:v>
                </c:pt>
                <c:pt idx="249">
                  <c:v>1772</c:v>
                </c:pt>
                <c:pt idx="250">
                  <c:v>1771</c:v>
                </c:pt>
                <c:pt idx="251">
                  <c:v>1770</c:v>
                </c:pt>
                <c:pt idx="252">
                  <c:v>1769</c:v>
                </c:pt>
                <c:pt idx="253">
                  <c:v>1768</c:v>
                </c:pt>
                <c:pt idx="254">
                  <c:v>1767</c:v>
                </c:pt>
                <c:pt idx="255">
                  <c:v>1766</c:v>
                </c:pt>
                <c:pt idx="256">
                  <c:v>1765</c:v>
                </c:pt>
                <c:pt idx="257">
                  <c:v>1764</c:v>
                </c:pt>
                <c:pt idx="258">
                  <c:v>1763</c:v>
                </c:pt>
                <c:pt idx="259">
                  <c:v>1762</c:v>
                </c:pt>
                <c:pt idx="260">
                  <c:v>1761</c:v>
                </c:pt>
                <c:pt idx="261">
                  <c:v>1760</c:v>
                </c:pt>
                <c:pt idx="262">
                  <c:v>1759</c:v>
                </c:pt>
                <c:pt idx="263">
                  <c:v>1758</c:v>
                </c:pt>
                <c:pt idx="264">
                  <c:v>1757</c:v>
                </c:pt>
                <c:pt idx="265">
                  <c:v>1756</c:v>
                </c:pt>
                <c:pt idx="266">
                  <c:v>1755</c:v>
                </c:pt>
                <c:pt idx="267">
                  <c:v>1754</c:v>
                </c:pt>
                <c:pt idx="268">
                  <c:v>1753</c:v>
                </c:pt>
                <c:pt idx="269">
                  <c:v>1752</c:v>
                </c:pt>
                <c:pt idx="270">
                  <c:v>1751</c:v>
                </c:pt>
                <c:pt idx="271">
                  <c:v>1750</c:v>
                </c:pt>
              </c:numCache>
            </c:numRef>
          </c:cat>
          <c:val>
            <c:numRef>
              <c:f>'Sheet3 (2)'!$AJ$2:$AJ$273</c:f>
              <c:numCache>
                <c:formatCode>General</c:formatCode>
                <c:ptCount val="272"/>
                <c:pt idx="0">
                  <c:v>5306227700</c:v>
                </c:pt>
                <c:pt idx="1">
                  <c:v>5010946600</c:v>
                </c:pt>
                <c:pt idx="2">
                  <c:v>5426624000</c:v>
                </c:pt>
                <c:pt idx="3">
                  <c:v>5603844000</c:v>
                </c:pt>
                <c:pt idx="4">
                  <c:v>5630619600</c:v>
                </c:pt>
                <c:pt idx="5">
                  <c:v>5598924000</c:v>
                </c:pt>
                <c:pt idx="6">
                  <c:v>5605936600</c:v>
                </c:pt>
                <c:pt idx="7">
                  <c:v>5604730000</c:v>
                </c:pt>
                <c:pt idx="8">
                  <c:v>5835885000</c:v>
                </c:pt>
                <c:pt idx="9">
                  <c:v>5994340400</c:v>
                </c:pt>
                <c:pt idx="10">
                  <c:v>6044580000</c:v>
                </c:pt>
                <c:pt idx="11">
                  <c:v>6118725000</c:v>
                </c:pt>
                <c:pt idx="12">
                  <c:v>5889052700</c:v>
                </c:pt>
                <c:pt idx="13">
                  <c:v>6402666000</c:v>
                </c:pt>
                <c:pt idx="14">
                  <c:v>6476660000</c:v>
                </c:pt>
                <c:pt idx="15">
                  <c:v>6520084000</c:v>
                </c:pt>
                <c:pt idx="16">
                  <c:v>6421119000</c:v>
                </c:pt>
                <c:pt idx="17">
                  <c:v>6431065000</c:v>
                </c:pt>
                <c:pt idx="18">
                  <c:v>6398656000</c:v>
                </c:pt>
                <c:pt idx="19">
                  <c:v>6254075000</c:v>
                </c:pt>
                <c:pt idx="20">
                  <c:v>6286350300</c:v>
                </c:pt>
                <c:pt idx="21">
                  <c:v>6158767000</c:v>
                </c:pt>
                <c:pt idx="22">
                  <c:v>6159448000</c:v>
                </c:pt>
                <c:pt idx="23">
                  <c:v>6242856400</c:v>
                </c:pt>
                <c:pt idx="24">
                  <c:v>6268281300</c:v>
                </c:pt>
                <c:pt idx="25">
                  <c:v>6473222000</c:v>
                </c:pt>
                <c:pt idx="26">
                  <c:v>6426196000</c:v>
                </c:pt>
                <c:pt idx="27">
                  <c:v>6447159300</c:v>
                </c:pt>
                <c:pt idx="28">
                  <c:v>6806846500</c:v>
                </c:pt>
                <c:pt idx="29">
                  <c:v>7095026700</c:v>
                </c:pt>
                <c:pt idx="30">
                  <c:v>7736558000</c:v>
                </c:pt>
                <c:pt idx="31">
                  <c:v>8033274000</c:v>
                </c:pt>
                <c:pt idx="32">
                  <c:v>7829319000</c:v>
                </c:pt>
                <c:pt idx="33">
                  <c:v>7863650300</c:v>
                </c:pt>
                <c:pt idx="34">
                  <c:v>7824347600</c:v>
                </c:pt>
                <c:pt idx="35">
                  <c:v>7802543600</c:v>
                </c:pt>
                <c:pt idx="36">
                  <c:v>7789581000</c:v>
                </c:pt>
                <c:pt idx="37">
                  <c:v>7465512000</c:v>
                </c:pt>
                <c:pt idx="38">
                  <c:v>7414516700</c:v>
                </c:pt>
                <c:pt idx="39">
                  <c:v>7408063000</c:v>
                </c:pt>
                <c:pt idx="40">
                  <c:v>7467951000</c:v>
                </c:pt>
                <c:pt idx="41">
                  <c:v>7749543000</c:v>
                </c:pt>
                <c:pt idx="42">
                  <c:v>7745534500</c:v>
                </c:pt>
                <c:pt idx="43">
                  <c:v>7565874000</c:v>
                </c:pt>
                <c:pt idx="44">
                  <c:v>7333317000</c:v>
                </c:pt>
                <c:pt idx="45">
                  <c:v>7277064700</c:v>
                </c:pt>
                <c:pt idx="46">
                  <c:v>6902318600</c:v>
                </c:pt>
                <c:pt idx="47">
                  <c:v>6862789000</c:v>
                </c:pt>
                <c:pt idx="48">
                  <c:v>6844567600</c:v>
                </c:pt>
                <c:pt idx="49">
                  <c:v>6551977500</c:v>
                </c:pt>
                <c:pt idx="50">
                  <c:v>6322978000</c:v>
                </c:pt>
                <c:pt idx="51">
                  <c:v>6094250500</c:v>
                </c:pt>
                <c:pt idx="52">
                  <c:v>5812372500</c:v>
                </c:pt>
                <c:pt idx="53">
                  <c:v>5512286000</c:v>
                </c:pt>
                <c:pt idx="54">
                  <c:v>5266813400</c:v>
                </c:pt>
                <c:pt idx="55">
                  <c:v>5152955000</c:v>
                </c:pt>
                <c:pt idx="56">
                  <c:v>4981444000</c:v>
                </c:pt>
                <c:pt idx="57">
                  <c:v>4839142400</c:v>
                </c:pt>
                <c:pt idx="58">
                  <c:v>4609367600</c:v>
                </c:pt>
                <c:pt idx="59">
                  <c:v>4336348700</c:v>
                </c:pt>
                <c:pt idx="60">
                  <c:v>4109329200</c:v>
                </c:pt>
                <c:pt idx="61">
                  <c:v>3964489200</c:v>
                </c:pt>
                <c:pt idx="62">
                  <c:v>3713580500</c:v>
                </c:pt>
                <c:pt idx="63">
                  <c:v>3632047000</c:v>
                </c:pt>
                <c:pt idx="64">
                  <c:v>3593581800</c:v>
                </c:pt>
                <c:pt idx="65">
                  <c:v>3445532700</c:v>
                </c:pt>
                <c:pt idx="66">
                  <c:v>3233961200</c:v>
                </c:pt>
                <c:pt idx="67">
                  <c:v>2970267400</c:v>
                </c:pt>
                <c:pt idx="68">
                  <c:v>2791716900</c:v>
                </c:pt>
                <c:pt idx="69">
                  <c:v>2714195500</c:v>
                </c:pt>
                <c:pt idx="70">
                  <c:v>2630406700</c:v>
                </c:pt>
                <c:pt idx="71">
                  <c:v>2383494700</c:v>
                </c:pt>
                <c:pt idx="72">
                  <c:v>2242969000</c:v>
                </c:pt>
                <c:pt idx="73">
                  <c:v>2056198700</c:v>
                </c:pt>
                <c:pt idx="74">
                  <c:v>1907845800</c:v>
                </c:pt>
                <c:pt idx="75">
                  <c:v>1657086300</c:v>
                </c:pt>
                <c:pt idx="76">
                  <c:v>1233813000</c:v>
                </c:pt>
                <c:pt idx="77">
                  <c:v>1889702800</c:v>
                </c:pt>
                <c:pt idx="78">
                  <c:v>2003256000</c:v>
                </c:pt>
                <c:pt idx="79">
                  <c:v>1996628200</c:v>
                </c:pt>
                <c:pt idx="80">
                  <c:v>2143351200</c:v>
                </c:pt>
                <c:pt idx="81">
                  <c:v>2228409600</c:v>
                </c:pt>
                <c:pt idx="82">
                  <c:v>2094666600</c:v>
                </c:pt>
                <c:pt idx="83">
                  <c:v>2046480400</c:v>
                </c:pt>
                <c:pt idx="84">
                  <c:v>2037061900</c:v>
                </c:pt>
                <c:pt idx="85">
                  <c:v>1876963300</c:v>
                </c:pt>
                <c:pt idx="86">
                  <c:v>1767211800</c:v>
                </c:pt>
                <c:pt idx="87">
                  <c:v>1682503400</c:v>
                </c:pt>
                <c:pt idx="88">
                  <c:v>1537474800</c:v>
                </c:pt>
                <c:pt idx="89">
                  <c:v>1493113300</c:v>
                </c:pt>
                <c:pt idx="90">
                  <c:v>1606804000</c:v>
                </c:pt>
                <c:pt idx="91">
                  <c:v>1721366800</c:v>
                </c:pt>
                <c:pt idx="92">
                  <c:v>1820387000</c:v>
                </c:pt>
                <c:pt idx="93">
                  <c:v>1676919400</c:v>
                </c:pt>
                <c:pt idx="94">
                  <c:v>1670260600</c:v>
                </c:pt>
                <c:pt idx="95">
                  <c:v>1308482400</c:v>
                </c:pt>
                <c:pt idx="96">
                  <c:v>1526830700</c:v>
                </c:pt>
                <c:pt idx="97">
                  <c:v>1541559300</c:v>
                </c:pt>
                <c:pt idx="98">
                  <c:v>1335730200</c:v>
                </c:pt>
                <c:pt idx="99">
                  <c:v>1397916700</c:v>
                </c:pt>
                <c:pt idx="100">
                  <c:v>1253157200</c:v>
                </c:pt>
                <c:pt idx="101">
                  <c:v>1373710100</c:v>
                </c:pt>
                <c:pt idx="102">
                  <c:v>1183804300</c:v>
                </c:pt>
                <c:pt idx="103">
                  <c:v>1394104400</c:v>
                </c:pt>
                <c:pt idx="104">
                  <c:v>1533393000</c:v>
                </c:pt>
                <c:pt idx="105">
                  <c:v>1561152300</c:v>
                </c:pt>
                <c:pt idx="106">
                  <c:v>1492835100</c:v>
                </c:pt>
                <c:pt idx="107">
                  <c:v>1573933800</c:v>
                </c:pt>
                <c:pt idx="108">
                  <c:v>1767372700</c:v>
                </c:pt>
                <c:pt idx="109">
                  <c:v>1632499200</c:v>
                </c:pt>
                <c:pt idx="110">
                  <c:v>1574111200</c:v>
                </c:pt>
                <c:pt idx="111">
                  <c:v>1538614000</c:v>
                </c:pt>
                <c:pt idx="112">
                  <c:v>1518835100</c:v>
                </c:pt>
                <c:pt idx="113">
                  <c:v>1517224200</c:v>
                </c:pt>
                <c:pt idx="114">
                  <c:v>1492810500</c:v>
                </c:pt>
                <c:pt idx="115">
                  <c:v>1347400100</c:v>
                </c:pt>
                <c:pt idx="116">
                  <c:v>1305667500</c:v>
                </c:pt>
                <c:pt idx="117">
                  <c:v>1268408000</c:v>
                </c:pt>
                <c:pt idx="118">
                  <c:v>1245142800</c:v>
                </c:pt>
                <c:pt idx="119">
                  <c:v>1196061700</c:v>
                </c:pt>
                <c:pt idx="120">
                  <c:v>1195199900</c:v>
                </c:pt>
                <c:pt idx="121">
                  <c:v>1205729500</c:v>
                </c:pt>
                <c:pt idx="122">
                  <c:v>1149489500</c:v>
                </c:pt>
                <c:pt idx="123">
                  <c:v>1079143700</c:v>
                </c:pt>
                <c:pt idx="124">
                  <c:v>1045644540</c:v>
                </c:pt>
                <c:pt idx="125">
                  <c:v>996146400</c:v>
                </c:pt>
                <c:pt idx="126">
                  <c:v>952609300</c:v>
                </c:pt>
                <c:pt idx="127">
                  <c:v>927902000</c:v>
                </c:pt>
                <c:pt idx="128">
                  <c:v>854864640</c:v>
                </c:pt>
                <c:pt idx="129">
                  <c:v>879308160</c:v>
                </c:pt>
                <c:pt idx="130">
                  <c:v>892999700</c:v>
                </c:pt>
                <c:pt idx="131">
                  <c:v>862562240</c:v>
                </c:pt>
                <c:pt idx="132">
                  <c:v>824548740</c:v>
                </c:pt>
                <c:pt idx="133">
                  <c:v>787497150</c:v>
                </c:pt>
                <c:pt idx="134">
                  <c:v>743277700</c:v>
                </c:pt>
                <c:pt idx="135">
                  <c:v>715978400</c:v>
                </c:pt>
                <c:pt idx="136">
                  <c:v>716651500</c:v>
                </c:pt>
                <c:pt idx="137">
                  <c:v>714136960</c:v>
                </c:pt>
                <c:pt idx="138">
                  <c:v>718759400</c:v>
                </c:pt>
                <c:pt idx="139">
                  <c:v>680192200</c:v>
                </c:pt>
                <c:pt idx="140">
                  <c:v>657767940</c:v>
                </c:pt>
                <c:pt idx="141">
                  <c:v>640735500</c:v>
                </c:pt>
                <c:pt idx="142">
                  <c:v>569581200</c:v>
                </c:pt>
                <c:pt idx="143">
                  <c:v>551758600</c:v>
                </c:pt>
                <c:pt idx="144">
                  <c:v>545942800</c:v>
                </c:pt>
                <c:pt idx="145">
                  <c:v>547134850</c:v>
                </c:pt>
                <c:pt idx="146">
                  <c:v>534644540</c:v>
                </c:pt>
                <c:pt idx="147">
                  <c:v>484552640</c:v>
                </c:pt>
                <c:pt idx="148">
                  <c:v>522504580</c:v>
                </c:pt>
                <c:pt idx="149">
                  <c:v>496539100</c:v>
                </c:pt>
                <c:pt idx="150">
                  <c:v>459748580</c:v>
                </c:pt>
                <c:pt idx="151">
                  <c:v>431414530</c:v>
                </c:pt>
                <c:pt idx="152">
                  <c:v>425360670</c:v>
                </c:pt>
                <c:pt idx="153">
                  <c:v>406194800</c:v>
                </c:pt>
                <c:pt idx="154">
                  <c:v>401824500</c:v>
                </c:pt>
                <c:pt idx="155">
                  <c:v>383593800</c:v>
                </c:pt>
                <c:pt idx="156">
                  <c:v>371215170</c:v>
                </c:pt>
                <c:pt idx="157">
                  <c:v>346628160</c:v>
                </c:pt>
                <c:pt idx="158">
                  <c:v>321231140</c:v>
                </c:pt>
                <c:pt idx="159">
                  <c:v>305041020</c:v>
                </c:pt>
                <c:pt idx="160">
                  <c:v>300479420</c:v>
                </c:pt>
                <c:pt idx="161">
                  <c:v>281813060</c:v>
                </c:pt>
                <c:pt idx="162">
                  <c:v>254973630</c:v>
                </c:pt>
                <c:pt idx="163">
                  <c:v>241801680</c:v>
                </c:pt>
                <c:pt idx="164">
                  <c:v>238618000</c:v>
                </c:pt>
                <c:pt idx="165">
                  <c:v>237075460</c:v>
                </c:pt>
                <c:pt idx="166">
                  <c:v>221810610</c:v>
                </c:pt>
                <c:pt idx="167">
                  <c:v>221855200</c:v>
                </c:pt>
                <c:pt idx="168">
                  <c:v>186944600</c:v>
                </c:pt>
                <c:pt idx="169">
                  <c:v>180675500</c:v>
                </c:pt>
                <c:pt idx="170">
                  <c:v>174102290</c:v>
                </c:pt>
                <c:pt idx="171">
                  <c:v>177029780</c:v>
                </c:pt>
                <c:pt idx="172">
                  <c:v>165242740</c:v>
                </c:pt>
                <c:pt idx="173">
                  <c:v>156991410</c:v>
                </c:pt>
                <c:pt idx="174">
                  <c:v>157299180</c:v>
                </c:pt>
                <c:pt idx="175">
                  <c:v>145057760</c:v>
                </c:pt>
                <c:pt idx="176">
                  <c:v>144002530</c:v>
                </c:pt>
                <c:pt idx="177">
                  <c:v>132112850</c:v>
                </c:pt>
                <c:pt idx="178">
                  <c:v>125085300</c:v>
                </c:pt>
                <c:pt idx="179">
                  <c:v>122582780</c:v>
                </c:pt>
                <c:pt idx="180">
                  <c:v>116401620</c:v>
                </c:pt>
                <c:pt idx="181">
                  <c:v>113052720</c:v>
                </c:pt>
                <c:pt idx="182">
                  <c:v>106091120</c:v>
                </c:pt>
                <c:pt idx="183">
                  <c:v>103009700</c:v>
                </c:pt>
                <c:pt idx="184">
                  <c:v>99382340</c:v>
                </c:pt>
                <c:pt idx="185">
                  <c:v>100041860</c:v>
                </c:pt>
                <c:pt idx="186">
                  <c:v>86125980</c:v>
                </c:pt>
                <c:pt idx="187">
                  <c:v>85100060</c:v>
                </c:pt>
                <c:pt idx="188">
                  <c:v>83273020</c:v>
                </c:pt>
                <c:pt idx="189">
                  <c:v>82082696</c:v>
                </c:pt>
                <c:pt idx="190">
                  <c:v>82257620</c:v>
                </c:pt>
                <c:pt idx="191">
                  <c:v>87028620</c:v>
                </c:pt>
                <c:pt idx="192">
                  <c:v>64596320</c:v>
                </c:pt>
                <c:pt idx="193">
                  <c:v>65039664</c:v>
                </c:pt>
                <c:pt idx="194">
                  <c:v>64464416</c:v>
                </c:pt>
                <c:pt idx="195">
                  <c:v>60100590</c:v>
                </c:pt>
                <c:pt idx="196">
                  <c:v>59616944</c:v>
                </c:pt>
                <c:pt idx="197">
                  <c:v>57506480</c:v>
                </c:pt>
                <c:pt idx="198">
                  <c:v>55645170</c:v>
                </c:pt>
                <c:pt idx="199">
                  <c:v>52596720</c:v>
                </c:pt>
                <c:pt idx="200">
                  <c:v>50603504</c:v>
                </c:pt>
                <c:pt idx="201">
                  <c:v>49892690</c:v>
                </c:pt>
                <c:pt idx="202">
                  <c:v>49181870</c:v>
                </c:pt>
                <c:pt idx="203">
                  <c:v>48859440</c:v>
                </c:pt>
                <c:pt idx="204">
                  <c:v>48709216</c:v>
                </c:pt>
                <c:pt idx="205">
                  <c:v>46998130</c:v>
                </c:pt>
                <c:pt idx="206">
                  <c:v>42883456</c:v>
                </c:pt>
                <c:pt idx="207">
                  <c:v>41564416</c:v>
                </c:pt>
                <c:pt idx="208">
                  <c:v>40696050</c:v>
                </c:pt>
                <c:pt idx="209">
                  <c:v>40520176</c:v>
                </c:pt>
                <c:pt idx="210">
                  <c:v>39131520</c:v>
                </c:pt>
                <c:pt idx="211">
                  <c:v>36958770</c:v>
                </c:pt>
                <c:pt idx="212">
                  <c:v>34683424</c:v>
                </c:pt>
                <c:pt idx="213">
                  <c:v>34668770</c:v>
                </c:pt>
                <c:pt idx="214">
                  <c:v>36493440</c:v>
                </c:pt>
                <c:pt idx="215">
                  <c:v>34709070</c:v>
                </c:pt>
                <c:pt idx="216">
                  <c:v>33074928</c:v>
                </c:pt>
                <c:pt idx="217">
                  <c:v>33972610</c:v>
                </c:pt>
                <c:pt idx="218">
                  <c:v>31187968</c:v>
                </c:pt>
                <c:pt idx="219">
                  <c:v>36489776</c:v>
                </c:pt>
                <c:pt idx="220">
                  <c:v>27688848</c:v>
                </c:pt>
                <c:pt idx="221">
                  <c:v>27835408</c:v>
                </c:pt>
                <c:pt idx="222">
                  <c:v>26424768</c:v>
                </c:pt>
                <c:pt idx="223">
                  <c:v>25091072</c:v>
                </c:pt>
                <c:pt idx="224">
                  <c:v>24090800</c:v>
                </c:pt>
                <c:pt idx="225">
                  <c:v>22947632</c:v>
                </c:pt>
                <c:pt idx="226">
                  <c:v>21888736</c:v>
                </c:pt>
                <c:pt idx="227">
                  <c:v>21877744</c:v>
                </c:pt>
                <c:pt idx="228">
                  <c:v>21910720</c:v>
                </c:pt>
                <c:pt idx="229">
                  <c:v>21892400</c:v>
                </c:pt>
                <c:pt idx="230">
                  <c:v>21416080</c:v>
                </c:pt>
                <c:pt idx="231">
                  <c:v>19173712</c:v>
                </c:pt>
                <c:pt idx="232">
                  <c:v>19166384</c:v>
                </c:pt>
                <c:pt idx="233">
                  <c:v>19159056</c:v>
                </c:pt>
                <c:pt idx="234">
                  <c:v>19155392</c:v>
                </c:pt>
                <c:pt idx="235">
                  <c:v>19148064</c:v>
                </c:pt>
                <c:pt idx="236">
                  <c:v>16865392</c:v>
                </c:pt>
                <c:pt idx="237">
                  <c:v>16858064</c:v>
                </c:pt>
                <c:pt idx="238">
                  <c:v>16854400</c:v>
                </c:pt>
                <c:pt idx="239">
                  <c:v>16847072</c:v>
                </c:pt>
                <c:pt idx="240">
                  <c:v>16843408</c:v>
                </c:pt>
                <c:pt idx="241">
                  <c:v>15055376</c:v>
                </c:pt>
                <c:pt idx="242">
                  <c:v>15048048</c:v>
                </c:pt>
                <c:pt idx="243">
                  <c:v>15044384</c:v>
                </c:pt>
                <c:pt idx="244">
                  <c:v>15040720</c:v>
                </c:pt>
                <c:pt idx="245">
                  <c:v>15037056</c:v>
                </c:pt>
                <c:pt idx="246">
                  <c:v>13626416</c:v>
                </c:pt>
                <c:pt idx="247">
                  <c:v>13622752</c:v>
                </c:pt>
                <c:pt idx="248">
                  <c:v>13619088</c:v>
                </c:pt>
                <c:pt idx="249">
                  <c:v>13615424</c:v>
                </c:pt>
                <c:pt idx="250">
                  <c:v>13611760</c:v>
                </c:pt>
                <c:pt idx="251">
                  <c:v>12274400</c:v>
                </c:pt>
                <c:pt idx="252">
                  <c:v>12270736</c:v>
                </c:pt>
                <c:pt idx="253">
                  <c:v>12267072</c:v>
                </c:pt>
                <c:pt idx="254">
                  <c:v>12263408</c:v>
                </c:pt>
                <c:pt idx="255">
                  <c:v>12259744</c:v>
                </c:pt>
                <c:pt idx="256">
                  <c:v>10988336</c:v>
                </c:pt>
                <c:pt idx="257">
                  <c:v>10984672</c:v>
                </c:pt>
                <c:pt idx="258">
                  <c:v>10981008</c:v>
                </c:pt>
                <c:pt idx="259">
                  <c:v>10977344</c:v>
                </c:pt>
                <c:pt idx="260">
                  <c:v>10973680</c:v>
                </c:pt>
                <c:pt idx="261">
                  <c:v>10017376</c:v>
                </c:pt>
                <c:pt idx="262">
                  <c:v>10017376</c:v>
                </c:pt>
                <c:pt idx="263">
                  <c:v>10013712</c:v>
                </c:pt>
                <c:pt idx="264">
                  <c:v>10010048</c:v>
                </c:pt>
                <c:pt idx="265">
                  <c:v>10006384</c:v>
                </c:pt>
                <c:pt idx="266">
                  <c:v>9361520</c:v>
                </c:pt>
                <c:pt idx="267">
                  <c:v>9357856</c:v>
                </c:pt>
                <c:pt idx="268">
                  <c:v>9354192</c:v>
                </c:pt>
                <c:pt idx="269">
                  <c:v>9354192</c:v>
                </c:pt>
                <c:pt idx="270">
                  <c:v>9350528</c:v>
                </c:pt>
                <c:pt idx="271">
                  <c:v>9350528</c:v>
                </c:pt>
              </c:numCache>
            </c:numRef>
          </c:val>
          <c:extLst>
            <c:ext xmlns:c16="http://schemas.microsoft.com/office/drawing/2014/chart" uri="{C3380CC4-5D6E-409C-BE32-E72D297353CC}">
              <c16:uniqueId val="{00000008-8F39-4254-9BC0-093CA2A7CE92}"/>
            </c:ext>
          </c:extLst>
        </c:ser>
        <c:ser>
          <c:idx val="9"/>
          <c:order val="9"/>
          <c:tx>
            <c:v>European Union</c:v>
          </c:tx>
          <c:spPr>
            <a:solidFill>
              <a:schemeClr val="accent4">
                <a:lumMod val="60000"/>
              </a:schemeClr>
            </a:solidFill>
            <a:ln w="25400">
              <a:noFill/>
            </a:ln>
            <a:effectLst/>
          </c:spPr>
          <c:cat>
            <c:numRef>
              <c:f>'Sheet3 (2)'!$AI$2:$AI$273</c:f>
              <c:numCache>
                <c:formatCode>General</c:formatCode>
                <c:ptCount val="272"/>
                <c:pt idx="0">
                  <c:v>2021</c:v>
                </c:pt>
                <c:pt idx="1">
                  <c:v>2020</c:v>
                </c:pt>
                <c:pt idx="2">
                  <c:v>2019</c:v>
                </c:pt>
                <c:pt idx="3">
                  <c:v>2018</c:v>
                </c:pt>
                <c:pt idx="4">
                  <c:v>2017</c:v>
                </c:pt>
                <c:pt idx="5">
                  <c:v>2016</c:v>
                </c:pt>
                <c:pt idx="6">
                  <c:v>2015</c:v>
                </c:pt>
                <c:pt idx="7">
                  <c:v>2014</c:v>
                </c:pt>
                <c:pt idx="8">
                  <c:v>2013</c:v>
                </c:pt>
                <c:pt idx="9">
                  <c:v>2012</c:v>
                </c:pt>
                <c:pt idx="10">
                  <c:v>2011</c:v>
                </c:pt>
                <c:pt idx="11">
                  <c:v>2010</c:v>
                </c:pt>
                <c:pt idx="12">
                  <c:v>2009</c:v>
                </c:pt>
                <c:pt idx="13">
                  <c:v>2008</c:v>
                </c:pt>
                <c:pt idx="14">
                  <c:v>2007</c:v>
                </c:pt>
                <c:pt idx="15">
                  <c:v>2006</c:v>
                </c:pt>
                <c:pt idx="16">
                  <c:v>2005</c:v>
                </c:pt>
                <c:pt idx="17">
                  <c:v>2004</c:v>
                </c:pt>
                <c:pt idx="18">
                  <c:v>2003</c:v>
                </c:pt>
                <c:pt idx="19">
                  <c:v>2002</c:v>
                </c:pt>
                <c:pt idx="20">
                  <c:v>2001</c:v>
                </c:pt>
                <c:pt idx="21">
                  <c:v>2000</c:v>
                </c:pt>
                <c:pt idx="22">
                  <c:v>1999</c:v>
                </c:pt>
                <c:pt idx="23">
                  <c:v>1998</c:v>
                </c:pt>
                <c:pt idx="24">
                  <c:v>1997</c:v>
                </c:pt>
                <c:pt idx="25">
                  <c:v>1996</c:v>
                </c:pt>
                <c:pt idx="26">
                  <c:v>1995</c:v>
                </c:pt>
                <c:pt idx="27">
                  <c:v>1994</c:v>
                </c:pt>
                <c:pt idx="28">
                  <c:v>1993</c:v>
                </c:pt>
                <c:pt idx="29">
                  <c:v>1992</c:v>
                </c:pt>
                <c:pt idx="30">
                  <c:v>1991</c:v>
                </c:pt>
                <c:pt idx="31">
                  <c:v>1990</c:v>
                </c:pt>
                <c:pt idx="32">
                  <c:v>1989</c:v>
                </c:pt>
                <c:pt idx="33">
                  <c:v>1988</c:v>
                </c:pt>
                <c:pt idx="34">
                  <c:v>1987</c:v>
                </c:pt>
                <c:pt idx="35">
                  <c:v>1986</c:v>
                </c:pt>
                <c:pt idx="36">
                  <c:v>1985</c:v>
                </c:pt>
                <c:pt idx="37">
                  <c:v>1984</c:v>
                </c:pt>
                <c:pt idx="38">
                  <c:v>1983</c:v>
                </c:pt>
                <c:pt idx="39">
                  <c:v>1982</c:v>
                </c:pt>
                <c:pt idx="40">
                  <c:v>1981</c:v>
                </c:pt>
                <c:pt idx="41">
                  <c:v>1980</c:v>
                </c:pt>
                <c:pt idx="42">
                  <c:v>1979</c:v>
                </c:pt>
                <c:pt idx="43">
                  <c:v>1978</c:v>
                </c:pt>
                <c:pt idx="44">
                  <c:v>1977</c:v>
                </c:pt>
                <c:pt idx="45">
                  <c:v>1976</c:v>
                </c:pt>
                <c:pt idx="46">
                  <c:v>1975</c:v>
                </c:pt>
                <c:pt idx="47">
                  <c:v>1974</c:v>
                </c:pt>
                <c:pt idx="48">
                  <c:v>1973</c:v>
                </c:pt>
                <c:pt idx="49">
                  <c:v>1972</c:v>
                </c:pt>
                <c:pt idx="50">
                  <c:v>1971</c:v>
                </c:pt>
                <c:pt idx="51">
                  <c:v>1970</c:v>
                </c:pt>
                <c:pt idx="52">
                  <c:v>1969</c:v>
                </c:pt>
                <c:pt idx="53">
                  <c:v>1968</c:v>
                </c:pt>
                <c:pt idx="54">
                  <c:v>1967</c:v>
                </c:pt>
                <c:pt idx="55">
                  <c:v>1966</c:v>
                </c:pt>
                <c:pt idx="56">
                  <c:v>1965</c:v>
                </c:pt>
                <c:pt idx="57">
                  <c:v>1964</c:v>
                </c:pt>
                <c:pt idx="58">
                  <c:v>1963</c:v>
                </c:pt>
                <c:pt idx="59">
                  <c:v>1962</c:v>
                </c:pt>
                <c:pt idx="60">
                  <c:v>1961</c:v>
                </c:pt>
                <c:pt idx="61">
                  <c:v>1960</c:v>
                </c:pt>
                <c:pt idx="62">
                  <c:v>1959</c:v>
                </c:pt>
                <c:pt idx="63">
                  <c:v>1958</c:v>
                </c:pt>
                <c:pt idx="64">
                  <c:v>1957</c:v>
                </c:pt>
                <c:pt idx="65">
                  <c:v>1956</c:v>
                </c:pt>
                <c:pt idx="66">
                  <c:v>1955</c:v>
                </c:pt>
                <c:pt idx="67">
                  <c:v>1954</c:v>
                </c:pt>
                <c:pt idx="68">
                  <c:v>1953</c:v>
                </c:pt>
                <c:pt idx="69">
                  <c:v>1952</c:v>
                </c:pt>
                <c:pt idx="70">
                  <c:v>1951</c:v>
                </c:pt>
                <c:pt idx="71">
                  <c:v>1950</c:v>
                </c:pt>
                <c:pt idx="72">
                  <c:v>1949</c:v>
                </c:pt>
                <c:pt idx="73">
                  <c:v>1948</c:v>
                </c:pt>
                <c:pt idx="74">
                  <c:v>1947</c:v>
                </c:pt>
                <c:pt idx="75">
                  <c:v>1946</c:v>
                </c:pt>
                <c:pt idx="76">
                  <c:v>1945</c:v>
                </c:pt>
                <c:pt idx="77">
                  <c:v>1944</c:v>
                </c:pt>
                <c:pt idx="78">
                  <c:v>1943</c:v>
                </c:pt>
                <c:pt idx="79">
                  <c:v>1942</c:v>
                </c:pt>
                <c:pt idx="80">
                  <c:v>1941</c:v>
                </c:pt>
                <c:pt idx="81">
                  <c:v>1940</c:v>
                </c:pt>
                <c:pt idx="82">
                  <c:v>1939</c:v>
                </c:pt>
                <c:pt idx="83">
                  <c:v>1938</c:v>
                </c:pt>
                <c:pt idx="84">
                  <c:v>1937</c:v>
                </c:pt>
                <c:pt idx="85">
                  <c:v>1936</c:v>
                </c:pt>
                <c:pt idx="86">
                  <c:v>1935</c:v>
                </c:pt>
                <c:pt idx="87">
                  <c:v>1934</c:v>
                </c:pt>
                <c:pt idx="88">
                  <c:v>1933</c:v>
                </c:pt>
                <c:pt idx="89">
                  <c:v>1932</c:v>
                </c:pt>
                <c:pt idx="90">
                  <c:v>1931</c:v>
                </c:pt>
                <c:pt idx="91">
                  <c:v>1930</c:v>
                </c:pt>
                <c:pt idx="92">
                  <c:v>1929</c:v>
                </c:pt>
                <c:pt idx="93">
                  <c:v>1928</c:v>
                </c:pt>
                <c:pt idx="94">
                  <c:v>1927</c:v>
                </c:pt>
                <c:pt idx="95">
                  <c:v>1926</c:v>
                </c:pt>
                <c:pt idx="96">
                  <c:v>1925</c:v>
                </c:pt>
                <c:pt idx="97">
                  <c:v>1924</c:v>
                </c:pt>
                <c:pt idx="98">
                  <c:v>1923</c:v>
                </c:pt>
                <c:pt idx="99">
                  <c:v>1922</c:v>
                </c:pt>
                <c:pt idx="100">
                  <c:v>1921</c:v>
                </c:pt>
                <c:pt idx="101">
                  <c:v>1920</c:v>
                </c:pt>
                <c:pt idx="102">
                  <c:v>1919</c:v>
                </c:pt>
                <c:pt idx="103">
                  <c:v>1918</c:v>
                </c:pt>
                <c:pt idx="104">
                  <c:v>1917</c:v>
                </c:pt>
                <c:pt idx="105">
                  <c:v>1916</c:v>
                </c:pt>
                <c:pt idx="106">
                  <c:v>1915</c:v>
                </c:pt>
                <c:pt idx="107">
                  <c:v>1914</c:v>
                </c:pt>
                <c:pt idx="108">
                  <c:v>1913</c:v>
                </c:pt>
                <c:pt idx="109">
                  <c:v>1912</c:v>
                </c:pt>
                <c:pt idx="110">
                  <c:v>1911</c:v>
                </c:pt>
                <c:pt idx="111">
                  <c:v>1910</c:v>
                </c:pt>
                <c:pt idx="112">
                  <c:v>1909</c:v>
                </c:pt>
                <c:pt idx="113">
                  <c:v>1908</c:v>
                </c:pt>
                <c:pt idx="114">
                  <c:v>1907</c:v>
                </c:pt>
                <c:pt idx="115">
                  <c:v>1906</c:v>
                </c:pt>
                <c:pt idx="116">
                  <c:v>1905</c:v>
                </c:pt>
                <c:pt idx="117">
                  <c:v>1904</c:v>
                </c:pt>
                <c:pt idx="118">
                  <c:v>1903</c:v>
                </c:pt>
                <c:pt idx="119">
                  <c:v>1902</c:v>
                </c:pt>
                <c:pt idx="120">
                  <c:v>1901</c:v>
                </c:pt>
                <c:pt idx="121">
                  <c:v>1900</c:v>
                </c:pt>
                <c:pt idx="122">
                  <c:v>1899</c:v>
                </c:pt>
                <c:pt idx="123">
                  <c:v>1898</c:v>
                </c:pt>
                <c:pt idx="124">
                  <c:v>1897</c:v>
                </c:pt>
                <c:pt idx="125">
                  <c:v>1896</c:v>
                </c:pt>
                <c:pt idx="126">
                  <c:v>1895</c:v>
                </c:pt>
                <c:pt idx="127">
                  <c:v>1894</c:v>
                </c:pt>
                <c:pt idx="128">
                  <c:v>1893</c:v>
                </c:pt>
                <c:pt idx="129">
                  <c:v>1892</c:v>
                </c:pt>
                <c:pt idx="130">
                  <c:v>1891</c:v>
                </c:pt>
                <c:pt idx="131">
                  <c:v>1890</c:v>
                </c:pt>
                <c:pt idx="132">
                  <c:v>1889</c:v>
                </c:pt>
                <c:pt idx="133">
                  <c:v>1888</c:v>
                </c:pt>
                <c:pt idx="134">
                  <c:v>1887</c:v>
                </c:pt>
                <c:pt idx="135">
                  <c:v>1886</c:v>
                </c:pt>
                <c:pt idx="136">
                  <c:v>1885</c:v>
                </c:pt>
                <c:pt idx="137">
                  <c:v>1884</c:v>
                </c:pt>
                <c:pt idx="138">
                  <c:v>1883</c:v>
                </c:pt>
                <c:pt idx="139">
                  <c:v>1882</c:v>
                </c:pt>
                <c:pt idx="140">
                  <c:v>1881</c:v>
                </c:pt>
                <c:pt idx="141">
                  <c:v>1880</c:v>
                </c:pt>
                <c:pt idx="142">
                  <c:v>1879</c:v>
                </c:pt>
                <c:pt idx="143">
                  <c:v>1878</c:v>
                </c:pt>
                <c:pt idx="144">
                  <c:v>1877</c:v>
                </c:pt>
                <c:pt idx="145">
                  <c:v>1876</c:v>
                </c:pt>
                <c:pt idx="146">
                  <c:v>1875</c:v>
                </c:pt>
                <c:pt idx="147">
                  <c:v>1874</c:v>
                </c:pt>
                <c:pt idx="148">
                  <c:v>1873</c:v>
                </c:pt>
                <c:pt idx="149">
                  <c:v>1872</c:v>
                </c:pt>
                <c:pt idx="150">
                  <c:v>1871</c:v>
                </c:pt>
                <c:pt idx="151">
                  <c:v>1870</c:v>
                </c:pt>
                <c:pt idx="152">
                  <c:v>1869</c:v>
                </c:pt>
                <c:pt idx="153">
                  <c:v>1868</c:v>
                </c:pt>
                <c:pt idx="154">
                  <c:v>1867</c:v>
                </c:pt>
                <c:pt idx="155">
                  <c:v>1866</c:v>
                </c:pt>
                <c:pt idx="156">
                  <c:v>1865</c:v>
                </c:pt>
                <c:pt idx="157">
                  <c:v>1864</c:v>
                </c:pt>
                <c:pt idx="158">
                  <c:v>1863</c:v>
                </c:pt>
                <c:pt idx="159">
                  <c:v>1862</c:v>
                </c:pt>
                <c:pt idx="160">
                  <c:v>1861</c:v>
                </c:pt>
                <c:pt idx="161">
                  <c:v>1860</c:v>
                </c:pt>
                <c:pt idx="162">
                  <c:v>1859</c:v>
                </c:pt>
                <c:pt idx="163">
                  <c:v>1858</c:v>
                </c:pt>
                <c:pt idx="164">
                  <c:v>1857</c:v>
                </c:pt>
                <c:pt idx="165">
                  <c:v>1856</c:v>
                </c:pt>
                <c:pt idx="166">
                  <c:v>1855</c:v>
                </c:pt>
                <c:pt idx="167">
                  <c:v>1854</c:v>
                </c:pt>
                <c:pt idx="168">
                  <c:v>1853</c:v>
                </c:pt>
                <c:pt idx="169">
                  <c:v>1852</c:v>
                </c:pt>
                <c:pt idx="170">
                  <c:v>1851</c:v>
                </c:pt>
                <c:pt idx="171">
                  <c:v>1850</c:v>
                </c:pt>
                <c:pt idx="172">
                  <c:v>1849</c:v>
                </c:pt>
                <c:pt idx="173">
                  <c:v>1848</c:v>
                </c:pt>
                <c:pt idx="174">
                  <c:v>1847</c:v>
                </c:pt>
                <c:pt idx="175">
                  <c:v>1846</c:v>
                </c:pt>
                <c:pt idx="176">
                  <c:v>1845</c:v>
                </c:pt>
                <c:pt idx="177">
                  <c:v>1844</c:v>
                </c:pt>
                <c:pt idx="178">
                  <c:v>1843</c:v>
                </c:pt>
                <c:pt idx="179">
                  <c:v>1842</c:v>
                </c:pt>
                <c:pt idx="180">
                  <c:v>1841</c:v>
                </c:pt>
                <c:pt idx="181">
                  <c:v>1840</c:v>
                </c:pt>
                <c:pt idx="182">
                  <c:v>1839</c:v>
                </c:pt>
                <c:pt idx="183">
                  <c:v>1838</c:v>
                </c:pt>
                <c:pt idx="184">
                  <c:v>1837</c:v>
                </c:pt>
                <c:pt idx="185">
                  <c:v>1836</c:v>
                </c:pt>
                <c:pt idx="186">
                  <c:v>1835</c:v>
                </c:pt>
                <c:pt idx="187">
                  <c:v>1834</c:v>
                </c:pt>
                <c:pt idx="188">
                  <c:v>1833</c:v>
                </c:pt>
                <c:pt idx="189">
                  <c:v>1832</c:v>
                </c:pt>
                <c:pt idx="190">
                  <c:v>1831</c:v>
                </c:pt>
                <c:pt idx="191">
                  <c:v>1830</c:v>
                </c:pt>
                <c:pt idx="192">
                  <c:v>1829</c:v>
                </c:pt>
                <c:pt idx="193">
                  <c:v>1828</c:v>
                </c:pt>
                <c:pt idx="194">
                  <c:v>1827</c:v>
                </c:pt>
                <c:pt idx="195">
                  <c:v>1826</c:v>
                </c:pt>
                <c:pt idx="196">
                  <c:v>1825</c:v>
                </c:pt>
                <c:pt idx="197">
                  <c:v>1824</c:v>
                </c:pt>
                <c:pt idx="198">
                  <c:v>1823</c:v>
                </c:pt>
                <c:pt idx="199">
                  <c:v>1822</c:v>
                </c:pt>
                <c:pt idx="200">
                  <c:v>1821</c:v>
                </c:pt>
                <c:pt idx="201">
                  <c:v>1820</c:v>
                </c:pt>
                <c:pt idx="202">
                  <c:v>1819</c:v>
                </c:pt>
                <c:pt idx="203">
                  <c:v>1818</c:v>
                </c:pt>
                <c:pt idx="204">
                  <c:v>1817</c:v>
                </c:pt>
                <c:pt idx="205">
                  <c:v>1816</c:v>
                </c:pt>
                <c:pt idx="206">
                  <c:v>1815</c:v>
                </c:pt>
                <c:pt idx="207">
                  <c:v>1814</c:v>
                </c:pt>
                <c:pt idx="208">
                  <c:v>1813</c:v>
                </c:pt>
                <c:pt idx="209">
                  <c:v>1812</c:v>
                </c:pt>
                <c:pt idx="210">
                  <c:v>1811</c:v>
                </c:pt>
                <c:pt idx="211">
                  <c:v>1810</c:v>
                </c:pt>
                <c:pt idx="212">
                  <c:v>1809</c:v>
                </c:pt>
                <c:pt idx="213">
                  <c:v>1808</c:v>
                </c:pt>
                <c:pt idx="214">
                  <c:v>1807</c:v>
                </c:pt>
                <c:pt idx="215">
                  <c:v>1806</c:v>
                </c:pt>
                <c:pt idx="216">
                  <c:v>1805</c:v>
                </c:pt>
                <c:pt idx="217">
                  <c:v>1804</c:v>
                </c:pt>
                <c:pt idx="218">
                  <c:v>1803</c:v>
                </c:pt>
                <c:pt idx="219">
                  <c:v>1802</c:v>
                </c:pt>
                <c:pt idx="220">
                  <c:v>1801</c:v>
                </c:pt>
                <c:pt idx="221">
                  <c:v>1800</c:v>
                </c:pt>
                <c:pt idx="222">
                  <c:v>1799</c:v>
                </c:pt>
                <c:pt idx="223">
                  <c:v>1798</c:v>
                </c:pt>
                <c:pt idx="224">
                  <c:v>1797</c:v>
                </c:pt>
                <c:pt idx="225">
                  <c:v>1796</c:v>
                </c:pt>
                <c:pt idx="226">
                  <c:v>1795</c:v>
                </c:pt>
                <c:pt idx="227">
                  <c:v>1794</c:v>
                </c:pt>
                <c:pt idx="228">
                  <c:v>1793</c:v>
                </c:pt>
                <c:pt idx="229">
                  <c:v>1792</c:v>
                </c:pt>
                <c:pt idx="230">
                  <c:v>1791</c:v>
                </c:pt>
                <c:pt idx="231">
                  <c:v>1790</c:v>
                </c:pt>
                <c:pt idx="232">
                  <c:v>1789</c:v>
                </c:pt>
                <c:pt idx="233">
                  <c:v>1788</c:v>
                </c:pt>
                <c:pt idx="234">
                  <c:v>1787</c:v>
                </c:pt>
                <c:pt idx="235">
                  <c:v>1786</c:v>
                </c:pt>
                <c:pt idx="236">
                  <c:v>1785</c:v>
                </c:pt>
                <c:pt idx="237">
                  <c:v>1784</c:v>
                </c:pt>
                <c:pt idx="238">
                  <c:v>1783</c:v>
                </c:pt>
                <c:pt idx="239">
                  <c:v>1782</c:v>
                </c:pt>
                <c:pt idx="240">
                  <c:v>1781</c:v>
                </c:pt>
                <c:pt idx="241">
                  <c:v>1780</c:v>
                </c:pt>
                <c:pt idx="242">
                  <c:v>1779</c:v>
                </c:pt>
                <c:pt idx="243">
                  <c:v>1778</c:v>
                </c:pt>
                <c:pt idx="244">
                  <c:v>1777</c:v>
                </c:pt>
                <c:pt idx="245">
                  <c:v>1776</c:v>
                </c:pt>
                <c:pt idx="246">
                  <c:v>1775</c:v>
                </c:pt>
                <c:pt idx="247">
                  <c:v>1774</c:v>
                </c:pt>
                <c:pt idx="248">
                  <c:v>1773</c:v>
                </c:pt>
                <c:pt idx="249">
                  <c:v>1772</c:v>
                </c:pt>
                <c:pt idx="250">
                  <c:v>1771</c:v>
                </c:pt>
                <c:pt idx="251">
                  <c:v>1770</c:v>
                </c:pt>
                <c:pt idx="252">
                  <c:v>1769</c:v>
                </c:pt>
                <c:pt idx="253">
                  <c:v>1768</c:v>
                </c:pt>
                <c:pt idx="254">
                  <c:v>1767</c:v>
                </c:pt>
                <c:pt idx="255">
                  <c:v>1766</c:v>
                </c:pt>
                <c:pt idx="256">
                  <c:v>1765</c:v>
                </c:pt>
                <c:pt idx="257">
                  <c:v>1764</c:v>
                </c:pt>
                <c:pt idx="258">
                  <c:v>1763</c:v>
                </c:pt>
                <c:pt idx="259">
                  <c:v>1762</c:v>
                </c:pt>
                <c:pt idx="260">
                  <c:v>1761</c:v>
                </c:pt>
                <c:pt idx="261">
                  <c:v>1760</c:v>
                </c:pt>
                <c:pt idx="262">
                  <c:v>1759</c:v>
                </c:pt>
                <c:pt idx="263">
                  <c:v>1758</c:v>
                </c:pt>
                <c:pt idx="264">
                  <c:v>1757</c:v>
                </c:pt>
                <c:pt idx="265">
                  <c:v>1756</c:v>
                </c:pt>
                <c:pt idx="266">
                  <c:v>1755</c:v>
                </c:pt>
                <c:pt idx="267">
                  <c:v>1754</c:v>
                </c:pt>
                <c:pt idx="268">
                  <c:v>1753</c:v>
                </c:pt>
                <c:pt idx="269">
                  <c:v>1752</c:v>
                </c:pt>
                <c:pt idx="270">
                  <c:v>1751</c:v>
                </c:pt>
                <c:pt idx="271">
                  <c:v>1750</c:v>
                </c:pt>
              </c:numCache>
            </c:numRef>
          </c:cat>
          <c:val>
            <c:numRef>
              <c:f>'Sheet3 (2)'!$AN$2:$AN$273</c:f>
              <c:numCache>
                <c:formatCode>General</c:formatCode>
                <c:ptCount val="272"/>
                <c:pt idx="0">
                  <c:v>3139789600</c:v>
                </c:pt>
                <c:pt idx="1">
                  <c:v>2948059600</c:v>
                </c:pt>
                <c:pt idx="2">
                  <c:v>3271170000</c:v>
                </c:pt>
                <c:pt idx="3">
                  <c:v>3428928500</c:v>
                </c:pt>
                <c:pt idx="4">
                  <c:v>3510594300</c:v>
                </c:pt>
                <c:pt idx="5">
                  <c:v>3499175700</c:v>
                </c:pt>
                <c:pt idx="6">
                  <c:v>3515185400</c:v>
                </c:pt>
                <c:pt idx="7">
                  <c:v>3479000300</c:v>
                </c:pt>
                <c:pt idx="8">
                  <c:v>3654736000</c:v>
                </c:pt>
                <c:pt idx="9">
                  <c:v>3747620400</c:v>
                </c:pt>
                <c:pt idx="10">
                  <c:v>3802636300</c:v>
                </c:pt>
                <c:pt idx="11">
                  <c:v>3944539400</c:v>
                </c:pt>
                <c:pt idx="12">
                  <c:v>3826309000</c:v>
                </c:pt>
                <c:pt idx="13">
                  <c:v>4172017700</c:v>
                </c:pt>
                <c:pt idx="14">
                  <c:v>4270162700</c:v>
                </c:pt>
                <c:pt idx="15">
                  <c:v>4313519000</c:v>
                </c:pt>
                <c:pt idx="16">
                  <c:v>4306235000</c:v>
                </c:pt>
                <c:pt idx="17">
                  <c:v>4329038000</c:v>
                </c:pt>
                <c:pt idx="18">
                  <c:v>4316170000</c:v>
                </c:pt>
                <c:pt idx="19">
                  <c:v>4221685200</c:v>
                </c:pt>
                <c:pt idx="20">
                  <c:v>4237940700</c:v>
                </c:pt>
                <c:pt idx="21">
                  <c:v>4171465200</c:v>
                </c:pt>
                <c:pt idx="22">
                  <c:v>4152193500</c:v>
                </c:pt>
                <c:pt idx="23">
                  <c:v>4214237700</c:v>
                </c:pt>
                <c:pt idx="24">
                  <c:v>4217444000</c:v>
                </c:pt>
                <c:pt idx="25">
                  <c:v>4307445000</c:v>
                </c:pt>
                <c:pt idx="26">
                  <c:v>4202885400</c:v>
                </c:pt>
                <c:pt idx="27">
                  <c:v>4162578400</c:v>
                </c:pt>
                <c:pt idx="28">
                  <c:v>4186655000</c:v>
                </c:pt>
                <c:pt idx="29">
                  <c:v>4268221200</c:v>
                </c:pt>
                <c:pt idx="30">
                  <c:v>4412449000</c:v>
                </c:pt>
                <c:pt idx="31">
                  <c:v>4467437000</c:v>
                </c:pt>
                <c:pt idx="32">
                  <c:v>4415823000</c:v>
                </c:pt>
                <c:pt idx="33">
                  <c:v>4366622700</c:v>
                </c:pt>
                <c:pt idx="34">
                  <c:v>4410022400</c:v>
                </c:pt>
                <c:pt idx="35">
                  <c:v>4373045000</c:v>
                </c:pt>
                <c:pt idx="36">
                  <c:v>4380238000</c:v>
                </c:pt>
                <c:pt idx="37">
                  <c:v>4292710700</c:v>
                </c:pt>
                <c:pt idx="38">
                  <c:v>4274005800</c:v>
                </c:pt>
                <c:pt idx="39">
                  <c:v>4319742000</c:v>
                </c:pt>
                <c:pt idx="40">
                  <c:v>4423897600</c:v>
                </c:pt>
                <c:pt idx="41">
                  <c:v>4656551000</c:v>
                </c:pt>
                <c:pt idx="42">
                  <c:v>4757596000</c:v>
                </c:pt>
                <c:pt idx="43">
                  <c:v>4608320000</c:v>
                </c:pt>
                <c:pt idx="44">
                  <c:v>4477476000</c:v>
                </c:pt>
                <c:pt idx="45">
                  <c:v>4510088700</c:v>
                </c:pt>
                <c:pt idx="46">
                  <c:v>4239036400</c:v>
                </c:pt>
                <c:pt idx="47">
                  <c:v>4325632500</c:v>
                </c:pt>
                <c:pt idx="48">
                  <c:v>4387227600</c:v>
                </c:pt>
                <c:pt idx="49">
                  <c:v>4202560500</c:v>
                </c:pt>
                <c:pt idx="50">
                  <c:v>4084636700</c:v>
                </c:pt>
                <c:pt idx="51">
                  <c:v>3982952200</c:v>
                </c:pt>
                <c:pt idx="52">
                  <c:v>3819403500</c:v>
                </c:pt>
                <c:pt idx="53">
                  <c:v>3598874000</c:v>
                </c:pt>
                <c:pt idx="54">
                  <c:v>3411217200</c:v>
                </c:pt>
                <c:pt idx="55">
                  <c:v>3375627300</c:v>
                </c:pt>
                <c:pt idx="56">
                  <c:v>3298144300</c:v>
                </c:pt>
                <c:pt idx="57">
                  <c:v>3251086800</c:v>
                </c:pt>
                <c:pt idx="58">
                  <c:v>3115430700</c:v>
                </c:pt>
                <c:pt idx="59">
                  <c:v>2946695200</c:v>
                </c:pt>
                <c:pt idx="60">
                  <c:v>2787477000</c:v>
                </c:pt>
                <c:pt idx="61">
                  <c:v>2683278300</c:v>
                </c:pt>
                <c:pt idx="62">
                  <c:v>2487379200</c:v>
                </c:pt>
                <c:pt idx="63">
                  <c:v>2467330000</c:v>
                </c:pt>
                <c:pt idx="64">
                  <c:v>2497217000</c:v>
                </c:pt>
                <c:pt idx="65">
                  <c:v>2441492700</c:v>
                </c:pt>
                <c:pt idx="66">
                  <c:v>2320397300</c:v>
                </c:pt>
                <c:pt idx="67">
                  <c:v>2164446500</c:v>
                </c:pt>
                <c:pt idx="68">
                  <c:v>2055281900</c:v>
                </c:pt>
                <c:pt idx="69">
                  <c:v>2015600900</c:v>
                </c:pt>
                <c:pt idx="70">
                  <c:v>1975081500</c:v>
                </c:pt>
                <c:pt idx="71">
                  <c:v>1778581100</c:v>
                </c:pt>
                <c:pt idx="72">
                  <c:v>1696219900</c:v>
                </c:pt>
                <c:pt idx="73">
                  <c:v>1570933400</c:v>
                </c:pt>
                <c:pt idx="74">
                  <c:v>1451989500</c:v>
                </c:pt>
                <c:pt idx="75">
                  <c:v>1283769700</c:v>
                </c:pt>
                <c:pt idx="76">
                  <c:v>910532740</c:v>
                </c:pt>
                <c:pt idx="77">
                  <c:v>1583723600</c:v>
                </c:pt>
                <c:pt idx="78">
                  <c:v>1786497000</c:v>
                </c:pt>
                <c:pt idx="79">
                  <c:v>1789573600</c:v>
                </c:pt>
                <c:pt idx="80">
                  <c:v>1771042300</c:v>
                </c:pt>
                <c:pt idx="81">
                  <c:v>1795507100</c:v>
                </c:pt>
                <c:pt idx="82">
                  <c:v>1721470300</c:v>
                </c:pt>
                <c:pt idx="83">
                  <c:v>1681250600</c:v>
                </c:pt>
                <c:pt idx="84">
                  <c:v>1687989400</c:v>
                </c:pt>
                <c:pt idx="85">
                  <c:v>1537636900</c:v>
                </c:pt>
                <c:pt idx="86">
                  <c:v>1469080200</c:v>
                </c:pt>
                <c:pt idx="87">
                  <c:v>1416678700</c:v>
                </c:pt>
                <c:pt idx="88">
                  <c:v>1313958400</c:v>
                </c:pt>
                <c:pt idx="89">
                  <c:v>1290030500</c:v>
                </c:pt>
                <c:pt idx="90">
                  <c:v>1423901200</c:v>
                </c:pt>
                <c:pt idx="91">
                  <c:v>1564391700</c:v>
                </c:pt>
                <c:pt idx="92">
                  <c:v>1696340700</c:v>
                </c:pt>
                <c:pt idx="93">
                  <c:v>1562768600</c:v>
                </c:pt>
                <c:pt idx="94">
                  <c:v>1566052700</c:v>
                </c:pt>
                <c:pt idx="95">
                  <c:v>1224257700</c:v>
                </c:pt>
                <c:pt idx="96">
                  <c:v>1461346400</c:v>
                </c:pt>
                <c:pt idx="97">
                  <c:v>1476131200</c:v>
                </c:pt>
                <c:pt idx="98">
                  <c:v>1278247600</c:v>
                </c:pt>
                <c:pt idx="99">
                  <c:v>1346279800</c:v>
                </c:pt>
                <c:pt idx="100">
                  <c:v>1213910400</c:v>
                </c:pt>
                <c:pt idx="101">
                  <c:v>1332164600</c:v>
                </c:pt>
                <c:pt idx="102">
                  <c:v>1143062700</c:v>
                </c:pt>
                <c:pt idx="103">
                  <c:v>1350284400</c:v>
                </c:pt>
                <c:pt idx="104">
                  <c:v>1439480000</c:v>
                </c:pt>
                <c:pt idx="105">
                  <c:v>1453165800</c:v>
                </c:pt>
                <c:pt idx="106">
                  <c:v>1389509900</c:v>
                </c:pt>
                <c:pt idx="107">
                  <c:v>1464155900</c:v>
                </c:pt>
                <c:pt idx="108">
                  <c:v>1644482000</c:v>
                </c:pt>
                <c:pt idx="109">
                  <c:v>1520270200</c:v>
                </c:pt>
                <c:pt idx="110">
                  <c:v>1474052600</c:v>
                </c:pt>
                <c:pt idx="111">
                  <c:v>1442587400</c:v>
                </c:pt>
                <c:pt idx="112">
                  <c:v>1421094800</c:v>
                </c:pt>
                <c:pt idx="113">
                  <c:v>1423989200</c:v>
                </c:pt>
                <c:pt idx="114">
                  <c:v>1401064000</c:v>
                </c:pt>
                <c:pt idx="115">
                  <c:v>1265700100</c:v>
                </c:pt>
                <c:pt idx="116">
                  <c:v>1233437200</c:v>
                </c:pt>
                <c:pt idx="117">
                  <c:v>1189151400</c:v>
                </c:pt>
                <c:pt idx="118">
                  <c:v>1173064600</c:v>
                </c:pt>
                <c:pt idx="119">
                  <c:v>1123093500</c:v>
                </c:pt>
                <c:pt idx="120">
                  <c:v>1120367000</c:v>
                </c:pt>
                <c:pt idx="121">
                  <c:v>1131888100</c:v>
                </c:pt>
                <c:pt idx="122">
                  <c:v>1083894000</c:v>
                </c:pt>
                <c:pt idx="123">
                  <c:v>1022373440</c:v>
                </c:pt>
                <c:pt idx="124">
                  <c:v>994536100</c:v>
                </c:pt>
                <c:pt idx="125">
                  <c:v>951276700</c:v>
                </c:pt>
                <c:pt idx="126">
                  <c:v>908857660</c:v>
                </c:pt>
                <c:pt idx="127">
                  <c:v>889311360</c:v>
                </c:pt>
                <c:pt idx="128">
                  <c:v>818132740</c:v>
                </c:pt>
                <c:pt idx="129">
                  <c:v>846630460</c:v>
                </c:pt>
                <c:pt idx="130">
                  <c:v>861803700</c:v>
                </c:pt>
                <c:pt idx="131">
                  <c:v>834670100</c:v>
                </c:pt>
                <c:pt idx="132">
                  <c:v>799585660</c:v>
                </c:pt>
                <c:pt idx="133">
                  <c:v>764542660</c:v>
                </c:pt>
                <c:pt idx="134">
                  <c:v>721407170</c:v>
                </c:pt>
                <c:pt idx="135">
                  <c:v>695203460</c:v>
                </c:pt>
                <c:pt idx="136">
                  <c:v>696279200</c:v>
                </c:pt>
                <c:pt idx="137">
                  <c:v>695443100</c:v>
                </c:pt>
                <c:pt idx="138">
                  <c:v>700382100</c:v>
                </c:pt>
                <c:pt idx="139">
                  <c:v>663921800</c:v>
                </c:pt>
                <c:pt idx="140">
                  <c:v>642447740</c:v>
                </c:pt>
                <c:pt idx="141">
                  <c:v>625983360</c:v>
                </c:pt>
                <c:pt idx="142">
                  <c:v>556904700</c:v>
                </c:pt>
                <c:pt idx="143">
                  <c:v>539485200</c:v>
                </c:pt>
                <c:pt idx="144">
                  <c:v>535783420</c:v>
                </c:pt>
                <c:pt idx="145">
                  <c:v>537365060</c:v>
                </c:pt>
                <c:pt idx="146">
                  <c:v>526403840</c:v>
                </c:pt>
                <c:pt idx="147">
                  <c:v>477409400</c:v>
                </c:pt>
                <c:pt idx="148">
                  <c:v>516357800</c:v>
                </c:pt>
                <c:pt idx="149">
                  <c:v>490081200</c:v>
                </c:pt>
                <c:pt idx="150">
                  <c:v>453616960</c:v>
                </c:pt>
                <c:pt idx="151">
                  <c:v>426620400</c:v>
                </c:pt>
                <c:pt idx="152">
                  <c:v>421053900</c:v>
                </c:pt>
                <c:pt idx="153">
                  <c:v>402572860</c:v>
                </c:pt>
                <c:pt idx="154">
                  <c:v>397864400</c:v>
                </c:pt>
                <c:pt idx="155">
                  <c:v>380060930</c:v>
                </c:pt>
                <c:pt idx="156">
                  <c:v>369310900</c:v>
                </c:pt>
                <c:pt idx="157">
                  <c:v>344807170</c:v>
                </c:pt>
                <c:pt idx="158">
                  <c:v>319713400</c:v>
                </c:pt>
                <c:pt idx="159">
                  <c:v>303546850</c:v>
                </c:pt>
                <c:pt idx="160">
                  <c:v>298899520</c:v>
                </c:pt>
                <c:pt idx="161">
                  <c:v>280603870</c:v>
                </c:pt>
                <c:pt idx="162">
                  <c:v>254009740</c:v>
                </c:pt>
                <c:pt idx="163">
                  <c:v>240979760</c:v>
                </c:pt>
                <c:pt idx="164">
                  <c:v>238313890</c:v>
                </c:pt>
                <c:pt idx="165">
                  <c:v>236771340</c:v>
                </c:pt>
                <c:pt idx="166">
                  <c:v>221263650</c:v>
                </c:pt>
                <c:pt idx="167">
                  <c:v>221620700</c:v>
                </c:pt>
                <c:pt idx="168">
                  <c:v>186779730</c:v>
                </c:pt>
                <c:pt idx="169">
                  <c:v>180525280</c:v>
                </c:pt>
                <c:pt idx="170">
                  <c:v>173952060</c:v>
                </c:pt>
                <c:pt idx="171">
                  <c:v>176794750</c:v>
                </c:pt>
                <c:pt idx="172">
                  <c:v>165136480</c:v>
                </c:pt>
                <c:pt idx="173">
                  <c:v>156859500</c:v>
                </c:pt>
                <c:pt idx="174">
                  <c:v>157196590</c:v>
                </c:pt>
                <c:pt idx="175">
                  <c:v>144958830</c:v>
                </c:pt>
                <c:pt idx="176">
                  <c:v>143903600</c:v>
                </c:pt>
                <c:pt idx="177">
                  <c:v>132046900</c:v>
                </c:pt>
                <c:pt idx="178">
                  <c:v>125023010</c:v>
                </c:pt>
                <c:pt idx="179">
                  <c:v>122509500</c:v>
                </c:pt>
                <c:pt idx="180">
                  <c:v>116342990</c:v>
                </c:pt>
                <c:pt idx="181">
                  <c:v>113008750</c:v>
                </c:pt>
                <c:pt idx="182">
                  <c:v>106050820</c:v>
                </c:pt>
                <c:pt idx="183">
                  <c:v>102958400</c:v>
                </c:pt>
                <c:pt idx="184">
                  <c:v>99356690</c:v>
                </c:pt>
                <c:pt idx="185">
                  <c:v>100023540</c:v>
                </c:pt>
                <c:pt idx="186">
                  <c:v>86111330</c:v>
                </c:pt>
                <c:pt idx="187">
                  <c:v>85100060</c:v>
                </c:pt>
                <c:pt idx="188">
                  <c:v>83257576</c:v>
                </c:pt>
                <c:pt idx="189">
                  <c:v>82070340</c:v>
                </c:pt>
                <c:pt idx="190">
                  <c:v>82235416</c:v>
                </c:pt>
                <c:pt idx="191">
                  <c:v>87005840</c:v>
                </c:pt>
                <c:pt idx="192">
                  <c:v>64585330</c:v>
                </c:pt>
                <c:pt idx="193">
                  <c:v>65039664</c:v>
                </c:pt>
                <c:pt idx="194">
                  <c:v>64464416</c:v>
                </c:pt>
                <c:pt idx="195">
                  <c:v>60100590</c:v>
                </c:pt>
                <c:pt idx="196">
                  <c:v>59616944</c:v>
                </c:pt>
                <c:pt idx="197">
                  <c:v>57506480</c:v>
                </c:pt>
                <c:pt idx="198">
                  <c:v>55645170</c:v>
                </c:pt>
                <c:pt idx="199">
                  <c:v>52596720</c:v>
                </c:pt>
                <c:pt idx="200">
                  <c:v>50603504</c:v>
                </c:pt>
                <c:pt idx="201">
                  <c:v>49892690</c:v>
                </c:pt>
                <c:pt idx="202">
                  <c:v>49181870</c:v>
                </c:pt>
                <c:pt idx="203">
                  <c:v>48859440</c:v>
                </c:pt>
                <c:pt idx="204">
                  <c:v>48709216</c:v>
                </c:pt>
                <c:pt idx="205">
                  <c:v>46998130</c:v>
                </c:pt>
                <c:pt idx="206">
                  <c:v>42883456</c:v>
                </c:pt>
                <c:pt idx="207">
                  <c:v>41564416</c:v>
                </c:pt>
                <c:pt idx="208">
                  <c:v>40696050</c:v>
                </c:pt>
                <c:pt idx="209">
                  <c:v>40520176</c:v>
                </c:pt>
                <c:pt idx="210">
                  <c:v>39131520</c:v>
                </c:pt>
                <c:pt idx="211">
                  <c:v>36958770</c:v>
                </c:pt>
                <c:pt idx="212">
                  <c:v>34683424</c:v>
                </c:pt>
                <c:pt idx="213">
                  <c:v>34668770</c:v>
                </c:pt>
                <c:pt idx="214">
                  <c:v>36493440</c:v>
                </c:pt>
                <c:pt idx="215">
                  <c:v>34709070</c:v>
                </c:pt>
                <c:pt idx="216">
                  <c:v>33074928</c:v>
                </c:pt>
                <c:pt idx="217">
                  <c:v>33972610</c:v>
                </c:pt>
                <c:pt idx="218">
                  <c:v>31187968</c:v>
                </c:pt>
                <c:pt idx="219">
                  <c:v>36489776</c:v>
                </c:pt>
                <c:pt idx="220">
                  <c:v>27688848</c:v>
                </c:pt>
                <c:pt idx="221">
                  <c:v>27835408</c:v>
                </c:pt>
                <c:pt idx="222">
                  <c:v>26424768</c:v>
                </c:pt>
                <c:pt idx="223">
                  <c:v>25091072</c:v>
                </c:pt>
                <c:pt idx="224">
                  <c:v>24090800</c:v>
                </c:pt>
                <c:pt idx="225">
                  <c:v>22947632</c:v>
                </c:pt>
                <c:pt idx="226">
                  <c:v>21888736</c:v>
                </c:pt>
                <c:pt idx="227">
                  <c:v>21877744</c:v>
                </c:pt>
                <c:pt idx="228">
                  <c:v>21910720</c:v>
                </c:pt>
                <c:pt idx="229">
                  <c:v>21892400</c:v>
                </c:pt>
                <c:pt idx="230">
                  <c:v>21416080</c:v>
                </c:pt>
                <c:pt idx="231">
                  <c:v>19173712</c:v>
                </c:pt>
                <c:pt idx="232">
                  <c:v>19166384</c:v>
                </c:pt>
                <c:pt idx="233">
                  <c:v>19159056</c:v>
                </c:pt>
                <c:pt idx="234">
                  <c:v>19155392</c:v>
                </c:pt>
                <c:pt idx="235">
                  <c:v>19148064</c:v>
                </c:pt>
                <c:pt idx="236">
                  <c:v>16865392</c:v>
                </c:pt>
                <c:pt idx="237">
                  <c:v>16858064</c:v>
                </c:pt>
                <c:pt idx="238">
                  <c:v>16854400</c:v>
                </c:pt>
                <c:pt idx="239">
                  <c:v>16847072</c:v>
                </c:pt>
                <c:pt idx="240">
                  <c:v>16843408</c:v>
                </c:pt>
                <c:pt idx="241">
                  <c:v>15055376</c:v>
                </c:pt>
                <c:pt idx="242">
                  <c:v>15048048</c:v>
                </c:pt>
                <c:pt idx="243">
                  <c:v>15044384</c:v>
                </c:pt>
                <c:pt idx="244">
                  <c:v>15040720</c:v>
                </c:pt>
                <c:pt idx="245">
                  <c:v>15037056</c:v>
                </c:pt>
                <c:pt idx="246">
                  <c:v>13626416</c:v>
                </c:pt>
                <c:pt idx="247">
                  <c:v>13622752</c:v>
                </c:pt>
                <c:pt idx="248">
                  <c:v>13619088</c:v>
                </c:pt>
                <c:pt idx="249">
                  <c:v>13615424</c:v>
                </c:pt>
                <c:pt idx="250">
                  <c:v>13611760</c:v>
                </c:pt>
                <c:pt idx="251">
                  <c:v>12274400</c:v>
                </c:pt>
                <c:pt idx="252">
                  <c:v>12270736</c:v>
                </c:pt>
                <c:pt idx="253">
                  <c:v>12267072</c:v>
                </c:pt>
                <c:pt idx="254">
                  <c:v>12263408</c:v>
                </c:pt>
                <c:pt idx="255">
                  <c:v>12259744</c:v>
                </c:pt>
                <c:pt idx="256">
                  <c:v>10988336</c:v>
                </c:pt>
                <c:pt idx="257">
                  <c:v>10984672</c:v>
                </c:pt>
                <c:pt idx="258">
                  <c:v>10981008</c:v>
                </c:pt>
                <c:pt idx="259">
                  <c:v>10977344</c:v>
                </c:pt>
                <c:pt idx="260">
                  <c:v>10973680</c:v>
                </c:pt>
                <c:pt idx="261">
                  <c:v>10017376</c:v>
                </c:pt>
                <c:pt idx="262">
                  <c:v>10017376</c:v>
                </c:pt>
                <c:pt idx="263">
                  <c:v>10013712</c:v>
                </c:pt>
                <c:pt idx="264">
                  <c:v>10010048</c:v>
                </c:pt>
                <c:pt idx="265">
                  <c:v>10006384</c:v>
                </c:pt>
                <c:pt idx="266">
                  <c:v>9361520</c:v>
                </c:pt>
                <c:pt idx="267">
                  <c:v>9357856</c:v>
                </c:pt>
                <c:pt idx="268">
                  <c:v>9354192</c:v>
                </c:pt>
                <c:pt idx="269">
                  <c:v>9354192</c:v>
                </c:pt>
                <c:pt idx="270">
                  <c:v>9350528</c:v>
                </c:pt>
                <c:pt idx="271">
                  <c:v>9350528</c:v>
                </c:pt>
              </c:numCache>
            </c:numRef>
          </c:val>
          <c:extLst>
            <c:ext xmlns:c16="http://schemas.microsoft.com/office/drawing/2014/chart" uri="{C3380CC4-5D6E-409C-BE32-E72D297353CC}">
              <c16:uniqueId val="{00000009-8F39-4254-9BC0-093CA2A7CE92}"/>
            </c:ext>
          </c:extLst>
        </c:ser>
        <c:dLbls>
          <c:showLegendKey val="0"/>
          <c:showVal val="0"/>
          <c:showCatName val="0"/>
          <c:showSerName val="0"/>
          <c:showPercent val="0"/>
          <c:showBubbleSize val="0"/>
        </c:dLbls>
        <c:axId val="1036379103"/>
        <c:axId val="1036384511"/>
        <c:extLst/>
      </c:areaChart>
      <c:catAx>
        <c:axId val="1036379103"/>
        <c:scaling>
          <c:orientation val="maxMin"/>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6384511"/>
        <c:crosses val="autoZero"/>
        <c:auto val="1"/>
        <c:lblAlgn val="ctr"/>
        <c:lblOffset val="100"/>
        <c:noMultiLvlLbl val="0"/>
      </c:catAx>
      <c:valAx>
        <c:axId val="1036384511"/>
        <c:scaling>
          <c:orientation val="minMax"/>
          <c:max val="3500000000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Tonnes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6379103"/>
        <c:crosses val="autoZero"/>
        <c:crossBetween val="midCat"/>
      </c:valAx>
      <c:spPr>
        <a:noFill/>
        <a:ln>
          <a:noFill/>
        </a:ln>
        <a:effectLst/>
      </c:spPr>
    </c:plotArea>
    <c:legend>
      <c:legendPos val="r"/>
      <c:layout>
        <c:manualLayout>
          <c:xMode val="edge"/>
          <c:yMode val="edge"/>
          <c:x val="4.5917120936805979E-2"/>
          <c:y val="0.13675715908645747"/>
          <c:w val="0.31946749444780942"/>
          <c:h val="0.55733145297136366"/>
        </c:manualLayout>
      </c:layout>
      <c:overlay val="1"/>
      <c:spPr>
        <a:solidFill>
          <a:schemeClr val="bg1"/>
        </a:solidFill>
        <a:ln>
          <a:solidFill>
            <a:schemeClr val="bg1">
              <a:lumMod val="85000"/>
            </a:schemeClr>
          </a:solid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1.02 psi/ft</c:v>
          </c:tx>
          <c:spPr>
            <a:ln w="19050" cap="rnd">
              <a:solidFill>
                <a:schemeClr val="accent1"/>
              </a:solidFill>
              <a:round/>
            </a:ln>
            <a:effectLst/>
          </c:spPr>
          <c:marker>
            <c:symbol val="none"/>
          </c:marker>
          <c:xVal>
            <c:numRef>
              <c:f>'nrap-sosatPfail_data'!$A$2:$A$51</c:f>
              <c:numCache>
                <c:formatCode>0.00E+00</c:formatCode>
                <c:ptCount val="50"/>
                <c:pt idx="0">
                  <c:v>6.1086460515379102</c:v>
                </c:pt>
                <c:pt idx="1">
                  <c:v>6.3667093402820401</c:v>
                </c:pt>
                <c:pt idx="2">
                  <c:v>6.6247726290261602</c:v>
                </c:pt>
                <c:pt idx="3">
                  <c:v>6.88283591777029</c:v>
                </c:pt>
                <c:pt idx="4">
                  <c:v>7.1408992065144101</c:v>
                </c:pt>
                <c:pt idx="5">
                  <c:v>7.3989624952585302</c:v>
                </c:pt>
                <c:pt idx="6">
                  <c:v>7.6570257840026601</c:v>
                </c:pt>
                <c:pt idx="7">
                  <c:v>7.9150890727467802</c:v>
                </c:pt>
                <c:pt idx="8">
                  <c:v>8.1731523614909101</c:v>
                </c:pt>
                <c:pt idx="9">
                  <c:v>8.4312156502350302</c:v>
                </c:pt>
                <c:pt idx="10">
                  <c:v>8.6892789389791592</c:v>
                </c:pt>
                <c:pt idx="11">
                  <c:v>8.9473422277232793</c:v>
                </c:pt>
                <c:pt idx="12">
                  <c:v>9.2054055164673994</c:v>
                </c:pt>
                <c:pt idx="13">
                  <c:v>9.4634688052115301</c:v>
                </c:pt>
                <c:pt idx="14">
                  <c:v>9.7215320939556502</c:v>
                </c:pt>
                <c:pt idx="15">
                  <c:v>9.9795953826997792</c:v>
                </c:pt>
                <c:pt idx="16">
                  <c:v>10.237658671443899</c:v>
                </c:pt>
                <c:pt idx="17">
                  <c:v>10.495721960188</c:v>
                </c:pt>
                <c:pt idx="18">
                  <c:v>10.7537852489321</c:v>
                </c:pt>
                <c:pt idx="19">
                  <c:v>11.011848537676199</c:v>
                </c:pt>
                <c:pt idx="20">
                  <c:v>11.269911826420399</c:v>
                </c:pt>
                <c:pt idx="21">
                  <c:v>11.5279751151645</c:v>
                </c:pt>
                <c:pt idx="22">
                  <c:v>11.7860384039086</c:v>
                </c:pt>
                <c:pt idx="23">
                  <c:v>12.044101692652699</c:v>
                </c:pt>
                <c:pt idx="24">
                  <c:v>12.3021649813968</c:v>
                </c:pt>
                <c:pt idx="25">
                  <c:v>12.560228270141</c:v>
                </c:pt>
                <c:pt idx="26">
                  <c:v>12.8182915588851</c:v>
                </c:pt>
                <c:pt idx="27">
                  <c:v>13.076354847629201</c:v>
                </c:pt>
                <c:pt idx="28">
                  <c:v>13.3344181363733</c:v>
                </c:pt>
                <c:pt idx="29">
                  <c:v>13.5924814251175</c:v>
                </c:pt>
                <c:pt idx="30">
                  <c:v>13.8505447138616</c:v>
                </c:pt>
                <c:pt idx="31">
                  <c:v>14.108608002605701</c:v>
                </c:pt>
                <c:pt idx="32">
                  <c:v>14.3666712913498</c:v>
                </c:pt>
                <c:pt idx="33">
                  <c:v>14.624734580094</c:v>
                </c:pt>
                <c:pt idx="34">
                  <c:v>14.8827978688381</c:v>
                </c:pt>
                <c:pt idx="35">
                  <c:v>15.140861157582201</c:v>
                </c:pt>
                <c:pt idx="36">
                  <c:v>15.3989244463263</c:v>
                </c:pt>
                <c:pt idx="37">
                  <c:v>15.6569877350705</c:v>
                </c:pt>
                <c:pt idx="38">
                  <c:v>15.9150510238146</c:v>
                </c:pt>
                <c:pt idx="39">
                  <c:v>16.173114312558699</c:v>
                </c:pt>
                <c:pt idx="40">
                  <c:v>16.431177601302799</c:v>
                </c:pt>
                <c:pt idx="41">
                  <c:v>16.689240890047</c:v>
                </c:pt>
                <c:pt idx="42">
                  <c:v>16.9473041787911</c:v>
                </c:pt>
                <c:pt idx="43">
                  <c:v>17.205367467535201</c:v>
                </c:pt>
                <c:pt idx="44">
                  <c:v>17.463430756279301</c:v>
                </c:pt>
                <c:pt idx="45">
                  <c:v>17.721494045023501</c:v>
                </c:pt>
                <c:pt idx="46">
                  <c:v>17.979557333767598</c:v>
                </c:pt>
                <c:pt idx="47">
                  <c:v>18.237620622511699</c:v>
                </c:pt>
                <c:pt idx="48">
                  <c:v>18.495683911255799</c:v>
                </c:pt>
                <c:pt idx="49">
                  <c:v>18.7537471999999</c:v>
                </c:pt>
              </c:numCache>
            </c:numRef>
          </c:xVal>
          <c:yVal>
            <c:numRef>
              <c:f>'nrap-sosatPfail_data'!$B$2:$B$51</c:f>
              <c:numCache>
                <c:formatCode>0.00E+00</c:formatCode>
                <c:ptCount val="50"/>
                <c:pt idx="0">
                  <c:v>0.20018540251082301</c:v>
                </c:pt>
                <c:pt idx="1">
                  <c:v>0.207305647873295</c:v>
                </c:pt>
                <c:pt idx="2">
                  <c:v>0.21128982948886099</c:v>
                </c:pt>
                <c:pt idx="3">
                  <c:v>0.21502746521237401</c:v>
                </c:pt>
                <c:pt idx="4">
                  <c:v>0.22119111251368301</c:v>
                </c:pt>
                <c:pt idx="5">
                  <c:v>0.22640802358951001</c:v>
                </c:pt>
                <c:pt idx="6">
                  <c:v>0.23062888926144701</c:v>
                </c:pt>
                <c:pt idx="7">
                  <c:v>0.23827181191506899</c:v>
                </c:pt>
                <c:pt idx="8">
                  <c:v>0.24308438772793101</c:v>
                </c:pt>
                <c:pt idx="9">
                  <c:v>0.24773917416987901</c:v>
                </c:pt>
                <c:pt idx="10">
                  <c:v>0.25420853837733298</c:v>
                </c:pt>
                <c:pt idx="11">
                  <c:v>0.26004674510113301</c:v>
                </c:pt>
                <c:pt idx="12">
                  <c:v>0.265352412698099</c:v>
                </c:pt>
                <c:pt idx="13">
                  <c:v>0.27060877111665499</c:v>
                </c:pt>
                <c:pt idx="14">
                  <c:v>0.278192522756185</c:v>
                </c:pt>
                <c:pt idx="15">
                  <c:v>0.28418851885089802</c:v>
                </c:pt>
                <c:pt idx="16">
                  <c:v>0.29093401445745098</c:v>
                </c:pt>
                <c:pt idx="17">
                  <c:v>0.296811668523979</c:v>
                </c:pt>
                <c:pt idx="18">
                  <c:v>0.30391219021508598</c:v>
                </c:pt>
                <c:pt idx="19">
                  <c:v>0.311456494511888</c:v>
                </c:pt>
                <c:pt idx="20">
                  <c:v>0.31895148963027897</c:v>
                </c:pt>
                <c:pt idx="21">
                  <c:v>0.32520389345272699</c:v>
                </c:pt>
                <c:pt idx="22">
                  <c:v>0.331101271190619</c:v>
                </c:pt>
                <c:pt idx="23">
                  <c:v>0.33906963442175098</c:v>
                </c:pt>
                <c:pt idx="24">
                  <c:v>0.34543051843670097</c:v>
                </c:pt>
                <c:pt idx="25">
                  <c:v>0.35467105847082298</c:v>
                </c:pt>
                <c:pt idx="26">
                  <c:v>0.36037119949507401</c:v>
                </c:pt>
                <c:pt idx="27">
                  <c:v>0.36909892407372702</c:v>
                </c:pt>
                <c:pt idx="28">
                  <c:v>0.37614027475074202</c:v>
                </c:pt>
                <c:pt idx="29">
                  <c:v>0.38370430271890799</c:v>
                </c:pt>
                <c:pt idx="30">
                  <c:v>0.39326042149485702</c:v>
                </c:pt>
                <c:pt idx="31">
                  <c:v>0.39996646975868</c:v>
                </c:pt>
                <c:pt idx="32">
                  <c:v>0.40938452283507998</c:v>
                </c:pt>
                <c:pt idx="33">
                  <c:v>0.41677103776096802</c:v>
                </c:pt>
                <c:pt idx="34">
                  <c:v>0.42492677587006</c:v>
                </c:pt>
                <c:pt idx="35">
                  <c:v>0.43477874971647201</c:v>
                </c:pt>
                <c:pt idx="36">
                  <c:v>0.44517312452539898</c:v>
                </c:pt>
                <c:pt idx="37">
                  <c:v>0.45040975927259103</c:v>
                </c:pt>
                <c:pt idx="38">
                  <c:v>0.45937416790761398</c:v>
                </c:pt>
                <c:pt idx="39">
                  <c:v>0.46930503643948202</c:v>
                </c:pt>
                <c:pt idx="40">
                  <c:v>0.47598149919625998</c:v>
                </c:pt>
                <c:pt idx="41">
                  <c:v>0.48508397353083299</c:v>
                </c:pt>
                <c:pt idx="42">
                  <c:v>0.49581365075295097</c:v>
                </c:pt>
                <c:pt idx="43">
                  <c:v>0.50339740239248099</c:v>
                </c:pt>
                <c:pt idx="44">
                  <c:v>0.51167148252975803</c:v>
                </c:pt>
                <c:pt idx="45">
                  <c:v>0.52207571917436701</c:v>
                </c:pt>
                <c:pt idx="46">
                  <c:v>0.53152335775781301</c:v>
                </c:pt>
                <c:pt idx="47">
                  <c:v>0.54078362146329895</c:v>
                </c:pt>
                <c:pt idx="48">
                  <c:v>0.55005374700446696</c:v>
                </c:pt>
                <c:pt idx="49">
                  <c:v>0.55858423486947795</c:v>
                </c:pt>
              </c:numCache>
            </c:numRef>
          </c:yVal>
          <c:smooth val="1"/>
          <c:extLst>
            <c:ext xmlns:c16="http://schemas.microsoft.com/office/drawing/2014/chart" uri="{C3380CC4-5D6E-409C-BE32-E72D297353CC}">
              <c16:uniqueId val="{00000000-501A-4C3C-886C-7DDA0D4789BD}"/>
            </c:ext>
          </c:extLst>
        </c:ser>
        <c:ser>
          <c:idx val="1"/>
          <c:order val="1"/>
          <c:tx>
            <c:v>1.24psi/ft</c:v>
          </c:tx>
          <c:spPr>
            <a:ln w="19050" cap="rnd">
              <a:solidFill>
                <a:schemeClr val="accent2"/>
              </a:solidFill>
              <a:round/>
            </a:ln>
            <a:effectLst/>
          </c:spPr>
          <c:marker>
            <c:symbol val="none"/>
          </c:marker>
          <c:xVal>
            <c:numRef>
              <c:f>'nrap-sosatPfail_data'!$C$2:$C$51</c:f>
              <c:numCache>
                <c:formatCode>0.00E+00</c:formatCode>
                <c:ptCount val="50"/>
                <c:pt idx="0">
                  <c:v>6.1086460515379102</c:v>
                </c:pt>
                <c:pt idx="1">
                  <c:v>6.3667093402820401</c:v>
                </c:pt>
                <c:pt idx="2">
                  <c:v>6.6247726290261602</c:v>
                </c:pt>
                <c:pt idx="3">
                  <c:v>6.88283591777029</c:v>
                </c:pt>
                <c:pt idx="4">
                  <c:v>7.1408992065144101</c:v>
                </c:pt>
                <c:pt idx="5">
                  <c:v>7.3989624952585302</c:v>
                </c:pt>
                <c:pt idx="6">
                  <c:v>7.6570257840026601</c:v>
                </c:pt>
                <c:pt idx="7">
                  <c:v>7.9150890727467802</c:v>
                </c:pt>
                <c:pt idx="8">
                  <c:v>8.1731523614909101</c:v>
                </c:pt>
                <c:pt idx="9">
                  <c:v>8.4312156502350302</c:v>
                </c:pt>
                <c:pt idx="10">
                  <c:v>8.6892789389791592</c:v>
                </c:pt>
                <c:pt idx="11">
                  <c:v>8.9473422277232793</c:v>
                </c:pt>
                <c:pt idx="12">
                  <c:v>9.2054055164673994</c:v>
                </c:pt>
                <c:pt idx="13">
                  <c:v>9.4634688052115301</c:v>
                </c:pt>
                <c:pt idx="14">
                  <c:v>9.7215320939556502</c:v>
                </c:pt>
                <c:pt idx="15">
                  <c:v>9.9795953826997792</c:v>
                </c:pt>
                <c:pt idx="16">
                  <c:v>10.237658671443899</c:v>
                </c:pt>
                <c:pt idx="17">
                  <c:v>10.495721960188</c:v>
                </c:pt>
                <c:pt idx="18">
                  <c:v>10.7537852489321</c:v>
                </c:pt>
                <c:pt idx="19">
                  <c:v>11.011848537676199</c:v>
                </c:pt>
                <c:pt idx="20">
                  <c:v>11.269911826420399</c:v>
                </c:pt>
                <c:pt idx="21">
                  <c:v>11.5279751151645</c:v>
                </c:pt>
                <c:pt idx="22">
                  <c:v>11.7860384039086</c:v>
                </c:pt>
                <c:pt idx="23">
                  <c:v>12.044101692652699</c:v>
                </c:pt>
                <c:pt idx="24">
                  <c:v>12.3021649813968</c:v>
                </c:pt>
                <c:pt idx="25">
                  <c:v>12.560228270141</c:v>
                </c:pt>
                <c:pt idx="26">
                  <c:v>12.8182915588851</c:v>
                </c:pt>
                <c:pt idx="27">
                  <c:v>13.076354847629201</c:v>
                </c:pt>
                <c:pt idx="28">
                  <c:v>13.3344181363733</c:v>
                </c:pt>
                <c:pt idx="29">
                  <c:v>13.5924814251175</c:v>
                </c:pt>
                <c:pt idx="30">
                  <c:v>13.8505447138616</c:v>
                </c:pt>
                <c:pt idx="31">
                  <c:v>14.108608002605701</c:v>
                </c:pt>
                <c:pt idx="32">
                  <c:v>14.3666712913498</c:v>
                </c:pt>
                <c:pt idx="33">
                  <c:v>14.624734580094</c:v>
                </c:pt>
                <c:pt idx="34">
                  <c:v>14.8827978688381</c:v>
                </c:pt>
                <c:pt idx="35">
                  <c:v>15.140861157582201</c:v>
                </c:pt>
                <c:pt idx="36">
                  <c:v>15.3989244463263</c:v>
                </c:pt>
                <c:pt idx="37">
                  <c:v>15.6569877350705</c:v>
                </c:pt>
                <c:pt idx="38">
                  <c:v>15.9150510238146</c:v>
                </c:pt>
                <c:pt idx="39">
                  <c:v>16.173114312558699</c:v>
                </c:pt>
                <c:pt idx="40">
                  <c:v>16.431177601302799</c:v>
                </c:pt>
                <c:pt idx="41">
                  <c:v>16.689240890047</c:v>
                </c:pt>
                <c:pt idx="42">
                  <c:v>16.9473041787911</c:v>
                </c:pt>
                <c:pt idx="43">
                  <c:v>17.205367467535201</c:v>
                </c:pt>
                <c:pt idx="44">
                  <c:v>17.463430756279301</c:v>
                </c:pt>
                <c:pt idx="45">
                  <c:v>17.721494045023501</c:v>
                </c:pt>
                <c:pt idx="46">
                  <c:v>17.979557333767598</c:v>
                </c:pt>
                <c:pt idx="47">
                  <c:v>18.237620622511699</c:v>
                </c:pt>
                <c:pt idx="48">
                  <c:v>18.495683911255799</c:v>
                </c:pt>
                <c:pt idx="49">
                  <c:v>18.7537471999999</c:v>
                </c:pt>
              </c:numCache>
            </c:numRef>
          </c:xVal>
          <c:yVal>
            <c:numRef>
              <c:f>'nrap-sosatPfail_data'!$D$2:$D$51</c:f>
              <c:numCache>
                <c:formatCode>0.00E+00</c:formatCode>
                <c:ptCount val="50"/>
                <c:pt idx="0">
                  <c:v>0.237425555205105</c:v>
                </c:pt>
                <c:pt idx="1">
                  <c:v>0.24486539638954299</c:v>
                </c:pt>
                <c:pt idx="2">
                  <c:v>0.25080242676116399</c:v>
                </c:pt>
                <c:pt idx="3">
                  <c:v>0.25725894729030202</c:v>
                </c:pt>
                <c:pt idx="4">
                  <c:v>0.264717341694651</c:v>
                </c:pt>
                <c:pt idx="5">
                  <c:v>0.270413180207424</c:v>
                </c:pt>
                <c:pt idx="6">
                  <c:v>0.27955991762370302</c:v>
                </c:pt>
                <c:pt idx="7">
                  <c:v>0.28275107144844902</c:v>
                </c:pt>
                <c:pt idx="8">
                  <c:v>0.29076606245013797</c:v>
                </c:pt>
                <c:pt idx="9">
                  <c:v>0.29655466706246802</c:v>
                </c:pt>
                <c:pt idx="10">
                  <c:v>0.30362344384867901</c:v>
                </c:pt>
                <c:pt idx="11">
                  <c:v>0.30948626134065499</c:v>
                </c:pt>
                <c:pt idx="12">
                  <c:v>0.31876287129631298</c:v>
                </c:pt>
                <c:pt idx="13">
                  <c:v>0.32544203046438702</c:v>
                </c:pt>
                <c:pt idx="14">
                  <c:v>0.33282621198909002</c:v>
                </c:pt>
                <c:pt idx="15">
                  <c:v>0.33874468914080003</c:v>
                </c:pt>
                <c:pt idx="16">
                  <c:v>0.34748325571902999</c:v>
                </c:pt>
                <c:pt idx="17">
                  <c:v>0.35544258706098403</c:v>
                </c:pt>
                <c:pt idx="18">
                  <c:v>0.36334625874320398</c:v>
                </c:pt>
                <c:pt idx="19">
                  <c:v>0.36952448097367202</c:v>
                </c:pt>
                <c:pt idx="20">
                  <c:v>0.37791053637358701</c:v>
                </c:pt>
                <c:pt idx="21">
                  <c:v>0.38544314365758098</c:v>
                </c:pt>
                <c:pt idx="22">
                  <c:v>0.393476687879181</c:v>
                </c:pt>
                <c:pt idx="23">
                  <c:v>0.40221525445741102</c:v>
                </c:pt>
                <c:pt idx="24">
                  <c:v>0.41266071726748099</c:v>
                </c:pt>
                <c:pt idx="25">
                  <c:v>0.42152915638508998</c:v>
                </c:pt>
                <c:pt idx="26">
                  <c:v>0.43160355479693502</c:v>
                </c:pt>
                <c:pt idx="27">
                  <c:v>0.43648305163361101</c:v>
                </c:pt>
                <c:pt idx="28">
                  <c:v>0.446464683945898</c:v>
                </c:pt>
                <c:pt idx="29">
                  <c:v>0.45702146607543698</c:v>
                </c:pt>
                <c:pt idx="30">
                  <c:v>0.46368207202359901</c:v>
                </c:pt>
                <c:pt idx="31">
                  <c:v>0.471956808104046</c:v>
                </c:pt>
                <c:pt idx="32">
                  <c:v>0.483849422067199</c:v>
                </c:pt>
                <c:pt idx="33">
                  <c:v>0.49282918050427599</c:v>
                </c:pt>
                <c:pt idx="34">
                  <c:v>0.49846935935731601</c:v>
                </c:pt>
                <c:pt idx="35">
                  <c:v>0.50882205606783004</c:v>
                </c:pt>
                <c:pt idx="36">
                  <c:v>0.52047347817213596</c:v>
                </c:pt>
                <c:pt idx="37">
                  <c:v>0.528432809514091</c:v>
                </c:pt>
                <c:pt idx="38">
                  <c:v>0.53650346017551298</c:v>
                </c:pt>
                <c:pt idx="39">
                  <c:v>0.54661496502717999</c:v>
                </c:pt>
                <c:pt idx="40">
                  <c:v>0.55670791665893604</c:v>
                </c:pt>
                <c:pt idx="41">
                  <c:v>0.56611439915397299</c:v>
                </c:pt>
                <c:pt idx="42">
                  <c:v>0.57837807751535197</c:v>
                </c:pt>
                <c:pt idx="43">
                  <c:v>0.58123527338169501</c:v>
                </c:pt>
                <c:pt idx="44">
                  <c:v>0.592626950407243</c:v>
                </c:pt>
                <c:pt idx="45">
                  <c:v>0.60286832779828903</c:v>
                </c:pt>
                <c:pt idx="46">
                  <c:v>0.61316536484906903</c:v>
                </c:pt>
                <c:pt idx="47">
                  <c:v>0.62197814430694398</c:v>
                </c:pt>
                <c:pt idx="48">
                  <c:v>0.63138462680198104</c:v>
                </c:pt>
                <c:pt idx="49">
                  <c:v>0.63984489508154097</c:v>
                </c:pt>
              </c:numCache>
            </c:numRef>
          </c:yVal>
          <c:smooth val="1"/>
          <c:extLst>
            <c:ext xmlns:c16="http://schemas.microsoft.com/office/drawing/2014/chart" uri="{C3380CC4-5D6E-409C-BE32-E72D297353CC}">
              <c16:uniqueId val="{00000001-501A-4C3C-886C-7DDA0D4789BD}"/>
            </c:ext>
          </c:extLst>
        </c:ser>
        <c:dLbls>
          <c:showLegendKey val="0"/>
          <c:showVal val="0"/>
          <c:showCatName val="0"/>
          <c:showSerName val="0"/>
          <c:showPercent val="0"/>
          <c:showBubbleSize val="0"/>
        </c:dLbls>
        <c:axId val="1324783007"/>
        <c:axId val="1324768031"/>
      </c:scatterChart>
      <c:valAx>
        <c:axId val="1324783007"/>
        <c:scaling>
          <c:orientation val="minMax"/>
          <c:min val="6"/>
        </c:scaling>
        <c:delete val="0"/>
        <c:axPos val="b"/>
        <c:majorGridlines>
          <c:spPr>
            <a:ln w="9525" cap="flat" cmpd="sng" algn="ctr">
              <a:solidFill>
                <a:schemeClr val="bg1"/>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Pore Pressure (MPa)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0"/>
        <c:majorTickMark val="in"/>
        <c:minorTickMark val="in"/>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324768031"/>
        <c:crosses val="autoZero"/>
        <c:crossBetween val="midCat"/>
      </c:valAx>
      <c:valAx>
        <c:axId val="1324768031"/>
        <c:scaling>
          <c:orientation val="minMax"/>
          <c:min val="0.2"/>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Failure Probability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0" sourceLinked="0"/>
        <c:majorTickMark val="in"/>
        <c:minorTickMark val="in"/>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324783007"/>
        <c:crosses val="autoZero"/>
        <c:crossBetween val="midCat"/>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E789B27C2E4306AB9ADD6F950171DB"/>
        <w:category>
          <w:name w:val="General"/>
          <w:gallery w:val="placeholder"/>
        </w:category>
        <w:types>
          <w:type w:val="bbPlcHdr"/>
        </w:types>
        <w:behaviors>
          <w:behavior w:val="content"/>
        </w:behaviors>
        <w:guid w:val="{24548418-FFD8-4F9D-8CD3-781F03019CF3}"/>
      </w:docPartPr>
      <w:docPartBody>
        <w:p w:rsidR="00DD68E7" w:rsidRDefault="00DD68E7"/>
      </w:docPartBody>
    </w:docPart>
    <w:docPart>
      <w:docPartPr>
        <w:name w:val="3F6A8F9AA98244788485EE0363F49859"/>
        <w:category>
          <w:name w:val="General"/>
          <w:gallery w:val="placeholder"/>
        </w:category>
        <w:types>
          <w:type w:val="bbPlcHdr"/>
        </w:types>
        <w:behaviors>
          <w:behavior w:val="content"/>
        </w:behaviors>
        <w:guid w:val="{C4B58EB0-B465-4FCC-BA4F-A92CA7286538}"/>
      </w:docPartPr>
      <w:docPartBody>
        <w:p w:rsidR="002172EA" w:rsidRDefault="002172EA"/>
      </w:docPartBody>
    </w:docPart>
    <w:docPart>
      <w:docPartPr>
        <w:name w:val="775C98EA0B344B6D9A3EB1C1327E490B"/>
        <w:category>
          <w:name w:val="General"/>
          <w:gallery w:val="placeholder"/>
        </w:category>
        <w:types>
          <w:type w:val="bbPlcHdr"/>
        </w:types>
        <w:behaviors>
          <w:behavior w:val="content"/>
        </w:behaviors>
        <w:guid w:val="{3881BF19-7A92-4550-A601-2138EE25A47B}"/>
      </w:docPartPr>
      <w:docPartBody>
        <w:p w:rsidR="008F0978" w:rsidRDefault="008F0978"/>
      </w:docPartBody>
    </w:docPart>
    <w:docPart>
      <w:docPartPr>
        <w:name w:val="B5EF8E4F95E748BFB1AB439CFCAFD5D8"/>
        <w:category>
          <w:name w:val="General"/>
          <w:gallery w:val="placeholder"/>
        </w:category>
        <w:types>
          <w:type w:val="bbPlcHdr"/>
        </w:types>
        <w:behaviors>
          <w:behavior w:val="content"/>
        </w:behaviors>
        <w:guid w:val="{60136F92-70CE-4E9A-9A25-C2696D92D077}"/>
      </w:docPartPr>
      <w:docPartBody>
        <w:p w:rsidR="00ED2283" w:rsidRDefault="00ED2283"/>
      </w:docPartBody>
    </w:docPart>
    <w:docPart>
      <w:docPartPr>
        <w:name w:val="A2F32E8533B34E3CA8794D3DFBE94E39"/>
        <w:category>
          <w:name w:val="General"/>
          <w:gallery w:val="placeholder"/>
        </w:category>
        <w:types>
          <w:type w:val="bbPlcHdr"/>
        </w:types>
        <w:behaviors>
          <w:behavior w:val="content"/>
        </w:behaviors>
        <w:guid w:val="{C47D54DE-233B-46CD-8461-585BA4712F0E}"/>
      </w:docPartPr>
      <w:docPartBody>
        <w:p w:rsidR="00E4245B" w:rsidRDefault="00E424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8F8"/>
    <w:rsid w:val="000279CB"/>
    <w:rsid w:val="000602AC"/>
    <w:rsid w:val="00134EBE"/>
    <w:rsid w:val="001B3538"/>
    <w:rsid w:val="002172EA"/>
    <w:rsid w:val="00257F03"/>
    <w:rsid w:val="00393029"/>
    <w:rsid w:val="003B341D"/>
    <w:rsid w:val="003C6F71"/>
    <w:rsid w:val="0043250C"/>
    <w:rsid w:val="004375EC"/>
    <w:rsid w:val="00442D92"/>
    <w:rsid w:val="005051A6"/>
    <w:rsid w:val="00535591"/>
    <w:rsid w:val="00570DCF"/>
    <w:rsid w:val="005F5A54"/>
    <w:rsid w:val="006868C7"/>
    <w:rsid w:val="00687B8A"/>
    <w:rsid w:val="006A03F3"/>
    <w:rsid w:val="0086370C"/>
    <w:rsid w:val="00892126"/>
    <w:rsid w:val="008F0978"/>
    <w:rsid w:val="009168F8"/>
    <w:rsid w:val="00937B09"/>
    <w:rsid w:val="00957524"/>
    <w:rsid w:val="009840B5"/>
    <w:rsid w:val="009D312F"/>
    <w:rsid w:val="00A04D1C"/>
    <w:rsid w:val="00A45020"/>
    <w:rsid w:val="00AC0B2F"/>
    <w:rsid w:val="00B41C13"/>
    <w:rsid w:val="00B80697"/>
    <w:rsid w:val="00BC25FC"/>
    <w:rsid w:val="00C85EE6"/>
    <w:rsid w:val="00CB439E"/>
    <w:rsid w:val="00CC1E3E"/>
    <w:rsid w:val="00CD0DD1"/>
    <w:rsid w:val="00CD1D9A"/>
    <w:rsid w:val="00DB60EC"/>
    <w:rsid w:val="00DD68E7"/>
    <w:rsid w:val="00DF791B"/>
    <w:rsid w:val="00E4245B"/>
    <w:rsid w:val="00E55692"/>
    <w:rsid w:val="00EC1DF8"/>
    <w:rsid w:val="00ED1A44"/>
    <w:rsid w:val="00ED2283"/>
    <w:rsid w:val="00ED29D1"/>
    <w:rsid w:val="00ED5DA4"/>
    <w:rsid w:val="00EF7EF1"/>
    <w:rsid w:val="00F24FF6"/>
    <w:rsid w:val="00F25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245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Bat18</b:Tag>
    <b:SourceType>InternetSite</b:SourceType>
    <b:Guid>{7C27FD82-89E5-44C0-B8E8-2225C82D50BB}</b:Guid>
    <b:Author>
      <b:Author>
        <b:NameList>
          <b:Person>
            <b:Last>Battelle</b:Last>
            <b:First>Insider</b:First>
          </b:Person>
        </b:NameList>
      </b:Author>
    </b:Author>
    <b:Title>Energy &amp; Environment</b:Title>
    <b:InternetSiteTitle>Inside Battelle</b:InternetSiteTitle>
    <b:Year>2018</b:Year>
    <b:Month>June</b:Month>
    <b:Day>5</b:Day>
    <b:URL>https://inside.battelle.org/blog-details/carbon-capture-sequestration-is-worth-pursuing?keyword_session_id=vt~adwords|kt~|mt~b|ta~496274902983&amp;_vsrefdom=wordstream&amp;gclid=Cj0KCQjwiNSLBhCPARIsAKNS4_dlFUVoYbcC0mSgrfXK4_uxMsRaPRpHD8iUx9DhVJTJe_sVgosxz4gaAqq2E</b:URL>
    <b:RefOrder>3</b:RefOrder>
  </b:Source>
  <b:Source>
    <b:Tag>Aja19</b:Tag>
    <b:SourceType>JournalArticle</b:SourceType>
    <b:Guid>{94DE6AF4-9070-4E63-968A-9F6FE12E0F2D}</b:Guid>
    <b:Title>A review of CO2 storage in geological formations emphasizing modeling, monitoring and capacity estimation approaches</b:Title>
    <b:Year>2019</b:Year>
    <b:Author>
      <b:Author>
        <b:NameList>
          <b:Person>
            <b:Last>Ajayi</b:Last>
            <b:First>T.</b:First>
          </b:Person>
          <b:Person>
            <b:Last>Gomes</b:Last>
            <b:First>J.S.</b:First>
          </b:Person>
          <b:Person>
            <b:Last>Bera</b:Last>
            <b:First>A.</b:First>
          </b:Person>
        </b:NameList>
      </b:Author>
    </b:Author>
    <b:JournalName>Pet. Sci.</b:JournalName>
    <b:Pages>1028-1063</b:Pages>
    <b:Volume>16</b:Volume>
    <b:DOI>https://doi.org/10.1007/s12182-019-0340-8</b:DOI>
    <b:RefOrder>9</b:RefOrder>
  </b:Source>
  <b:Source>
    <b:Tag>Bar101</b:Tag>
    <b:SourceType>JournalArticle</b:SourceType>
    <b:Guid>{B65F548D-73D1-41F7-B698-F118B2B7B729}</b:Guid>
    <b:Author>
      <b:Author>
        <b:NameList>
          <b:Person>
            <b:Last>Barrufet</b:Last>
            <b:First>Maria</b:First>
            <b:Middle>A.</b:Middle>
          </b:Person>
          <b:Person>
            <b:Last>Bacquet</b:Last>
            <b:First>Alexandre</b:First>
          </b:Person>
          <b:Person>
            <b:Last>Falcone</b:Last>
            <b:First>Gioia</b:First>
          </b:Person>
        </b:NameList>
      </b:Author>
    </b:Author>
    <b:Title>Analysis of the Storage Capacity for CO2 Sequestration of a Depleted Gas Condensate Reservoir and a Saline Aquifer</b:Title>
    <b:JournalName>The Journal of Canadian petroleum technology</b:JournalName>
    <b:Year>2010</b:Year>
    <b:Pages>23-31</b:Pages>
    <b:Volume>49</b:Volume>
    <b:DOI>https://doi.org/10.2118/139771-PA</b:DOI>
    <b:RefOrder>15</b:RefOrder>
  </b:Source>
  <b:Source>
    <b:Tag>Ban15</b:Tag>
    <b:SourceType>JournalArticle</b:SourceType>
    <b:Guid>{31C7D486-1AE8-432F-806E-83798D210EB9}</b:Guid>
    <b:Title>Multiphase Modeling of Geologic Carbon Sequestration in Saline Aquifers</b:Title>
    <b:Year>2015</b:Year>
    <b:Author>
      <b:Author>
        <b:NameList>
          <b:Person>
            <b:Last>Bandilla</b:Last>
            <b:First>Karl</b:First>
            <b:Middle>W.</b:Middle>
          </b:Person>
          <b:Person>
            <b:Last>Celia</b:Last>
            <b:First>Michael</b:First>
            <b:Middle>A.</b:Middle>
          </b:Person>
          <b:Person>
            <b:Last>Birkholzer</b:Last>
            <b:First>Jens</b:First>
            <b:Middle>T.</b:Middle>
          </b:Person>
          <b:Person>
            <b:Last>Cihan</b:Last>
            <b:First>Abdullah</b:First>
          </b:Person>
          <b:Person>
            <b:Last>Leister</b:Last>
            <b:First>Evan</b:First>
            <b:Middle>C.</b:Middle>
          </b:Person>
        </b:NameList>
      </b:Author>
    </b:Author>
    <b:JournalName>NATIONAL GROUNDWATER ASSOCIATION</b:JournalName>
    <b:DOI>https://doi.org/10.1111/gwat.12315</b:DOI>
    <b:RefOrder>16</b:RefOrder>
  </b:Source>
  <b:Source>
    <b:Tag>Chi21</b:Tag>
    <b:SourceType>ConferenceProceedings</b:SourceType>
    <b:Guid>{5528CD90-7A23-4D53-A910-6FC1838155D1}</b:Guid>
    <b:Title>Understanding the Effect of Rock Compressibility on CO2  Storage Capacity Estimation in a Depleted Carbonate Gas Reservoir</b:Title>
    <b:Year>2021</b:Year>
    <b:Author>
      <b:Author>
        <b:NameList>
          <b:Person>
            <b:Last>Chidambaram</b:Last>
            <b:First>Prasanna</b:First>
          </b:Person>
          <b:Person>
            <b:Last>Tewari</b:Last>
            <b:First>Raj</b:First>
            <b:Middle>Deo</b:Middle>
          </b:Person>
          <b:Person>
            <b:Last>Ali</b:Last>
            <b:First>Siti</b:First>
            <b:Middle>Syareena Mohd</b:Middle>
          </b:Person>
          <b:Person>
            <b:Last>Tan</b:Last>
            <b:First>Chee</b:First>
            <b:Middle>Phuat</b:Middle>
          </b:Person>
          <b:Person>
            <b:Last>PETRONAS</b:Last>
            <b:First>Research</b:First>
            <b:Middle>Sdn Bhd</b:Middle>
          </b:Person>
        </b:NameList>
      </b:Author>
    </b:Author>
    <b:ConferenceName>International Petroleum Technology Conference</b:ConferenceName>
    <b:City>Virtual</b:City>
    <b:Publisher>IPTC</b:Publisher>
    <b:URL>https://onepetro.org/IPTCONF/proceedings-pdf/21IPTC/2-21IPTC/D021S003R001/2423471/iptc-21207-ms.pdf</b:URL>
    <b:RefOrder>17</b:RefOrder>
  </b:Source>
  <b:Source>
    <b:Tag>Gor051</b:Tag>
    <b:SourceType>ConferenceProceedings</b:SourceType>
    <b:Guid>{9C48A5E3-24CA-4D1D-A1D4-ADB547C3D254}</b:Guid>
    <b:Author>
      <b:Author>
        <b:NameList>
          <b:Person>
            <b:Last>Gorucu</b:Last>
            <b:First>F.</b:First>
            <b:Middle>B.</b:Middle>
          </b:Person>
          <b:Person>
            <b:Last>Jikich</b:Last>
            <b:First>S.</b:First>
            <b:Middle>A.</b:Middle>
          </b:Person>
          <b:Person>
            <b:Last>Bromhal</b:Last>
            <b:First>G.</b:First>
            <b:Middle>S.</b:Middle>
          </b:Person>
          <b:Person>
            <b:Last>Sams</b:Last>
            <b:First>W.</b:First>
            <b:Middle>N.</b:Middle>
          </b:Person>
          <b:Person>
            <b:Last>Ertekin</b:Last>
            <b:First>T.</b:First>
          </b:Person>
          <b:Person>
            <b:Last>Smith</b:Last>
            <b:First>D.</b:First>
            <b:Middle>H.</b:Middle>
          </b:Person>
        </b:NameList>
      </b:Author>
    </b:Author>
    <b:Title>Matrix shrinkage and swelling effects on economics of enhanced coalbed methane production and CO 2 sequestration in coal</b:Title>
    <b:Year>2005</b:Year>
    <b:ConferenceName>Society of Petroleum Engineers Eastern Regional Meeting</b:ConferenceName>
    <b:City>Morgantown, West VA, United States</b:City>
    <b:Publisher>Society of Petroleum Engineers</b:Publisher>
    <b:URL>https://pennstate.pure.elsevier.com/en/publications/matrix-shrinkage-and-swelling-effects-on-economics-of-enhanced-co</b:URL>
    <b:RefOrder>18</b:RefOrder>
  </b:Source>
  <b:Source>
    <b:Tag>Jia151</b:Tag>
    <b:SourceType>ConferenceProceedings</b:SourceType>
    <b:Guid>{C525CDE1-9481-4596-87C5-253D33C391B8}</b:Guid>
    <b:Author>
      <b:Author>
        <b:NameList>
          <b:Person>
            <b:Last>Jiang</b:Last>
            <b:First>Kai</b:First>
          </b:Person>
          <b:Person>
            <b:Last>Dou</b:Last>
            <b:First>Hong'en</b:First>
          </b:Person>
          <b:Person>
            <b:Last>Shen</b:Last>
            <b:First>Pingping</b:First>
          </b:Person>
          <b:Person>
            <b:Last>Sun</b:Last>
            <b:First>Tao</b:First>
          </b:Person>
        </b:NameList>
      </b:Author>
    </b:Author>
    <b:Title>China's CCUS Progresses and a New Evaluation Method of CO2 Storage Capacity in Coalbed Reservoirs</b:Title>
    <b:Year>2015</b:Year>
    <b:ConferenceName>Carbon Management Technology Conference</b:ConferenceName>
    <b:City>Sugar Land, Texas</b:City>
    <b:Publisher>Society of Petroleum Engineers</b:Publisher>
    <b:DOI>https://doi.org/10.7122/440095-MS</b:DOI>
    <b:RefOrder>19</b:RefOrder>
  </b:Source>
  <b:Source>
    <b:Tag>Fak202</b:Tag>
    <b:SourceType>ConferenceProceedings</b:SourceType>
    <b:Guid>{5D95E918-C8F1-416C-875F-510050D7AEDD}</b:Guid>
    <b:Author>
      <b:Author>
        <b:NameList>
          <b:Person>
            <b:Last>Fakher</b:Last>
            <b:First>Sherif</b:First>
          </b:Person>
          <b:Person>
            <b:Last>Abdelaal</b:Last>
            <b:First>Hesham</b:First>
          </b:Person>
          <b:Person>
            <b:Last>Elgahawy</b:Last>
            <b:First>Youssef</b:First>
          </b:Person>
          <b:Person>
            <b:Last>El-Tonbary</b:Last>
            <b:First>Ahmed</b:First>
          </b:Person>
        </b:NameList>
      </b:Author>
    </b:Author>
    <b:Title>A Review of Long-Term Carbon Dioxide Storage in Shale Reservoirs</b:Title>
    <b:Year>2020</b:Year>
    <b:ConferenceName>Unconventional Resources Technology Conferenc</b:ConferenceName>
    <b:City>Virtual</b:City>
    <b:Publisher>Society of Exploration Geophysicists</b:Publisher>
    <b:DOI>https://doi.org/10.15530/urtec-2020-1074</b:DOI>
    <b:RefOrder>20</b:RefOrder>
  </b:Source>
  <b:Source>
    <b:Tag>Fak203</b:Tag>
    <b:SourceType>JournalArticle</b:SourceType>
    <b:Guid>{54F64D31-1E40-486A-AFAB-9D2C6B31F5C9}</b:Guid>
    <b:Author>
      <b:Author>
        <b:NameList>
          <b:Person>
            <b:Last>Fakher</b:Last>
            <b:First>S</b:First>
          </b:Person>
          <b:Person>
            <b:Last>Imqam</b:Last>
            <b:First>A</b:First>
          </b:Person>
        </b:NameList>
      </b:Author>
    </b:Author>
    <b:Title>A Review of Carbon Dioxide Adsorption to Unconventional Shale Rocks Methodology, Measurement, and Calculation</b:Title>
    <b:Year>2020</b:Year>
    <b:Publisher>Springer</b:Publisher>
    <b:JournalName>SN Applied Sciences</b:JournalName>
    <b:Volume>2</b:Volume>
    <b:Issue>1</b:Issue>
    <b:DOI>https://doi.org/10.1007/s42452-019-1810-8</b:DOI>
    <b:RefOrder>21</b:RefOrder>
  </b:Source>
  <b:Source>
    <b:Tag>Bur18</b:Tag>
    <b:SourceType>JournalArticle</b:SourceType>
    <b:Guid>{4B7AA438-2065-469B-8B36-4C0E245EA110}</b:Guid>
    <b:Title>Geomechanical Risk Assessment for</b:Title>
    <b:Year>2018</b:Year>
    <b:Publisher>Springer</b:Publisher>
    <b:Author>
      <b:Author>
        <b:NameList>
          <b:Person>
            <b:Last>Burghardt</b:Last>
            <b:First>Jeff</b:First>
          </b:Person>
        </b:NameList>
      </b:Author>
    </b:Author>
    <b:JournalName>Rock Mechanics and Rock Engineering</b:JournalName>
    <b:Pages>1-26</b:Pages>
    <b:DOI>10.1007/s00603-018-1409-1</b:DOI>
    <b:RefOrder>4</b:RefOrder>
  </b:Source>
  <b:Source>
    <b:Tag>Rut12</b:Tag>
    <b:SourceType>JournalArticle</b:SourceType>
    <b:Guid>{FC35017A-84A8-4111-BC2C-E91F79192C03}</b:Guid>
    <b:Author>
      <b:Author>
        <b:NameList>
          <b:Person>
            <b:Last>Rutqvist</b:Last>
            <b:First>J</b:First>
          </b:Person>
        </b:NameList>
      </b:Author>
    </b:Author>
    <b:Title>The Geomechanics of CO2 Storage in Deep Sedimentary Formations</b:Title>
    <b:JournalName>Geotech Geol Eng</b:JournalName>
    <b:Year>2012</b:Year>
    <b:Pages>525-551</b:Pages>
    <b:Volume>30</b:Volume>
    <b:DOI>https://doi.org/10.1007/s10706-011-9491-0</b:DOI>
    <b:RefOrder>5</b:RefOrder>
  </b:Source>
  <b:Source>
    <b:Tag>Bis11</b:Tag>
    <b:SourceType>JournalArticle</b:SourceType>
    <b:Guid>{06DCBB05-55CE-47AD-B8E8-584843BCB95C}</b:Guid>
    <b:Author>
      <b:Author>
        <b:NameList>
          <b:Person>
            <b:Last>Bissell</b:Last>
            <b:First>R.</b:First>
            <b:Middle>C.</b:Middle>
          </b:Person>
          <b:Person>
            <b:Last>Vasco</b:Last>
            <b:First>D.</b:First>
            <b:Middle>W.</b:Middle>
          </b:Person>
          <b:Person>
            <b:Last>Atbi</b:Last>
            <b:First>M.</b:First>
          </b:Person>
          <b:Person>
            <b:Last>Hamdani</b:Last>
            <b:First>M.</b:First>
          </b:Person>
          <b:Person>
            <b:Last>Okwelegbe</b:Last>
            <b:First>M.</b:First>
          </b:Person>
          <b:Person>
            <b:Last>Goldwater</b:Last>
            <b:First>M.</b:First>
            <b:Middle>H.</b:Middle>
          </b:Person>
        </b:NameList>
      </b:Author>
    </b:Author>
    <b:Title>A full field simulation of the In Salah gas production and CO2 storage project using a coupled geo-mechanical and thermal fluid flow simulator</b:Title>
    <b:JournalName>Energy Procedia</b:JournalName>
    <b:Year>2011</b:Year>
    <b:Pages>3290-3297</b:Pages>
    <b:Publisher>Elsevier</b:Publisher>
    <b:Volume>4</b:Volume>
    <b:DOI>https://doi.org/10.1016/j.egypro.2011.02.249</b:DOI>
    <b:RefOrder>6</b:RefOrder>
  </b:Source>
  <b:Source>
    <b:Tag>Ver11</b:Tag>
    <b:SourceType>JournalArticle</b:SourceType>
    <b:Guid>{2817E996-D96F-4D3E-9983-BCBF87E053EE}</b:Guid>
    <b:Author>
      <b:Author>
        <b:NameList>
          <b:Person>
            <b:Last>Verdon</b:Last>
            <b:First>J.</b:First>
            <b:Middle>P.</b:Middle>
          </b:Person>
          <b:Person>
            <b:Last>Kendall</b:Last>
            <b:First>J.</b:First>
            <b:Middle>M.</b:Middle>
          </b:Person>
          <b:Person>
            <b:Last>White</b:Last>
            <b:First>D.</b:First>
            <b:Middle>J.</b:Middle>
          </b:Person>
          <b:Person>
            <b:Last>Angus</b:Last>
            <b:First>D.</b:First>
            <b:Middle>A.</b:Middle>
          </b:Person>
        </b:NameList>
      </b:Author>
    </b:Author>
    <b:Title>Linking microseismic event observations with geomechanical models to minimise the risks of storing CO2 in geological formations</b:Title>
    <b:JournalName>Earth and Planetary Science Letters</b:JournalName>
    <b:Year>2011</b:Year>
    <b:Pages>143-152</b:Pages>
    <b:Volume>305</b:Volume>
    <b:Issue>1-2</b:Issue>
    <b:DOI>https://doi.org/10.1016/j.epsl.2011.02.048</b:DOI>
    <b:RefOrder>7</b:RefOrder>
  </b:Source>
  <b:Source>
    <b:Tag>Zho10</b:Tag>
    <b:SourceType>JournalArticle</b:SourceType>
    <b:Guid>{96E95094-D850-42D9-990C-23C337159FE4}</b:Guid>
    <b:Author>
      <b:Author>
        <b:NameList>
          <b:Person>
            <b:Last>Zhou</b:Last>
            <b:First>Q.</b:First>
          </b:Person>
          <b:Person>
            <b:Last>Birkholzer</b:Last>
            <b:First>J.</b:First>
            <b:Middle>T.</b:Middle>
          </b:Person>
          <b:Person>
            <b:Last>Mehnert</b:Last>
            <b:First>E.,</b:First>
          </b:Person>
          <b:Person>
            <b:Last>Lin</b:Last>
            <b:First>Y.</b:First>
            <b:Middle>F.</b:Middle>
          </b:Person>
          <b:Person>
            <b:Last>Zhang</b:Last>
            <b:First>K</b:First>
          </b:Person>
        </b:NameList>
      </b:Author>
    </b:Author>
    <b:Title>Modeling basin‐and plume‐scale processes of CO2 storage for full‐scale deployment</b:Title>
    <b:JournalName>Groundwater</b:JournalName>
    <b:Year>2010</b:Year>
    <b:Pages>494-514</b:Pages>
    <b:Volume>48</b:Volume>
    <b:Issue>4</b:Issue>
    <b:DOI>https://doi.org/10.1111/j.1745-6584.2009.00657.x</b:DOI>
    <b:RefOrder>8</b:RefOrder>
  </b:Source>
  <b:Source>
    <b:Tag>Bir22</b:Tag>
    <b:SourceType>Misc</b:SourceType>
    <b:Guid>{2BD6166E-28B1-4D12-BC5D-6D874EB7CB42}</b:Guid>
    <b:Author>
      <b:Author>
        <b:NameList>
          <b:Person>
            <b:Last>Birdie</b:Last>
            <b:First>Tiraz</b:First>
          </b:Person>
          <b:Person>
            <b:Last>Holubnyak</b:Last>
            <b:First>Eugene</b:First>
          </b:Person>
          <b:Person>
            <b:Last>Watney</b:Last>
            <b:First>Lynn</b:First>
          </b:Person>
          <b:Person>
            <b:Last>Bidgoli</b:Last>
            <b:First>Tandis</b:First>
          </b:Person>
          <b:Person>
            <b:Last>Hollenbach</b:Last>
            <b:First>Jennifer</b:First>
          </b:Person>
          <b:Person>
            <b:Last>Fazelalavi</b:Last>
            <b:First>Mina</b:First>
          </b:Person>
        </b:NameList>
      </b:Author>
    </b:Author>
    <b:Title>Assessing Induced Seismicity Risk at the Wellington Geologic Sequestration Site</b:Title>
    <b:Year>2022</b:Year>
    <b:RefOrder>41</b:RefOrder>
  </b:Source>
  <b:Source>
    <b:Tag>Chi</b:Tag>
    <b:SourceType>JournalArticle</b:SourceType>
    <b:Guid>{690B97CD-CF65-458F-A464-993189C3F342}</b:Guid>
    <b:Author>
      <b:Author>
        <b:NameList>
          <b:Person>
            <b:Last>Ching</b:Last>
            <b:First>Blanca</b:First>
            <b:Middle>Y.</b:Middle>
          </b:Person>
          <b:Person>
            <b:Last>Friedman</b:Last>
            <b:First>Gerald</b:First>
            <b:Middle>M.</b:Middle>
          </b:Person>
        </b:NameList>
      </b:Author>
    </b:Author>
    <b:Title>Subsurface Arbuckle Group Cambro-Ordovician in the Bowman Well of the Wilburton Field in the Arkoma Basin, Oklahoma; depositional facies, diagenetic signatures, petrophysical aspects, and economic potential</b:Title>
    <b:JournalName>Carbonates and Evaporites</b:JournalName>
    <b:Pages>49-80</b:Pages>
    <b:Volume>15</b:Volume>
    <b:Issue>1</b:Issue>
    <b:DOI>10.1007/bf03175648</b:DOI>
    <b:Year>2000</b:Year>
    <b:RefOrder>38</b:RefOrder>
  </b:Source>
  <b:Source>
    <b:Tag>Rot18</b:Tag>
    <b:SourceType>Report</b:SourceType>
    <b:Guid>{C7F2B104-2FBE-433C-AAB6-6E6267FD195A}</b:Guid>
    <b:Author>
      <b:Author>
        <b:NameList>
          <b:Person>
            <b:Last>Rottmann</b:Last>
            <b:First>K.</b:First>
          </b:Person>
        </b:NameList>
      </b:Author>
    </b:Author>
    <b:Title>Well-Log Characterization of the Arbuckle Group in Central and Northern Oklahoma: Interpretation of the Impact of its Depositional and Post-Depositional History on Injection Induced Seismicity</b:Title>
    <b:Year>2018</b:Year>
    <b:City>Norman</b:City>
    <b:Publisher>OGS</b:Publisher>
    <b:RefOrder>39</b:RefOrder>
  </b:Source>
  <b:Source>
    <b:Tag>Dan09</b:Tag>
    <b:SourceType>JournalArticle</b:SourceType>
    <b:Guid>{F77A03C4-C763-4C8D-876D-F6614120467D}</b:Guid>
    <b:Author>
      <b:Author>
        <b:NameList>
          <b:Person>
            <b:Last>Daneshfar</b:Last>
            <b:First>Jamal</b:First>
          </b:Person>
          <b:Person>
            <b:Last>Hughes</b:Last>
            <b:First>Richard</b:First>
            <b:Middle>G.</b:Middle>
          </b:Person>
          <b:Person>
            <b:Last>Civan</b:Last>
            <b:First>Faruk</b:First>
          </b:Person>
        </b:NameList>
      </b:Author>
    </b:Author>
    <b:Title>Feasibility Investigation and Modeling Analysis of CO2 Sequestration in Arbuckle Formation Utilizing Salt Water Disposal Wells </b:Title>
    <b:JournalName>Journal of Energy Resources Technology</b:JournalName>
    <b:Year>2009</b:Year>
    <b:Pages>023301-10</b:Pages>
    <b:Publisher>ASME</b:Publisher>
    <b:DOI>10.1115/1.3124115</b:DOI>
    <b:RefOrder>40</b:RefOrder>
  </b:Source>
  <b:Source>
    <b:Tag>Okl</b:Tag>
    <b:SourceType>InternetSite</b:SourceType>
    <b:Guid>{4878F0A4-4C1F-4262-BB0F-1AC7456B7D23}</b:Guid>
    <b:Title>Maps</b:Title>
    <b:Author>
      <b:Author>
        <b:NameList>
          <b:Person>
            <b:Last>Oklahoma Geological Survey</b:Last>
          </b:Person>
        </b:NameList>
      </b:Author>
    </b:Author>
    <b:InternetSiteTitle>Basic Oklahoma Maps</b:InternetSiteTitle>
    <b:URL>https://www.ou.edu/ogs/maps</b:URL>
    <b:Year>2022</b:Year>
    <b:Month>06</b:Month>
    <b:Day>12</b:Day>
    <b:RefOrder>55</b:RefOrder>
  </b:Source>
  <b:Source>
    <b:Tag>Bac081</b:Tag>
    <b:SourceType>JournalArticle</b:SourceType>
    <b:Guid>{62370606-B2C2-42FB-838C-99986B7DCDDD}</b:Guid>
    <b:Author>
      <b:Author>
        <b:NameList>
          <b:Person>
            <b:Last>Bachu</b:Last>
            <b:First>S.</b:First>
          </b:Person>
        </b:NameList>
      </b:Author>
    </b:Author>
    <b:Title>Storage in Geological Media: Role, Means, Status and Barriers to Deployment</b:Title>
    <b:JournalName>Process in Energy and Combustion Science</b:JournalName>
    <b:Year>2008</b:Year>
    <b:Pages>254-273</b:Pages>
    <b:RefOrder>22</b:RefOrder>
  </b:Source>
  <b:Source>
    <b:Tag>Ben08</b:Tag>
    <b:SourceType>JournalArticle</b:SourceType>
    <b:Guid>{1C854624-83ED-43AF-B770-3A5AA60AFB4A}</b:Guid>
    <b:Author>
      <b:Author>
        <b:NameList>
          <b:Person>
            <b:Last>Benson</b:Last>
            <b:First>S.</b:First>
          </b:Person>
          <b:Person>
            <b:Last>Cole</b:Last>
            <b:First>D.R.</b:First>
          </b:Person>
        </b:NameList>
      </b:Author>
    </b:Author>
    <b:Title>CO2 Sequestration in Deep Sedimentary Formations</b:Title>
    <b:JournalName>Elements</b:JournalName>
    <b:Year>2008</b:Year>
    <b:Pages>325-331</b:Pages>
    <b:DOI>http://dx.doi.org/10.2113/gselements.4.5.325</b:DOI>
    <b:RefOrder>23</b:RefOrder>
  </b:Source>
  <b:Source>
    <b:Tag>Wik22</b:Tag>
    <b:SourceType>InternetSite</b:SourceType>
    <b:Guid>{AB924487-5E67-44F1-B39E-93C059CD6B5F}</b:Guid>
    <b:Title>Bayesian network</b:Title>
    <b:Year>2022</b:Year>
    <b:Month>Feb</b:Month>
    <b:Day>23</b:Day>
    <b:Author>
      <b:Author>
        <b:NameList>
          <b:Person>
            <b:Last>Wikipedia</b:Last>
          </b:Person>
        </b:NameList>
      </b:Author>
    </b:Author>
    <b:URL>https://simple.wikipedia.org/wiki/Bayesian_network</b:URL>
    <b:RefOrder>56</b:RefOrder>
  </b:Source>
  <b:Source>
    <b:Tag>Bur211</b:Tag>
    <b:SourceType>Misc</b:SourceType>
    <b:Guid>{B81F7C6E-75F3-42DD-A362-DCD1A423952C}</b:Guid>
    <b:Author>
      <b:Author>
        <b:NameList>
          <b:Person>
            <b:Last>Burghardt</b:Last>
            <b:First>Jeff</b:First>
          </b:Person>
        </b:NameList>
      </b:Author>
    </b:Author>
    <b:Title>SOSAT</b:Title>
    <b:Year>2021</b:Year>
    <b:RefOrder>34</b:RefOrder>
  </b:Source>
  <b:Source>
    <b:Tag>EPA</b:Tag>
    <b:SourceType>InternetSite</b:SourceType>
    <b:Guid>{ED3FA27F-9271-43AE-A782-D1B530BB0A9D}</b:Guid>
    <b:Author>
      <b:Author>
        <b:NameList>
          <b:Person>
            <b:Last>EPA</b:Last>
          </b:Person>
        </b:NameList>
      </b:Author>
    </b:Author>
    <b:Title>Subpart UU – Injection of Carbon Dioxide</b:Title>
    <b:InternetSiteTitle>United States Environmental Protection Agency</b:InternetSiteTitle>
    <b:URL>https://www.epa.gov/ghgreporting/subpart-uu-injection-carbon-dioxide#:~:text=This%20rule%20requires%20reporting%20of,purpose%20other%20than%20geologic%20sequestration.</b:URL>
    <b:Year>2021</b:Year>
    <b:RefOrder>24</b:RefOrder>
  </b:Source>
  <b:Source>
    <b:Tag>Chi08</b:Tag>
    <b:SourceType>JournalArticle</b:SourceType>
    <b:Guid>{2BCF5B39-6F4B-4473-BA01-9338BC48BF7A}</b:Guid>
    <b:Title>Seal integrity and feasibility of CO2 sequestration in the Teapot Dome EOR pilot: geomechanical site characterization</b:Title>
    <b:Year>2008</b:Year>
    <b:Author>
      <b:Author>
        <b:NameList>
          <b:Person>
            <b:Last>Chiaramonte</b:Last>
            <b:First>Laura</b:First>
          </b:Person>
          <b:Person>
            <b:Last>Zoback</b:Last>
            <b:First>Mark</b:First>
            <b:Middle>D.</b:Middle>
          </b:Person>
          <b:Person>
            <b:Last>Friedmann</b:Last>
            <b:First>Julio</b:First>
          </b:Person>
          <b:Person>
            <b:Last>Stamp</b:Last>
            <b:First>Vicki</b:First>
          </b:Person>
        </b:NameList>
      </b:Author>
    </b:Author>
    <b:JournalName>Environmental Geology</b:JournalName>
    <b:Pages>1667-1675</b:Pages>
    <b:Volume>54</b:Volume>
    <b:Issue>8</b:Issue>
    <b:URL>https://idp.springer.com/authorize/casa?redirect_uri=https://link.springer.com/article/10.1007/s00254-007-0948-7&amp;casa_token=RqQmuvF-YcYAAAAA:LSGfogyYy-j6rsjltAO9d13GGnjmOzcBCxluyhH6oO2Esl9731kAQqyHwDUUX82kdeOy6p_Sj9VWwmOzNw</b:URL>
    <b:RefOrder>25</b:RefOrder>
  </b:Source>
  <b:Source>
    <b:Tag>Zob03</b:Tag>
    <b:SourceType>JournalArticle</b:SourceType>
    <b:Guid>{5E6BEAB5-C572-4E28-9132-A3EEA6C7D0D5}</b:Guid>
    <b:Author>
      <b:Author>
        <b:NameList>
          <b:Person>
            <b:Last>Zoback</b:Last>
            <b:First>M.</b:First>
            <b:Middle>D.</b:Middle>
          </b:Person>
          <b:Person>
            <b:Last>Barton</b:Last>
            <b:First>C.</b:First>
            <b:Middle>A.</b:Middle>
          </b:Person>
          <b:Person>
            <b:Last>Brudy</b:Last>
            <b:First>M.</b:First>
          </b:Person>
          <b:Person>
            <b:Last>Castillo</b:Last>
            <b:First>D.</b:First>
            <b:Middle>A.</b:Middle>
          </b:Person>
          <b:Person>
            <b:Last>Finkbeiner</b:Last>
            <b:First>T.</b:First>
          </b:Person>
          <b:Person>
            <b:Last>Grollimund</b:Last>
            <b:First>B.</b:First>
            <b:Middle>R.</b:Middle>
          </b:Person>
          <b:Person>
            <b:Last>Moos</b:Last>
            <b:First>D.</b:First>
            <b:Middle>B., Peska, Pl</b:Middle>
          </b:Person>
          <b:Person>
            <b:Last>Ward</b:Last>
            <b:First>C.</b:First>
            <b:Middle>D.</b:Middle>
          </b:Person>
          <b:Person>
            <b:Last>Wiprut</b:Last>
            <b:First>D.</b:First>
            <b:Middle>J.</b:Middle>
          </b:Person>
        </b:NameList>
      </b:Author>
    </b:Author>
    <b:Title>Determination of stress orientation and magnitude in deep wells</b:Title>
    <b:JournalName>International Journal of Rock Mechanics and Mining Sciences</b:JournalName>
    <b:Year>2003</b:Year>
    <b:Pages>1049-1076</b:Pages>
    <b:Volume>40</b:Volume>
    <b:Issue>7-8</b:Issue>
    <b:URL>https://www.sciencedirect.com/science/article/pii/S1365160903001175?casa_token=RYGyEByIyeQAAAAA:tEGwyhOEPIpfGp78Y-skeK_HH0Piy0wDSRIVzJJ2Flh0LQgXAbyG9a0rKw1Td30KaORdxJi_RVM</b:URL>
    <b:RefOrder>26</b:RefOrder>
  </b:Source>
  <b:Source>
    <b:Tag>Bur21</b:Tag>
    <b:SourceType>ConferenceProceedings</b:SourceType>
    <b:Guid>{E18895DF-4046-4657-AB7D-3AD1213FEA5C}</b:Guid>
    <b:Author>
      <b:Author>
        <b:NameList>
          <b:Person>
            <b:Last>Burghardt</b:Last>
            <b:First>Jeff</b:First>
          </b:Person>
          <b:Person>
            <b:Last>Appriou</b:Last>
            <b:First>D</b:First>
          </b:Person>
        </b:NameList>
      </b:Author>
    </b:Author>
    <b:Title>State of Stress Uncertainty Quantification and Geomechanical Risk Analysis for Subsurface Engineering</b:Title>
    <b:Year>2021</b:Year>
    <b:ConferenceName>US Rock Mechanics/Geomechanics Symposium</b:ConferenceName>
    <b:City>Houston, Texas, USA</b:City>
    <b:Publisher>America Rock Mechanics Association</b:Publisher>
    <b:RefOrder>31</b:RefOrder>
  </b:Source>
  <b:Source xmlns:b="http://schemas.openxmlformats.org/officeDocument/2006/bibliography">
    <b:Tag>IEA22</b:Tag>
    <b:SourceType>InternetSite</b:SourceType>
    <b:Guid>{E996DDFA-8AF7-4EE9-9AA5-2DB590C68C02}</b:Guid>
    <b:Title>A Brief History of CCS and Current Status</b:Title>
    <b:Year>2022</b:Year>
    <b:Author>
      <b:Author>
        <b:NameList>
          <b:Person>
            <b:Last>IEAGHG</b:Last>
          </b:Person>
        </b:NameList>
      </b:Author>
    </b:Author>
    <b:InternetSiteTitle>CCS Information Seet</b:InternetSiteTitle>
    <b:URL>https://ieaghg.org/docs/General_Docs/Publications/Information_Sheets_for_CCS_2.pdf</b:URL>
    <b:RefOrder>13</b:RefOrder>
  </b:Source>
  <b:Source>
    <b:Tag>Vad21</b:Tag>
    <b:SourceType>InternetSite</b:SourceType>
    <b:Guid>{E89AAD29-8D62-4ADC-8F76-A27E6514A2C9}</b:Guid>
    <b:Author>
      <b:Author>
        <b:NameList>
          <b:Person>
            <b:Last>Nelidov</b:Last>
            <b:First>Vadim</b:First>
          </b:Person>
        </b:NameList>
      </b:Author>
    </b:Author>
    <b:Title>Doing business, the Bayesian way (Part 1)</b:Title>
    <b:InternetSiteTitle>Data Driven</b:InternetSiteTitle>
    <b:Year>2021</b:Year>
    <b:Month>Novmber</b:Month>
    <b:Day>30</b:Day>
    <b:URL>https://godatadriven.com/blog/doing-business-the-bayesian-way-part-1/ </b:URL>
    <b:RefOrder>11</b:RefOrder>
  </b:Source>
  <b:Source>
    <b:Tag>Rub15</b:Tag>
    <b:SourceType>JournalArticle</b:SourceType>
    <b:Guid>{3429A160-6937-409E-B8FF-AAD59FC13ED0}</b:Guid>
    <b:Author>
      <b:Author>
        <b:NameList>
          <b:Person>
            <b:Last>Rubinstein</b:Last>
            <b:First>Justin</b:First>
            <b:Middle>L.</b:Middle>
          </b:Person>
          <b:Person>
            <b:Last>Mahani</b:Last>
            <b:First>Alireza</b:First>
            <b:Middle>Babaie</b:Middle>
          </b:Person>
        </b:NameList>
      </b:Author>
    </b:Author>
    <b:Title>Myths and Facts on Wastewater Injection, Hydraulic Fracturing, Enhanced Oil Recovery, and Induced Seismicity</b:Title>
    <b:Year>2015</b:Year>
    <b:JournalName>Seismological Research Letters</b:JournalName>
    <b:Pages>1060-1067</b:Pages>
    <b:Volume>86</b:Volume>
    <b:Issue>4</b:Issue>
    <b:DOI> https://doi.org/10.1785/0220150067</b:DOI>
    <b:RefOrder>45</b:RefOrder>
  </b:Source>
  <b:Source>
    <b:Tag>BPS21</b:Tag>
    <b:SourceType>InternetSite</b:SourceType>
    <b:Guid>{85EAD9D3-5FF1-420D-A294-B4FAF866161C}</b:Guid>
    <b:Title>BP Statistical Review of World Energy </b:Title>
    <b:Year>2021</b:Year>
    <b:URL>https://www.bp.com/content/dam/bp/business-sites/en/global/corporate/pdfs/energy-economics/statistical-review/bp-stats-review-2021-full-report.pdf</b:URL>
    <b:RefOrder>1</b:RefOrder>
  </b:Source>
  <b:Source>
    <b:Tag>Glo22</b:Tag>
    <b:SourceType>InternetSite</b:SourceType>
    <b:Guid>{A3DC2F4B-E367-4F10-A52B-9A13CC5CB8FD}</b:Guid>
    <b:Author>
      <b:Author>
        <b:NameList>
          <b:Person>
            <b:Last>Global Change Data Lab</b:Last>
          </b:Person>
        </b:NameList>
      </b:Author>
    </b:Author>
    <b:Title>Our World in Data</b:Title>
    <b:InternetSiteTitle>Annual CO₂ emissions from fossil fuels, by world region</b:InternetSiteTitle>
    <b:Year>2022</b:Year>
    <b:URL>https://ourworldindata.org/grapher/annual-co-emissions-by-region</b:URL>
    <b:RefOrder>2</b:RefOrder>
  </b:Source>
  <b:Source>
    <b:Tag>Int05</b:Tag>
    <b:SourceType>Report</b:SourceType>
    <b:Guid>{178DEC0F-6CAA-4A39-BCF6-FECD2D4EC54B}</b:Guid>
    <b:Title>IPSS Special Report onCarbon Dioxide Capture and Storage</b:Title>
    <b:Year>2005</b:Year>
    <b:URL>https://www.google.com/url?sa=i&amp;url=https%3A%2F%2Fwww.ipcc.ch%2Fsite%2Fassets%2Fuploads%2F2018%2F03%2Fsrccs_wholereport-1.pdf&amp;psig=AOvVaw1RuofI65_dbVAXQFrgAFD-&amp;ust=1667621358339000&amp;source=images&amp;cd=vfe&amp;ved=0CA0QjhxqFwoTCIiRnOjTk_sCFQAAAAAdAAAAABAR</b:URL>
    <b:Author>
      <b:Author>
        <b:NameList>
          <b:Person>
            <b:Last>Intergovernmental Panel on Climate Change</b:Last>
          </b:Person>
        </b:NameList>
      </b:Author>
    </b:Author>
    <b:Publisher>Cambridge University Press</b:Publisher>
    <b:City>New York</b:City>
    <b:RefOrder>14</b:RefOrder>
  </b:Source>
  <b:Source>
    <b:Tag>Sta09</b:Tag>
    <b:SourceType>JournalArticle</b:SourceType>
    <b:Guid>{2D92CD6D-034B-4491-95C0-3BACEDA7C040}</b:Guid>
    <b:Title>A system model for geologic sequestration of carbon dioxide.</b:Title>
    <b:Year>2009</b:Year>
    <b:Author>
      <b:Author>
        <b:NameList>
          <b:Person>
            <b:Last>Stauffer</b:Last>
            <b:First>P.</b:First>
            <b:Middle>H.</b:Middle>
          </b:Person>
          <b:Person>
            <b:Last>Viswanathan</b:Last>
            <b:First>H.</b:First>
            <b:Middle>S.</b:Middle>
          </b:Person>
          <b:Person>
            <b:Last>Pawar</b:Last>
            <b:First>R.</b:First>
            <b:Middle>J.,</b:Middle>
          </b:Person>
          <b:Person>
            <b:Last>Guthrie</b:Last>
            <b:First>G.</b:First>
            <b:Middle>D.</b:Middle>
          </b:Person>
        </b:NameList>
      </b:Author>
    </b:Author>
    <b:JournalName>Environmental Science &amp; Technology</b:JournalName>
    <b:Pages>565-570</b:Pages>
    <b:Volume>43</b:Volume>
    <b:Issue>3</b:Issue>
    <b:DOI>https://doi.org/10.1021/es800403w</b:DOI>
    <b:RefOrder>28</b:RefOrder>
  </b:Source>
  <b:Source>
    <b:Tag>Old09</b:Tag>
    <b:SourceType>JournalArticle</b:SourceType>
    <b:Guid>{189F5707-31EB-462E-8133-1C2C86CAC962}</b:Guid>
    <b:Author>
      <b:Author>
        <b:NameList>
          <b:Person>
            <b:Last>Oldenburg</b:Last>
            <b:First>Curtis</b:First>
            <b:Middle>M.</b:Middle>
          </b:Person>
          <b:Person>
            <b:Last>Bryant</b:Last>
            <b:First>Steven</b:First>
            <b:Middle>L.</b:Middle>
          </b:Person>
          <b:Person>
            <b:Last>Nicot</b:Last>
            <b:First>Jean-Philippe</b:First>
          </b:Person>
        </b:NameList>
      </b:Author>
    </b:Author>
    <b:Title>Certification framework based on effective trapping for geologic carbon sequestration</b:Title>
    <b:JournalName>International Journal of Greenhouse Gas Control</b:JournalName>
    <b:Year>2009</b:Year>
    <b:Pages>444-457</b:Pages>
    <b:Volume>3</b:Volume>
    <b:Issue>4</b:Issue>
    <b:DOI>https://doi.org/10.1016/j.ijggc.2009.02.009</b:DOI>
    <b:RefOrder>29</b:RefOrder>
  </b:Source>
  <b:Source>
    <b:Tag>ALa16</b:Tag>
    <b:SourceType>JournalArticle</b:SourceType>
    <b:Guid>{244812ED-D29E-4AD9-84F2-25767E9A76D9}</b:Guid>
    <b:Author>
      <b:Author>
        <b:NameList>
          <b:Person>
            <b:Last>Lakirouhani</b:Last>
            <b:First>A</b:First>
          </b:Person>
          <b:Person>
            <b:Last>Detournay</b:Last>
            <b:First>E.</b:First>
          </b:Person>
          <b:Person>
            <b:Last>Bunger</b:Last>
            <b:First>A.P.</b:First>
          </b:Person>
        </b:NameList>
      </b:Author>
    </b:Author>
    <b:Title>A reassessment of in situ stress determination by hydraulic fracturing</b:Title>
    <b:JournalName>Geophysical Journal International</b:JournalName>
    <b:Year>2016</b:Year>
    <b:Pages>1859-1873</b:Pages>
    <b:Volume>205</b:Volume>
    <b:Issue>3</b:Issue>
    <b:DOI> https://doi.org/10.1093/gji/ggw132</b:DOI>
    <b:RefOrder>57</b:RefOrder>
  </b:Source>
  <b:Source>
    <b:Tag>Alc181</b:Tag>
    <b:SourceType>JournalArticle</b:SourceType>
    <b:Guid>{CF70BD79-1D56-431C-AF84-144F73B820AD}</b:Guid>
    <b:Author>
      <b:Author>
        <b:NameList>
          <b:Person>
            <b:Last>Alcalde</b:Last>
            <b:First>Juan</b:First>
          </b:Person>
          <b:Person>
            <b:Last>Flude</b:Last>
            <b:First>Stephanie</b:First>
          </b:Person>
          <b:Person>
            <b:Last>Wilkinson</b:Last>
            <b:First>Mark</b:First>
          </b:Person>
          <b:Person>
            <b:Last>Johnson</b:Last>
            <b:First>Gareth</b:First>
          </b:Person>
          <b:Person>
            <b:Last>Edlmann</b:Last>
            <b:First>Katriona</b:First>
          </b:Person>
          <b:Person>
            <b:Last>Bond</b:Last>
            <b:First>Clare</b:First>
            <b:Middle>E.</b:Middle>
          </b:Person>
          <b:Person>
            <b:Last>Scott</b:Last>
            <b:First>Vivian</b:First>
          </b:Person>
          <b:Person>
            <b:Last>Gilfillan</b:Last>
            <b:First>Stuart</b:First>
            <b:Middle>M. V.</b:Middle>
          </b:Person>
          <b:Person>
            <b:Last>Ogaya</b:Last>
            <b:First>Xènia</b:First>
          </b:Person>
          <b:Person>
            <b:Last>Haszeldine</b:Last>
            <b:First>R.</b:First>
            <b:Middle>Stuart</b:Middle>
          </b:Person>
        </b:NameList>
      </b:Author>
    </b:Author>
    <b:Title>Estimating geological CO2 storage security to deliver on climate mitigation</b:Title>
    <b:JournalName>Nature Communications</b:JournalName>
    <b:Year>2018</b:Year>
    <b:Pages>2201</b:Pages>
    <b:Volume>9</b:Volume>
    <b:DOI>https://doi.org/10.1038/s41467-018-04423</b:DOI>
    <b:RefOrder>58</b:RefOrder>
  </b:Source>
  <b:Source>
    <b:Tag>Wei15</b:Tag>
    <b:SourceType>JournalArticle</b:SourceType>
    <b:Guid>{07C97743-ADEB-480A-AC95-195A8F15C339}</b:Guid>
    <b:Author>
      <b:Author>
        <b:NameList>
          <b:Person>
            <b:Last>Weingarten</b:Last>
            <b:First>M.</b:First>
          </b:Person>
          <b:Person>
            <b:Last>Ge</b:Last>
            <b:First>S.</b:First>
          </b:Person>
          <b:Person>
            <b:Last>Godt</b:Last>
            <b:First>J.</b:First>
            <b:Middle>W.</b:Middle>
          </b:Person>
          <b:Person>
            <b:Last>Bekins</b:Last>
            <b:First>B.</b:First>
            <b:Middle>A.</b:Middle>
          </b:Person>
          <b:Person>
            <b:Last>Rubinstein</b:Last>
            <b:First>J.</b:First>
            <b:Middle>L.</b:Middle>
          </b:Person>
        </b:NameList>
      </b:Author>
    </b:Author>
    <b:Title>High-rate injection is associated with the increase in us mid-continent seismicity.</b:Title>
    <b:JournalName>Science</b:JournalName>
    <b:Year>2015</b:Year>
    <b:Pages>1336-1340</b:Pages>
    <b:Volume>348</b:Volume>
    <b:Issue>6241</b:Issue>
    <b:RefOrder>46</b:RefOrder>
  </b:Source>
  <b:Source>
    <b:Tag>Sko18</b:Tag>
    <b:SourceType>JournalArticle</b:SourceType>
    <b:Guid>{2A1D8F48-BC31-41F1-B336-5515BF8F81CC}</b:Guid>
    <b:Author>
      <b:Author>
        <b:NameList>
          <b:Person>
            <b:Last>Skoumal</b:Last>
            <b:First>R.</b:First>
            <b:Middle>J.</b:Middle>
          </b:Person>
          <b:Person>
            <b:Last>Ries</b:Last>
            <b:First>R.</b:First>
          </b:Person>
          <b:Person>
            <b:Last>Brudzinski</b:Last>
            <b:First>M.</b:First>
            <b:Middle>R.</b:Middle>
          </b:Person>
          <b:Person>
            <b:Last>Barbour</b:Last>
            <b:First>A.</b:First>
            <b:Middle>J.</b:Middle>
          </b:Person>
          <b:Person>
            <b:Last>Currie</b:Last>
            <b:First>B.</b:First>
            <b:Middle>S.</b:Middle>
          </b:Person>
        </b:NameList>
      </b:Author>
    </b:Author>
    <b:Title>Earthquakes induced by hydraulic fracturing are pervasive in oklahoma</b:Title>
    <b:JournalName>Journal of Geophysical Research: Solid Earth</b:JournalName>
    <b:Year>2018</b:Year>
    <b:Pages>10-918</b:Pages>
    <b:Volume>123</b:Volume>
    <b:Issue>12</b:Issue>
    <b:RefOrder>47</b:RefOrder>
  </b:Source>
  <b:Source>
    <b:Tag>Kol</b:Tag>
    <b:SourceType>JournalArticle</b:SourceType>
    <b:Guid>{3415DF0A-4658-46A0-804C-302776E91AB7}</b:Guid>
    <b:Author>
      <b:Author>
        <b:NameList>
          <b:Person>
            <b:Last>Kolawole</b:Last>
            <b:First>F</b:First>
          </b:Person>
          <b:Person>
            <b:Last>Johnston</b:Last>
            <b:First>C.</b:First>
            <b:Middle>S.</b:Middle>
          </b:Person>
          <b:Person>
            <b:Last>Morgan</b:Last>
            <b:First>C.</b:First>
            <b:Middle>B.</b:Middle>
          </b:Person>
          <b:Person>
            <b:Last>Chang</b:Last>
            <b:First>J.</b:First>
            <b:Middle>C.</b:Middle>
          </b:Person>
          <b:Person>
            <b:Last>Marfurt</b:Last>
            <b:First>K.</b:First>
            <b:Middle>J.</b:Middle>
          </b:Person>
          <b:Person>
            <b:First>Lockner,</b:First>
            <b:Middle>D. A.</b:Middle>
          </b:Person>
          <b:Person>
            <b:Last>Reches</b:Last>
            <b:First>Z.,</b:First>
          </b:Person>
          <b:Person>
            <b:Last>M.</b:Last>
            <b:First>Carpenter</b:First>
            <b:Middle>B.</b:Middle>
          </b:Person>
        </b:NameList>
      </b:Author>
    </b:Author>
    <b:Title>The susceptibiliy of Oklahoma's basement to seismic reactivation</b:Title>
    <b:JournalName>Nature Geoscience</b:JournalName>
    <b:Pages>839-844</b:Pages>
    <b:Volume>12</b:Volume>
    <b:DOI>https://doi.org/10.1038/s41561-019-0440-5</b:DOI>
    <b:Year>2019</b:Year>
    <b:RefOrder>48</b:RefOrder>
  </b:Source>
  <b:Source>
    <b:Tag>McG17</b:Tag>
    <b:SourceType>JournalArticle</b:SourceType>
    <b:Guid>{7A6742D1-1540-4E3E-8CFB-FE7A489354C6}</b:Guid>
    <b:Author>
      <b:Author>
        <b:NameList>
          <b:Person>
            <b:Last>McGarr</b:Last>
            <b:First>A.</b:First>
          </b:Person>
          <b:Person>
            <b:Last>Barbour</b:Last>
            <b:First>Andrew</b:First>
            <b:Middle>J.</b:Middle>
          </b:Person>
        </b:NameList>
      </b:Author>
    </b:Author>
    <b:Title>Wastewater Disposal and the Earthquake Sequences During 2016 Near Fairview, Pawnee, and Cushing, Oklahoma</b:Title>
    <b:JournalName>Geophysical Research Letters</b:JournalName>
    <b:Year>2017</b:Year>
    <b:Month>September</b:Month>
    <b:Day>28</b:Day>
    <b:Volume>44</b:Volume>
    <b:Issue>18</b:Issue>
    <b:DOI>https://doi.org/10.1002/2017GL075258</b:DOI>
    <b:RefOrder>49</b:RefOrder>
  </b:Source>
  <b:Source>
    <b:Tag>Wal15</b:Tag>
    <b:SourceType>JournalArticle</b:SourceType>
    <b:Guid>{D559D808-D0E2-4640-9385-D6284F4AC96D}</b:Guid>
    <b:Author>
      <b:Author>
        <b:NameList>
          <b:Person>
            <b:Last>Walsh</b:Last>
            <b:First>F</b:First>
            <b:Middle>Rall III</b:Middle>
          </b:Person>
          <b:Person>
            <b:Last>Zoback</b:Last>
            <b:First>Mark</b:First>
            <b:Middle>D</b:Middle>
          </b:Person>
        </b:NameList>
      </b:Author>
    </b:Author>
    <b:Title>Oklahoma’s recent earthquakes and saltwater disposal</b:Title>
    <b:JournalName>Science advances</b:JournalName>
    <b:Year>2015</b:Year>
    <b:Volume>1</b:Volume>
    <b:Issue>5</b:Issue>
    <b:RefOrder>50</b:RefOrder>
  </b:Source>
  <b:Source>
    <b:Tag>Okl21</b:Tag>
    <b:SourceType>InternetSite</b:SourceType>
    <b:Guid>{2ED1E64C-4109-4D21-8680-09649F2F5615}</b:Guid>
    <b:Title>Response to Oklahoma earthquakes</b:Title>
    <b:Year>2021</b:Year>
    <b:Author>
      <b:Author>
        <b:NameList>
          <b:Person>
            <b:Last>Oklahoma Corporation Comission</b:Last>
          </b:Person>
        </b:NameList>
      </b:Author>
    </b:Author>
    <b:InternetSiteTitle>Oklahoma Corporation Comission</b:InternetSiteTitle>
    <b:Month>February</b:Month>
    <b:Day>25</b:Day>
    <b:URL>https://oklahoma.gov/occ/divisions/oil-gas/induced-seismicity-and-uic-department/response-oklahoma-earthquakes.html</b:URL>
    <b:RefOrder>44</b:RefOrder>
  </b:Source>
  <b:Source>
    <b:Tag>Mur13</b:Tag>
    <b:SourceType>JournalArticle</b:SourceType>
    <b:Guid>{00B9404F-BF15-47A0-B7FC-A22BD8E00DCC}</b:Guid>
    <b:Author>
      <b:Author>
        <b:NameList>
          <b:Person>
            <b:Last>Murray</b:Last>
            <b:First>K.</b:First>
            <b:Middle>E.</b:Middle>
          </b:Person>
        </b:NameList>
      </b:Author>
    </b:Author>
    <b:Title>State-scale perspective on water use and production associated with oil</b:Title>
    <b:Year>2013</b:Year>
    <b:JournalName>Environ. Sci. Technol.,</b:JournalName>
    <b:Pages>4918–4925</b:Pages>
    <b:Volume>47</b:Volume>
    <b:Issue>9</b:Issue>
    <b:DOI>https://doi.org/10.1021/es4000593</b:DOI>
    <b:RefOrder>52</b:RefOrder>
  </b:Source>
  <b:Source>
    <b:Tag>She19</b:Tag>
    <b:SourceType>JournalArticle</b:SourceType>
    <b:Guid>{BBBCD911-C897-4571-9478-14489D9B752E}</b:Guid>
    <b:Author>
      <b:Author>
        <b:NameList>
          <b:Person>
            <b:Last>Shemeta J. E.</b:Last>
          </b:Person>
          <b:Person>
            <b:Last>Brooks</b:Last>
            <b:First>C.</b:First>
            <b:Middle>E.</b:Middle>
          </b:Person>
          <b:Person>
            <b:Last>Lord</b:Last>
            <b:First>C.</b:First>
            <b:Middle>C.</b:Middle>
          </b:Person>
        </b:NameList>
      </b:Author>
    </b:Author>
    <b:Title>Well Stimulation Seismicity in Oklahoma:</b:Title>
    <b:JournalName>SEG URTEC Global Meeting</b:JournalName>
    <b:Year>2019</b:Year>
    <b:Pages>95-106</b:Pages>
    <b:DOI>,https://doi.org/10.15530/AP-URTEC-2019-198283</b:DOI>
    <b:RefOrder>53</b:RefOrder>
  </b:Source>
  <b:Source>
    <b:Tag>Jen20</b:Tag>
    <b:SourceType>JournalArticle</b:SourceType>
    <b:Guid>{24E24970-2198-4960-A5C0-7DF426BC0761}</b:Guid>
    <b:Author>
      <b:Author>
        <b:NameList>
          <b:Person>
            <b:Last>Snee</b:Last>
            <b:First>Jens-Erik</b:First>
            <b:Middle>Lund</b:Middle>
          </b:Person>
          <b:Person>
            <b:Last>Zoback</b:Last>
            <b:First>M.</b:First>
          </b:Person>
        </b:NameList>
      </b:Author>
    </b:Author>
    <b:Title>Multiscale variations of the crustal stress field throughout North America</b:Title>
    <b:Year>2020</b:Year>
    <b:Publisher>Stanford University</b:Publisher>
    <b:City>California</b:City>
    <b:JournalName>Nature Communications</b:JournalName>
    <b:Pages>1951</b:Pages>
    <b:Volume>11</b:Volume>
    <b:DOI>, https://doi.org/10.1038/s41467-020-15841-5</b:DOI>
    <b:RefOrder>51</b:RefOrder>
  </b:Source>
  <b:Source>
    <b:Tag>Wik19</b:Tag>
    <b:SourceType>InternetSite</b:SourceType>
    <b:Guid>{7E11C8FD-0C01-4717-9FD2-BB6EE36D0A86}</b:Guid>
    <b:Author>
      <b:Author>
        <b:NameList>
          <b:Person>
            <b:Last>Wikipedia</b:Last>
          </b:Person>
        </b:NameList>
      </b:Author>
    </b:Author>
    <b:Title>Cluster analysis</b:Title>
    <b:Year>2022</b:Year>
    <b:InternetSiteTitle>Wikipedia</b:InternetSiteTitle>
    <b:Month>October</b:Month>
    <b:Day>19</b:Day>
    <b:URL>https://en.wikipedia.org/wiki/Cluster_analysis</b:URL>
    <b:RefOrder>54</b:RefOrder>
  </b:Source>
  <b:Source>
    <b:Tag>Pea18</b:Tag>
    <b:SourceType>InternetSite</b:SourceType>
    <b:Guid>{1FC4BA98-16FF-4A40-884F-CF8B9187F64C}</b:Guid>
    <b:Author>
      <b:Author>
        <b:NameList>
          <b:Person>
            <b:Last>Coyle</b:Last>
            <b:First>Peadar</b:First>
          </b:Person>
        </b:NameList>
      </b:Author>
    </b:Author>
    <b:Title>What is Bayesian Statistics used for?</b:Title>
    <b:InternetSiteTitle>Towards Datascience</b:InternetSiteTitle>
    <b:Year>2018</b:Year>
    <b:Month>Nov</b:Month>
    <b:Day>1</b:Day>
    <b:URL>https://towardsdatascience.com/what-is-bayesian-statistics-used-for-37b91c2c257c</b:URL>
    <b:RefOrder>37</b:RefOrder>
  </b:Source>
  <b:Source>
    <b:Tag>Ope21</b:Tag>
    <b:SourceType>InternetSite</b:SourceType>
    <b:Guid>{F0CDB295-3EDF-4F3E-851B-5F49F32E8686}</b:Guid>
    <b:Author>
      <b:Author>
        <b:NameList>
          <b:Person>
            <b:Last>Open Data Science</b:Last>
          </b:Person>
        </b:NameList>
      </b:Author>
    </b:Author>
    <b:Title>6 Applications of Bayesian Methods That You Should Know</b:Title>
    <b:InternetSiteTitle>Towards Data Science</b:InternetSiteTitle>
    <b:Year>2021</b:Year>
    <b:Month>Aug</b:Month>
    <b:Day>5</b:Day>
    <b:URL>https://odsc.medium.com/6-applications-of-bayesian-methods-that-you-should-know-31553f886fe4</b:URL>
    <b:RefOrder>36</b:RefOrder>
  </b:Source>
  <b:Source>
    <b:Tag>EPA18</b:Tag>
    <b:SourceType>Report</b:SourceType>
    <b:Guid>{20C22BDB-EF43-47F8-BE5D-28BDC3F347CA}</b:Guid>
    <b:Author>
      <b:Author>
        <b:NameList>
          <b:Person>
            <b:Last>EPA</b:Last>
          </b:Person>
        </b:NameList>
      </b:Author>
    </b:Author>
    <b:Title>Geologic Sequenstration of Carbon Dioxide. Underground Injection Control (UIC) Program Class VI Implementaion Manual for UIC Program Directors</b:Title>
    <b:Year>2018</b:Year>
    <b:RefOrder>10</b:RefOrder>
  </b:Source>
  <b:Source>
    <b:Tag>Esp</b:Tag>
    <b:SourceType>DocumentFromInternetSite</b:SourceType>
    <b:Guid>{BC867B35-7D61-4AF1-A08A-7C0CFFF26161}</b:Guid>
    <b:Title>Horizontal Stresses</b:Title>
    <b:URL>https://dnicolasespinoza.github.io/node10.html</b:URL>
    <b:InternetSiteTitle>Introduction to Energy Geomechanics</b:InternetSiteTitle>
    <b:Author>
      <b:Author>
        <b:NameList>
          <b:Person>
            <b:Last>Espinoza</b:Last>
            <b:First>Nicolas</b:First>
            <b:Middle>D.</b:Middle>
          </b:Person>
        </b:NameList>
      </b:Author>
    </b:Author>
    <b:Year>2020</b:Year>
    <b:RefOrder>32</b:RefOrder>
  </b:Source>
  <b:Source>
    <b:Tag>Jaf18</b:Tag>
    <b:SourceType>JournalArticle</b:SourceType>
    <b:Guid>{D980E8A9-3650-4D81-BE33-7C6438CDD263}</b:Guid>
    <b:Title>Stress Regime of Rumaila Oilfield in Southern Iraq from Borehole Breakouts</b:Title>
    <b:Year>2018</b:Year>
    <b:Author>
      <b:Author>
        <b:NameList>
          <b:Person>
            <b:Last>Jaffar</b:Last>
            <b:First>Haider</b:First>
          </b:Person>
          <b:Person>
            <b:Last>Abdulnaby</b:Last>
            <b:First>Wathiq</b:First>
          </b:Person>
        </b:NameList>
      </b:Author>
    </b:Author>
    <b:JournalName>IOSR Journal of Applied Geology and Geophysics</b:JournalName>
    <b:Pages>25-35</b:Pages>
    <b:DOI>10.9790/0990-0604022535</b:DOI>
    <b:RefOrder>33</b:RefOrder>
  </b:Source>
  <b:Source>
    <b:Tag>Sch20</b:Tag>
    <b:SourceType>Report</b:SourceType>
    <b:Guid>{7E70DDDC-E45A-4723-A3B4-5ECE60E4AD0C}</b:Guid>
    <b:Author>
      <b:Author>
        <b:NameList>
          <b:Person>
            <b:Last>Schulz</b:Last>
            <b:First>Marcel</b:First>
          </b:Person>
          <b:Person>
            <b:Last>Müller</b:Last>
            <b:First>Birgit</b:First>
          </b:Person>
          <b:Person>
            <b:Last>Röckel</b:Last>
            <b:First>Thomas</b:First>
          </b:Person>
          <b:Person>
            <b:Last>Schilling</b:Last>
            <b:First>Frank</b:First>
          </b:Person>
        </b:NameList>
      </b:Author>
    </b:Author>
    <b:Title>Analysis of injection data for pore pressure and minimum horizontal stress magnitude estimates in the Arbuckle Formation</b:Title>
    <b:Year>2020</b:Year>
    <b:Department>Institute of Applied Geosciences Division of Technical Petrophysics</b:Department>
    <b:Institution>Karlsruhe Institute of Technology</b:Institution>
    <b:DOI>DOI: 10.5445/IR/1000105298</b:DOI>
    <b:RefOrder>43</b:RefOrder>
  </b:Source>
  <b:Source>
    <b:Tag>DAp19</b:Tag>
    <b:SourceType>Report</b:SourceType>
    <b:Guid>{80B1AD6B-F139-4EA4-813A-C0977F027CC2}</b:Guid>
    <b:Author>
      <b:Author>
        <b:NameList>
          <b:Person>
            <b:Last>Appriou</b:Last>
            <b:First>D</b:First>
          </b:Person>
        </b:NameList>
      </b:Author>
    </b:Author>
    <b:Title>Assessment of the Geomechanical Risks Associated with CO2 Injection at the FutureGen 2.0 Site</b:Title>
    <b:Year>2019</b:Year>
    <b:Publisher>PACIFIC NORTHWEST NATIONAL LABORATORY</b:Publisher>
    <b:RefOrder>35</b:RefOrder>
  </b:Source>
  <b:Source>
    <b:Tag>Int16</b:Tag>
    <b:SourceType>Report</b:SourceType>
    <b:Guid>{476FD541-73D3-4DC9-B27F-F66BC935ED28}</b:Guid>
    <b:Author>
      <b:Author>
        <b:NameList>
          <b:Person>
            <b:Last>International Energy Agency</b:Last>
          </b:Person>
        </b:NameList>
      </b:Author>
    </b:Author>
    <b:Title>20 Years of Carbonn Capture and Storage - Accelerationg Future Deployment</b:Title>
    <b:Year>2016</b:Year>
    <b:Publisher>OEDC/IEA</b:Publisher>
    <b:City>Cedex, France</b:City>
    <b:URL>chrome-extension://efaidnbmnnnibpcajpcglclefindmkaj/https://iea.blob.core.windows.net/assets/24c3d26b-aa44-4b54-b9c0-5201d4d86a04/20YearsofCarbonCaptureandStorage_WEB.pdf</b:URL>
    <b:RefOrder>12</b:RefOrder>
  </b:Source>
  <b:Source>
    <b:Tag>JAW15</b:Tag>
    <b:SourceType>Report</b:SourceType>
    <b:Guid>{DBF503C4-AC95-4F23-B312-D6840CE5A25C}</b:Guid>
    <b:Author>
      <b:Author>
        <b:NameList>
          <b:Person>
            <b:Last>White</b:Last>
            <b:First>J.</b:First>
            <b:Middle>A.</b:Middle>
          </b:Person>
          <b:Person>
            <b:Last>Foxall</b:Last>
            <b:First>W.</b:First>
          </b:Person>
          <b:Person>
            <b:Last>C. Bachmann</b:Last>
            <b:First>L.</b:First>
            <b:Middle>Chiaramonte</b:Middle>
          </b:Person>
          <b:Person>
            <b:Last>Daley</b:Last>
            <b:First>T.</b:First>
          </b:Person>
        </b:NameList>
      </b:Author>
    </b:Author>
    <b:Title>Induced seismicity and carbon storage: Risk assessment and mitigation strategies</b:Title>
    <b:Year>2015</b:Year>
    <b:Publisher>Lawrence Livermore National Security, LLC</b:Publisher>
    <b:RefOrder>30</b:RefOrder>
  </b:Source>
  <b:Source>
    <b:Tag>Bir221</b:Tag>
    <b:SourceType>DocumentFromInternetSite</b:SourceType>
    <b:Guid>{7BF25D94-3E87-4E5A-9122-9216FD3ECAA9}</b:Guid>
    <b:Author>
      <b:Author>
        <b:NameList>
          <b:Person>
            <b:Last>Birdie</b:Last>
            <b:First>Tiraz</b:First>
          </b:Person>
          <b:Person>
            <b:Last>Holubnyak</b:Last>
            <b:First>Eugene</b:First>
          </b:Person>
          <b:Person>
            <b:Last>Watney</b:Last>
            <b:First>Lynn</b:First>
          </b:Person>
          <b:Person>
            <b:Last>Hollenbach</b:Last>
            <b:First>Jennifer</b:First>
          </b:Person>
        </b:NameList>
      </b:Author>
    </b:Author>
    <b:Title>Methodology for Constructing Reservoir Maximum Pore Pressure Maps to Meet Class VI Constraints and Prevent Earthquakes</b:Title>
    <b:Year>2022</b:Year>
    <b:InternetSiteTitle>US Department of Energy</b:InternetSiteTitle>
    <b:Month>11</b:Month>
    <b:Day>25</b:Day>
    <b:URL>https://www.netl.doe.gov/sites/default/files/netl-file/T-Birdie-Methodology-for-Constructing.pdf</b:URL>
    <b:RefOrder>42</b:RefOrder>
  </b:Source>
  <b:Source>
    <b:Tag>Rin19</b:Tag>
    <b:SourceType>JournalArticle</b:SourceType>
    <b:Guid>{4B06AF2E-DEE7-4149-B937-40B2ADBE50F0}</b:Guid>
    <b:Author>
      <b:Author>
        <b:NameList>
          <b:Person>
            <b:Last>Ringrose</b:Last>
            <b:First>P.S.</b:First>
          </b:Person>
          <b:Person>
            <b:Last>Mathieson</b:Last>
            <b:First>A.S.</b:First>
          </b:Person>
          <b:Person>
            <b:Last>Wright</b:Last>
            <b:First>I.W.</b:First>
          </b:Person>
          <b:Person>
            <b:Last>Selama</b:Last>
            <b:First>F.</b:First>
          </b:Person>
          <b:Person>
            <b:Last>Hansen</b:Last>
            <b:First>O.</b:First>
          </b:Person>
          <b:Person>
            <b:Last>Bissell</b:Last>
            <b:First>R.</b:First>
          </b:Person>
          <b:Person>
            <b:Last>Saoula</b:Last>
            <b:First>N.</b:First>
          </b:Person>
          <b:Person>
            <b:Last>Midgley</b:Last>
            <b:First>J.</b:First>
          </b:Person>
        </b:NameList>
      </b:Author>
    </b:Author>
    <b:Title>The In Salah CO2 storage project: lessons learned and knowledge transfer</b:Title>
    <b:Year>2013</b:Year>
    <b:JournalName>Energy Procedia</b:JournalName>
    <b:Pages>6226-6236</b:Pages>
    <b:RefOrder>27</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D2B59612FD0744B0CF484FDF0453BE" ma:contentTypeVersion="5" ma:contentTypeDescription="Create a new document." ma:contentTypeScope="" ma:versionID="e4ac3b89aae78921b1c9258a450db444">
  <xsd:schema xmlns:xsd="http://www.w3.org/2001/XMLSchema" xmlns:xs="http://www.w3.org/2001/XMLSchema" xmlns:p="http://schemas.microsoft.com/office/2006/metadata/properties" xmlns:ns3="b34def8f-ffb5-4e42-adfc-bf46b9ca9135" xmlns:ns4="0813e9be-ccdd-4798-86eb-1a2982593311" targetNamespace="http://schemas.microsoft.com/office/2006/metadata/properties" ma:root="true" ma:fieldsID="f7482c76c0026bd898c1937f500c9618" ns3:_="" ns4:_="">
    <xsd:import namespace="b34def8f-ffb5-4e42-adfc-bf46b9ca9135"/>
    <xsd:import namespace="0813e9be-ccdd-4798-86eb-1a298259331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def8f-ffb5-4e42-adfc-bf46b9ca91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13e9be-ccdd-4798-86eb-1a298259331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04031F-05A1-4C9F-9CBB-58CE7B42061F}">
  <ds:schemaRefs>
    <ds:schemaRef ds:uri="http://schemas.openxmlformats.org/officeDocument/2006/bibliography"/>
  </ds:schemaRefs>
</ds:datastoreItem>
</file>

<file path=customXml/itemProps2.xml><?xml version="1.0" encoding="utf-8"?>
<ds:datastoreItem xmlns:ds="http://schemas.openxmlformats.org/officeDocument/2006/customXml" ds:itemID="{5C6A2819-91D4-40DC-BD5B-C83381310220}">
  <ds:schemaRefs>
    <ds:schemaRef ds:uri="http://schemas.microsoft.com/sharepoint/v3/contenttype/forms"/>
  </ds:schemaRefs>
</ds:datastoreItem>
</file>

<file path=customXml/itemProps3.xml><?xml version="1.0" encoding="utf-8"?>
<ds:datastoreItem xmlns:ds="http://schemas.openxmlformats.org/officeDocument/2006/customXml" ds:itemID="{DF5E8DAD-64A6-43D4-9D2D-96FAA88DFB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def8f-ffb5-4e42-adfc-bf46b9ca9135"/>
    <ds:schemaRef ds:uri="0813e9be-ccdd-4798-86eb-1a29825933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9F8DF5-6777-4DCD-96DD-070FE9F891C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6044</TotalTime>
  <Pages>98</Pages>
  <Words>15679</Words>
  <Characters>89372</Characters>
  <Application>Microsoft Office Word</Application>
  <DocSecurity>0</DocSecurity>
  <Lines>744</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104842</CharactersWithSpaces>
  <SharedDoc>false</SharedDoc>
  <HLinks>
    <vt:vector size="270" baseType="variant">
      <vt:variant>
        <vt:i4>4128837</vt:i4>
      </vt:variant>
      <vt:variant>
        <vt:i4>300</vt:i4>
      </vt:variant>
      <vt:variant>
        <vt:i4>0</vt:i4>
      </vt:variant>
      <vt:variant>
        <vt:i4>5</vt:i4>
      </vt:variant>
      <vt:variant>
        <vt:lpwstr>chrome-extension://efaidnbmnnnibpcajpcglclefindmkaj/https:/www.ipcc.ch/site/assets/uploads/2018/03/srccs_chapter5-1.pdf</vt:lpwstr>
      </vt:variant>
      <vt:variant>
        <vt:lpwstr/>
      </vt:variant>
      <vt:variant>
        <vt:i4>1572913</vt:i4>
      </vt:variant>
      <vt:variant>
        <vt:i4>266</vt:i4>
      </vt:variant>
      <vt:variant>
        <vt:i4>0</vt:i4>
      </vt:variant>
      <vt:variant>
        <vt:i4>5</vt:i4>
      </vt:variant>
      <vt:variant>
        <vt:lpwstr/>
      </vt:variant>
      <vt:variant>
        <vt:lpwstr>_Toc112856706</vt:lpwstr>
      </vt:variant>
      <vt:variant>
        <vt:i4>1572913</vt:i4>
      </vt:variant>
      <vt:variant>
        <vt:i4>260</vt:i4>
      </vt:variant>
      <vt:variant>
        <vt:i4>0</vt:i4>
      </vt:variant>
      <vt:variant>
        <vt:i4>5</vt:i4>
      </vt:variant>
      <vt:variant>
        <vt:lpwstr/>
      </vt:variant>
      <vt:variant>
        <vt:lpwstr>_Toc112856705</vt:lpwstr>
      </vt:variant>
      <vt:variant>
        <vt:i4>1572913</vt:i4>
      </vt:variant>
      <vt:variant>
        <vt:i4>254</vt:i4>
      </vt:variant>
      <vt:variant>
        <vt:i4>0</vt:i4>
      </vt:variant>
      <vt:variant>
        <vt:i4>5</vt:i4>
      </vt:variant>
      <vt:variant>
        <vt:lpwstr/>
      </vt:variant>
      <vt:variant>
        <vt:lpwstr>_Toc112856704</vt:lpwstr>
      </vt:variant>
      <vt:variant>
        <vt:i4>1572913</vt:i4>
      </vt:variant>
      <vt:variant>
        <vt:i4>248</vt:i4>
      </vt:variant>
      <vt:variant>
        <vt:i4>0</vt:i4>
      </vt:variant>
      <vt:variant>
        <vt:i4>5</vt:i4>
      </vt:variant>
      <vt:variant>
        <vt:lpwstr/>
      </vt:variant>
      <vt:variant>
        <vt:lpwstr>_Toc112856703</vt:lpwstr>
      </vt:variant>
      <vt:variant>
        <vt:i4>1835056</vt:i4>
      </vt:variant>
      <vt:variant>
        <vt:i4>239</vt:i4>
      </vt:variant>
      <vt:variant>
        <vt:i4>0</vt:i4>
      </vt:variant>
      <vt:variant>
        <vt:i4>5</vt:i4>
      </vt:variant>
      <vt:variant>
        <vt:lpwstr/>
      </vt:variant>
      <vt:variant>
        <vt:lpwstr>_Toc112856642</vt:lpwstr>
      </vt:variant>
      <vt:variant>
        <vt:i4>1835056</vt:i4>
      </vt:variant>
      <vt:variant>
        <vt:i4>233</vt:i4>
      </vt:variant>
      <vt:variant>
        <vt:i4>0</vt:i4>
      </vt:variant>
      <vt:variant>
        <vt:i4>5</vt:i4>
      </vt:variant>
      <vt:variant>
        <vt:lpwstr/>
      </vt:variant>
      <vt:variant>
        <vt:lpwstr>_Toc112856641</vt:lpwstr>
      </vt:variant>
      <vt:variant>
        <vt:i4>1835056</vt:i4>
      </vt:variant>
      <vt:variant>
        <vt:i4>227</vt:i4>
      </vt:variant>
      <vt:variant>
        <vt:i4>0</vt:i4>
      </vt:variant>
      <vt:variant>
        <vt:i4>5</vt:i4>
      </vt:variant>
      <vt:variant>
        <vt:lpwstr/>
      </vt:variant>
      <vt:variant>
        <vt:lpwstr>_Toc112856640</vt:lpwstr>
      </vt:variant>
      <vt:variant>
        <vt:i4>1769520</vt:i4>
      </vt:variant>
      <vt:variant>
        <vt:i4>221</vt:i4>
      </vt:variant>
      <vt:variant>
        <vt:i4>0</vt:i4>
      </vt:variant>
      <vt:variant>
        <vt:i4>5</vt:i4>
      </vt:variant>
      <vt:variant>
        <vt:lpwstr/>
      </vt:variant>
      <vt:variant>
        <vt:lpwstr>_Toc112856639</vt:lpwstr>
      </vt:variant>
      <vt:variant>
        <vt:i4>1769520</vt:i4>
      </vt:variant>
      <vt:variant>
        <vt:i4>215</vt:i4>
      </vt:variant>
      <vt:variant>
        <vt:i4>0</vt:i4>
      </vt:variant>
      <vt:variant>
        <vt:i4>5</vt:i4>
      </vt:variant>
      <vt:variant>
        <vt:lpwstr/>
      </vt:variant>
      <vt:variant>
        <vt:lpwstr>_Toc112856638</vt:lpwstr>
      </vt:variant>
      <vt:variant>
        <vt:i4>1769520</vt:i4>
      </vt:variant>
      <vt:variant>
        <vt:i4>209</vt:i4>
      </vt:variant>
      <vt:variant>
        <vt:i4>0</vt:i4>
      </vt:variant>
      <vt:variant>
        <vt:i4>5</vt:i4>
      </vt:variant>
      <vt:variant>
        <vt:lpwstr/>
      </vt:variant>
      <vt:variant>
        <vt:lpwstr>_Toc112856637</vt:lpwstr>
      </vt:variant>
      <vt:variant>
        <vt:i4>1769520</vt:i4>
      </vt:variant>
      <vt:variant>
        <vt:i4>203</vt:i4>
      </vt:variant>
      <vt:variant>
        <vt:i4>0</vt:i4>
      </vt:variant>
      <vt:variant>
        <vt:i4>5</vt:i4>
      </vt:variant>
      <vt:variant>
        <vt:lpwstr/>
      </vt:variant>
      <vt:variant>
        <vt:lpwstr>_Toc112856636</vt:lpwstr>
      </vt:variant>
      <vt:variant>
        <vt:i4>1769520</vt:i4>
      </vt:variant>
      <vt:variant>
        <vt:i4>197</vt:i4>
      </vt:variant>
      <vt:variant>
        <vt:i4>0</vt:i4>
      </vt:variant>
      <vt:variant>
        <vt:i4>5</vt:i4>
      </vt:variant>
      <vt:variant>
        <vt:lpwstr/>
      </vt:variant>
      <vt:variant>
        <vt:lpwstr>_Toc112856635</vt:lpwstr>
      </vt:variant>
      <vt:variant>
        <vt:i4>1769520</vt:i4>
      </vt:variant>
      <vt:variant>
        <vt:i4>191</vt:i4>
      </vt:variant>
      <vt:variant>
        <vt:i4>0</vt:i4>
      </vt:variant>
      <vt:variant>
        <vt:i4>5</vt:i4>
      </vt:variant>
      <vt:variant>
        <vt:lpwstr/>
      </vt:variant>
      <vt:variant>
        <vt:lpwstr>_Toc112856634</vt:lpwstr>
      </vt:variant>
      <vt:variant>
        <vt:i4>1769520</vt:i4>
      </vt:variant>
      <vt:variant>
        <vt:i4>185</vt:i4>
      </vt:variant>
      <vt:variant>
        <vt:i4>0</vt:i4>
      </vt:variant>
      <vt:variant>
        <vt:i4>5</vt:i4>
      </vt:variant>
      <vt:variant>
        <vt:lpwstr/>
      </vt:variant>
      <vt:variant>
        <vt:lpwstr>_Toc112856633</vt:lpwstr>
      </vt:variant>
      <vt:variant>
        <vt:i4>1769520</vt:i4>
      </vt:variant>
      <vt:variant>
        <vt:i4>179</vt:i4>
      </vt:variant>
      <vt:variant>
        <vt:i4>0</vt:i4>
      </vt:variant>
      <vt:variant>
        <vt:i4>5</vt:i4>
      </vt:variant>
      <vt:variant>
        <vt:lpwstr/>
      </vt:variant>
      <vt:variant>
        <vt:lpwstr>_Toc112856632</vt:lpwstr>
      </vt:variant>
      <vt:variant>
        <vt:i4>1769520</vt:i4>
      </vt:variant>
      <vt:variant>
        <vt:i4>173</vt:i4>
      </vt:variant>
      <vt:variant>
        <vt:i4>0</vt:i4>
      </vt:variant>
      <vt:variant>
        <vt:i4>5</vt:i4>
      </vt:variant>
      <vt:variant>
        <vt:lpwstr/>
      </vt:variant>
      <vt:variant>
        <vt:lpwstr>_Toc112856631</vt:lpwstr>
      </vt:variant>
      <vt:variant>
        <vt:i4>1769520</vt:i4>
      </vt:variant>
      <vt:variant>
        <vt:i4>167</vt:i4>
      </vt:variant>
      <vt:variant>
        <vt:i4>0</vt:i4>
      </vt:variant>
      <vt:variant>
        <vt:i4>5</vt:i4>
      </vt:variant>
      <vt:variant>
        <vt:lpwstr/>
      </vt:variant>
      <vt:variant>
        <vt:lpwstr>_Toc112856630</vt:lpwstr>
      </vt:variant>
      <vt:variant>
        <vt:i4>1703984</vt:i4>
      </vt:variant>
      <vt:variant>
        <vt:i4>161</vt:i4>
      </vt:variant>
      <vt:variant>
        <vt:i4>0</vt:i4>
      </vt:variant>
      <vt:variant>
        <vt:i4>5</vt:i4>
      </vt:variant>
      <vt:variant>
        <vt:lpwstr/>
      </vt:variant>
      <vt:variant>
        <vt:lpwstr>_Toc112856629</vt:lpwstr>
      </vt:variant>
      <vt:variant>
        <vt:i4>1703984</vt:i4>
      </vt:variant>
      <vt:variant>
        <vt:i4>155</vt:i4>
      </vt:variant>
      <vt:variant>
        <vt:i4>0</vt:i4>
      </vt:variant>
      <vt:variant>
        <vt:i4>5</vt:i4>
      </vt:variant>
      <vt:variant>
        <vt:lpwstr/>
      </vt:variant>
      <vt:variant>
        <vt:lpwstr>_Toc112856628</vt:lpwstr>
      </vt:variant>
      <vt:variant>
        <vt:i4>1703984</vt:i4>
      </vt:variant>
      <vt:variant>
        <vt:i4>149</vt:i4>
      </vt:variant>
      <vt:variant>
        <vt:i4>0</vt:i4>
      </vt:variant>
      <vt:variant>
        <vt:i4>5</vt:i4>
      </vt:variant>
      <vt:variant>
        <vt:lpwstr/>
      </vt:variant>
      <vt:variant>
        <vt:lpwstr>_Toc112856627</vt:lpwstr>
      </vt:variant>
      <vt:variant>
        <vt:i4>1703984</vt:i4>
      </vt:variant>
      <vt:variant>
        <vt:i4>143</vt:i4>
      </vt:variant>
      <vt:variant>
        <vt:i4>0</vt:i4>
      </vt:variant>
      <vt:variant>
        <vt:i4>5</vt:i4>
      </vt:variant>
      <vt:variant>
        <vt:lpwstr/>
      </vt:variant>
      <vt:variant>
        <vt:lpwstr>_Toc112856626</vt:lpwstr>
      </vt:variant>
      <vt:variant>
        <vt:i4>1703984</vt:i4>
      </vt:variant>
      <vt:variant>
        <vt:i4>137</vt:i4>
      </vt:variant>
      <vt:variant>
        <vt:i4>0</vt:i4>
      </vt:variant>
      <vt:variant>
        <vt:i4>5</vt:i4>
      </vt:variant>
      <vt:variant>
        <vt:lpwstr/>
      </vt:variant>
      <vt:variant>
        <vt:lpwstr>_Toc112856625</vt:lpwstr>
      </vt:variant>
      <vt:variant>
        <vt:i4>1703984</vt:i4>
      </vt:variant>
      <vt:variant>
        <vt:i4>131</vt:i4>
      </vt:variant>
      <vt:variant>
        <vt:i4>0</vt:i4>
      </vt:variant>
      <vt:variant>
        <vt:i4>5</vt:i4>
      </vt:variant>
      <vt:variant>
        <vt:lpwstr/>
      </vt:variant>
      <vt:variant>
        <vt:lpwstr>_Toc112856624</vt:lpwstr>
      </vt:variant>
      <vt:variant>
        <vt:i4>2031665</vt:i4>
      </vt:variant>
      <vt:variant>
        <vt:i4>122</vt:i4>
      </vt:variant>
      <vt:variant>
        <vt:i4>0</vt:i4>
      </vt:variant>
      <vt:variant>
        <vt:i4>5</vt:i4>
      </vt:variant>
      <vt:variant>
        <vt:lpwstr/>
      </vt:variant>
      <vt:variant>
        <vt:lpwstr>_Toc112856773</vt:lpwstr>
      </vt:variant>
      <vt:variant>
        <vt:i4>2031665</vt:i4>
      </vt:variant>
      <vt:variant>
        <vt:i4>116</vt:i4>
      </vt:variant>
      <vt:variant>
        <vt:i4>0</vt:i4>
      </vt:variant>
      <vt:variant>
        <vt:i4>5</vt:i4>
      </vt:variant>
      <vt:variant>
        <vt:lpwstr/>
      </vt:variant>
      <vt:variant>
        <vt:lpwstr>_Toc112856772</vt:lpwstr>
      </vt:variant>
      <vt:variant>
        <vt:i4>2031665</vt:i4>
      </vt:variant>
      <vt:variant>
        <vt:i4>110</vt:i4>
      </vt:variant>
      <vt:variant>
        <vt:i4>0</vt:i4>
      </vt:variant>
      <vt:variant>
        <vt:i4>5</vt:i4>
      </vt:variant>
      <vt:variant>
        <vt:lpwstr/>
      </vt:variant>
      <vt:variant>
        <vt:lpwstr>_Toc112856771</vt:lpwstr>
      </vt:variant>
      <vt:variant>
        <vt:i4>2031665</vt:i4>
      </vt:variant>
      <vt:variant>
        <vt:i4>104</vt:i4>
      </vt:variant>
      <vt:variant>
        <vt:i4>0</vt:i4>
      </vt:variant>
      <vt:variant>
        <vt:i4>5</vt:i4>
      </vt:variant>
      <vt:variant>
        <vt:lpwstr/>
      </vt:variant>
      <vt:variant>
        <vt:lpwstr>_Toc112856770</vt:lpwstr>
      </vt:variant>
      <vt:variant>
        <vt:i4>1966129</vt:i4>
      </vt:variant>
      <vt:variant>
        <vt:i4>98</vt:i4>
      </vt:variant>
      <vt:variant>
        <vt:i4>0</vt:i4>
      </vt:variant>
      <vt:variant>
        <vt:i4>5</vt:i4>
      </vt:variant>
      <vt:variant>
        <vt:lpwstr/>
      </vt:variant>
      <vt:variant>
        <vt:lpwstr>_Toc112856769</vt:lpwstr>
      </vt:variant>
      <vt:variant>
        <vt:i4>1966129</vt:i4>
      </vt:variant>
      <vt:variant>
        <vt:i4>92</vt:i4>
      </vt:variant>
      <vt:variant>
        <vt:i4>0</vt:i4>
      </vt:variant>
      <vt:variant>
        <vt:i4>5</vt:i4>
      </vt:variant>
      <vt:variant>
        <vt:lpwstr/>
      </vt:variant>
      <vt:variant>
        <vt:lpwstr>_Toc112856768</vt:lpwstr>
      </vt:variant>
      <vt:variant>
        <vt:i4>1966129</vt:i4>
      </vt:variant>
      <vt:variant>
        <vt:i4>86</vt:i4>
      </vt:variant>
      <vt:variant>
        <vt:i4>0</vt:i4>
      </vt:variant>
      <vt:variant>
        <vt:i4>5</vt:i4>
      </vt:variant>
      <vt:variant>
        <vt:lpwstr/>
      </vt:variant>
      <vt:variant>
        <vt:lpwstr>_Toc112856767</vt:lpwstr>
      </vt:variant>
      <vt:variant>
        <vt:i4>1966129</vt:i4>
      </vt:variant>
      <vt:variant>
        <vt:i4>80</vt:i4>
      </vt:variant>
      <vt:variant>
        <vt:i4>0</vt:i4>
      </vt:variant>
      <vt:variant>
        <vt:i4>5</vt:i4>
      </vt:variant>
      <vt:variant>
        <vt:lpwstr/>
      </vt:variant>
      <vt:variant>
        <vt:lpwstr>_Toc112856766</vt:lpwstr>
      </vt:variant>
      <vt:variant>
        <vt:i4>1966129</vt:i4>
      </vt:variant>
      <vt:variant>
        <vt:i4>74</vt:i4>
      </vt:variant>
      <vt:variant>
        <vt:i4>0</vt:i4>
      </vt:variant>
      <vt:variant>
        <vt:i4>5</vt:i4>
      </vt:variant>
      <vt:variant>
        <vt:lpwstr/>
      </vt:variant>
      <vt:variant>
        <vt:lpwstr>_Toc112856765</vt:lpwstr>
      </vt:variant>
      <vt:variant>
        <vt:i4>1966129</vt:i4>
      </vt:variant>
      <vt:variant>
        <vt:i4>68</vt:i4>
      </vt:variant>
      <vt:variant>
        <vt:i4>0</vt:i4>
      </vt:variant>
      <vt:variant>
        <vt:i4>5</vt:i4>
      </vt:variant>
      <vt:variant>
        <vt:lpwstr/>
      </vt:variant>
      <vt:variant>
        <vt:lpwstr>_Toc112856764</vt:lpwstr>
      </vt:variant>
      <vt:variant>
        <vt:i4>1966129</vt:i4>
      </vt:variant>
      <vt:variant>
        <vt:i4>62</vt:i4>
      </vt:variant>
      <vt:variant>
        <vt:i4>0</vt:i4>
      </vt:variant>
      <vt:variant>
        <vt:i4>5</vt:i4>
      </vt:variant>
      <vt:variant>
        <vt:lpwstr/>
      </vt:variant>
      <vt:variant>
        <vt:lpwstr>_Toc112856763</vt:lpwstr>
      </vt:variant>
      <vt:variant>
        <vt:i4>1966129</vt:i4>
      </vt:variant>
      <vt:variant>
        <vt:i4>56</vt:i4>
      </vt:variant>
      <vt:variant>
        <vt:i4>0</vt:i4>
      </vt:variant>
      <vt:variant>
        <vt:i4>5</vt:i4>
      </vt:variant>
      <vt:variant>
        <vt:lpwstr/>
      </vt:variant>
      <vt:variant>
        <vt:lpwstr>_Toc112856762</vt:lpwstr>
      </vt:variant>
      <vt:variant>
        <vt:i4>1966129</vt:i4>
      </vt:variant>
      <vt:variant>
        <vt:i4>50</vt:i4>
      </vt:variant>
      <vt:variant>
        <vt:i4>0</vt:i4>
      </vt:variant>
      <vt:variant>
        <vt:i4>5</vt:i4>
      </vt:variant>
      <vt:variant>
        <vt:lpwstr/>
      </vt:variant>
      <vt:variant>
        <vt:lpwstr>_Toc112856761</vt:lpwstr>
      </vt:variant>
      <vt:variant>
        <vt:i4>1966129</vt:i4>
      </vt:variant>
      <vt:variant>
        <vt:i4>44</vt:i4>
      </vt:variant>
      <vt:variant>
        <vt:i4>0</vt:i4>
      </vt:variant>
      <vt:variant>
        <vt:i4>5</vt:i4>
      </vt:variant>
      <vt:variant>
        <vt:lpwstr/>
      </vt:variant>
      <vt:variant>
        <vt:lpwstr>_Toc112856760</vt:lpwstr>
      </vt:variant>
      <vt:variant>
        <vt:i4>1900593</vt:i4>
      </vt:variant>
      <vt:variant>
        <vt:i4>38</vt:i4>
      </vt:variant>
      <vt:variant>
        <vt:i4>0</vt:i4>
      </vt:variant>
      <vt:variant>
        <vt:i4>5</vt:i4>
      </vt:variant>
      <vt:variant>
        <vt:lpwstr/>
      </vt:variant>
      <vt:variant>
        <vt:lpwstr>_Toc112856759</vt:lpwstr>
      </vt:variant>
      <vt:variant>
        <vt:i4>1900593</vt:i4>
      </vt:variant>
      <vt:variant>
        <vt:i4>32</vt:i4>
      </vt:variant>
      <vt:variant>
        <vt:i4>0</vt:i4>
      </vt:variant>
      <vt:variant>
        <vt:i4>5</vt:i4>
      </vt:variant>
      <vt:variant>
        <vt:lpwstr/>
      </vt:variant>
      <vt:variant>
        <vt:lpwstr>_Toc112856758</vt:lpwstr>
      </vt:variant>
      <vt:variant>
        <vt:i4>1900593</vt:i4>
      </vt:variant>
      <vt:variant>
        <vt:i4>26</vt:i4>
      </vt:variant>
      <vt:variant>
        <vt:i4>0</vt:i4>
      </vt:variant>
      <vt:variant>
        <vt:i4>5</vt:i4>
      </vt:variant>
      <vt:variant>
        <vt:lpwstr/>
      </vt:variant>
      <vt:variant>
        <vt:lpwstr>_Toc112856757</vt:lpwstr>
      </vt:variant>
      <vt:variant>
        <vt:i4>1900593</vt:i4>
      </vt:variant>
      <vt:variant>
        <vt:i4>20</vt:i4>
      </vt:variant>
      <vt:variant>
        <vt:i4>0</vt:i4>
      </vt:variant>
      <vt:variant>
        <vt:i4>5</vt:i4>
      </vt:variant>
      <vt:variant>
        <vt:lpwstr/>
      </vt:variant>
      <vt:variant>
        <vt:lpwstr>_Toc112856756</vt:lpwstr>
      </vt:variant>
      <vt:variant>
        <vt:i4>1900593</vt:i4>
      </vt:variant>
      <vt:variant>
        <vt:i4>14</vt:i4>
      </vt:variant>
      <vt:variant>
        <vt:i4>0</vt:i4>
      </vt:variant>
      <vt:variant>
        <vt:i4>5</vt:i4>
      </vt:variant>
      <vt:variant>
        <vt:lpwstr/>
      </vt:variant>
      <vt:variant>
        <vt:lpwstr>_Toc112856755</vt:lpwstr>
      </vt:variant>
      <vt:variant>
        <vt:i4>1900593</vt:i4>
      </vt:variant>
      <vt:variant>
        <vt:i4>8</vt:i4>
      </vt:variant>
      <vt:variant>
        <vt:i4>0</vt:i4>
      </vt:variant>
      <vt:variant>
        <vt:i4>5</vt:i4>
      </vt:variant>
      <vt:variant>
        <vt:lpwstr/>
      </vt:variant>
      <vt:variant>
        <vt:lpwstr>_Toc112856754</vt:lpwstr>
      </vt:variant>
      <vt:variant>
        <vt:i4>1900593</vt:i4>
      </vt:variant>
      <vt:variant>
        <vt:i4>2</vt:i4>
      </vt:variant>
      <vt:variant>
        <vt:i4>0</vt:i4>
      </vt:variant>
      <vt:variant>
        <vt:i4>5</vt:i4>
      </vt:variant>
      <vt:variant>
        <vt:lpwstr/>
      </vt:variant>
      <vt:variant>
        <vt:lpwstr>_Toc112856753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Ochie, Kare</dc:creator>
  <cp:keywords/>
  <dc:description/>
  <cp:lastModifiedBy>Ochie, Karen</cp:lastModifiedBy>
  <cp:revision>48</cp:revision>
  <cp:lastPrinted>2022-12-08T21:48:00Z</cp:lastPrinted>
  <dcterms:created xsi:type="dcterms:W3CDTF">2022-11-08T20:30:00Z</dcterms:created>
  <dcterms:modified xsi:type="dcterms:W3CDTF">2022-12-08T21:54:00Z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0x01010035D2B59612FD0744B0CF484FDF0453BE</vt:lpwstr>
  </property>
</Properties>
</file>