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69CE16" w14:textId="77777777" w:rsidR="0069567A" w:rsidRPr="003E342A" w:rsidRDefault="0069567A" w:rsidP="0069567A">
      <w:pPr>
        <w:jc w:val="center"/>
        <w:rPr>
          <w:rFonts w:ascii="Times New Roman" w:hAnsi="Times New Roman" w:cs="Times New Roman"/>
          <w:b/>
          <w:sz w:val="24"/>
          <w:szCs w:val="24"/>
        </w:rPr>
      </w:pPr>
      <w:bookmarkStart w:id="0" w:name="_GoBack"/>
      <w:bookmarkEnd w:id="0"/>
    </w:p>
    <w:p w14:paraId="3C142830"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t>UNIVERSITY OF OKLAHOMA</w:t>
      </w:r>
    </w:p>
    <w:p w14:paraId="6C569F90"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t>GRADUATE COLLEGE</w:t>
      </w:r>
    </w:p>
    <w:p w14:paraId="52344741" w14:textId="77777777" w:rsidR="0069567A" w:rsidRPr="003E342A" w:rsidRDefault="0069567A" w:rsidP="0069567A">
      <w:pPr>
        <w:pStyle w:val="xmsonormal"/>
        <w:shd w:val="clear" w:color="auto" w:fill="FFFFFF"/>
        <w:spacing w:before="0" w:beforeAutospacing="0" w:after="0" w:afterAutospacing="0" w:line="480" w:lineRule="auto"/>
        <w:jc w:val="center"/>
      </w:pPr>
    </w:p>
    <w:p w14:paraId="3A9E70D7" w14:textId="77777777" w:rsidR="0069567A" w:rsidRPr="003E342A" w:rsidRDefault="0069567A" w:rsidP="0069567A">
      <w:pPr>
        <w:pStyle w:val="xmsonormal"/>
        <w:shd w:val="clear" w:color="auto" w:fill="FFFFFF"/>
        <w:spacing w:before="0" w:beforeAutospacing="0" w:after="0" w:afterAutospacing="0" w:line="480" w:lineRule="auto"/>
        <w:jc w:val="center"/>
      </w:pPr>
    </w:p>
    <w:p w14:paraId="6B5BB4FB" w14:textId="77777777" w:rsidR="0069567A" w:rsidRPr="003E342A" w:rsidRDefault="0069567A" w:rsidP="0069567A">
      <w:pPr>
        <w:pStyle w:val="xmsonormal"/>
        <w:shd w:val="clear" w:color="auto" w:fill="FFFFFF"/>
        <w:spacing w:before="0" w:beforeAutospacing="0" w:after="0" w:afterAutospacing="0" w:line="480" w:lineRule="auto"/>
        <w:jc w:val="center"/>
      </w:pPr>
    </w:p>
    <w:p w14:paraId="383AE8F6"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rPr>
          <w:i/>
          <w:iCs/>
        </w:rPr>
        <w:t>HEALTHY INSTITUTIONS</w:t>
      </w:r>
      <w:r w:rsidRPr="003E342A">
        <w:t xml:space="preserve">: TECHNOCRACY, </w:t>
      </w:r>
      <w:r w:rsidRPr="003E342A">
        <w:br/>
        <w:t>DEMOCRACY, AND LEGITIMACY IN EU GMO REGULATION</w:t>
      </w:r>
    </w:p>
    <w:p w14:paraId="4707EEDF" w14:textId="77777777" w:rsidR="0069567A" w:rsidRPr="003E342A" w:rsidRDefault="0069567A" w:rsidP="0069567A">
      <w:pPr>
        <w:pStyle w:val="xmsonormal"/>
        <w:shd w:val="clear" w:color="auto" w:fill="FFFFFF"/>
        <w:spacing w:before="0" w:beforeAutospacing="0" w:after="0" w:afterAutospacing="0" w:line="480" w:lineRule="auto"/>
        <w:jc w:val="center"/>
      </w:pPr>
    </w:p>
    <w:p w14:paraId="1663C21F" w14:textId="77777777" w:rsidR="0069567A" w:rsidRPr="003E342A" w:rsidRDefault="0069567A" w:rsidP="0069567A">
      <w:pPr>
        <w:pStyle w:val="xmsonormal"/>
        <w:shd w:val="clear" w:color="auto" w:fill="FFFFFF"/>
        <w:spacing w:before="0" w:beforeAutospacing="0" w:after="0" w:afterAutospacing="0" w:line="480" w:lineRule="auto"/>
        <w:jc w:val="center"/>
      </w:pPr>
    </w:p>
    <w:p w14:paraId="0C1AE253"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t>A THESIS</w:t>
      </w:r>
    </w:p>
    <w:p w14:paraId="7E69536E"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t>SUBMITTED TO THE GRADUATE FACULTY</w:t>
      </w:r>
    </w:p>
    <w:p w14:paraId="29B29587"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t>in partial fulfillment of the requirements for the</w:t>
      </w:r>
    </w:p>
    <w:p w14:paraId="431F2B8B" w14:textId="77777777" w:rsidR="0069567A" w:rsidRPr="003E342A" w:rsidRDefault="0069567A" w:rsidP="0069567A">
      <w:pPr>
        <w:pStyle w:val="xmsonormal"/>
        <w:shd w:val="clear" w:color="auto" w:fill="FFFFFF"/>
        <w:spacing w:before="0" w:beforeAutospacing="0" w:after="0" w:afterAutospacing="0" w:line="480" w:lineRule="auto"/>
        <w:jc w:val="center"/>
      </w:pPr>
      <w:r w:rsidRPr="003E342A">
        <w:t>Degree of</w:t>
      </w:r>
    </w:p>
    <w:p w14:paraId="1DD6429F" w14:textId="2787F472" w:rsidR="0069567A" w:rsidRPr="003E342A" w:rsidRDefault="0069567A" w:rsidP="0069567A">
      <w:pPr>
        <w:pStyle w:val="xmsonormal"/>
        <w:shd w:val="clear" w:color="auto" w:fill="FFFFFF"/>
        <w:spacing w:before="0" w:beforeAutospacing="0" w:after="0" w:afterAutospacing="0" w:line="480" w:lineRule="auto"/>
        <w:jc w:val="center"/>
      </w:pPr>
      <w:r w:rsidRPr="003E342A">
        <w:t>MASTER OF ARTS</w:t>
      </w:r>
      <w:r w:rsidR="009470FF">
        <w:t xml:space="preserve"> IN INTERNATIONAL STUDIES</w:t>
      </w:r>
    </w:p>
    <w:p w14:paraId="3FC6A068" w14:textId="77777777" w:rsidR="0069567A" w:rsidRPr="003E342A" w:rsidRDefault="0069567A" w:rsidP="0069567A">
      <w:pPr>
        <w:pStyle w:val="xmsonormal"/>
        <w:shd w:val="clear" w:color="auto" w:fill="FFFFFF"/>
        <w:spacing w:before="0" w:beforeAutospacing="0" w:after="0" w:afterAutospacing="0" w:line="480" w:lineRule="auto"/>
        <w:jc w:val="center"/>
      </w:pPr>
    </w:p>
    <w:p w14:paraId="42049D08" w14:textId="77777777" w:rsidR="0069567A" w:rsidRPr="003E342A" w:rsidRDefault="0069567A" w:rsidP="0069567A">
      <w:pPr>
        <w:pStyle w:val="xmsonormal"/>
        <w:shd w:val="clear" w:color="auto" w:fill="FFFFFF"/>
        <w:spacing w:before="0" w:beforeAutospacing="0" w:after="0" w:afterAutospacing="0" w:line="480" w:lineRule="auto"/>
        <w:jc w:val="center"/>
      </w:pPr>
    </w:p>
    <w:p w14:paraId="46092149" w14:textId="77777777" w:rsidR="0069567A" w:rsidRPr="003E342A" w:rsidRDefault="0069567A" w:rsidP="0069567A">
      <w:pPr>
        <w:pStyle w:val="xmsonormal"/>
        <w:shd w:val="clear" w:color="auto" w:fill="FFFFFF"/>
        <w:spacing w:before="0" w:beforeAutospacing="0" w:after="0" w:afterAutospacing="0" w:line="480" w:lineRule="auto"/>
        <w:jc w:val="center"/>
      </w:pPr>
    </w:p>
    <w:p w14:paraId="674EBE24" w14:textId="77777777" w:rsidR="0069567A" w:rsidRPr="003E342A" w:rsidRDefault="0069567A" w:rsidP="0069567A">
      <w:pPr>
        <w:pStyle w:val="xmsonormal"/>
        <w:shd w:val="clear" w:color="auto" w:fill="FFFFFF"/>
        <w:spacing w:before="0" w:beforeAutospacing="0" w:after="0" w:afterAutospacing="0" w:line="480" w:lineRule="auto"/>
        <w:jc w:val="center"/>
      </w:pPr>
    </w:p>
    <w:p w14:paraId="52E15600" w14:textId="77777777" w:rsidR="0069567A" w:rsidRPr="003E342A" w:rsidRDefault="0069567A" w:rsidP="0069567A">
      <w:pPr>
        <w:pStyle w:val="xmsonormal"/>
        <w:shd w:val="clear" w:color="auto" w:fill="FFFFFF"/>
        <w:spacing w:before="0" w:beforeAutospacing="0" w:after="0" w:afterAutospacing="0" w:line="480" w:lineRule="auto"/>
      </w:pPr>
    </w:p>
    <w:p w14:paraId="29AD1F8F" w14:textId="77777777" w:rsidR="0069567A" w:rsidRPr="003E342A" w:rsidRDefault="0069567A" w:rsidP="0069567A">
      <w:pPr>
        <w:pStyle w:val="xmsonormal"/>
        <w:shd w:val="clear" w:color="auto" w:fill="FFFFFF"/>
        <w:spacing w:before="0" w:beforeAutospacing="0" w:after="0" w:afterAutospacing="0" w:line="480" w:lineRule="auto"/>
        <w:jc w:val="center"/>
      </w:pPr>
    </w:p>
    <w:p w14:paraId="71A07774" w14:textId="77777777" w:rsidR="0069567A" w:rsidRPr="003E342A" w:rsidRDefault="0069567A" w:rsidP="0069567A">
      <w:pPr>
        <w:pStyle w:val="xmsonormal"/>
        <w:shd w:val="clear" w:color="auto" w:fill="FFFFFF"/>
        <w:spacing w:before="0" w:beforeAutospacing="0" w:after="0" w:afterAutospacing="0"/>
        <w:jc w:val="center"/>
      </w:pPr>
      <w:r w:rsidRPr="003E342A">
        <w:t>By</w:t>
      </w:r>
    </w:p>
    <w:p w14:paraId="34139A6C" w14:textId="77777777" w:rsidR="0069567A" w:rsidRPr="003E342A" w:rsidRDefault="0069567A" w:rsidP="0069567A">
      <w:pPr>
        <w:pStyle w:val="xmsonormal"/>
        <w:shd w:val="clear" w:color="auto" w:fill="FFFFFF"/>
        <w:spacing w:before="0" w:beforeAutospacing="0" w:after="0" w:afterAutospacing="0"/>
        <w:jc w:val="center"/>
      </w:pPr>
    </w:p>
    <w:p w14:paraId="6F17EFAF" w14:textId="77777777" w:rsidR="0069567A" w:rsidRPr="003E342A" w:rsidRDefault="0069567A" w:rsidP="0069567A">
      <w:pPr>
        <w:pStyle w:val="xmsonormal"/>
        <w:shd w:val="clear" w:color="auto" w:fill="FFFFFF"/>
        <w:spacing w:before="0" w:beforeAutospacing="0" w:after="0" w:afterAutospacing="0"/>
        <w:jc w:val="center"/>
      </w:pPr>
      <w:r w:rsidRPr="003E342A">
        <w:t>SCOTT MATTHEW MAULDIN</w:t>
      </w:r>
    </w:p>
    <w:p w14:paraId="0452ED3C" w14:textId="77777777" w:rsidR="0069567A" w:rsidRPr="003E342A" w:rsidRDefault="0069567A" w:rsidP="0069567A">
      <w:pPr>
        <w:pStyle w:val="xmsonormal"/>
        <w:shd w:val="clear" w:color="auto" w:fill="FFFFFF"/>
        <w:spacing w:before="0" w:beforeAutospacing="0" w:after="0" w:afterAutospacing="0"/>
        <w:jc w:val="center"/>
      </w:pPr>
      <w:r w:rsidRPr="003E342A">
        <w:t>Norman, Oklahoma</w:t>
      </w:r>
    </w:p>
    <w:p w14:paraId="7C63D68F" w14:textId="77777777" w:rsidR="0069567A" w:rsidRPr="003E342A" w:rsidRDefault="0069567A" w:rsidP="0069567A">
      <w:pPr>
        <w:pStyle w:val="xmsonormal"/>
        <w:shd w:val="clear" w:color="auto" w:fill="FFFFFF"/>
        <w:spacing w:before="0" w:beforeAutospacing="0" w:after="0" w:afterAutospacing="0"/>
        <w:jc w:val="center"/>
        <w:rPr>
          <w:color w:val="212121"/>
          <w:sz w:val="20"/>
          <w:szCs w:val="20"/>
        </w:rPr>
      </w:pPr>
      <w:r w:rsidRPr="003E342A">
        <w:t>2018</w:t>
      </w:r>
    </w:p>
    <w:p w14:paraId="1D2B1BE5" w14:textId="77777777" w:rsidR="0069567A" w:rsidRPr="003E342A" w:rsidRDefault="0069567A" w:rsidP="0069567A">
      <w:pPr>
        <w:pStyle w:val="xmsonormal"/>
        <w:shd w:val="clear" w:color="auto" w:fill="FFFFFF"/>
        <w:spacing w:before="0" w:beforeAutospacing="0" w:after="0" w:afterAutospacing="0" w:line="480" w:lineRule="auto"/>
        <w:jc w:val="center"/>
      </w:pPr>
    </w:p>
    <w:p w14:paraId="19D9E20E" w14:textId="77777777" w:rsidR="0069567A" w:rsidRPr="003E342A" w:rsidRDefault="0069567A" w:rsidP="0069567A">
      <w:pPr>
        <w:pStyle w:val="xmsonormal"/>
        <w:shd w:val="clear" w:color="auto" w:fill="FFFFFF"/>
        <w:spacing w:before="0" w:beforeAutospacing="0" w:after="0" w:afterAutospacing="0"/>
        <w:jc w:val="center"/>
      </w:pPr>
      <w:bookmarkStart w:id="1" w:name="_Hlk512983314"/>
    </w:p>
    <w:p w14:paraId="56C1FFF6" w14:textId="77777777" w:rsidR="0069567A" w:rsidRPr="003E342A" w:rsidRDefault="0069567A" w:rsidP="0069567A">
      <w:pPr>
        <w:pStyle w:val="xmsonormal"/>
        <w:shd w:val="clear" w:color="auto" w:fill="FFFFFF"/>
        <w:spacing w:before="0" w:beforeAutospacing="0" w:after="0" w:afterAutospacing="0"/>
        <w:jc w:val="center"/>
      </w:pPr>
    </w:p>
    <w:p w14:paraId="6B856824" w14:textId="77777777" w:rsidR="0069567A" w:rsidRPr="003E342A" w:rsidRDefault="0069567A" w:rsidP="0069567A">
      <w:pPr>
        <w:pStyle w:val="xmsonormal"/>
        <w:shd w:val="clear" w:color="auto" w:fill="FFFFFF"/>
        <w:spacing w:before="0" w:beforeAutospacing="0" w:after="0" w:afterAutospacing="0"/>
        <w:jc w:val="center"/>
      </w:pPr>
    </w:p>
    <w:p w14:paraId="77F91CDE" w14:textId="77777777" w:rsidR="0069567A" w:rsidRPr="003E342A" w:rsidRDefault="0069567A" w:rsidP="0069567A">
      <w:pPr>
        <w:pStyle w:val="xmsonormal"/>
        <w:shd w:val="clear" w:color="auto" w:fill="FFFFFF"/>
        <w:spacing w:before="0" w:beforeAutospacing="0" w:after="0" w:afterAutospacing="0"/>
        <w:jc w:val="center"/>
      </w:pPr>
    </w:p>
    <w:p w14:paraId="2AD57127" w14:textId="77777777" w:rsidR="0069567A" w:rsidRPr="003E342A" w:rsidRDefault="0069567A" w:rsidP="0069567A">
      <w:pPr>
        <w:pStyle w:val="xmsonormal"/>
        <w:shd w:val="clear" w:color="auto" w:fill="FFFFFF"/>
        <w:spacing w:before="0" w:beforeAutospacing="0" w:after="0" w:afterAutospacing="0"/>
        <w:jc w:val="center"/>
      </w:pPr>
    </w:p>
    <w:p w14:paraId="5962AC6C" w14:textId="77777777" w:rsidR="0069567A" w:rsidRPr="003E342A" w:rsidRDefault="0069567A" w:rsidP="0069567A">
      <w:pPr>
        <w:pStyle w:val="xmsonormal"/>
        <w:shd w:val="clear" w:color="auto" w:fill="FFFFFF"/>
        <w:spacing w:before="0" w:beforeAutospacing="0" w:after="0" w:afterAutospacing="0"/>
        <w:jc w:val="center"/>
      </w:pPr>
      <w:r w:rsidRPr="003E342A">
        <w:rPr>
          <w:i/>
          <w:iCs/>
        </w:rPr>
        <w:t>HEALTHY INSTITUTIONS:</w:t>
      </w:r>
      <w:r w:rsidRPr="003E342A">
        <w:t xml:space="preserve"> TECHNOCRACY,</w:t>
      </w:r>
      <w:r w:rsidRPr="003E342A">
        <w:br/>
        <w:t>DEMOCRACY, AND LEGITIMACY IN EU GMO REGULATION</w:t>
      </w:r>
    </w:p>
    <w:p w14:paraId="397DA179" w14:textId="77777777" w:rsidR="0069567A" w:rsidRPr="003E342A" w:rsidRDefault="0069567A" w:rsidP="0069567A">
      <w:pPr>
        <w:autoSpaceDE w:val="0"/>
        <w:autoSpaceDN w:val="0"/>
        <w:adjustRightInd w:val="0"/>
        <w:rPr>
          <w:rFonts w:ascii="Times New Roman" w:hAnsi="Times New Roman" w:cs="Times New Roman"/>
          <w:sz w:val="24"/>
          <w:szCs w:val="24"/>
        </w:rPr>
      </w:pPr>
    </w:p>
    <w:p w14:paraId="23A86A90" w14:textId="77777777" w:rsidR="0069567A" w:rsidRPr="003E342A" w:rsidRDefault="0069567A" w:rsidP="0069567A">
      <w:pPr>
        <w:autoSpaceDE w:val="0"/>
        <w:autoSpaceDN w:val="0"/>
        <w:adjustRightInd w:val="0"/>
        <w:jc w:val="center"/>
        <w:rPr>
          <w:rFonts w:ascii="Times New Roman" w:hAnsi="Times New Roman" w:cs="Times New Roman"/>
          <w:sz w:val="24"/>
          <w:szCs w:val="24"/>
        </w:rPr>
      </w:pPr>
      <w:r w:rsidRPr="003E342A">
        <w:rPr>
          <w:rFonts w:ascii="Times New Roman" w:hAnsi="Times New Roman" w:cs="Times New Roman"/>
          <w:sz w:val="24"/>
          <w:szCs w:val="24"/>
        </w:rPr>
        <w:t>A THESIS APPROVED FOR THE</w:t>
      </w:r>
    </w:p>
    <w:p w14:paraId="0F0CD45B" w14:textId="2F4E2E2C" w:rsidR="0069567A" w:rsidRPr="003E342A" w:rsidRDefault="009470FF" w:rsidP="0069567A">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COLLEGE OF INTERNATIONAL STUDIES</w:t>
      </w:r>
    </w:p>
    <w:p w14:paraId="7A3B69D1"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5457710F"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39992949"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43D1B162"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5E8ECA9A"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26FF5328"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2C25FDE0" w14:textId="77777777" w:rsidR="0069567A" w:rsidRPr="003E342A" w:rsidRDefault="0069567A" w:rsidP="0069567A">
      <w:pPr>
        <w:autoSpaceDE w:val="0"/>
        <w:autoSpaceDN w:val="0"/>
        <w:adjustRightInd w:val="0"/>
        <w:jc w:val="center"/>
        <w:rPr>
          <w:rFonts w:ascii="Times New Roman" w:hAnsi="Times New Roman" w:cs="Times New Roman"/>
          <w:sz w:val="24"/>
          <w:szCs w:val="24"/>
        </w:rPr>
      </w:pPr>
    </w:p>
    <w:p w14:paraId="488933C5" w14:textId="77777777" w:rsidR="0069567A" w:rsidRPr="003E342A" w:rsidRDefault="0069567A" w:rsidP="0069567A">
      <w:pPr>
        <w:autoSpaceDE w:val="0"/>
        <w:autoSpaceDN w:val="0"/>
        <w:adjustRightInd w:val="0"/>
        <w:spacing w:line="480" w:lineRule="auto"/>
        <w:jc w:val="center"/>
        <w:rPr>
          <w:rFonts w:ascii="Times New Roman" w:hAnsi="Times New Roman" w:cs="Times New Roman"/>
          <w:sz w:val="24"/>
          <w:szCs w:val="24"/>
        </w:rPr>
      </w:pPr>
    </w:p>
    <w:p w14:paraId="5293EBA6" w14:textId="77777777" w:rsidR="0069567A" w:rsidRPr="003E342A" w:rsidRDefault="0069567A" w:rsidP="0069567A">
      <w:pPr>
        <w:autoSpaceDE w:val="0"/>
        <w:autoSpaceDN w:val="0"/>
        <w:adjustRightInd w:val="0"/>
        <w:spacing w:line="480" w:lineRule="auto"/>
        <w:jc w:val="center"/>
        <w:rPr>
          <w:rFonts w:ascii="Times New Roman" w:hAnsi="Times New Roman" w:cs="Times New Roman"/>
          <w:sz w:val="24"/>
          <w:szCs w:val="24"/>
        </w:rPr>
      </w:pPr>
    </w:p>
    <w:p w14:paraId="0FC42C67" w14:textId="77777777" w:rsidR="0069567A" w:rsidRPr="003E342A" w:rsidRDefault="0069567A" w:rsidP="0069567A">
      <w:pPr>
        <w:autoSpaceDE w:val="0"/>
        <w:autoSpaceDN w:val="0"/>
        <w:adjustRightInd w:val="0"/>
        <w:spacing w:line="480" w:lineRule="auto"/>
        <w:jc w:val="center"/>
        <w:rPr>
          <w:rFonts w:ascii="Times New Roman" w:hAnsi="Times New Roman" w:cs="Times New Roman"/>
          <w:sz w:val="24"/>
          <w:szCs w:val="24"/>
        </w:rPr>
      </w:pPr>
      <w:r w:rsidRPr="003E342A">
        <w:rPr>
          <w:rFonts w:ascii="Times New Roman" w:hAnsi="Times New Roman" w:cs="Times New Roman"/>
          <w:sz w:val="24"/>
          <w:szCs w:val="24"/>
        </w:rPr>
        <w:t>BY</w:t>
      </w:r>
    </w:p>
    <w:p w14:paraId="73E830E0" w14:textId="77777777" w:rsidR="0069567A" w:rsidRPr="003E342A" w:rsidRDefault="0069567A" w:rsidP="0069567A">
      <w:pPr>
        <w:autoSpaceDE w:val="0"/>
        <w:autoSpaceDN w:val="0"/>
        <w:adjustRightInd w:val="0"/>
        <w:spacing w:line="480" w:lineRule="auto"/>
        <w:jc w:val="right"/>
        <w:rPr>
          <w:rFonts w:ascii="Times New Roman" w:hAnsi="Times New Roman" w:cs="Times New Roman"/>
          <w:sz w:val="24"/>
          <w:szCs w:val="24"/>
        </w:rPr>
      </w:pPr>
    </w:p>
    <w:p w14:paraId="2DA7E9D4" w14:textId="77777777" w:rsidR="0069567A" w:rsidRPr="003E342A" w:rsidRDefault="0069567A" w:rsidP="0069567A">
      <w:pPr>
        <w:autoSpaceDE w:val="0"/>
        <w:autoSpaceDN w:val="0"/>
        <w:adjustRightInd w:val="0"/>
        <w:jc w:val="right"/>
        <w:rPr>
          <w:rFonts w:ascii="Times New Roman" w:hAnsi="Times New Roman" w:cs="Times New Roman"/>
          <w:sz w:val="24"/>
          <w:szCs w:val="24"/>
        </w:rPr>
      </w:pPr>
    </w:p>
    <w:tbl>
      <w:tblPr>
        <w:tblStyle w:val="TableGrid"/>
        <w:tblW w:w="0" w:type="auto"/>
        <w:tblInd w:w="49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6"/>
      </w:tblGrid>
      <w:tr w:rsidR="0069567A" w:rsidRPr="003E342A" w14:paraId="2D0E14F6" w14:textId="77777777" w:rsidTr="0069567A">
        <w:tc>
          <w:tcPr>
            <w:tcW w:w="3546" w:type="dxa"/>
          </w:tcPr>
          <w:p w14:paraId="1DC22596" w14:textId="77777777" w:rsidR="0069567A" w:rsidRPr="003E342A" w:rsidRDefault="0069567A" w:rsidP="00A2175E">
            <w:pPr>
              <w:pStyle w:val="xmsonormal"/>
              <w:spacing w:before="0" w:beforeAutospacing="0" w:after="0" w:afterAutospacing="0"/>
              <w:jc w:val="right"/>
            </w:pPr>
            <w:r w:rsidRPr="003E342A">
              <w:t>Dr. Mitchell Smith, Chair</w:t>
            </w:r>
          </w:p>
          <w:p w14:paraId="3C28AE7B" w14:textId="77777777" w:rsidR="0069567A" w:rsidRPr="003E342A" w:rsidRDefault="0069567A" w:rsidP="00A2175E">
            <w:pPr>
              <w:pStyle w:val="xmsonormal"/>
              <w:spacing w:before="0" w:beforeAutospacing="0" w:after="0" w:afterAutospacing="0"/>
              <w:jc w:val="right"/>
            </w:pPr>
          </w:p>
          <w:p w14:paraId="7FBA66FE" w14:textId="77777777" w:rsidR="0069567A" w:rsidRPr="003E342A" w:rsidRDefault="0069567A" w:rsidP="00A2175E">
            <w:pPr>
              <w:pStyle w:val="xmsonormal"/>
              <w:spacing w:before="0" w:beforeAutospacing="0" w:after="0" w:afterAutospacing="0"/>
              <w:jc w:val="right"/>
            </w:pPr>
          </w:p>
        </w:tc>
      </w:tr>
      <w:tr w:rsidR="0069567A" w:rsidRPr="003E342A" w14:paraId="49936E70" w14:textId="77777777" w:rsidTr="0069567A">
        <w:tc>
          <w:tcPr>
            <w:tcW w:w="3546" w:type="dxa"/>
          </w:tcPr>
          <w:p w14:paraId="1046F06B" w14:textId="77777777" w:rsidR="0069567A" w:rsidRPr="003E342A" w:rsidRDefault="0069567A" w:rsidP="00A2175E">
            <w:pPr>
              <w:pStyle w:val="xmsonormal"/>
              <w:spacing w:before="0" w:beforeAutospacing="0" w:after="0" w:afterAutospacing="0"/>
              <w:jc w:val="right"/>
            </w:pPr>
            <w:r w:rsidRPr="003E342A">
              <w:t>Dr. Eric Heinze</w:t>
            </w:r>
          </w:p>
          <w:p w14:paraId="0C82048D" w14:textId="77777777" w:rsidR="0069567A" w:rsidRPr="003E342A" w:rsidRDefault="0069567A" w:rsidP="00A2175E">
            <w:pPr>
              <w:pStyle w:val="xmsonormal"/>
              <w:spacing w:before="0" w:beforeAutospacing="0" w:after="0" w:afterAutospacing="0"/>
              <w:jc w:val="right"/>
            </w:pPr>
          </w:p>
          <w:p w14:paraId="72F55A3B" w14:textId="77777777" w:rsidR="0069567A" w:rsidRPr="003E342A" w:rsidRDefault="0069567A" w:rsidP="00A2175E">
            <w:pPr>
              <w:pStyle w:val="xmsonormal"/>
              <w:spacing w:before="0" w:beforeAutospacing="0" w:after="0" w:afterAutospacing="0"/>
              <w:jc w:val="right"/>
            </w:pPr>
          </w:p>
        </w:tc>
      </w:tr>
      <w:tr w:rsidR="0069567A" w:rsidRPr="00AD63C9" w14:paraId="75F6DED3" w14:textId="77777777" w:rsidTr="0069567A">
        <w:tc>
          <w:tcPr>
            <w:tcW w:w="3546" w:type="dxa"/>
          </w:tcPr>
          <w:p w14:paraId="380092D5" w14:textId="77777777" w:rsidR="0069567A" w:rsidRPr="003E342A" w:rsidRDefault="0069567A" w:rsidP="00A2175E">
            <w:pPr>
              <w:pStyle w:val="xmsonormal"/>
              <w:spacing w:before="0" w:beforeAutospacing="0" w:after="0" w:afterAutospacing="0"/>
              <w:jc w:val="right"/>
              <w:rPr>
                <w:lang w:val="fr-FR"/>
              </w:rPr>
            </w:pPr>
            <w:r w:rsidRPr="003E342A">
              <w:rPr>
                <w:lang w:val="fr-FR"/>
              </w:rPr>
              <w:t xml:space="preserve">Dr. Michelle Morais de </w:t>
            </w:r>
            <w:proofErr w:type="spellStart"/>
            <w:r w:rsidRPr="003E342A">
              <w:rPr>
                <w:lang w:val="fr-FR"/>
              </w:rPr>
              <w:t>Sá</w:t>
            </w:r>
            <w:proofErr w:type="spellEnd"/>
            <w:r w:rsidRPr="003E342A">
              <w:rPr>
                <w:lang w:val="fr-FR"/>
              </w:rPr>
              <w:t xml:space="preserve"> e Silva</w:t>
            </w:r>
          </w:p>
          <w:p w14:paraId="090DCE8C" w14:textId="77777777" w:rsidR="0069567A" w:rsidRPr="003E342A" w:rsidRDefault="0069567A" w:rsidP="00A2175E">
            <w:pPr>
              <w:pStyle w:val="xmsonormal"/>
              <w:spacing w:before="0" w:beforeAutospacing="0" w:after="0" w:afterAutospacing="0"/>
              <w:jc w:val="right"/>
              <w:rPr>
                <w:lang w:val="fr-FR"/>
              </w:rPr>
            </w:pPr>
          </w:p>
          <w:p w14:paraId="71B98A2D" w14:textId="77777777" w:rsidR="0069567A" w:rsidRPr="003E342A" w:rsidRDefault="0069567A" w:rsidP="00A2175E">
            <w:pPr>
              <w:pStyle w:val="xmsonormal"/>
              <w:spacing w:before="0" w:beforeAutospacing="0" w:after="0" w:afterAutospacing="0"/>
              <w:jc w:val="right"/>
              <w:rPr>
                <w:lang w:val="fr-FR"/>
              </w:rPr>
            </w:pPr>
          </w:p>
        </w:tc>
      </w:tr>
      <w:tr w:rsidR="0069567A" w:rsidRPr="00AD63C9" w14:paraId="292D6D37" w14:textId="77777777" w:rsidTr="0069567A">
        <w:tc>
          <w:tcPr>
            <w:tcW w:w="3546" w:type="dxa"/>
          </w:tcPr>
          <w:p w14:paraId="1ACF35DF" w14:textId="77777777" w:rsidR="0069567A" w:rsidRPr="003E342A" w:rsidRDefault="0069567A" w:rsidP="00A2175E">
            <w:pPr>
              <w:pStyle w:val="xmsonormal"/>
              <w:spacing w:before="0" w:beforeAutospacing="0" w:after="0" w:afterAutospacing="0"/>
              <w:jc w:val="right"/>
              <w:rPr>
                <w:lang w:val="fr-FR"/>
              </w:rPr>
            </w:pPr>
          </w:p>
          <w:p w14:paraId="1A52712C" w14:textId="77777777" w:rsidR="0069567A" w:rsidRPr="003E342A" w:rsidRDefault="0069567A" w:rsidP="00A2175E">
            <w:pPr>
              <w:pStyle w:val="xmsonormal"/>
              <w:spacing w:before="0" w:beforeAutospacing="0" w:after="0" w:afterAutospacing="0"/>
              <w:jc w:val="right"/>
              <w:rPr>
                <w:lang w:val="fr-FR"/>
              </w:rPr>
            </w:pPr>
          </w:p>
          <w:p w14:paraId="67CC718F" w14:textId="77777777" w:rsidR="0069567A" w:rsidRPr="003E342A" w:rsidRDefault="0069567A" w:rsidP="00A2175E">
            <w:pPr>
              <w:pStyle w:val="xmsonormal"/>
              <w:spacing w:before="0" w:beforeAutospacing="0" w:after="0" w:afterAutospacing="0"/>
              <w:jc w:val="right"/>
              <w:rPr>
                <w:lang w:val="fr-FR"/>
              </w:rPr>
            </w:pPr>
          </w:p>
        </w:tc>
      </w:tr>
      <w:tr w:rsidR="0069567A" w:rsidRPr="00AD63C9" w14:paraId="5A860FE7" w14:textId="77777777" w:rsidTr="0069567A">
        <w:tc>
          <w:tcPr>
            <w:tcW w:w="3546" w:type="dxa"/>
          </w:tcPr>
          <w:p w14:paraId="4EC3B0E5" w14:textId="77777777" w:rsidR="0069567A" w:rsidRPr="003E342A" w:rsidRDefault="0069567A" w:rsidP="00A2175E">
            <w:pPr>
              <w:pStyle w:val="xmsonormal"/>
              <w:spacing w:before="0" w:beforeAutospacing="0" w:after="0" w:afterAutospacing="0"/>
              <w:jc w:val="right"/>
              <w:rPr>
                <w:lang w:val="fr-FR"/>
              </w:rPr>
            </w:pPr>
          </w:p>
          <w:p w14:paraId="446619D5" w14:textId="77777777" w:rsidR="0069567A" w:rsidRPr="003E342A" w:rsidRDefault="0069567A" w:rsidP="00A2175E">
            <w:pPr>
              <w:pStyle w:val="xmsonormal"/>
              <w:spacing w:before="0" w:beforeAutospacing="0" w:after="0" w:afterAutospacing="0"/>
              <w:jc w:val="right"/>
              <w:rPr>
                <w:lang w:val="fr-FR"/>
              </w:rPr>
            </w:pPr>
          </w:p>
          <w:p w14:paraId="1BF9D5A6" w14:textId="77777777" w:rsidR="0069567A" w:rsidRPr="003E342A" w:rsidRDefault="0069567A" w:rsidP="00A2175E">
            <w:pPr>
              <w:pStyle w:val="xmsonormal"/>
              <w:spacing w:before="0" w:beforeAutospacing="0" w:after="0" w:afterAutospacing="0"/>
              <w:jc w:val="right"/>
              <w:rPr>
                <w:lang w:val="fr-FR"/>
              </w:rPr>
            </w:pPr>
          </w:p>
        </w:tc>
      </w:tr>
    </w:tbl>
    <w:p w14:paraId="641CFF83" w14:textId="77777777" w:rsidR="0069567A" w:rsidRPr="003E342A" w:rsidRDefault="0069567A" w:rsidP="0069567A">
      <w:pPr>
        <w:pStyle w:val="xmsonormal"/>
        <w:shd w:val="clear" w:color="auto" w:fill="FFFFFF"/>
        <w:spacing w:before="0" w:beforeAutospacing="0" w:after="0" w:afterAutospacing="0"/>
        <w:jc w:val="center"/>
        <w:rPr>
          <w:lang w:val="fr-FR"/>
        </w:rPr>
      </w:pPr>
    </w:p>
    <w:p w14:paraId="47832253"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CC8ACE9"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99E298F" w14:textId="77777777" w:rsidR="0069567A" w:rsidRPr="003E342A" w:rsidRDefault="0069567A" w:rsidP="0069567A">
      <w:pPr>
        <w:pStyle w:val="xmsonormal"/>
        <w:shd w:val="clear" w:color="auto" w:fill="FFFFFF"/>
        <w:spacing w:before="0" w:beforeAutospacing="0" w:after="0" w:afterAutospacing="0"/>
        <w:jc w:val="center"/>
        <w:rPr>
          <w:lang w:val="fr-FR"/>
        </w:rPr>
      </w:pPr>
    </w:p>
    <w:p w14:paraId="13AD0E4C" w14:textId="77777777" w:rsidR="0069567A" w:rsidRPr="003E342A" w:rsidRDefault="0069567A" w:rsidP="0069567A">
      <w:pPr>
        <w:pStyle w:val="xmsonormal"/>
        <w:shd w:val="clear" w:color="auto" w:fill="FFFFFF"/>
        <w:spacing w:before="0" w:beforeAutospacing="0" w:after="0" w:afterAutospacing="0"/>
        <w:jc w:val="center"/>
        <w:rPr>
          <w:lang w:val="fr-FR"/>
        </w:rPr>
      </w:pPr>
    </w:p>
    <w:bookmarkEnd w:id="1"/>
    <w:p w14:paraId="710A27B0" w14:textId="77777777" w:rsidR="0069567A" w:rsidRPr="003E342A" w:rsidRDefault="0069567A" w:rsidP="0069567A">
      <w:pPr>
        <w:pStyle w:val="xmsonormal"/>
        <w:shd w:val="clear" w:color="auto" w:fill="FFFFFF"/>
        <w:spacing w:before="0" w:beforeAutospacing="0" w:after="0" w:afterAutospacing="0"/>
        <w:jc w:val="center"/>
        <w:rPr>
          <w:lang w:val="fr-FR"/>
        </w:rPr>
      </w:pPr>
    </w:p>
    <w:p w14:paraId="2DA17FFA" w14:textId="77777777" w:rsidR="0069567A" w:rsidRPr="003E342A" w:rsidRDefault="0069567A" w:rsidP="0069567A">
      <w:pPr>
        <w:pStyle w:val="xmsonormal"/>
        <w:shd w:val="clear" w:color="auto" w:fill="FFFFFF"/>
        <w:spacing w:before="0" w:beforeAutospacing="0" w:after="0" w:afterAutospacing="0"/>
        <w:jc w:val="center"/>
        <w:rPr>
          <w:lang w:val="fr-FR"/>
        </w:rPr>
      </w:pPr>
    </w:p>
    <w:p w14:paraId="27B7692C" w14:textId="77777777" w:rsidR="0069567A" w:rsidRPr="003E342A" w:rsidRDefault="0069567A" w:rsidP="0069567A">
      <w:pPr>
        <w:pStyle w:val="xmsonormal"/>
        <w:shd w:val="clear" w:color="auto" w:fill="FFFFFF"/>
        <w:spacing w:before="0" w:beforeAutospacing="0" w:after="0" w:afterAutospacing="0"/>
        <w:jc w:val="center"/>
        <w:rPr>
          <w:lang w:val="fr-FR"/>
        </w:rPr>
      </w:pPr>
    </w:p>
    <w:p w14:paraId="424A7E2C" w14:textId="77777777" w:rsidR="0069567A" w:rsidRPr="003E342A" w:rsidRDefault="0069567A" w:rsidP="0069567A">
      <w:pPr>
        <w:pStyle w:val="xmsonormal"/>
        <w:shd w:val="clear" w:color="auto" w:fill="FFFFFF"/>
        <w:spacing w:before="0" w:beforeAutospacing="0" w:after="0" w:afterAutospacing="0"/>
        <w:jc w:val="center"/>
        <w:rPr>
          <w:lang w:val="fr-FR"/>
        </w:rPr>
      </w:pPr>
    </w:p>
    <w:p w14:paraId="3ED738DF" w14:textId="77777777" w:rsidR="0069567A" w:rsidRPr="003E342A" w:rsidRDefault="0069567A" w:rsidP="0069567A">
      <w:pPr>
        <w:pStyle w:val="xmsonormal"/>
        <w:shd w:val="clear" w:color="auto" w:fill="FFFFFF"/>
        <w:spacing w:before="0" w:beforeAutospacing="0" w:after="0" w:afterAutospacing="0"/>
        <w:jc w:val="center"/>
        <w:rPr>
          <w:lang w:val="fr-FR"/>
        </w:rPr>
      </w:pPr>
    </w:p>
    <w:p w14:paraId="61ADA983"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E4CF302" w14:textId="77777777" w:rsidR="0069567A" w:rsidRPr="003E342A" w:rsidRDefault="0069567A" w:rsidP="0069567A">
      <w:pPr>
        <w:pStyle w:val="xmsonormal"/>
        <w:shd w:val="clear" w:color="auto" w:fill="FFFFFF"/>
        <w:spacing w:before="0" w:beforeAutospacing="0" w:after="0" w:afterAutospacing="0"/>
        <w:jc w:val="center"/>
        <w:rPr>
          <w:lang w:val="fr-FR"/>
        </w:rPr>
      </w:pPr>
    </w:p>
    <w:p w14:paraId="49138D8F"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E2A8E21" w14:textId="77777777" w:rsidR="0069567A" w:rsidRPr="003E342A" w:rsidRDefault="0069567A" w:rsidP="0069567A">
      <w:pPr>
        <w:pStyle w:val="xmsonormal"/>
        <w:shd w:val="clear" w:color="auto" w:fill="FFFFFF"/>
        <w:spacing w:before="0" w:beforeAutospacing="0" w:after="0" w:afterAutospacing="0"/>
        <w:jc w:val="center"/>
        <w:rPr>
          <w:lang w:val="fr-FR"/>
        </w:rPr>
      </w:pPr>
    </w:p>
    <w:p w14:paraId="119B400A"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BF46E04" w14:textId="77777777" w:rsidR="0069567A" w:rsidRPr="003E342A" w:rsidRDefault="0069567A" w:rsidP="0069567A">
      <w:pPr>
        <w:pStyle w:val="xmsonormal"/>
        <w:shd w:val="clear" w:color="auto" w:fill="FFFFFF"/>
        <w:spacing w:before="0" w:beforeAutospacing="0" w:after="0" w:afterAutospacing="0"/>
        <w:jc w:val="center"/>
        <w:rPr>
          <w:lang w:val="fr-FR"/>
        </w:rPr>
      </w:pPr>
    </w:p>
    <w:p w14:paraId="3B2D53A3"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4EE794B"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BB00D5C"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BFD5778" w14:textId="77777777" w:rsidR="0069567A" w:rsidRPr="003E342A" w:rsidRDefault="0069567A" w:rsidP="0069567A">
      <w:pPr>
        <w:pStyle w:val="xmsonormal"/>
        <w:shd w:val="clear" w:color="auto" w:fill="FFFFFF"/>
        <w:spacing w:before="0" w:beforeAutospacing="0" w:after="0" w:afterAutospacing="0"/>
        <w:jc w:val="center"/>
        <w:rPr>
          <w:lang w:val="fr-FR"/>
        </w:rPr>
      </w:pPr>
    </w:p>
    <w:p w14:paraId="1111504B" w14:textId="77777777" w:rsidR="0069567A" w:rsidRPr="003E342A" w:rsidRDefault="0069567A" w:rsidP="0069567A">
      <w:pPr>
        <w:pStyle w:val="xmsonormal"/>
        <w:shd w:val="clear" w:color="auto" w:fill="FFFFFF"/>
        <w:spacing w:before="0" w:beforeAutospacing="0" w:after="0" w:afterAutospacing="0"/>
        <w:jc w:val="center"/>
        <w:rPr>
          <w:lang w:val="fr-FR"/>
        </w:rPr>
      </w:pPr>
    </w:p>
    <w:p w14:paraId="6041FB7A"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E5953EE" w14:textId="77777777" w:rsidR="0069567A" w:rsidRPr="003E342A" w:rsidRDefault="0069567A" w:rsidP="0069567A">
      <w:pPr>
        <w:pStyle w:val="xmsonormal"/>
        <w:shd w:val="clear" w:color="auto" w:fill="FFFFFF"/>
        <w:spacing w:before="0" w:beforeAutospacing="0" w:after="0" w:afterAutospacing="0"/>
        <w:jc w:val="center"/>
        <w:rPr>
          <w:lang w:val="fr-FR"/>
        </w:rPr>
      </w:pPr>
    </w:p>
    <w:p w14:paraId="23F5BEC9" w14:textId="77777777" w:rsidR="0069567A" w:rsidRPr="003E342A" w:rsidRDefault="0069567A" w:rsidP="0069567A">
      <w:pPr>
        <w:pStyle w:val="xmsonormal"/>
        <w:shd w:val="clear" w:color="auto" w:fill="FFFFFF"/>
        <w:spacing w:before="0" w:beforeAutospacing="0" w:after="0" w:afterAutospacing="0"/>
        <w:jc w:val="center"/>
        <w:rPr>
          <w:lang w:val="fr-FR"/>
        </w:rPr>
      </w:pPr>
    </w:p>
    <w:p w14:paraId="25A4D906" w14:textId="77777777" w:rsidR="0069567A" w:rsidRPr="003E342A" w:rsidRDefault="0069567A" w:rsidP="0069567A">
      <w:pPr>
        <w:pStyle w:val="xmsonormal"/>
        <w:shd w:val="clear" w:color="auto" w:fill="FFFFFF"/>
        <w:spacing w:before="0" w:beforeAutospacing="0" w:after="0" w:afterAutospacing="0"/>
        <w:jc w:val="center"/>
        <w:rPr>
          <w:lang w:val="fr-FR"/>
        </w:rPr>
      </w:pPr>
    </w:p>
    <w:p w14:paraId="402670E7" w14:textId="77777777" w:rsidR="0069567A" w:rsidRPr="003E342A" w:rsidRDefault="0069567A" w:rsidP="0069567A">
      <w:pPr>
        <w:pStyle w:val="xmsonormal"/>
        <w:shd w:val="clear" w:color="auto" w:fill="FFFFFF"/>
        <w:spacing w:before="0" w:beforeAutospacing="0" w:after="0" w:afterAutospacing="0"/>
        <w:jc w:val="center"/>
        <w:rPr>
          <w:lang w:val="fr-FR"/>
        </w:rPr>
      </w:pPr>
    </w:p>
    <w:p w14:paraId="1DC630D3"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74BDF80" w14:textId="77777777" w:rsidR="0069567A" w:rsidRPr="003E342A" w:rsidRDefault="0069567A" w:rsidP="0069567A">
      <w:pPr>
        <w:pStyle w:val="xmsonormal"/>
        <w:shd w:val="clear" w:color="auto" w:fill="FFFFFF"/>
        <w:spacing w:before="0" w:beforeAutospacing="0" w:after="0" w:afterAutospacing="0"/>
        <w:jc w:val="center"/>
        <w:rPr>
          <w:lang w:val="fr-FR"/>
        </w:rPr>
      </w:pPr>
    </w:p>
    <w:p w14:paraId="14CA0AF8" w14:textId="77777777" w:rsidR="0069567A" w:rsidRPr="003E342A" w:rsidRDefault="0069567A" w:rsidP="0069567A">
      <w:pPr>
        <w:pStyle w:val="xmsonormal"/>
        <w:shd w:val="clear" w:color="auto" w:fill="FFFFFF"/>
        <w:spacing w:before="0" w:beforeAutospacing="0" w:after="0" w:afterAutospacing="0"/>
        <w:jc w:val="center"/>
        <w:rPr>
          <w:lang w:val="fr-FR"/>
        </w:rPr>
      </w:pPr>
    </w:p>
    <w:p w14:paraId="26137AED"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45F9DBA" w14:textId="77777777" w:rsidR="0069567A" w:rsidRPr="003E342A" w:rsidRDefault="0069567A" w:rsidP="0069567A">
      <w:pPr>
        <w:pStyle w:val="xmsonormal"/>
        <w:shd w:val="clear" w:color="auto" w:fill="FFFFFF"/>
        <w:spacing w:before="0" w:beforeAutospacing="0" w:after="0" w:afterAutospacing="0"/>
        <w:jc w:val="center"/>
        <w:rPr>
          <w:lang w:val="fr-FR"/>
        </w:rPr>
      </w:pPr>
    </w:p>
    <w:p w14:paraId="7332DB48"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1135CE2"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EDF0A2A" w14:textId="77777777" w:rsidR="0069567A" w:rsidRPr="003E342A" w:rsidRDefault="0069567A" w:rsidP="0069567A">
      <w:pPr>
        <w:pStyle w:val="xmsonormal"/>
        <w:shd w:val="clear" w:color="auto" w:fill="FFFFFF"/>
        <w:spacing w:before="0" w:beforeAutospacing="0" w:after="0" w:afterAutospacing="0"/>
        <w:jc w:val="center"/>
        <w:rPr>
          <w:lang w:val="fr-FR"/>
        </w:rPr>
      </w:pPr>
    </w:p>
    <w:p w14:paraId="2D95D2B7" w14:textId="77777777" w:rsidR="0069567A" w:rsidRPr="003E342A" w:rsidRDefault="0069567A" w:rsidP="0069567A">
      <w:pPr>
        <w:pStyle w:val="xmsonormal"/>
        <w:shd w:val="clear" w:color="auto" w:fill="FFFFFF"/>
        <w:spacing w:before="0" w:beforeAutospacing="0" w:after="0" w:afterAutospacing="0"/>
        <w:jc w:val="center"/>
        <w:rPr>
          <w:lang w:val="fr-FR"/>
        </w:rPr>
      </w:pPr>
    </w:p>
    <w:p w14:paraId="67C1732C"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36C3DC6" w14:textId="77777777" w:rsidR="0069567A" w:rsidRPr="003E342A" w:rsidRDefault="0069567A" w:rsidP="0069567A">
      <w:pPr>
        <w:pStyle w:val="xmsonormal"/>
        <w:shd w:val="clear" w:color="auto" w:fill="FFFFFF"/>
        <w:spacing w:before="0" w:beforeAutospacing="0" w:after="0" w:afterAutospacing="0"/>
        <w:jc w:val="center"/>
        <w:rPr>
          <w:lang w:val="fr-FR"/>
        </w:rPr>
      </w:pPr>
    </w:p>
    <w:p w14:paraId="6A8A7FC9"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E553E53" w14:textId="77777777" w:rsidR="0069567A" w:rsidRPr="003E342A" w:rsidRDefault="0069567A" w:rsidP="0069567A">
      <w:pPr>
        <w:pStyle w:val="xmsonormal"/>
        <w:shd w:val="clear" w:color="auto" w:fill="FFFFFF"/>
        <w:spacing w:before="0" w:beforeAutospacing="0" w:after="0" w:afterAutospacing="0"/>
        <w:jc w:val="center"/>
        <w:rPr>
          <w:lang w:val="fr-FR"/>
        </w:rPr>
      </w:pPr>
    </w:p>
    <w:p w14:paraId="0744DD1C" w14:textId="77777777" w:rsidR="0069567A" w:rsidRPr="003E342A" w:rsidRDefault="0069567A" w:rsidP="0069567A">
      <w:pPr>
        <w:pStyle w:val="xmsonormal"/>
        <w:shd w:val="clear" w:color="auto" w:fill="FFFFFF"/>
        <w:spacing w:before="0" w:beforeAutospacing="0" w:after="0" w:afterAutospacing="0"/>
        <w:jc w:val="center"/>
        <w:rPr>
          <w:lang w:val="fr-FR"/>
        </w:rPr>
      </w:pPr>
    </w:p>
    <w:p w14:paraId="77E31E4F"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F0EC42B" w14:textId="77777777" w:rsidR="0069567A" w:rsidRPr="003E342A" w:rsidRDefault="0069567A" w:rsidP="0069567A">
      <w:pPr>
        <w:pStyle w:val="xmsonormal"/>
        <w:shd w:val="clear" w:color="auto" w:fill="FFFFFF"/>
        <w:spacing w:before="0" w:beforeAutospacing="0" w:after="0" w:afterAutospacing="0"/>
        <w:jc w:val="center"/>
        <w:rPr>
          <w:lang w:val="fr-FR"/>
        </w:rPr>
      </w:pPr>
    </w:p>
    <w:p w14:paraId="54888F0B" w14:textId="77777777" w:rsidR="0069567A" w:rsidRPr="003E342A" w:rsidRDefault="0069567A" w:rsidP="0069567A">
      <w:pPr>
        <w:pStyle w:val="xmsonormal"/>
        <w:shd w:val="clear" w:color="auto" w:fill="FFFFFF"/>
        <w:spacing w:before="0" w:beforeAutospacing="0" w:after="0" w:afterAutospacing="0"/>
        <w:jc w:val="center"/>
        <w:rPr>
          <w:lang w:val="fr-FR"/>
        </w:rPr>
      </w:pPr>
    </w:p>
    <w:p w14:paraId="15E488A4" w14:textId="77777777" w:rsidR="0069567A" w:rsidRPr="003E342A" w:rsidRDefault="0069567A" w:rsidP="0069567A">
      <w:pPr>
        <w:pStyle w:val="xmsonormal"/>
        <w:shd w:val="clear" w:color="auto" w:fill="FFFFFF"/>
        <w:spacing w:before="0" w:beforeAutospacing="0" w:after="0" w:afterAutospacing="0"/>
        <w:jc w:val="center"/>
        <w:rPr>
          <w:lang w:val="fr-FR"/>
        </w:rPr>
      </w:pPr>
    </w:p>
    <w:p w14:paraId="7B5AC7C7" w14:textId="77777777" w:rsidR="0069567A" w:rsidRPr="003E342A" w:rsidRDefault="0069567A" w:rsidP="0069567A">
      <w:pPr>
        <w:pStyle w:val="xmsonormal"/>
        <w:shd w:val="clear" w:color="auto" w:fill="FFFFFF"/>
        <w:spacing w:before="0" w:beforeAutospacing="0" w:after="0" w:afterAutospacing="0"/>
        <w:jc w:val="center"/>
        <w:rPr>
          <w:lang w:val="fr-FR"/>
        </w:rPr>
      </w:pPr>
    </w:p>
    <w:p w14:paraId="64AF1314" w14:textId="77777777" w:rsidR="0069567A" w:rsidRPr="003E342A" w:rsidRDefault="0069567A" w:rsidP="0069567A">
      <w:pPr>
        <w:pStyle w:val="xmsonormal"/>
        <w:shd w:val="clear" w:color="auto" w:fill="FFFFFF"/>
        <w:spacing w:before="0" w:beforeAutospacing="0" w:after="0" w:afterAutospacing="0"/>
        <w:rPr>
          <w:lang w:val="fr-FR"/>
        </w:rPr>
      </w:pPr>
    </w:p>
    <w:p w14:paraId="2B7BD4C9" w14:textId="77777777" w:rsidR="0069567A" w:rsidRPr="003E342A" w:rsidRDefault="0069567A" w:rsidP="0069567A">
      <w:pPr>
        <w:pStyle w:val="xmsonormal"/>
        <w:shd w:val="clear" w:color="auto" w:fill="FFFFFF"/>
        <w:spacing w:before="0" w:beforeAutospacing="0" w:after="0" w:afterAutospacing="0"/>
        <w:jc w:val="center"/>
        <w:rPr>
          <w:lang w:val="fr-FR"/>
        </w:rPr>
      </w:pPr>
    </w:p>
    <w:p w14:paraId="489EF9C9" w14:textId="77777777" w:rsidR="0069567A" w:rsidRPr="003E342A" w:rsidRDefault="0069567A" w:rsidP="0069567A">
      <w:pPr>
        <w:pStyle w:val="xmsonormal"/>
        <w:shd w:val="clear" w:color="auto" w:fill="FFFFFF"/>
        <w:spacing w:before="0" w:beforeAutospacing="0" w:after="0" w:afterAutospacing="0"/>
        <w:jc w:val="center"/>
      </w:pPr>
      <w:r w:rsidRPr="003E342A">
        <w:t>© Copyright by SCOTT MATTHEW MAULDIN 2018</w:t>
      </w:r>
    </w:p>
    <w:p w14:paraId="15E17AE6" w14:textId="77777777" w:rsidR="0069567A" w:rsidRPr="003E342A" w:rsidRDefault="0069567A" w:rsidP="0069567A">
      <w:pPr>
        <w:pStyle w:val="xmsonormal"/>
        <w:shd w:val="clear" w:color="auto" w:fill="FFFFFF"/>
        <w:spacing w:before="0" w:beforeAutospacing="0" w:after="0" w:afterAutospacing="0"/>
        <w:jc w:val="center"/>
      </w:pPr>
      <w:r w:rsidRPr="003E342A">
        <w:t>All Rights Reserved.</w:t>
      </w:r>
    </w:p>
    <w:p w14:paraId="37C96AF3" w14:textId="20501D74" w:rsidR="003B5916" w:rsidRPr="003B5916" w:rsidRDefault="003B5916" w:rsidP="00B728F0">
      <w:pPr>
        <w:jc w:val="center"/>
        <w:rPr>
          <w:rFonts w:cs="Times New Roman"/>
        </w:rPr>
        <w:sectPr w:rsidR="003B5916" w:rsidRPr="003B5916" w:rsidSect="008C28B2">
          <w:pgSz w:w="12240" w:h="15840"/>
          <w:pgMar w:top="1440" w:right="1440" w:bottom="1440" w:left="1440" w:header="720" w:footer="720" w:gutter="0"/>
          <w:cols w:space="720"/>
          <w:docGrid w:linePitch="299"/>
        </w:sectPr>
      </w:pPr>
    </w:p>
    <w:p w14:paraId="4900C454" w14:textId="15C982D1" w:rsidR="006D6E05" w:rsidRPr="003E342A" w:rsidRDefault="006D6E05" w:rsidP="00D543AD">
      <w:pPr>
        <w:pStyle w:val="Title"/>
        <w:jc w:val="center"/>
        <w:rPr>
          <w:rFonts w:cs="Times New Roman"/>
          <w:sz w:val="24"/>
          <w:szCs w:val="24"/>
        </w:rPr>
      </w:pPr>
      <w:bookmarkStart w:id="2" w:name="_Toc530222260"/>
      <w:bookmarkStart w:id="3" w:name="_Toc531878478"/>
      <w:r w:rsidRPr="003E342A">
        <w:rPr>
          <w:rFonts w:cs="Times New Roman"/>
        </w:rPr>
        <w:lastRenderedPageBreak/>
        <w:t>Table of Contents</w:t>
      </w:r>
      <w:bookmarkEnd w:id="2"/>
      <w:bookmarkEnd w:id="3"/>
    </w:p>
    <w:p w14:paraId="5B6DC463" w14:textId="77777777" w:rsidR="006D6E05" w:rsidRPr="003E342A" w:rsidRDefault="006D6E05" w:rsidP="00E47C3A">
      <w:pPr>
        <w:pStyle w:val="xmsonormal"/>
        <w:shd w:val="clear" w:color="auto" w:fill="FFFFFF"/>
        <w:spacing w:before="0" w:beforeAutospacing="0" w:after="0" w:afterAutospacing="0"/>
        <w:rPr>
          <w:b/>
        </w:rPr>
      </w:pPr>
    </w:p>
    <w:p w14:paraId="33CE3603" w14:textId="1C99295B" w:rsidR="00744D1F" w:rsidRDefault="006D6E05">
      <w:pPr>
        <w:pStyle w:val="TOC1"/>
        <w:tabs>
          <w:tab w:val="right" w:leader="dot" w:pos="9350"/>
        </w:tabs>
        <w:rPr>
          <w:rFonts w:eastAsiaTheme="minorEastAsia"/>
          <w:noProof/>
          <w:lang w:eastAsia="zh-CN"/>
        </w:rPr>
      </w:pPr>
      <w:r w:rsidRPr="003E342A">
        <w:rPr>
          <w:rFonts w:ascii="Times New Roman" w:hAnsi="Times New Roman" w:cs="Times New Roman"/>
          <w:b/>
          <w:sz w:val="24"/>
          <w:szCs w:val="24"/>
        </w:rPr>
        <w:fldChar w:fldCharType="begin"/>
      </w:r>
      <w:r w:rsidRPr="003E342A">
        <w:rPr>
          <w:rFonts w:ascii="Times New Roman" w:hAnsi="Times New Roman" w:cs="Times New Roman"/>
          <w:b/>
          <w:sz w:val="24"/>
          <w:szCs w:val="24"/>
        </w:rPr>
        <w:instrText xml:space="preserve"> TOC \h \z \t "Heading 1,2,Title,1" </w:instrText>
      </w:r>
      <w:r w:rsidRPr="003E342A">
        <w:rPr>
          <w:rFonts w:ascii="Times New Roman" w:hAnsi="Times New Roman" w:cs="Times New Roman"/>
          <w:b/>
          <w:sz w:val="24"/>
          <w:szCs w:val="24"/>
        </w:rPr>
        <w:fldChar w:fldCharType="separate"/>
      </w:r>
      <w:hyperlink w:anchor="_Toc531878478" w:history="1">
        <w:r w:rsidR="00744D1F" w:rsidRPr="00AF038F">
          <w:rPr>
            <w:rStyle w:val="Hyperlink"/>
            <w:rFonts w:cs="Times New Roman"/>
            <w:noProof/>
          </w:rPr>
          <w:t>Table of Contents</w:t>
        </w:r>
        <w:r w:rsidR="00744D1F">
          <w:rPr>
            <w:noProof/>
            <w:webHidden/>
          </w:rPr>
          <w:tab/>
        </w:r>
        <w:r w:rsidR="00744D1F">
          <w:rPr>
            <w:noProof/>
            <w:webHidden/>
          </w:rPr>
          <w:fldChar w:fldCharType="begin"/>
        </w:r>
        <w:r w:rsidR="00744D1F">
          <w:rPr>
            <w:noProof/>
            <w:webHidden/>
          </w:rPr>
          <w:instrText xml:space="preserve"> PAGEREF _Toc531878478 \h </w:instrText>
        </w:r>
        <w:r w:rsidR="00744D1F">
          <w:rPr>
            <w:noProof/>
            <w:webHidden/>
          </w:rPr>
        </w:r>
        <w:r w:rsidR="00744D1F">
          <w:rPr>
            <w:noProof/>
            <w:webHidden/>
          </w:rPr>
          <w:fldChar w:fldCharType="separate"/>
        </w:r>
        <w:r w:rsidR="00AD63C9">
          <w:rPr>
            <w:noProof/>
            <w:webHidden/>
          </w:rPr>
          <w:t>iv</w:t>
        </w:r>
        <w:r w:rsidR="00744D1F">
          <w:rPr>
            <w:noProof/>
            <w:webHidden/>
          </w:rPr>
          <w:fldChar w:fldCharType="end"/>
        </w:r>
      </w:hyperlink>
    </w:p>
    <w:p w14:paraId="08FAD61A" w14:textId="6FC2538C" w:rsidR="00744D1F" w:rsidRDefault="00A220C4">
      <w:pPr>
        <w:pStyle w:val="TOC1"/>
        <w:tabs>
          <w:tab w:val="right" w:leader="dot" w:pos="9350"/>
        </w:tabs>
        <w:rPr>
          <w:rFonts w:eastAsiaTheme="minorEastAsia"/>
          <w:noProof/>
          <w:lang w:eastAsia="zh-CN"/>
        </w:rPr>
      </w:pPr>
      <w:hyperlink w:anchor="_Toc531878479" w:history="1">
        <w:r w:rsidR="00744D1F" w:rsidRPr="00AF038F">
          <w:rPr>
            <w:rStyle w:val="Hyperlink"/>
            <w:noProof/>
          </w:rPr>
          <w:t>Abstract</w:t>
        </w:r>
        <w:r w:rsidR="00744D1F">
          <w:rPr>
            <w:noProof/>
            <w:webHidden/>
          </w:rPr>
          <w:tab/>
        </w:r>
        <w:r w:rsidR="00744D1F">
          <w:rPr>
            <w:noProof/>
            <w:webHidden/>
          </w:rPr>
          <w:fldChar w:fldCharType="begin"/>
        </w:r>
        <w:r w:rsidR="00744D1F">
          <w:rPr>
            <w:noProof/>
            <w:webHidden/>
          </w:rPr>
          <w:instrText xml:space="preserve"> PAGEREF _Toc531878479 \h </w:instrText>
        </w:r>
        <w:r w:rsidR="00744D1F">
          <w:rPr>
            <w:noProof/>
            <w:webHidden/>
          </w:rPr>
        </w:r>
        <w:r w:rsidR="00744D1F">
          <w:rPr>
            <w:noProof/>
            <w:webHidden/>
          </w:rPr>
          <w:fldChar w:fldCharType="separate"/>
        </w:r>
        <w:r w:rsidR="00AD63C9">
          <w:rPr>
            <w:noProof/>
            <w:webHidden/>
          </w:rPr>
          <w:t>v</w:t>
        </w:r>
        <w:r w:rsidR="00744D1F">
          <w:rPr>
            <w:noProof/>
            <w:webHidden/>
          </w:rPr>
          <w:fldChar w:fldCharType="end"/>
        </w:r>
      </w:hyperlink>
    </w:p>
    <w:p w14:paraId="19F46217" w14:textId="21EBBAF2" w:rsidR="00744D1F" w:rsidRDefault="00A220C4">
      <w:pPr>
        <w:pStyle w:val="TOC1"/>
        <w:tabs>
          <w:tab w:val="right" w:leader="dot" w:pos="9350"/>
        </w:tabs>
        <w:rPr>
          <w:rFonts w:eastAsiaTheme="minorEastAsia"/>
          <w:noProof/>
          <w:lang w:eastAsia="zh-CN"/>
        </w:rPr>
      </w:pPr>
      <w:hyperlink w:anchor="_Toc531878480" w:history="1">
        <w:r w:rsidR="00744D1F" w:rsidRPr="00AF038F">
          <w:rPr>
            <w:rStyle w:val="Hyperlink"/>
            <w:noProof/>
          </w:rPr>
          <w:t>Acknowledgements</w:t>
        </w:r>
        <w:r w:rsidR="00744D1F">
          <w:rPr>
            <w:noProof/>
            <w:webHidden/>
          </w:rPr>
          <w:tab/>
        </w:r>
        <w:r w:rsidR="00744D1F">
          <w:rPr>
            <w:noProof/>
            <w:webHidden/>
          </w:rPr>
          <w:fldChar w:fldCharType="begin"/>
        </w:r>
        <w:r w:rsidR="00744D1F">
          <w:rPr>
            <w:noProof/>
            <w:webHidden/>
          </w:rPr>
          <w:instrText xml:space="preserve"> PAGEREF _Toc531878480 \h </w:instrText>
        </w:r>
        <w:r w:rsidR="00744D1F">
          <w:rPr>
            <w:noProof/>
            <w:webHidden/>
          </w:rPr>
        </w:r>
        <w:r w:rsidR="00744D1F">
          <w:rPr>
            <w:noProof/>
            <w:webHidden/>
          </w:rPr>
          <w:fldChar w:fldCharType="separate"/>
        </w:r>
        <w:r w:rsidR="00AD63C9">
          <w:rPr>
            <w:noProof/>
            <w:webHidden/>
          </w:rPr>
          <w:t>vi</w:t>
        </w:r>
        <w:r w:rsidR="00744D1F">
          <w:rPr>
            <w:noProof/>
            <w:webHidden/>
          </w:rPr>
          <w:fldChar w:fldCharType="end"/>
        </w:r>
      </w:hyperlink>
    </w:p>
    <w:p w14:paraId="4F63BA23" w14:textId="34188EEB" w:rsidR="00744D1F" w:rsidRDefault="00A220C4">
      <w:pPr>
        <w:pStyle w:val="TOC1"/>
        <w:tabs>
          <w:tab w:val="right" w:leader="dot" w:pos="9350"/>
        </w:tabs>
        <w:rPr>
          <w:rFonts w:eastAsiaTheme="minorEastAsia"/>
          <w:noProof/>
          <w:lang w:eastAsia="zh-CN"/>
        </w:rPr>
      </w:pPr>
      <w:hyperlink w:anchor="_Toc531878481" w:history="1">
        <w:r w:rsidR="00744D1F" w:rsidRPr="00AF038F">
          <w:rPr>
            <w:rStyle w:val="Hyperlink"/>
            <w:rFonts w:cs="Times New Roman"/>
            <w:noProof/>
          </w:rPr>
          <w:t>Introduction</w:t>
        </w:r>
        <w:r w:rsidR="00744D1F">
          <w:rPr>
            <w:noProof/>
            <w:webHidden/>
          </w:rPr>
          <w:tab/>
        </w:r>
        <w:r w:rsidR="00744D1F">
          <w:rPr>
            <w:noProof/>
            <w:webHidden/>
          </w:rPr>
          <w:fldChar w:fldCharType="begin"/>
        </w:r>
        <w:r w:rsidR="00744D1F">
          <w:rPr>
            <w:noProof/>
            <w:webHidden/>
          </w:rPr>
          <w:instrText xml:space="preserve"> PAGEREF _Toc531878481 \h </w:instrText>
        </w:r>
        <w:r w:rsidR="00744D1F">
          <w:rPr>
            <w:noProof/>
            <w:webHidden/>
          </w:rPr>
        </w:r>
        <w:r w:rsidR="00744D1F">
          <w:rPr>
            <w:noProof/>
            <w:webHidden/>
          </w:rPr>
          <w:fldChar w:fldCharType="separate"/>
        </w:r>
        <w:r w:rsidR="00AD63C9">
          <w:rPr>
            <w:noProof/>
            <w:webHidden/>
          </w:rPr>
          <w:t>1</w:t>
        </w:r>
        <w:r w:rsidR="00744D1F">
          <w:rPr>
            <w:noProof/>
            <w:webHidden/>
          </w:rPr>
          <w:fldChar w:fldCharType="end"/>
        </w:r>
      </w:hyperlink>
    </w:p>
    <w:p w14:paraId="3FE8A9E1" w14:textId="184B5300" w:rsidR="00744D1F" w:rsidRDefault="00A220C4">
      <w:pPr>
        <w:pStyle w:val="TOC2"/>
        <w:tabs>
          <w:tab w:val="right" w:leader="dot" w:pos="9350"/>
        </w:tabs>
        <w:rPr>
          <w:rFonts w:eastAsiaTheme="minorEastAsia"/>
          <w:noProof/>
          <w:lang w:eastAsia="zh-CN"/>
        </w:rPr>
      </w:pPr>
      <w:hyperlink w:anchor="_Toc531878482" w:history="1">
        <w:r w:rsidR="00744D1F" w:rsidRPr="00AF038F">
          <w:rPr>
            <w:rStyle w:val="Hyperlink"/>
            <w:rFonts w:cs="Times New Roman"/>
            <w:noProof/>
          </w:rPr>
          <w:t>Research Questions and Scope of Work</w:t>
        </w:r>
        <w:r w:rsidR="00744D1F">
          <w:rPr>
            <w:noProof/>
            <w:webHidden/>
          </w:rPr>
          <w:tab/>
        </w:r>
        <w:r w:rsidR="00744D1F">
          <w:rPr>
            <w:noProof/>
            <w:webHidden/>
          </w:rPr>
          <w:fldChar w:fldCharType="begin"/>
        </w:r>
        <w:r w:rsidR="00744D1F">
          <w:rPr>
            <w:noProof/>
            <w:webHidden/>
          </w:rPr>
          <w:instrText xml:space="preserve"> PAGEREF _Toc531878482 \h </w:instrText>
        </w:r>
        <w:r w:rsidR="00744D1F">
          <w:rPr>
            <w:noProof/>
            <w:webHidden/>
          </w:rPr>
        </w:r>
        <w:r w:rsidR="00744D1F">
          <w:rPr>
            <w:noProof/>
            <w:webHidden/>
          </w:rPr>
          <w:fldChar w:fldCharType="separate"/>
        </w:r>
        <w:r w:rsidR="00AD63C9">
          <w:rPr>
            <w:noProof/>
            <w:webHidden/>
          </w:rPr>
          <w:t>5</w:t>
        </w:r>
        <w:r w:rsidR="00744D1F">
          <w:rPr>
            <w:noProof/>
            <w:webHidden/>
          </w:rPr>
          <w:fldChar w:fldCharType="end"/>
        </w:r>
      </w:hyperlink>
    </w:p>
    <w:p w14:paraId="5BC9FC6C" w14:textId="6D3AD1AE" w:rsidR="00744D1F" w:rsidRDefault="00A220C4">
      <w:pPr>
        <w:pStyle w:val="TOC1"/>
        <w:tabs>
          <w:tab w:val="right" w:leader="dot" w:pos="9350"/>
        </w:tabs>
        <w:rPr>
          <w:rFonts w:eastAsiaTheme="minorEastAsia"/>
          <w:noProof/>
          <w:lang w:eastAsia="zh-CN"/>
        </w:rPr>
      </w:pPr>
      <w:hyperlink w:anchor="_Toc531878483" w:history="1">
        <w:r w:rsidR="00744D1F" w:rsidRPr="00AF038F">
          <w:rPr>
            <w:rStyle w:val="Hyperlink"/>
            <w:rFonts w:cs="Times New Roman"/>
            <w:noProof/>
          </w:rPr>
          <w:t>Chapter I: The History and Challenges of European GMO Regulation</w:t>
        </w:r>
        <w:r w:rsidR="00744D1F">
          <w:rPr>
            <w:noProof/>
            <w:webHidden/>
          </w:rPr>
          <w:tab/>
        </w:r>
        <w:r w:rsidR="00744D1F">
          <w:rPr>
            <w:noProof/>
            <w:webHidden/>
          </w:rPr>
          <w:fldChar w:fldCharType="begin"/>
        </w:r>
        <w:r w:rsidR="00744D1F">
          <w:rPr>
            <w:noProof/>
            <w:webHidden/>
          </w:rPr>
          <w:instrText xml:space="preserve"> PAGEREF _Toc531878483 \h </w:instrText>
        </w:r>
        <w:r w:rsidR="00744D1F">
          <w:rPr>
            <w:noProof/>
            <w:webHidden/>
          </w:rPr>
        </w:r>
        <w:r w:rsidR="00744D1F">
          <w:rPr>
            <w:noProof/>
            <w:webHidden/>
          </w:rPr>
          <w:fldChar w:fldCharType="separate"/>
        </w:r>
        <w:r w:rsidR="00AD63C9">
          <w:rPr>
            <w:noProof/>
            <w:webHidden/>
          </w:rPr>
          <w:t>8</w:t>
        </w:r>
        <w:r w:rsidR="00744D1F">
          <w:rPr>
            <w:noProof/>
            <w:webHidden/>
          </w:rPr>
          <w:fldChar w:fldCharType="end"/>
        </w:r>
      </w:hyperlink>
    </w:p>
    <w:p w14:paraId="6EE59359" w14:textId="61F80722" w:rsidR="00744D1F" w:rsidRDefault="00A220C4">
      <w:pPr>
        <w:pStyle w:val="TOC2"/>
        <w:tabs>
          <w:tab w:val="right" w:leader="dot" w:pos="9350"/>
        </w:tabs>
        <w:rPr>
          <w:rFonts w:eastAsiaTheme="minorEastAsia"/>
          <w:noProof/>
          <w:lang w:eastAsia="zh-CN"/>
        </w:rPr>
      </w:pPr>
      <w:hyperlink w:anchor="_Toc531878484" w:history="1">
        <w:r w:rsidR="00744D1F" w:rsidRPr="00AF038F">
          <w:rPr>
            <w:rStyle w:val="Hyperlink"/>
            <w:rFonts w:cs="Times New Roman"/>
            <w:noProof/>
          </w:rPr>
          <w:t>Science and Regulation in the EU</w:t>
        </w:r>
        <w:r w:rsidR="00744D1F">
          <w:rPr>
            <w:noProof/>
            <w:webHidden/>
          </w:rPr>
          <w:tab/>
        </w:r>
        <w:r w:rsidR="00744D1F">
          <w:rPr>
            <w:noProof/>
            <w:webHidden/>
          </w:rPr>
          <w:fldChar w:fldCharType="begin"/>
        </w:r>
        <w:r w:rsidR="00744D1F">
          <w:rPr>
            <w:noProof/>
            <w:webHidden/>
          </w:rPr>
          <w:instrText xml:space="preserve"> PAGEREF _Toc531878484 \h </w:instrText>
        </w:r>
        <w:r w:rsidR="00744D1F">
          <w:rPr>
            <w:noProof/>
            <w:webHidden/>
          </w:rPr>
        </w:r>
        <w:r w:rsidR="00744D1F">
          <w:rPr>
            <w:noProof/>
            <w:webHidden/>
          </w:rPr>
          <w:fldChar w:fldCharType="separate"/>
        </w:r>
        <w:r w:rsidR="00AD63C9">
          <w:rPr>
            <w:noProof/>
            <w:webHidden/>
          </w:rPr>
          <w:t>9</w:t>
        </w:r>
        <w:r w:rsidR="00744D1F">
          <w:rPr>
            <w:noProof/>
            <w:webHidden/>
          </w:rPr>
          <w:fldChar w:fldCharType="end"/>
        </w:r>
      </w:hyperlink>
    </w:p>
    <w:p w14:paraId="7852AE8C" w14:textId="6155B9F5" w:rsidR="00744D1F" w:rsidRDefault="00A220C4">
      <w:pPr>
        <w:pStyle w:val="TOC2"/>
        <w:tabs>
          <w:tab w:val="right" w:leader="dot" w:pos="9350"/>
        </w:tabs>
        <w:rPr>
          <w:rFonts w:eastAsiaTheme="minorEastAsia"/>
          <w:noProof/>
          <w:lang w:eastAsia="zh-CN"/>
        </w:rPr>
      </w:pPr>
      <w:hyperlink w:anchor="_Toc531878485" w:history="1">
        <w:r w:rsidR="00744D1F" w:rsidRPr="00AF038F">
          <w:rPr>
            <w:rStyle w:val="Hyperlink"/>
            <w:rFonts w:cs="Times New Roman"/>
            <w:noProof/>
          </w:rPr>
          <w:t>A Brief History of GMO Policy</w:t>
        </w:r>
        <w:r w:rsidR="00744D1F">
          <w:rPr>
            <w:noProof/>
            <w:webHidden/>
          </w:rPr>
          <w:tab/>
        </w:r>
        <w:r w:rsidR="00744D1F">
          <w:rPr>
            <w:noProof/>
            <w:webHidden/>
          </w:rPr>
          <w:fldChar w:fldCharType="begin"/>
        </w:r>
        <w:r w:rsidR="00744D1F">
          <w:rPr>
            <w:noProof/>
            <w:webHidden/>
          </w:rPr>
          <w:instrText xml:space="preserve"> PAGEREF _Toc531878485 \h </w:instrText>
        </w:r>
        <w:r w:rsidR="00744D1F">
          <w:rPr>
            <w:noProof/>
            <w:webHidden/>
          </w:rPr>
        </w:r>
        <w:r w:rsidR="00744D1F">
          <w:rPr>
            <w:noProof/>
            <w:webHidden/>
          </w:rPr>
          <w:fldChar w:fldCharType="separate"/>
        </w:r>
        <w:r w:rsidR="00AD63C9">
          <w:rPr>
            <w:noProof/>
            <w:webHidden/>
          </w:rPr>
          <w:t>24</w:t>
        </w:r>
        <w:r w:rsidR="00744D1F">
          <w:rPr>
            <w:noProof/>
            <w:webHidden/>
          </w:rPr>
          <w:fldChar w:fldCharType="end"/>
        </w:r>
      </w:hyperlink>
    </w:p>
    <w:p w14:paraId="16FF1C62" w14:textId="14B3F52C" w:rsidR="00744D1F" w:rsidRDefault="00A220C4">
      <w:pPr>
        <w:pStyle w:val="TOC2"/>
        <w:tabs>
          <w:tab w:val="right" w:leader="dot" w:pos="9350"/>
        </w:tabs>
        <w:rPr>
          <w:rFonts w:eastAsiaTheme="minorEastAsia"/>
          <w:noProof/>
          <w:lang w:eastAsia="zh-CN"/>
        </w:rPr>
      </w:pPr>
      <w:hyperlink w:anchor="_Toc531878486" w:history="1">
        <w:r w:rsidR="00744D1F" w:rsidRPr="00AF038F">
          <w:rPr>
            <w:rStyle w:val="Hyperlink"/>
            <w:rFonts w:cs="Times New Roman"/>
            <w:noProof/>
          </w:rPr>
          <w:t>Recent Development</w:t>
        </w:r>
        <w:r w:rsidR="00744D1F">
          <w:rPr>
            <w:noProof/>
            <w:webHidden/>
          </w:rPr>
          <w:tab/>
        </w:r>
        <w:r w:rsidR="00744D1F">
          <w:rPr>
            <w:noProof/>
            <w:webHidden/>
          </w:rPr>
          <w:fldChar w:fldCharType="begin"/>
        </w:r>
        <w:r w:rsidR="00744D1F">
          <w:rPr>
            <w:noProof/>
            <w:webHidden/>
          </w:rPr>
          <w:instrText xml:space="preserve"> PAGEREF _Toc531878486 \h </w:instrText>
        </w:r>
        <w:r w:rsidR="00744D1F">
          <w:rPr>
            <w:noProof/>
            <w:webHidden/>
          </w:rPr>
        </w:r>
        <w:r w:rsidR="00744D1F">
          <w:rPr>
            <w:noProof/>
            <w:webHidden/>
          </w:rPr>
          <w:fldChar w:fldCharType="separate"/>
        </w:r>
        <w:r w:rsidR="00AD63C9">
          <w:rPr>
            <w:noProof/>
            <w:webHidden/>
          </w:rPr>
          <w:t>26</w:t>
        </w:r>
        <w:r w:rsidR="00744D1F">
          <w:rPr>
            <w:noProof/>
            <w:webHidden/>
          </w:rPr>
          <w:fldChar w:fldCharType="end"/>
        </w:r>
      </w:hyperlink>
    </w:p>
    <w:p w14:paraId="53F0A841" w14:textId="380D09EB" w:rsidR="00744D1F" w:rsidRDefault="00A220C4">
      <w:pPr>
        <w:pStyle w:val="TOC2"/>
        <w:tabs>
          <w:tab w:val="right" w:leader="dot" w:pos="9350"/>
        </w:tabs>
        <w:rPr>
          <w:rFonts w:eastAsiaTheme="minorEastAsia"/>
          <w:noProof/>
          <w:lang w:eastAsia="zh-CN"/>
        </w:rPr>
      </w:pPr>
      <w:hyperlink w:anchor="_Toc531878487" w:history="1">
        <w:r w:rsidR="00744D1F" w:rsidRPr="00AF038F">
          <w:rPr>
            <w:rStyle w:val="Hyperlink"/>
            <w:rFonts w:cs="Times New Roman"/>
            <w:noProof/>
          </w:rPr>
          <w:t>Driving Forces</w:t>
        </w:r>
        <w:r w:rsidR="00744D1F">
          <w:rPr>
            <w:noProof/>
            <w:webHidden/>
          </w:rPr>
          <w:tab/>
        </w:r>
        <w:r w:rsidR="00744D1F">
          <w:rPr>
            <w:noProof/>
            <w:webHidden/>
          </w:rPr>
          <w:fldChar w:fldCharType="begin"/>
        </w:r>
        <w:r w:rsidR="00744D1F">
          <w:rPr>
            <w:noProof/>
            <w:webHidden/>
          </w:rPr>
          <w:instrText xml:space="preserve"> PAGEREF _Toc531878487 \h </w:instrText>
        </w:r>
        <w:r w:rsidR="00744D1F">
          <w:rPr>
            <w:noProof/>
            <w:webHidden/>
          </w:rPr>
        </w:r>
        <w:r w:rsidR="00744D1F">
          <w:rPr>
            <w:noProof/>
            <w:webHidden/>
          </w:rPr>
          <w:fldChar w:fldCharType="separate"/>
        </w:r>
        <w:r w:rsidR="00AD63C9">
          <w:rPr>
            <w:noProof/>
            <w:webHidden/>
          </w:rPr>
          <w:t>29</w:t>
        </w:r>
        <w:r w:rsidR="00744D1F">
          <w:rPr>
            <w:noProof/>
            <w:webHidden/>
          </w:rPr>
          <w:fldChar w:fldCharType="end"/>
        </w:r>
      </w:hyperlink>
    </w:p>
    <w:p w14:paraId="5273987C" w14:textId="742F071A" w:rsidR="00744D1F" w:rsidRDefault="00A220C4">
      <w:pPr>
        <w:pStyle w:val="TOC1"/>
        <w:tabs>
          <w:tab w:val="right" w:leader="dot" w:pos="9350"/>
        </w:tabs>
        <w:rPr>
          <w:rFonts w:eastAsiaTheme="minorEastAsia"/>
          <w:noProof/>
          <w:lang w:eastAsia="zh-CN"/>
        </w:rPr>
      </w:pPr>
      <w:hyperlink w:anchor="_Toc531878488" w:history="1">
        <w:r w:rsidR="00744D1F" w:rsidRPr="00AF038F">
          <w:rPr>
            <w:rStyle w:val="Hyperlink"/>
            <w:rFonts w:cs="Times New Roman"/>
            <w:noProof/>
          </w:rPr>
          <w:t>Chapter II: Proposed Reforms and Their Discontents</w:t>
        </w:r>
        <w:r w:rsidR="00744D1F">
          <w:rPr>
            <w:noProof/>
            <w:webHidden/>
          </w:rPr>
          <w:tab/>
        </w:r>
        <w:r w:rsidR="00744D1F">
          <w:rPr>
            <w:noProof/>
            <w:webHidden/>
          </w:rPr>
          <w:fldChar w:fldCharType="begin"/>
        </w:r>
        <w:r w:rsidR="00744D1F">
          <w:rPr>
            <w:noProof/>
            <w:webHidden/>
          </w:rPr>
          <w:instrText xml:space="preserve"> PAGEREF _Toc531878488 \h </w:instrText>
        </w:r>
        <w:r w:rsidR="00744D1F">
          <w:rPr>
            <w:noProof/>
            <w:webHidden/>
          </w:rPr>
        </w:r>
        <w:r w:rsidR="00744D1F">
          <w:rPr>
            <w:noProof/>
            <w:webHidden/>
          </w:rPr>
          <w:fldChar w:fldCharType="separate"/>
        </w:r>
        <w:r w:rsidR="00AD63C9">
          <w:rPr>
            <w:noProof/>
            <w:webHidden/>
          </w:rPr>
          <w:t>32</w:t>
        </w:r>
        <w:r w:rsidR="00744D1F">
          <w:rPr>
            <w:noProof/>
            <w:webHidden/>
          </w:rPr>
          <w:fldChar w:fldCharType="end"/>
        </w:r>
      </w:hyperlink>
    </w:p>
    <w:p w14:paraId="37ADA2D7" w14:textId="190008DA" w:rsidR="00744D1F" w:rsidRDefault="00A220C4">
      <w:pPr>
        <w:pStyle w:val="TOC2"/>
        <w:tabs>
          <w:tab w:val="right" w:leader="dot" w:pos="9350"/>
        </w:tabs>
        <w:rPr>
          <w:rFonts w:eastAsiaTheme="minorEastAsia"/>
          <w:noProof/>
          <w:lang w:eastAsia="zh-CN"/>
        </w:rPr>
      </w:pPr>
      <w:hyperlink w:anchor="_Toc531878489" w:history="1">
        <w:r w:rsidR="00744D1F" w:rsidRPr="00AF038F">
          <w:rPr>
            <w:rStyle w:val="Hyperlink"/>
            <w:rFonts w:cs="Times New Roman"/>
            <w:noProof/>
          </w:rPr>
          <w:t>The Proposed Reforms</w:t>
        </w:r>
        <w:r w:rsidR="00744D1F">
          <w:rPr>
            <w:noProof/>
            <w:webHidden/>
          </w:rPr>
          <w:tab/>
        </w:r>
        <w:r w:rsidR="00744D1F">
          <w:rPr>
            <w:noProof/>
            <w:webHidden/>
          </w:rPr>
          <w:fldChar w:fldCharType="begin"/>
        </w:r>
        <w:r w:rsidR="00744D1F">
          <w:rPr>
            <w:noProof/>
            <w:webHidden/>
          </w:rPr>
          <w:instrText xml:space="preserve"> PAGEREF _Toc531878489 \h </w:instrText>
        </w:r>
        <w:r w:rsidR="00744D1F">
          <w:rPr>
            <w:noProof/>
            <w:webHidden/>
          </w:rPr>
        </w:r>
        <w:r w:rsidR="00744D1F">
          <w:rPr>
            <w:noProof/>
            <w:webHidden/>
          </w:rPr>
          <w:fldChar w:fldCharType="separate"/>
        </w:r>
        <w:r w:rsidR="00AD63C9">
          <w:rPr>
            <w:noProof/>
            <w:webHidden/>
          </w:rPr>
          <w:t>33</w:t>
        </w:r>
        <w:r w:rsidR="00744D1F">
          <w:rPr>
            <w:noProof/>
            <w:webHidden/>
          </w:rPr>
          <w:fldChar w:fldCharType="end"/>
        </w:r>
      </w:hyperlink>
    </w:p>
    <w:p w14:paraId="1B4CEB1F" w14:textId="57CB8BE7" w:rsidR="00744D1F" w:rsidRDefault="00A220C4">
      <w:pPr>
        <w:pStyle w:val="TOC2"/>
        <w:tabs>
          <w:tab w:val="right" w:leader="dot" w:pos="9350"/>
        </w:tabs>
        <w:rPr>
          <w:rFonts w:eastAsiaTheme="minorEastAsia"/>
          <w:noProof/>
          <w:lang w:eastAsia="zh-CN"/>
        </w:rPr>
      </w:pPr>
      <w:hyperlink w:anchor="_Toc531878490" w:history="1">
        <w:r w:rsidR="00744D1F" w:rsidRPr="00AF038F">
          <w:rPr>
            <w:rStyle w:val="Hyperlink"/>
            <w:rFonts w:cs="Times New Roman"/>
            <w:noProof/>
          </w:rPr>
          <w:t>Comitological Reforms</w:t>
        </w:r>
        <w:r w:rsidR="00744D1F">
          <w:rPr>
            <w:noProof/>
            <w:webHidden/>
          </w:rPr>
          <w:tab/>
        </w:r>
        <w:r w:rsidR="00744D1F">
          <w:rPr>
            <w:noProof/>
            <w:webHidden/>
          </w:rPr>
          <w:fldChar w:fldCharType="begin"/>
        </w:r>
        <w:r w:rsidR="00744D1F">
          <w:rPr>
            <w:noProof/>
            <w:webHidden/>
          </w:rPr>
          <w:instrText xml:space="preserve"> PAGEREF _Toc531878490 \h </w:instrText>
        </w:r>
        <w:r w:rsidR="00744D1F">
          <w:rPr>
            <w:noProof/>
            <w:webHidden/>
          </w:rPr>
        </w:r>
        <w:r w:rsidR="00744D1F">
          <w:rPr>
            <w:noProof/>
            <w:webHidden/>
          </w:rPr>
          <w:fldChar w:fldCharType="separate"/>
        </w:r>
        <w:r w:rsidR="00AD63C9">
          <w:rPr>
            <w:noProof/>
            <w:webHidden/>
          </w:rPr>
          <w:t>34</w:t>
        </w:r>
        <w:r w:rsidR="00744D1F">
          <w:rPr>
            <w:noProof/>
            <w:webHidden/>
          </w:rPr>
          <w:fldChar w:fldCharType="end"/>
        </w:r>
      </w:hyperlink>
    </w:p>
    <w:p w14:paraId="70E4D601" w14:textId="718C961E" w:rsidR="00744D1F" w:rsidRDefault="00A220C4">
      <w:pPr>
        <w:pStyle w:val="TOC2"/>
        <w:tabs>
          <w:tab w:val="right" w:leader="dot" w:pos="9350"/>
        </w:tabs>
        <w:rPr>
          <w:rFonts w:eastAsiaTheme="minorEastAsia"/>
          <w:noProof/>
          <w:lang w:eastAsia="zh-CN"/>
        </w:rPr>
      </w:pPr>
      <w:hyperlink w:anchor="_Toc531878491" w:history="1">
        <w:r w:rsidR="00744D1F" w:rsidRPr="00AF038F">
          <w:rPr>
            <w:rStyle w:val="Hyperlink"/>
            <w:rFonts w:cs="Times New Roman"/>
            <w:noProof/>
          </w:rPr>
          <w:t>2017 – The Venting of Frustrations</w:t>
        </w:r>
        <w:r w:rsidR="00744D1F">
          <w:rPr>
            <w:noProof/>
            <w:webHidden/>
          </w:rPr>
          <w:tab/>
        </w:r>
        <w:r w:rsidR="00744D1F">
          <w:rPr>
            <w:noProof/>
            <w:webHidden/>
          </w:rPr>
          <w:fldChar w:fldCharType="begin"/>
        </w:r>
        <w:r w:rsidR="00744D1F">
          <w:rPr>
            <w:noProof/>
            <w:webHidden/>
          </w:rPr>
          <w:instrText xml:space="preserve"> PAGEREF _Toc531878491 \h </w:instrText>
        </w:r>
        <w:r w:rsidR="00744D1F">
          <w:rPr>
            <w:noProof/>
            <w:webHidden/>
          </w:rPr>
        </w:r>
        <w:r w:rsidR="00744D1F">
          <w:rPr>
            <w:noProof/>
            <w:webHidden/>
          </w:rPr>
          <w:fldChar w:fldCharType="separate"/>
        </w:r>
        <w:r w:rsidR="00AD63C9">
          <w:rPr>
            <w:noProof/>
            <w:webHidden/>
          </w:rPr>
          <w:t>39</w:t>
        </w:r>
        <w:r w:rsidR="00744D1F">
          <w:rPr>
            <w:noProof/>
            <w:webHidden/>
          </w:rPr>
          <w:fldChar w:fldCharType="end"/>
        </w:r>
      </w:hyperlink>
    </w:p>
    <w:p w14:paraId="15F2EB16" w14:textId="6562C065" w:rsidR="00744D1F" w:rsidRDefault="00A220C4">
      <w:pPr>
        <w:pStyle w:val="TOC1"/>
        <w:tabs>
          <w:tab w:val="right" w:leader="dot" w:pos="9350"/>
        </w:tabs>
        <w:rPr>
          <w:rFonts w:eastAsiaTheme="minorEastAsia"/>
          <w:noProof/>
          <w:lang w:eastAsia="zh-CN"/>
        </w:rPr>
      </w:pPr>
      <w:hyperlink w:anchor="_Toc531878492" w:history="1">
        <w:r w:rsidR="00744D1F" w:rsidRPr="00AF038F">
          <w:rPr>
            <w:rStyle w:val="Hyperlink"/>
            <w:rFonts w:cs="Times New Roman"/>
            <w:noProof/>
          </w:rPr>
          <w:t>Chapter III:  Democratic Legitimacy and the Need for Reform</w:t>
        </w:r>
        <w:r w:rsidR="00744D1F">
          <w:rPr>
            <w:noProof/>
            <w:webHidden/>
          </w:rPr>
          <w:tab/>
        </w:r>
        <w:r w:rsidR="00744D1F">
          <w:rPr>
            <w:noProof/>
            <w:webHidden/>
          </w:rPr>
          <w:fldChar w:fldCharType="begin"/>
        </w:r>
        <w:r w:rsidR="00744D1F">
          <w:rPr>
            <w:noProof/>
            <w:webHidden/>
          </w:rPr>
          <w:instrText xml:space="preserve"> PAGEREF _Toc531878492 \h </w:instrText>
        </w:r>
        <w:r w:rsidR="00744D1F">
          <w:rPr>
            <w:noProof/>
            <w:webHidden/>
          </w:rPr>
        </w:r>
        <w:r w:rsidR="00744D1F">
          <w:rPr>
            <w:noProof/>
            <w:webHidden/>
          </w:rPr>
          <w:fldChar w:fldCharType="separate"/>
        </w:r>
        <w:r w:rsidR="00AD63C9">
          <w:rPr>
            <w:noProof/>
            <w:webHidden/>
          </w:rPr>
          <w:t>46</w:t>
        </w:r>
        <w:r w:rsidR="00744D1F">
          <w:rPr>
            <w:noProof/>
            <w:webHidden/>
          </w:rPr>
          <w:fldChar w:fldCharType="end"/>
        </w:r>
      </w:hyperlink>
    </w:p>
    <w:p w14:paraId="23317540" w14:textId="60A000AF" w:rsidR="00744D1F" w:rsidRDefault="00A220C4">
      <w:pPr>
        <w:pStyle w:val="TOC2"/>
        <w:tabs>
          <w:tab w:val="right" w:leader="dot" w:pos="9350"/>
        </w:tabs>
        <w:rPr>
          <w:rFonts w:eastAsiaTheme="minorEastAsia"/>
          <w:noProof/>
          <w:lang w:eastAsia="zh-CN"/>
        </w:rPr>
      </w:pPr>
      <w:hyperlink w:anchor="_Toc531878493" w:history="1">
        <w:r w:rsidR="00744D1F" w:rsidRPr="00AF038F">
          <w:rPr>
            <w:rStyle w:val="Hyperlink"/>
            <w:rFonts w:cs="Times New Roman"/>
            <w:noProof/>
          </w:rPr>
          <w:t>The Democratic Deficit</w:t>
        </w:r>
        <w:r w:rsidR="00744D1F">
          <w:rPr>
            <w:noProof/>
            <w:webHidden/>
          </w:rPr>
          <w:tab/>
        </w:r>
        <w:r w:rsidR="00744D1F">
          <w:rPr>
            <w:noProof/>
            <w:webHidden/>
          </w:rPr>
          <w:fldChar w:fldCharType="begin"/>
        </w:r>
        <w:r w:rsidR="00744D1F">
          <w:rPr>
            <w:noProof/>
            <w:webHidden/>
          </w:rPr>
          <w:instrText xml:space="preserve"> PAGEREF _Toc531878493 \h </w:instrText>
        </w:r>
        <w:r w:rsidR="00744D1F">
          <w:rPr>
            <w:noProof/>
            <w:webHidden/>
          </w:rPr>
        </w:r>
        <w:r w:rsidR="00744D1F">
          <w:rPr>
            <w:noProof/>
            <w:webHidden/>
          </w:rPr>
          <w:fldChar w:fldCharType="separate"/>
        </w:r>
        <w:r w:rsidR="00AD63C9">
          <w:rPr>
            <w:noProof/>
            <w:webHidden/>
          </w:rPr>
          <w:t>47</w:t>
        </w:r>
        <w:r w:rsidR="00744D1F">
          <w:rPr>
            <w:noProof/>
            <w:webHidden/>
          </w:rPr>
          <w:fldChar w:fldCharType="end"/>
        </w:r>
      </w:hyperlink>
    </w:p>
    <w:p w14:paraId="3B6BCBF3" w14:textId="4707C9E8" w:rsidR="00744D1F" w:rsidRDefault="00A220C4">
      <w:pPr>
        <w:pStyle w:val="TOC2"/>
        <w:tabs>
          <w:tab w:val="right" w:leader="dot" w:pos="9350"/>
        </w:tabs>
        <w:rPr>
          <w:rFonts w:eastAsiaTheme="minorEastAsia"/>
          <w:noProof/>
          <w:lang w:eastAsia="zh-CN"/>
        </w:rPr>
      </w:pPr>
      <w:hyperlink w:anchor="_Toc531878494" w:history="1">
        <w:r w:rsidR="00744D1F" w:rsidRPr="00AF038F">
          <w:rPr>
            <w:rStyle w:val="Hyperlink"/>
            <w:rFonts w:cs="Times New Roman"/>
            <w:noProof/>
          </w:rPr>
          <w:t>GMOs and the Legitimacy Crisis</w:t>
        </w:r>
        <w:r w:rsidR="00744D1F">
          <w:rPr>
            <w:noProof/>
            <w:webHidden/>
          </w:rPr>
          <w:tab/>
        </w:r>
        <w:r w:rsidR="00744D1F">
          <w:rPr>
            <w:noProof/>
            <w:webHidden/>
          </w:rPr>
          <w:fldChar w:fldCharType="begin"/>
        </w:r>
        <w:r w:rsidR="00744D1F">
          <w:rPr>
            <w:noProof/>
            <w:webHidden/>
          </w:rPr>
          <w:instrText xml:space="preserve"> PAGEREF _Toc531878494 \h </w:instrText>
        </w:r>
        <w:r w:rsidR="00744D1F">
          <w:rPr>
            <w:noProof/>
            <w:webHidden/>
          </w:rPr>
        </w:r>
        <w:r w:rsidR="00744D1F">
          <w:rPr>
            <w:noProof/>
            <w:webHidden/>
          </w:rPr>
          <w:fldChar w:fldCharType="separate"/>
        </w:r>
        <w:r w:rsidR="00AD63C9">
          <w:rPr>
            <w:noProof/>
            <w:webHidden/>
          </w:rPr>
          <w:t>49</w:t>
        </w:r>
        <w:r w:rsidR="00744D1F">
          <w:rPr>
            <w:noProof/>
            <w:webHidden/>
          </w:rPr>
          <w:fldChar w:fldCharType="end"/>
        </w:r>
      </w:hyperlink>
    </w:p>
    <w:p w14:paraId="317C0FDB" w14:textId="08AFA9CD" w:rsidR="00744D1F" w:rsidRDefault="00A220C4">
      <w:pPr>
        <w:pStyle w:val="TOC1"/>
        <w:tabs>
          <w:tab w:val="right" w:leader="dot" w:pos="9350"/>
        </w:tabs>
        <w:rPr>
          <w:rFonts w:eastAsiaTheme="minorEastAsia"/>
          <w:noProof/>
          <w:lang w:eastAsia="zh-CN"/>
        </w:rPr>
      </w:pPr>
      <w:hyperlink w:anchor="_Toc531878495" w:history="1">
        <w:r w:rsidR="00744D1F" w:rsidRPr="00AF038F">
          <w:rPr>
            <w:rStyle w:val="Hyperlink"/>
            <w:rFonts w:cs="Times New Roman"/>
            <w:noProof/>
          </w:rPr>
          <w:t>Chapter IV: The Dilemmas of Reform</w:t>
        </w:r>
        <w:r w:rsidR="00744D1F">
          <w:rPr>
            <w:noProof/>
            <w:webHidden/>
          </w:rPr>
          <w:tab/>
        </w:r>
        <w:r w:rsidR="00744D1F">
          <w:rPr>
            <w:noProof/>
            <w:webHidden/>
          </w:rPr>
          <w:fldChar w:fldCharType="begin"/>
        </w:r>
        <w:r w:rsidR="00744D1F">
          <w:rPr>
            <w:noProof/>
            <w:webHidden/>
          </w:rPr>
          <w:instrText xml:space="preserve"> PAGEREF _Toc531878495 \h </w:instrText>
        </w:r>
        <w:r w:rsidR="00744D1F">
          <w:rPr>
            <w:noProof/>
            <w:webHidden/>
          </w:rPr>
        </w:r>
        <w:r w:rsidR="00744D1F">
          <w:rPr>
            <w:noProof/>
            <w:webHidden/>
          </w:rPr>
          <w:fldChar w:fldCharType="separate"/>
        </w:r>
        <w:r w:rsidR="00AD63C9">
          <w:rPr>
            <w:noProof/>
            <w:webHidden/>
          </w:rPr>
          <w:t>60</w:t>
        </w:r>
        <w:r w:rsidR="00744D1F">
          <w:rPr>
            <w:noProof/>
            <w:webHidden/>
          </w:rPr>
          <w:fldChar w:fldCharType="end"/>
        </w:r>
      </w:hyperlink>
    </w:p>
    <w:p w14:paraId="7F791195" w14:textId="01F4A9B3" w:rsidR="00744D1F" w:rsidRDefault="00A220C4">
      <w:pPr>
        <w:pStyle w:val="TOC2"/>
        <w:tabs>
          <w:tab w:val="right" w:leader="dot" w:pos="9350"/>
        </w:tabs>
        <w:rPr>
          <w:rFonts w:eastAsiaTheme="minorEastAsia"/>
          <w:noProof/>
          <w:lang w:eastAsia="zh-CN"/>
        </w:rPr>
      </w:pPr>
      <w:hyperlink w:anchor="_Toc531878496" w:history="1">
        <w:r w:rsidR="00744D1F" w:rsidRPr="00AF038F">
          <w:rPr>
            <w:rStyle w:val="Hyperlink"/>
            <w:rFonts w:cs="Times New Roman"/>
            <w:noProof/>
          </w:rPr>
          <w:t>Two Dimensions of Dilemmas</w:t>
        </w:r>
        <w:r w:rsidR="00744D1F">
          <w:rPr>
            <w:noProof/>
            <w:webHidden/>
          </w:rPr>
          <w:tab/>
        </w:r>
        <w:r w:rsidR="00744D1F">
          <w:rPr>
            <w:noProof/>
            <w:webHidden/>
          </w:rPr>
          <w:fldChar w:fldCharType="begin"/>
        </w:r>
        <w:r w:rsidR="00744D1F">
          <w:rPr>
            <w:noProof/>
            <w:webHidden/>
          </w:rPr>
          <w:instrText xml:space="preserve"> PAGEREF _Toc531878496 \h </w:instrText>
        </w:r>
        <w:r w:rsidR="00744D1F">
          <w:rPr>
            <w:noProof/>
            <w:webHidden/>
          </w:rPr>
        </w:r>
        <w:r w:rsidR="00744D1F">
          <w:rPr>
            <w:noProof/>
            <w:webHidden/>
          </w:rPr>
          <w:fldChar w:fldCharType="separate"/>
        </w:r>
        <w:r w:rsidR="00AD63C9">
          <w:rPr>
            <w:noProof/>
            <w:webHidden/>
          </w:rPr>
          <w:t>61</w:t>
        </w:r>
        <w:r w:rsidR="00744D1F">
          <w:rPr>
            <w:noProof/>
            <w:webHidden/>
          </w:rPr>
          <w:fldChar w:fldCharType="end"/>
        </w:r>
      </w:hyperlink>
    </w:p>
    <w:p w14:paraId="62A476D7" w14:textId="157D19B7" w:rsidR="00744D1F" w:rsidRDefault="00A220C4">
      <w:pPr>
        <w:pStyle w:val="TOC2"/>
        <w:tabs>
          <w:tab w:val="right" w:leader="dot" w:pos="9350"/>
        </w:tabs>
        <w:rPr>
          <w:rFonts w:eastAsiaTheme="minorEastAsia"/>
          <w:noProof/>
          <w:lang w:eastAsia="zh-CN"/>
        </w:rPr>
      </w:pPr>
      <w:hyperlink w:anchor="_Toc531878497" w:history="1">
        <w:r w:rsidR="00744D1F" w:rsidRPr="00AF038F">
          <w:rPr>
            <w:rStyle w:val="Hyperlink"/>
            <w:rFonts w:cs="Times New Roman"/>
            <w:noProof/>
          </w:rPr>
          <w:t>European Integration: The Single Market</w:t>
        </w:r>
        <w:r w:rsidR="00744D1F">
          <w:rPr>
            <w:noProof/>
            <w:webHidden/>
          </w:rPr>
          <w:tab/>
        </w:r>
        <w:r w:rsidR="00744D1F">
          <w:rPr>
            <w:noProof/>
            <w:webHidden/>
          </w:rPr>
          <w:fldChar w:fldCharType="begin"/>
        </w:r>
        <w:r w:rsidR="00744D1F">
          <w:rPr>
            <w:noProof/>
            <w:webHidden/>
          </w:rPr>
          <w:instrText xml:space="preserve"> PAGEREF _Toc531878497 \h </w:instrText>
        </w:r>
        <w:r w:rsidR="00744D1F">
          <w:rPr>
            <w:noProof/>
            <w:webHidden/>
          </w:rPr>
        </w:r>
        <w:r w:rsidR="00744D1F">
          <w:rPr>
            <w:noProof/>
            <w:webHidden/>
          </w:rPr>
          <w:fldChar w:fldCharType="separate"/>
        </w:r>
        <w:r w:rsidR="00AD63C9">
          <w:rPr>
            <w:noProof/>
            <w:webHidden/>
          </w:rPr>
          <w:t>62</w:t>
        </w:r>
        <w:r w:rsidR="00744D1F">
          <w:rPr>
            <w:noProof/>
            <w:webHidden/>
          </w:rPr>
          <w:fldChar w:fldCharType="end"/>
        </w:r>
      </w:hyperlink>
    </w:p>
    <w:p w14:paraId="5A6FFDBB" w14:textId="510935C9" w:rsidR="00744D1F" w:rsidRDefault="00A220C4">
      <w:pPr>
        <w:pStyle w:val="TOC2"/>
        <w:tabs>
          <w:tab w:val="right" w:leader="dot" w:pos="9350"/>
        </w:tabs>
        <w:rPr>
          <w:rFonts w:eastAsiaTheme="minorEastAsia"/>
          <w:noProof/>
          <w:lang w:eastAsia="zh-CN"/>
        </w:rPr>
      </w:pPr>
      <w:hyperlink w:anchor="_Toc531878498" w:history="1">
        <w:r w:rsidR="00744D1F" w:rsidRPr="00AF038F">
          <w:rPr>
            <w:rStyle w:val="Hyperlink"/>
            <w:rFonts w:cs="Times New Roman"/>
            <w:noProof/>
          </w:rPr>
          <w:t>Economic Competitiveness: The WTO and Biotech Investment</w:t>
        </w:r>
        <w:r w:rsidR="00744D1F">
          <w:rPr>
            <w:noProof/>
            <w:webHidden/>
          </w:rPr>
          <w:tab/>
        </w:r>
        <w:r w:rsidR="00744D1F">
          <w:rPr>
            <w:noProof/>
            <w:webHidden/>
          </w:rPr>
          <w:fldChar w:fldCharType="begin"/>
        </w:r>
        <w:r w:rsidR="00744D1F">
          <w:rPr>
            <w:noProof/>
            <w:webHidden/>
          </w:rPr>
          <w:instrText xml:space="preserve"> PAGEREF _Toc531878498 \h </w:instrText>
        </w:r>
        <w:r w:rsidR="00744D1F">
          <w:rPr>
            <w:noProof/>
            <w:webHidden/>
          </w:rPr>
        </w:r>
        <w:r w:rsidR="00744D1F">
          <w:rPr>
            <w:noProof/>
            <w:webHidden/>
          </w:rPr>
          <w:fldChar w:fldCharType="separate"/>
        </w:r>
        <w:r w:rsidR="00AD63C9">
          <w:rPr>
            <w:noProof/>
            <w:webHidden/>
          </w:rPr>
          <w:t>65</w:t>
        </w:r>
        <w:r w:rsidR="00744D1F">
          <w:rPr>
            <w:noProof/>
            <w:webHidden/>
          </w:rPr>
          <w:fldChar w:fldCharType="end"/>
        </w:r>
      </w:hyperlink>
    </w:p>
    <w:p w14:paraId="1565D0CB" w14:textId="51D30025" w:rsidR="00744D1F" w:rsidRDefault="00A220C4">
      <w:pPr>
        <w:pStyle w:val="TOC2"/>
        <w:tabs>
          <w:tab w:val="right" w:leader="dot" w:pos="9350"/>
        </w:tabs>
        <w:rPr>
          <w:rFonts w:eastAsiaTheme="minorEastAsia"/>
          <w:noProof/>
          <w:lang w:eastAsia="zh-CN"/>
        </w:rPr>
      </w:pPr>
      <w:hyperlink w:anchor="_Toc531878499" w:history="1">
        <w:r w:rsidR="00744D1F" w:rsidRPr="00AF038F">
          <w:rPr>
            <w:rStyle w:val="Hyperlink"/>
            <w:rFonts w:cs="Times New Roman"/>
            <w:noProof/>
          </w:rPr>
          <w:t>The Second Dimension: Public Choice</w:t>
        </w:r>
        <w:r w:rsidR="00744D1F">
          <w:rPr>
            <w:noProof/>
            <w:webHidden/>
          </w:rPr>
          <w:tab/>
        </w:r>
        <w:r w:rsidR="00744D1F">
          <w:rPr>
            <w:noProof/>
            <w:webHidden/>
          </w:rPr>
          <w:fldChar w:fldCharType="begin"/>
        </w:r>
        <w:r w:rsidR="00744D1F">
          <w:rPr>
            <w:noProof/>
            <w:webHidden/>
          </w:rPr>
          <w:instrText xml:space="preserve"> PAGEREF _Toc531878499 \h </w:instrText>
        </w:r>
        <w:r w:rsidR="00744D1F">
          <w:rPr>
            <w:noProof/>
            <w:webHidden/>
          </w:rPr>
        </w:r>
        <w:r w:rsidR="00744D1F">
          <w:rPr>
            <w:noProof/>
            <w:webHidden/>
          </w:rPr>
          <w:fldChar w:fldCharType="separate"/>
        </w:r>
        <w:r w:rsidR="00AD63C9">
          <w:rPr>
            <w:noProof/>
            <w:webHidden/>
          </w:rPr>
          <w:t>68</w:t>
        </w:r>
        <w:r w:rsidR="00744D1F">
          <w:rPr>
            <w:noProof/>
            <w:webHidden/>
          </w:rPr>
          <w:fldChar w:fldCharType="end"/>
        </w:r>
      </w:hyperlink>
    </w:p>
    <w:p w14:paraId="7E07B7C3" w14:textId="33077A77" w:rsidR="00744D1F" w:rsidRDefault="00A220C4">
      <w:pPr>
        <w:pStyle w:val="TOC1"/>
        <w:tabs>
          <w:tab w:val="right" w:leader="dot" w:pos="9350"/>
        </w:tabs>
        <w:rPr>
          <w:rFonts w:eastAsiaTheme="minorEastAsia"/>
          <w:noProof/>
          <w:lang w:eastAsia="zh-CN"/>
        </w:rPr>
      </w:pPr>
      <w:hyperlink w:anchor="_Toc531878500" w:history="1">
        <w:r w:rsidR="00744D1F" w:rsidRPr="00AF038F">
          <w:rPr>
            <w:rStyle w:val="Hyperlink"/>
            <w:rFonts w:cs="Times New Roman"/>
            <w:noProof/>
          </w:rPr>
          <w:t>Chapter V: Resolutions and Conclusions</w:t>
        </w:r>
        <w:r w:rsidR="00744D1F">
          <w:rPr>
            <w:noProof/>
            <w:webHidden/>
          </w:rPr>
          <w:tab/>
        </w:r>
        <w:r w:rsidR="00744D1F">
          <w:rPr>
            <w:noProof/>
            <w:webHidden/>
          </w:rPr>
          <w:fldChar w:fldCharType="begin"/>
        </w:r>
        <w:r w:rsidR="00744D1F">
          <w:rPr>
            <w:noProof/>
            <w:webHidden/>
          </w:rPr>
          <w:instrText xml:space="preserve"> PAGEREF _Toc531878500 \h </w:instrText>
        </w:r>
        <w:r w:rsidR="00744D1F">
          <w:rPr>
            <w:noProof/>
            <w:webHidden/>
          </w:rPr>
        </w:r>
        <w:r w:rsidR="00744D1F">
          <w:rPr>
            <w:noProof/>
            <w:webHidden/>
          </w:rPr>
          <w:fldChar w:fldCharType="separate"/>
        </w:r>
        <w:r w:rsidR="00AD63C9">
          <w:rPr>
            <w:noProof/>
            <w:webHidden/>
          </w:rPr>
          <w:t>78</w:t>
        </w:r>
        <w:r w:rsidR="00744D1F">
          <w:rPr>
            <w:noProof/>
            <w:webHidden/>
          </w:rPr>
          <w:fldChar w:fldCharType="end"/>
        </w:r>
      </w:hyperlink>
    </w:p>
    <w:p w14:paraId="0921A0A4" w14:textId="1D98F2CD" w:rsidR="00744D1F" w:rsidRDefault="00A220C4">
      <w:pPr>
        <w:pStyle w:val="TOC2"/>
        <w:tabs>
          <w:tab w:val="right" w:leader="dot" w:pos="9350"/>
        </w:tabs>
        <w:rPr>
          <w:rFonts w:eastAsiaTheme="minorEastAsia"/>
          <w:noProof/>
          <w:lang w:eastAsia="zh-CN"/>
        </w:rPr>
      </w:pPr>
      <w:hyperlink w:anchor="_Toc531878501" w:history="1">
        <w:r w:rsidR="00744D1F" w:rsidRPr="00AF038F">
          <w:rPr>
            <w:rStyle w:val="Hyperlink"/>
            <w:rFonts w:cs="Times New Roman"/>
            <w:noProof/>
          </w:rPr>
          <w:t>Resolutions and Conclusions</w:t>
        </w:r>
        <w:r w:rsidR="00744D1F">
          <w:rPr>
            <w:noProof/>
            <w:webHidden/>
          </w:rPr>
          <w:tab/>
        </w:r>
        <w:r w:rsidR="00744D1F">
          <w:rPr>
            <w:noProof/>
            <w:webHidden/>
          </w:rPr>
          <w:fldChar w:fldCharType="begin"/>
        </w:r>
        <w:r w:rsidR="00744D1F">
          <w:rPr>
            <w:noProof/>
            <w:webHidden/>
          </w:rPr>
          <w:instrText xml:space="preserve"> PAGEREF _Toc531878501 \h </w:instrText>
        </w:r>
        <w:r w:rsidR="00744D1F">
          <w:rPr>
            <w:noProof/>
            <w:webHidden/>
          </w:rPr>
        </w:r>
        <w:r w:rsidR="00744D1F">
          <w:rPr>
            <w:noProof/>
            <w:webHidden/>
          </w:rPr>
          <w:fldChar w:fldCharType="separate"/>
        </w:r>
        <w:r w:rsidR="00AD63C9">
          <w:rPr>
            <w:noProof/>
            <w:webHidden/>
          </w:rPr>
          <w:t>79</w:t>
        </w:r>
        <w:r w:rsidR="00744D1F">
          <w:rPr>
            <w:noProof/>
            <w:webHidden/>
          </w:rPr>
          <w:fldChar w:fldCharType="end"/>
        </w:r>
      </w:hyperlink>
    </w:p>
    <w:p w14:paraId="6A1C5D29" w14:textId="2508B561" w:rsidR="00744D1F" w:rsidRDefault="00A220C4">
      <w:pPr>
        <w:pStyle w:val="TOC2"/>
        <w:tabs>
          <w:tab w:val="right" w:leader="dot" w:pos="9350"/>
        </w:tabs>
        <w:rPr>
          <w:rFonts w:eastAsiaTheme="minorEastAsia"/>
          <w:noProof/>
          <w:lang w:eastAsia="zh-CN"/>
        </w:rPr>
      </w:pPr>
      <w:hyperlink w:anchor="_Toc531878502" w:history="1">
        <w:r w:rsidR="00744D1F" w:rsidRPr="00AF038F">
          <w:rPr>
            <w:rStyle w:val="Hyperlink"/>
            <w:rFonts w:cs="Times New Roman"/>
            <w:noProof/>
          </w:rPr>
          <w:t>Implications</w:t>
        </w:r>
        <w:r w:rsidR="00744D1F">
          <w:rPr>
            <w:noProof/>
            <w:webHidden/>
          </w:rPr>
          <w:tab/>
        </w:r>
        <w:r w:rsidR="00744D1F">
          <w:rPr>
            <w:noProof/>
            <w:webHidden/>
          </w:rPr>
          <w:fldChar w:fldCharType="begin"/>
        </w:r>
        <w:r w:rsidR="00744D1F">
          <w:rPr>
            <w:noProof/>
            <w:webHidden/>
          </w:rPr>
          <w:instrText xml:space="preserve"> PAGEREF _Toc531878502 \h </w:instrText>
        </w:r>
        <w:r w:rsidR="00744D1F">
          <w:rPr>
            <w:noProof/>
            <w:webHidden/>
          </w:rPr>
        </w:r>
        <w:r w:rsidR="00744D1F">
          <w:rPr>
            <w:noProof/>
            <w:webHidden/>
          </w:rPr>
          <w:fldChar w:fldCharType="separate"/>
        </w:r>
        <w:r w:rsidR="00AD63C9">
          <w:rPr>
            <w:noProof/>
            <w:webHidden/>
          </w:rPr>
          <w:t>85</w:t>
        </w:r>
        <w:r w:rsidR="00744D1F">
          <w:rPr>
            <w:noProof/>
            <w:webHidden/>
          </w:rPr>
          <w:fldChar w:fldCharType="end"/>
        </w:r>
      </w:hyperlink>
    </w:p>
    <w:p w14:paraId="5D2EE6D4" w14:textId="0C189F65" w:rsidR="00744D1F" w:rsidRDefault="00A220C4">
      <w:pPr>
        <w:pStyle w:val="TOC1"/>
        <w:tabs>
          <w:tab w:val="right" w:leader="dot" w:pos="9350"/>
        </w:tabs>
        <w:rPr>
          <w:rFonts w:eastAsiaTheme="minorEastAsia"/>
          <w:noProof/>
          <w:lang w:eastAsia="zh-CN"/>
        </w:rPr>
      </w:pPr>
      <w:hyperlink w:anchor="_Toc531878503" w:history="1">
        <w:r w:rsidR="00744D1F" w:rsidRPr="00AF038F">
          <w:rPr>
            <w:rStyle w:val="Hyperlink"/>
            <w:rFonts w:cs="Times New Roman"/>
            <w:noProof/>
          </w:rPr>
          <w:t>Works Cited</w:t>
        </w:r>
        <w:r w:rsidR="00744D1F">
          <w:rPr>
            <w:noProof/>
            <w:webHidden/>
          </w:rPr>
          <w:tab/>
        </w:r>
        <w:r w:rsidR="00744D1F">
          <w:rPr>
            <w:noProof/>
            <w:webHidden/>
          </w:rPr>
          <w:fldChar w:fldCharType="begin"/>
        </w:r>
        <w:r w:rsidR="00744D1F">
          <w:rPr>
            <w:noProof/>
            <w:webHidden/>
          </w:rPr>
          <w:instrText xml:space="preserve"> PAGEREF _Toc531878503 \h </w:instrText>
        </w:r>
        <w:r w:rsidR="00744D1F">
          <w:rPr>
            <w:noProof/>
            <w:webHidden/>
          </w:rPr>
        </w:r>
        <w:r w:rsidR="00744D1F">
          <w:rPr>
            <w:noProof/>
            <w:webHidden/>
          </w:rPr>
          <w:fldChar w:fldCharType="separate"/>
        </w:r>
        <w:r w:rsidR="00AD63C9">
          <w:rPr>
            <w:noProof/>
            <w:webHidden/>
          </w:rPr>
          <w:t>91</w:t>
        </w:r>
        <w:r w:rsidR="00744D1F">
          <w:rPr>
            <w:noProof/>
            <w:webHidden/>
          </w:rPr>
          <w:fldChar w:fldCharType="end"/>
        </w:r>
      </w:hyperlink>
    </w:p>
    <w:p w14:paraId="22C69005" w14:textId="2D9B2459" w:rsidR="000A5903" w:rsidRPr="003E342A" w:rsidRDefault="006D6E05">
      <w:pPr>
        <w:rPr>
          <w:rFonts w:ascii="Times New Roman" w:eastAsia="Times New Roman" w:hAnsi="Times New Roman" w:cs="Times New Roman"/>
          <w:b/>
          <w:sz w:val="24"/>
          <w:szCs w:val="24"/>
          <w:lang w:eastAsia="zh-CN"/>
        </w:rPr>
      </w:pPr>
      <w:r w:rsidRPr="003E342A">
        <w:rPr>
          <w:rFonts w:ascii="Times New Roman" w:hAnsi="Times New Roman" w:cs="Times New Roman"/>
          <w:b/>
          <w:sz w:val="24"/>
          <w:szCs w:val="24"/>
        </w:rPr>
        <w:fldChar w:fldCharType="end"/>
      </w:r>
      <w:r w:rsidR="000A5903" w:rsidRPr="003E342A">
        <w:rPr>
          <w:rFonts w:ascii="Times New Roman" w:hAnsi="Times New Roman" w:cs="Times New Roman"/>
          <w:b/>
        </w:rPr>
        <w:br w:type="page"/>
      </w:r>
    </w:p>
    <w:p w14:paraId="131907CA" w14:textId="13718DF4" w:rsidR="00D158EF" w:rsidRDefault="007B01DA" w:rsidP="007B01DA">
      <w:pPr>
        <w:pStyle w:val="Title"/>
        <w:jc w:val="center"/>
      </w:pPr>
      <w:bookmarkStart w:id="4" w:name="_Toc531878479"/>
      <w:r>
        <w:lastRenderedPageBreak/>
        <w:t>Abstract</w:t>
      </w:r>
      <w:bookmarkEnd w:id="4"/>
    </w:p>
    <w:p w14:paraId="065F77CD" w14:textId="1783A2C1" w:rsidR="007B01DA" w:rsidRDefault="007B01DA">
      <w:pPr>
        <w:rPr>
          <w:rFonts w:ascii="Times New Roman" w:eastAsiaTheme="majorEastAsia" w:hAnsi="Times New Roman" w:cs="Times New Roman"/>
          <w:b/>
          <w:spacing w:val="-10"/>
          <w:kern w:val="28"/>
          <w:sz w:val="28"/>
          <w:szCs w:val="56"/>
        </w:rPr>
      </w:pPr>
    </w:p>
    <w:p w14:paraId="2D59DECB" w14:textId="67DC2C5E" w:rsidR="007B01DA" w:rsidRPr="003E342A" w:rsidRDefault="007B01DA" w:rsidP="007B01DA">
      <w:pPr>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As a result of several food and chemical-related public health scares as well as strong activism by environmental organization such as Greenpeace, longstanding majorities of EU citizens support restrictions on the authorization and use of GMOs for human and animal consumption in the European Union. Given the EU’s ongoing Democratic Deficit and the deepening crisis of faith in recent years in European institutions, the European Commission under the leadership of Jean-Claude Juncker has been </w:t>
      </w:r>
      <w:r>
        <w:rPr>
          <w:rFonts w:ascii="Times New Roman" w:hAnsi="Times New Roman" w:cs="Times New Roman"/>
          <w:sz w:val="24"/>
          <w:szCs w:val="24"/>
        </w:rPr>
        <w:t>attempting</w:t>
      </w:r>
      <w:r w:rsidRPr="003E342A">
        <w:rPr>
          <w:rFonts w:ascii="Times New Roman" w:hAnsi="Times New Roman" w:cs="Times New Roman"/>
          <w:sz w:val="24"/>
          <w:szCs w:val="24"/>
        </w:rPr>
        <w:t xml:space="preserve"> to respond to these public desires with a series of proposed regulatory reforms.</w:t>
      </w:r>
    </w:p>
    <w:p w14:paraId="6BC4CAFD" w14:textId="3383F769" w:rsidR="007B01DA" w:rsidRDefault="007B01DA" w:rsidP="007B01DA">
      <w:pPr>
        <w:ind w:firstLine="720"/>
        <w:jc w:val="both"/>
      </w:pPr>
      <w:r w:rsidRPr="003E342A">
        <w:rPr>
          <w:rFonts w:ascii="Times New Roman" w:hAnsi="Times New Roman" w:cs="Times New Roman"/>
          <w:sz w:val="24"/>
          <w:szCs w:val="24"/>
        </w:rPr>
        <w:t xml:space="preserve">However, Juncker’s policy proposals pose an enormous quandary for European Institutions for several reasons. Namely, they contravene rulings by both the European Court of Justice and the World Trade Organization and threaten the integrity of the European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and the vitality of European economic competitiveness; further, </w:t>
      </w:r>
      <w:r>
        <w:rPr>
          <w:rFonts w:ascii="Times New Roman" w:hAnsi="Times New Roman" w:cs="Times New Roman"/>
          <w:sz w:val="24"/>
          <w:szCs w:val="24"/>
        </w:rPr>
        <w:t>when placed in the context of long</w:t>
      </w:r>
      <w:r w:rsidR="00FB3584">
        <w:rPr>
          <w:rFonts w:ascii="Times New Roman" w:hAnsi="Times New Roman" w:cs="Times New Roman"/>
          <w:sz w:val="24"/>
          <w:szCs w:val="24"/>
        </w:rPr>
        <w:t>-</w:t>
      </w:r>
      <w:r>
        <w:rPr>
          <w:rFonts w:ascii="Times New Roman" w:hAnsi="Times New Roman" w:cs="Times New Roman"/>
          <w:sz w:val="24"/>
          <w:szCs w:val="24"/>
        </w:rPr>
        <w:t xml:space="preserve">term regulatory changes in the EU, </w:t>
      </w:r>
      <w:r w:rsidRPr="003E342A">
        <w:rPr>
          <w:rFonts w:ascii="Times New Roman" w:hAnsi="Times New Roman" w:cs="Times New Roman"/>
          <w:sz w:val="24"/>
          <w:szCs w:val="24"/>
        </w:rPr>
        <w:t xml:space="preserve">they threaten to </w:t>
      </w:r>
      <w:r w:rsidR="00FB3584">
        <w:rPr>
          <w:rFonts w:ascii="Times New Roman" w:hAnsi="Times New Roman" w:cs="Times New Roman"/>
          <w:sz w:val="24"/>
          <w:szCs w:val="24"/>
        </w:rPr>
        <w:t>reduce the role of scientific expertise</w:t>
      </w:r>
      <w:r w:rsidRPr="003E342A">
        <w:rPr>
          <w:rFonts w:ascii="Times New Roman" w:hAnsi="Times New Roman" w:cs="Times New Roman"/>
          <w:sz w:val="24"/>
          <w:szCs w:val="24"/>
        </w:rPr>
        <w:t xml:space="preserve"> in </w:t>
      </w:r>
      <w:r w:rsidR="00FB3584">
        <w:rPr>
          <w:rFonts w:ascii="Times New Roman" w:hAnsi="Times New Roman" w:cs="Times New Roman"/>
          <w:sz w:val="24"/>
          <w:szCs w:val="24"/>
        </w:rPr>
        <w:t>policy</w:t>
      </w:r>
      <w:r w:rsidRPr="003E342A">
        <w:rPr>
          <w:rFonts w:ascii="Times New Roman" w:hAnsi="Times New Roman" w:cs="Times New Roman"/>
          <w:sz w:val="24"/>
          <w:szCs w:val="24"/>
        </w:rPr>
        <w:t>making decisions</w:t>
      </w:r>
      <w:r w:rsidR="00FB3584">
        <w:rPr>
          <w:rFonts w:ascii="Times New Roman" w:hAnsi="Times New Roman" w:cs="Times New Roman"/>
          <w:sz w:val="24"/>
          <w:szCs w:val="24"/>
        </w:rPr>
        <w:t>,</w:t>
      </w:r>
      <w:r w:rsidRPr="003E342A">
        <w:rPr>
          <w:rFonts w:ascii="Times New Roman" w:hAnsi="Times New Roman" w:cs="Times New Roman"/>
          <w:sz w:val="24"/>
          <w:szCs w:val="24"/>
        </w:rPr>
        <w:t xml:space="preserve"> with implications </w:t>
      </w:r>
      <w:r w:rsidR="00FB3584">
        <w:rPr>
          <w:rFonts w:ascii="Times New Roman" w:hAnsi="Times New Roman" w:cs="Times New Roman"/>
          <w:sz w:val="24"/>
          <w:szCs w:val="24"/>
        </w:rPr>
        <w:t>for European technological and scientific leadership</w:t>
      </w:r>
      <w:r w:rsidRPr="003E342A">
        <w:rPr>
          <w:rFonts w:ascii="Times New Roman" w:hAnsi="Times New Roman" w:cs="Times New Roman"/>
          <w:sz w:val="24"/>
          <w:szCs w:val="24"/>
        </w:rPr>
        <w:t xml:space="preserve">. </w:t>
      </w:r>
    </w:p>
    <w:p w14:paraId="77AC436B" w14:textId="38F46510" w:rsidR="007B01DA" w:rsidRDefault="007B01DA" w:rsidP="007B01DA">
      <w:pPr>
        <w:ind w:firstLine="720"/>
        <w:jc w:val="both"/>
      </w:pPr>
      <w:r w:rsidRPr="003E342A">
        <w:rPr>
          <w:rFonts w:ascii="Times New Roman" w:hAnsi="Times New Roman" w:cs="Times New Roman"/>
          <w:sz w:val="24"/>
          <w:szCs w:val="24"/>
        </w:rPr>
        <w:t xml:space="preserve">Several key questions arise from the current predicament regarding GMO Regulations in Europe, and which this thesis will attempt to address. First, how did the history of European food and GM regulation lead to this current impasse and how does it frame the current debate? Second, what are the arguments in favor of the reforms proposed by the Juncker Commission? Third, what are the primary arguments against these reforms? This research will show that there is strong evidence both for and against the reforms. </w:t>
      </w:r>
      <w:proofErr w:type="gramStart"/>
      <w:r w:rsidRPr="003E342A">
        <w:rPr>
          <w:rFonts w:ascii="Times New Roman" w:hAnsi="Times New Roman" w:cs="Times New Roman"/>
          <w:sz w:val="24"/>
          <w:szCs w:val="24"/>
        </w:rPr>
        <w:t>In light of</w:t>
      </w:r>
      <w:proofErr w:type="gramEnd"/>
      <w:r w:rsidRPr="003E342A">
        <w:rPr>
          <w:rFonts w:ascii="Times New Roman" w:hAnsi="Times New Roman" w:cs="Times New Roman"/>
          <w:sz w:val="24"/>
          <w:szCs w:val="24"/>
        </w:rPr>
        <w:t xml:space="preserve"> this evidence, this thesis will </w:t>
      </w:r>
      <w:r>
        <w:rPr>
          <w:rFonts w:ascii="Times New Roman" w:hAnsi="Times New Roman" w:cs="Times New Roman"/>
          <w:sz w:val="24"/>
          <w:szCs w:val="24"/>
        </w:rPr>
        <w:t>provide tentative answers to a</w:t>
      </w:r>
      <w:r w:rsidRPr="003E342A">
        <w:rPr>
          <w:rFonts w:ascii="Times New Roman" w:hAnsi="Times New Roman" w:cs="Times New Roman"/>
          <w:sz w:val="24"/>
          <w:szCs w:val="24"/>
        </w:rPr>
        <w:t xml:space="preserve"> final question: what should European institutions do about the GMO question, and are there possible resolutions to this dilemma?</w:t>
      </w:r>
      <w:r w:rsidR="00FB3584">
        <w:rPr>
          <w:rFonts w:ascii="Times New Roman" w:hAnsi="Times New Roman" w:cs="Times New Roman"/>
          <w:sz w:val="24"/>
          <w:szCs w:val="24"/>
        </w:rPr>
        <w:t xml:space="preserve"> </w:t>
      </w:r>
    </w:p>
    <w:p w14:paraId="630B9D45" w14:textId="446A2C6D" w:rsidR="007B01DA" w:rsidRDefault="007B01DA" w:rsidP="007B01DA">
      <w:pPr>
        <w:jc w:val="both"/>
        <w:rPr>
          <w:rFonts w:ascii="Times New Roman" w:hAnsi="Times New Roman" w:cs="Times New Roman"/>
          <w:sz w:val="24"/>
          <w:szCs w:val="24"/>
        </w:rPr>
      </w:pPr>
      <w:r w:rsidRPr="003E342A">
        <w:rPr>
          <w:rFonts w:ascii="Times New Roman" w:hAnsi="Times New Roman" w:cs="Times New Roman"/>
          <w:sz w:val="24"/>
          <w:szCs w:val="24"/>
        </w:rPr>
        <w:tab/>
        <w:t>To answer the questions, after situating the situation in the institutional history of food and GMO regulations, this work will take the following course: first, it will detail the regulatory history and comitological rules that create one element of the dilemma</w:t>
      </w:r>
      <w:r>
        <w:rPr>
          <w:rFonts w:ascii="Times New Roman" w:hAnsi="Times New Roman" w:cs="Times New Roman"/>
          <w:sz w:val="24"/>
          <w:szCs w:val="24"/>
        </w:rPr>
        <w:t>,</w:t>
      </w:r>
      <w:r w:rsidRPr="003E342A">
        <w:rPr>
          <w:rFonts w:ascii="Times New Roman" w:hAnsi="Times New Roman" w:cs="Times New Roman"/>
          <w:sz w:val="24"/>
          <w:szCs w:val="24"/>
        </w:rPr>
        <w:t xml:space="preserve"> and the proposed reforms that would resolve the dilemma. Second, it will analyze the nature of Europe’s democratic deficit and ongoing populist legitimacy crisis as informed by </w:t>
      </w:r>
      <w:r>
        <w:rPr>
          <w:rFonts w:ascii="Times New Roman" w:hAnsi="Times New Roman" w:cs="Times New Roman"/>
          <w:sz w:val="24"/>
          <w:szCs w:val="24"/>
        </w:rPr>
        <w:t>the political philosophies of J</w:t>
      </w:r>
      <w:r w:rsidR="008772EE">
        <w:rPr>
          <w:rFonts w:ascii="Times New Roman" w:hAnsi="Times New Roman" w:cs="Times New Roman"/>
          <w:sz w:val="24"/>
          <w:szCs w:val="24"/>
        </w:rPr>
        <w:t>ü</w:t>
      </w:r>
      <w:r>
        <w:rPr>
          <w:rFonts w:ascii="Times New Roman" w:hAnsi="Times New Roman" w:cs="Times New Roman"/>
          <w:sz w:val="24"/>
          <w:szCs w:val="24"/>
        </w:rPr>
        <w:t>rgen Habermas</w:t>
      </w:r>
      <w:r w:rsidRPr="003E342A">
        <w:rPr>
          <w:rFonts w:ascii="Times New Roman" w:hAnsi="Times New Roman" w:cs="Times New Roman"/>
          <w:sz w:val="24"/>
          <w:szCs w:val="24"/>
        </w:rPr>
        <w:t xml:space="preserve">. Then, it will explain the institutional and structural constraints such as European </w:t>
      </w:r>
      <w:r w:rsidR="00FB3584">
        <w:rPr>
          <w:rFonts w:ascii="Times New Roman" w:hAnsi="Times New Roman" w:cs="Times New Roman"/>
          <w:sz w:val="24"/>
          <w:szCs w:val="24"/>
        </w:rPr>
        <w:t>l</w:t>
      </w:r>
      <w:r w:rsidRPr="003E342A">
        <w:rPr>
          <w:rFonts w:ascii="Times New Roman" w:hAnsi="Times New Roman" w:cs="Times New Roman"/>
          <w:sz w:val="24"/>
          <w:szCs w:val="24"/>
        </w:rPr>
        <w:t>aw and World Trade Organization rulings that pose an enormous quandary for the proponents of Juncker</w:t>
      </w:r>
      <w:r>
        <w:rPr>
          <w:rFonts w:ascii="Times New Roman" w:hAnsi="Times New Roman" w:cs="Times New Roman"/>
          <w:sz w:val="24"/>
          <w:szCs w:val="24"/>
        </w:rPr>
        <w:t xml:space="preserve">’s reforms </w:t>
      </w:r>
      <w:r w:rsidRPr="003E342A">
        <w:rPr>
          <w:rFonts w:ascii="Times New Roman" w:hAnsi="Times New Roman" w:cs="Times New Roman"/>
          <w:sz w:val="24"/>
          <w:szCs w:val="24"/>
        </w:rPr>
        <w:t>and show that Schumpeter’s elaboration of the Public Choice Dilemma is at work</w:t>
      </w:r>
      <w:r>
        <w:rPr>
          <w:rFonts w:ascii="Times New Roman" w:hAnsi="Times New Roman" w:cs="Times New Roman"/>
          <w:sz w:val="24"/>
          <w:szCs w:val="24"/>
        </w:rPr>
        <w:t xml:space="preserve">. </w:t>
      </w:r>
      <w:r w:rsidR="00FB3584">
        <w:rPr>
          <w:rFonts w:ascii="Times New Roman" w:hAnsi="Times New Roman" w:cs="Times New Roman"/>
          <w:sz w:val="24"/>
          <w:szCs w:val="24"/>
        </w:rPr>
        <w:t xml:space="preserve">Ultimately, the broad strokes of the regulatory status quo should be preserved, but several specific points can be reformed in more democratic ways. </w:t>
      </w:r>
      <w:r>
        <w:rPr>
          <w:rFonts w:ascii="Times New Roman" w:hAnsi="Times New Roman" w:cs="Times New Roman"/>
          <w:sz w:val="24"/>
          <w:szCs w:val="24"/>
        </w:rPr>
        <w:t xml:space="preserve">This investigation draws implications for the intersection of public opinion, regulation, and science policy in the EU and throughout Western </w:t>
      </w:r>
      <w:proofErr w:type="gramStart"/>
      <w:r>
        <w:rPr>
          <w:rFonts w:ascii="Times New Roman" w:hAnsi="Times New Roman" w:cs="Times New Roman"/>
          <w:sz w:val="24"/>
          <w:szCs w:val="24"/>
        </w:rPr>
        <w:t>democracies</w:t>
      </w:r>
      <w:r w:rsidR="00B728F0">
        <w:rPr>
          <w:rFonts w:ascii="Times New Roman" w:hAnsi="Times New Roman" w:cs="Times New Roman"/>
          <w:sz w:val="24"/>
          <w:szCs w:val="24"/>
        </w:rPr>
        <w:t>, and</w:t>
      </w:r>
      <w:proofErr w:type="gramEnd"/>
      <w:r w:rsidR="00B728F0">
        <w:rPr>
          <w:rFonts w:ascii="Times New Roman" w:hAnsi="Times New Roman" w:cs="Times New Roman"/>
          <w:sz w:val="24"/>
          <w:szCs w:val="24"/>
        </w:rPr>
        <w:t xml:space="preserve"> finds that science and democracy should and do occupy separate spheres.</w:t>
      </w:r>
    </w:p>
    <w:p w14:paraId="57B11300" w14:textId="3F32C170" w:rsidR="00B728F0" w:rsidRDefault="00B728F0" w:rsidP="007B01DA">
      <w:pPr>
        <w:jc w:val="both"/>
        <w:rPr>
          <w:rFonts w:ascii="Times New Roman" w:hAnsi="Times New Roman" w:cs="Times New Roman"/>
          <w:sz w:val="24"/>
          <w:szCs w:val="24"/>
        </w:rPr>
      </w:pPr>
    </w:p>
    <w:p w14:paraId="1933C8BF" w14:textId="2671B96B" w:rsidR="00744D1F" w:rsidRDefault="00B728F0" w:rsidP="007B01DA">
      <w:pPr>
        <w:jc w:val="both"/>
        <w:rPr>
          <w:rFonts w:ascii="Times New Roman" w:hAnsi="Times New Roman" w:cs="Times New Roman"/>
          <w:sz w:val="24"/>
          <w:szCs w:val="24"/>
        </w:rPr>
      </w:pPr>
      <w:r w:rsidRPr="00744D1F">
        <w:rPr>
          <w:rFonts w:ascii="Times New Roman" w:hAnsi="Times New Roman" w:cs="Times New Roman"/>
          <w:b/>
          <w:sz w:val="24"/>
          <w:szCs w:val="24"/>
        </w:rPr>
        <w:t>Keywords</w:t>
      </w:r>
      <w:r>
        <w:rPr>
          <w:rFonts w:ascii="Times New Roman" w:hAnsi="Times New Roman" w:cs="Times New Roman"/>
          <w:sz w:val="24"/>
          <w:szCs w:val="24"/>
        </w:rPr>
        <w:t>: European Union; GMOs; Technocracy; Health and Safety Regulation; Limits of Democracy; Scientific Community;</w:t>
      </w:r>
      <w:r w:rsidR="00744D1F">
        <w:rPr>
          <w:rFonts w:ascii="Times New Roman" w:hAnsi="Times New Roman" w:cs="Times New Roman"/>
          <w:sz w:val="24"/>
          <w:szCs w:val="24"/>
        </w:rPr>
        <w:t xml:space="preserve"> Precautionary Principle; Technology Assessment; Biotechnology.</w:t>
      </w:r>
    </w:p>
    <w:p w14:paraId="73E30653" w14:textId="77777777" w:rsidR="00744D1F" w:rsidRDefault="00744D1F">
      <w:pPr>
        <w:rPr>
          <w:rFonts w:ascii="Times New Roman" w:hAnsi="Times New Roman" w:cs="Times New Roman"/>
          <w:sz w:val="24"/>
          <w:szCs w:val="24"/>
        </w:rPr>
      </w:pPr>
      <w:r>
        <w:rPr>
          <w:rFonts w:ascii="Times New Roman" w:hAnsi="Times New Roman" w:cs="Times New Roman"/>
          <w:sz w:val="24"/>
          <w:szCs w:val="24"/>
        </w:rPr>
        <w:br w:type="page"/>
      </w:r>
    </w:p>
    <w:p w14:paraId="677690CA" w14:textId="77777777" w:rsidR="00744D1F" w:rsidRPr="00744D1F" w:rsidRDefault="00744D1F" w:rsidP="00744D1F">
      <w:pPr>
        <w:pStyle w:val="Title"/>
        <w:jc w:val="center"/>
      </w:pPr>
      <w:bookmarkStart w:id="5" w:name="_Toc531878480"/>
      <w:r w:rsidRPr="00744D1F">
        <w:rPr>
          <w:szCs w:val="28"/>
        </w:rPr>
        <w:lastRenderedPageBreak/>
        <w:t>Acknowledgements</w:t>
      </w:r>
      <w:bookmarkEnd w:id="5"/>
    </w:p>
    <w:p w14:paraId="4A9D924A" w14:textId="77777777" w:rsidR="00744D1F" w:rsidRPr="00744D1F" w:rsidRDefault="00744D1F" w:rsidP="001D6484">
      <w:pPr>
        <w:jc w:val="both"/>
        <w:rPr>
          <w:rFonts w:ascii="Times New Roman" w:hAnsi="Times New Roman" w:cs="Times New Roman"/>
          <w:sz w:val="24"/>
          <w:szCs w:val="24"/>
        </w:rPr>
      </w:pPr>
    </w:p>
    <w:p w14:paraId="1A01F2DB" w14:textId="1434B434" w:rsidR="00744D1F" w:rsidRPr="00744D1F" w:rsidRDefault="00744D1F" w:rsidP="001D6484">
      <w:pPr>
        <w:jc w:val="both"/>
        <w:rPr>
          <w:rFonts w:ascii="Times New Roman" w:hAnsi="Times New Roman" w:cs="Times New Roman"/>
          <w:sz w:val="24"/>
          <w:szCs w:val="24"/>
        </w:rPr>
      </w:pPr>
      <w:r w:rsidRPr="00744D1F">
        <w:rPr>
          <w:rFonts w:ascii="Times New Roman" w:hAnsi="Times New Roman" w:cs="Times New Roman"/>
          <w:sz w:val="24"/>
          <w:szCs w:val="24"/>
        </w:rPr>
        <w:t xml:space="preserve">To </w:t>
      </w:r>
      <w:proofErr w:type="spellStart"/>
      <w:r w:rsidRPr="00744D1F">
        <w:rPr>
          <w:rFonts w:ascii="Times New Roman" w:hAnsi="Times New Roman" w:cs="Times New Roman"/>
          <w:sz w:val="24"/>
          <w:szCs w:val="24"/>
        </w:rPr>
        <w:t>Manue</w:t>
      </w:r>
      <w:proofErr w:type="spellEnd"/>
      <w:r w:rsidRPr="00744D1F">
        <w:rPr>
          <w:rFonts w:ascii="Times New Roman" w:hAnsi="Times New Roman" w:cs="Times New Roman"/>
          <w:sz w:val="24"/>
          <w:szCs w:val="24"/>
        </w:rPr>
        <w:t xml:space="preserve">, my wife, </w:t>
      </w:r>
      <w:r>
        <w:rPr>
          <w:rFonts w:ascii="Times New Roman" w:hAnsi="Times New Roman" w:cs="Times New Roman"/>
          <w:sz w:val="24"/>
          <w:szCs w:val="24"/>
        </w:rPr>
        <w:t xml:space="preserve">my </w:t>
      </w:r>
      <w:r w:rsidRPr="00744D1F">
        <w:rPr>
          <w:rFonts w:ascii="Times New Roman" w:hAnsi="Times New Roman" w:cs="Times New Roman"/>
          <w:sz w:val="24"/>
          <w:szCs w:val="24"/>
        </w:rPr>
        <w:t xml:space="preserve">partner, </w:t>
      </w:r>
      <w:r>
        <w:rPr>
          <w:rFonts w:ascii="Times New Roman" w:hAnsi="Times New Roman" w:cs="Times New Roman"/>
          <w:sz w:val="24"/>
          <w:szCs w:val="24"/>
        </w:rPr>
        <w:t xml:space="preserve">my best </w:t>
      </w:r>
      <w:r w:rsidRPr="00744D1F">
        <w:rPr>
          <w:rFonts w:ascii="Times New Roman" w:hAnsi="Times New Roman" w:cs="Times New Roman"/>
          <w:sz w:val="24"/>
          <w:szCs w:val="24"/>
        </w:rPr>
        <w:t xml:space="preserve">friend, and </w:t>
      </w:r>
      <w:r>
        <w:rPr>
          <w:rFonts w:ascii="Times New Roman" w:hAnsi="Times New Roman" w:cs="Times New Roman"/>
          <w:sz w:val="24"/>
          <w:szCs w:val="24"/>
        </w:rPr>
        <w:t xml:space="preserve">my </w:t>
      </w:r>
      <w:r w:rsidRPr="00744D1F">
        <w:rPr>
          <w:rFonts w:ascii="Times New Roman" w:hAnsi="Times New Roman" w:cs="Times New Roman"/>
          <w:sz w:val="24"/>
          <w:szCs w:val="24"/>
        </w:rPr>
        <w:t>greatest supporter, without whose encouragement and companionship I would not have arrived where I am today</w:t>
      </w:r>
      <w:r>
        <w:rPr>
          <w:rFonts w:ascii="Times New Roman" w:hAnsi="Times New Roman" w:cs="Times New Roman"/>
          <w:sz w:val="24"/>
          <w:szCs w:val="24"/>
        </w:rPr>
        <w:t>;</w:t>
      </w:r>
    </w:p>
    <w:p w14:paraId="57CE8A75" w14:textId="77777777" w:rsidR="00744D1F" w:rsidRPr="00744D1F" w:rsidRDefault="00744D1F" w:rsidP="001D6484">
      <w:pPr>
        <w:jc w:val="both"/>
        <w:rPr>
          <w:rFonts w:ascii="Times New Roman" w:hAnsi="Times New Roman" w:cs="Times New Roman"/>
          <w:sz w:val="24"/>
          <w:szCs w:val="24"/>
        </w:rPr>
      </w:pPr>
    </w:p>
    <w:p w14:paraId="29A28E9C" w14:textId="0544BF02" w:rsidR="00744D1F" w:rsidRPr="00744D1F" w:rsidRDefault="00744D1F" w:rsidP="001D6484">
      <w:pPr>
        <w:jc w:val="both"/>
        <w:rPr>
          <w:rFonts w:ascii="Times New Roman" w:hAnsi="Times New Roman" w:cs="Times New Roman"/>
          <w:sz w:val="24"/>
          <w:szCs w:val="24"/>
        </w:rPr>
      </w:pPr>
      <w:r>
        <w:rPr>
          <w:rFonts w:ascii="Times New Roman" w:hAnsi="Times New Roman" w:cs="Times New Roman"/>
          <w:sz w:val="24"/>
          <w:szCs w:val="24"/>
        </w:rPr>
        <w:t>T</w:t>
      </w:r>
      <w:r w:rsidRPr="00744D1F">
        <w:rPr>
          <w:rFonts w:ascii="Times New Roman" w:hAnsi="Times New Roman" w:cs="Times New Roman"/>
          <w:sz w:val="24"/>
          <w:szCs w:val="24"/>
        </w:rPr>
        <w:t xml:space="preserve">o Professor Smith, whose patience as I sought and scrapped and reengineered thesis topics was unending, and whose work on European regulation brought great insight </w:t>
      </w:r>
      <w:r w:rsidR="00E437D7">
        <w:rPr>
          <w:rFonts w:ascii="Times New Roman" w:hAnsi="Times New Roman" w:cs="Times New Roman"/>
          <w:sz w:val="24"/>
          <w:szCs w:val="24"/>
        </w:rPr>
        <w:t>for this thesis</w:t>
      </w:r>
      <w:r w:rsidRPr="00744D1F">
        <w:rPr>
          <w:rFonts w:ascii="Times New Roman" w:hAnsi="Times New Roman" w:cs="Times New Roman"/>
          <w:sz w:val="24"/>
          <w:szCs w:val="24"/>
        </w:rPr>
        <w:t>;</w:t>
      </w:r>
    </w:p>
    <w:p w14:paraId="5C45C3EC" w14:textId="77777777" w:rsidR="00744D1F" w:rsidRPr="00744D1F" w:rsidRDefault="00744D1F" w:rsidP="001D6484">
      <w:pPr>
        <w:jc w:val="both"/>
        <w:rPr>
          <w:rFonts w:ascii="Times New Roman" w:hAnsi="Times New Roman" w:cs="Times New Roman"/>
          <w:sz w:val="24"/>
          <w:szCs w:val="24"/>
        </w:rPr>
      </w:pPr>
    </w:p>
    <w:p w14:paraId="7B7A18FC" w14:textId="017B043F" w:rsidR="00744D1F" w:rsidRPr="00744D1F" w:rsidRDefault="00744D1F" w:rsidP="001D6484">
      <w:pPr>
        <w:jc w:val="both"/>
        <w:rPr>
          <w:rFonts w:ascii="Times New Roman" w:hAnsi="Times New Roman" w:cs="Times New Roman"/>
          <w:sz w:val="24"/>
          <w:szCs w:val="24"/>
        </w:rPr>
      </w:pPr>
      <w:r>
        <w:rPr>
          <w:rFonts w:ascii="Times New Roman" w:hAnsi="Times New Roman" w:cs="Times New Roman"/>
          <w:sz w:val="24"/>
          <w:szCs w:val="24"/>
        </w:rPr>
        <w:t>T</w:t>
      </w:r>
      <w:r w:rsidRPr="00744D1F">
        <w:rPr>
          <w:rFonts w:ascii="Times New Roman" w:hAnsi="Times New Roman" w:cs="Times New Roman"/>
          <w:sz w:val="24"/>
          <w:szCs w:val="24"/>
        </w:rPr>
        <w:t xml:space="preserve">o Professor Heinze and Professor Morais, who agreed with short notice to join my committee and </w:t>
      </w:r>
      <w:r w:rsidR="00E437D7">
        <w:rPr>
          <w:rFonts w:ascii="Times New Roman" w:hAnsi="Times New Roman" w:cs="Times New Roman"/>
          <w:sz w:val="24"/>
          <w:szCs w:val="24"/>
        </w:rPr>
        <w:t xml:space="preserve">despite my being an ocean away </w:t>
      </w:r>
      <w:r w:rsidRPr="00744D1F">
        <w:rPr>
          <w:rFonts w:ascii="Times New Roman" w:hAnsi="Times New Roman" w:cs="Times New Roman"/>
          <w:sz w:val="24"/>
          <w:szCs w:val="24"/>
        </w:rPr>
        <w:t>delivered feedback that was at once both heartening and constructively critical;</w:t>
      </w:r>
    </w:p>
    <w:p w14:paraId="161D7D1A" w14:textId="77777777" w:rsidR="00744D1F" w:rsidRPr="00744D1F" w:rsidRDefault="00744D1F" w:rsidP="001D6484">
      <w:pPr>
        <w:jc w:val="both"/>
        <w:rPr>
          <w:rFonts w:ascii="Times New Roman" w:hAnsi="Times New Roman" w:cs="Times New Roman"/>
          <w:sz w:val="24"/>
          <w:szCs w:val="24"/>
        </w:rPr>
      </w:pPr>
    </w:p>
    <w:p w14:paraId="0455042C" w14:textId="3638A385" w:rsidR="00744D1F" w:rsidRPr="00744D1F" w:rsidRDefault="00744D1F" w:rsidP="001D6484">
      <w:pPr>
        <w:jc w:val="both"/>
        <w:rPr>
          <w:rFonts w:ascii="Times New Roman" w:hAnsi="Times New Roman" w:cs="Times New Roman"/>
          <w:sz w:val="24"/>
          <w:szCs w:val="24"/>
        </w:rPr>
      </w:pPr>
      <w:r>
        <w:rPr>
          <w:rFonts w:ascii="Times New Roman" w:hAnsi="Times New Roman" w:cs="Times New Roman"/>
          <w:sz w:val="24"/>
          <w:szCs w:val="24"/>
        </w:rPr>
        <w:t>T</w:t>
      </w:r>
      <w:r w:rsidRPr="00744D1F">
        <w:rPr>
          <w:rFonts w:ascii="Times New Roman" w:hAnsi="Times New Roman" w:cs="Times New Roman"/>
          <w:sz w:val="24"/>
          <w:szCs w:val="24"/>
        </w:rPr>
        <w:t>o my parents, who have always believed in me no matter what I have set my mind to;</w:t>
      </w:r>
    </w:p>
    <w:p w14:paraId="4C8DC887" w14:textId="77777777" w:rsidR="00744D1F" w:rsidRPr="00744D1F" w:rsidRDefault="00744D1F" w:rsidP="001D6484">
      <w:pPr>
        <w:jc w:val="both"/>
        <w:rPr>
          <w:rFonts w:ascii="Times New Roman" w:hAnsi="Times New Roman" w:cs="Times New Roman"/>
          <w:sz w:val="24"/>
          <w:szCs w:val="24"/>
        </w:rPr>
      </w:pPr>
    </w:p>
    <w:p w14:paraId="04EF922D" w14:textId="76053449" w:rsidR="00744D1F" w:rsidRDefault="00744D1F" w:rsidP="001D6484">
      <w:pPr>
        <w:jc w:val="both"/>
        <w:rPr>
          <w:rFonts w:ascii="Times New Roman" w:hAnsi="Times New Roman" w:cs="Times New Roman"/>
          <w:sz w:val="24"/>
          <w:szCs w:val="24"/>
        </w:rPr>
      </w:pPr>
      <w:r>
        <w:rPr>
          <w:rFonts w:ascii="Times New Roman" w:hAnsi="Times New Roman" w:cs="Times New Roman"/>
          <w:sz w:val="24"/>
          <w:szCs w:val="24"/>
        </w:rPr>
        <w:t>T</w:t>
      </w:r>
      <w:r w:rsidRPr="00744D1F">
        <w:rPr>
          <w:rFonts w:ascii="Times New Roman" w:hAnsi="Times New Roman" w:cs="Times New Roman"/>
          <w:sz w:val="24"/>
          <w:szCs w:val="24"/>
        </w:rPr>
        <w:t>o Kalen, who made me promise</w:t>
      </w:r>
      <w:r w:rsidR="001D6484">
        <w:rPr>
          <w:rFonts w:ascii="Times New Roman" w:hAnsi="Times New Roman" w:cs="Times New Roman"/>
          <w:sz w:val="24"/>
          <w:szCs w:val="24"/>
        </w:rPr>
        <w:t xml:space="preserve"> him</w:t>
      </w:r>
      <w:r w:rsidRPr="00744D1F">
        <w:rPr>
          <w:rFonts w:ascii="Times New Roman" w:hAnsi="Times New Roman" w:cs="Times New Roman"/>
          <w:sz w:val="24"/>
          <w:szCs w:val="24"/>
        </w:rPr>
        <w:t xml:space="preserve"> that I would finish my thesis</w:t>
      </w:r>
      <w:r>
        <w:rPr>
          <w:rFonts w:ascii="Times New Roman" w:hAnsi="Times New Roman" w:cs="Times New Roman"/>
          <w:sz w:val="24"/>
          <w:szCs w:val="24"/>
        </w:rPr>
        <w:t>,</w:t>
      </w:r>
      <w:r w:rsidRPr="00744D1F">
        <w:rPr>
          <w:rFonts w:ascii="Times New Roman" w:hAnsi="Times New Roman" w:cs="Times New Roman"/>
          <w:sz w:val="24"/>
          <w:szCs w:val="24"/>
        </w:rPr>
        <w:t xml:space="preserve"> knowing </w:t>
      </w:r>
      <w:r w:rsidR="001D6484">
        <w:rPr>
          <w:rFonts w:ascii="Times New Roman" w:hAnsi="Times New Roman" w:cs="Times New Roman"/>
          <w:sz w:val="24"/>
          <w:szCs w:val="24"/>
        </w:rPr>
        <w:t>astutely that</w:t>
      </w:r>
      <w:r w:rsidRPr="00744D1F">
        <w:rPr>
          <w:rFonts w:ascii="Times New Roman" w:hAnsi="Times New Roman" w:cs="Times New Roman"/>
          <w:sz w:val="24"/>
          <w:szCs w:val="24"/>
        </w:rPr>
        <w:t xml:space="preserve"> my </w:t>
      </w:r>
      <w:r w:rsidR="001D6484">
        <w:rPr>
          <w:rFonts w:ascii="Times New Roman" w:hAnsi="Times New Roman" w:cs="Times New Roman"/>
          <w:sz w:val="24"/>
          <w:szCs w:val="24"/>
        </w:rPr>
        <w:t>compulsion</w:t>
      </w:r>
      <w:r w:rsidRPr="00744D1F">
        <w:rPr>
          <w:rFonts w:ascii="Times New Roman" w:hAnsi="Times New Roman" w:cs="Times New Roman"/>
          <w:sz w:val="24"/>
          <w:szCs w:val="24"/>
        </w:rPr>
        <w:t xml:space="preserve"> to uphold my word would see me through</w:t>
      </w:r>
      <w:r w:rsidR="001D6484">
        <w:rPr>
          <w:rFonts w:ascii="Times New Roman" w:hAnsi="Times New Roman" w:cs="Times New Roman"/>
          <w:sz w:val="24"/>
          <w:szCs w:val="24"/>
        </w:rPr>
        <w:t>:</w:t>
      </w:r>
    </w:p>
    <w:p w14:paraId="00A6E22C" w14:textId="77777777" w:rsidR="00744D1F" w:rsidRDefault="00744D1F" w:rsidP="00744D1F">
      <w:pPr>
        <w:jc w:val="both"/>
        <w:rPr>
          <w:rFonts w:ascii="Times New Roman" w:hAnsi="Times New Roman" w:cs="Times New Roman"/>
          <w:sz w:val="24"/>
          <w:szCs w:val="24"/>
        </w:rPr>
      </w:pPr>
    </w:p>
    <w:p w14:paraId="6B52078D" w14:textId="77777777" w:rsidR="00744D1F" w:rsidRDefault="00744D1F" w:rsidP="00744D1F">
      <w:pPr>
        <w:jc w:val="both"/>
        <w:rPr>
          <w:rFonts w:ascii="Times New Roman" w:hAnsi="Times New Roman" w:cs="Times New Roman"/>
          <w:sz w:val="24"/>
          <w:szCs w:val="24"/>
        </w:rPr>
      </w:pPr>
    </w:p>
    <w:p w14:paraId="0DECADA6" w14:textId="77777777" w:rsidR="00744D1F" w:rsidRDefault="00744D1F" w:rsidP="00744D1F">
      <w:pPr>
        <w:jc w:val="both"/>
        <w:rPr>
          <w:rFonts w:ascii="Times New Roman" w:hAnsi="Times New Roman" w:cs="Times New Roman"/>
          <w:sz w:val="24"/>
          <w:szCs w:val="24"/>
        </w:rPr>
      </w:pPr>
    </w:p>
    <w:p w14:paraId="47333D38" w14:textId="4F35C67E" w:rsidR="00744D1F" w:rsidRDefault="00744D1F" w:rsidP="00744D1F">
      <w:pPr>
        <w:jc w:val="center"/>
        <w:rPr>
          <w:rFonts w:ascii="Times New Roman" w:hAnsi="Times New Roman" w:cs="Times New Roman"/>
          <w:sz w:val="24"/>
          <w:szCs w:val="24"/>
        </w:rPr>
      </w:pPr>
      <w:r>
        <w:rPr>
          <w:rFonts w:ascii="Times New Roman" w:hAnsi="Times New Roman" w:cs="Times New Roman"/>
          <w:sz w:val="24"/>
          <w:szCs w:val="24"/>
        </w:rPr>
        <w:t>Thank you.</w:t>
      </w:r>
    </w:p>
    <w:p w14:paraId="5746279E" w14:textId="77777777" w:rsidR="00744D1F" w:rsidRDefault="00744D1F" w:rsidP="00744D1F">
      <w:pPr>
        <w:jc w:val="both"/>
        <w:rPr>
          <w:rFonts w:ascii="Times New Roman" w:hAnsi="Times New Roman" w:cs="Times New Roman"/>
          <w:sz w:val="24"/>
          <w:szCs w:val="24"/>
        </w:rPr>
      </w:pPr>
    </w:p>
    <w:p w14:paraId="49EAADE8" w14:textId="13C06743" w:rsidR="00744D1F" w:rsidRPr="00744D1F" w:rsidRDefault="00744D1F" w:rsidP="00744D1F">
      <w:pPr>
        <w:jc w:val="both"/>
        <w:rPr>
          <w:rFonts w:ascii="Times New Roman" w:hAnsi="Times New Roman" w:cs="Times New Roman"/>
          <w:sz w:val="24"/>
          <w:szCs w:val="24"/>
        </w:rPr>
        <w:sectPr w:rsidR="00744D1F" w:rsidRPr="00744D1F" w:rsidSect="00AF7BEA">
          <w:footerReference w:type="default" r:id="rId8"/>
          <w:pgSz w:w="12240" w:h="15840"/>
          <w:pgMar w:top="1440" w:right="1440" w:bottom="1440" w:left="1440" w:header="720" w:footer="720" w:gutter="0"/>
          <w:pgNumType w:fmt="lowerRoman"/>
          <w:cols w:space="720"/>
          <w:docGrid w:linePitch="299"/>
        </w:sectPr>
      </w:pPr>
    </w:p>
    <w:p w14:paraId="14DD6A44" w14:textId="0C26DCA0" w:rsidR="002F0AFB" w:rsidRPr="003E342A" w:rsidRDefault="002F0AFB" w:rsidP="00380F41">
      <w:pPr>
        <w:pStyle w:val="Title"/>
        <w:jc w:val="center"/>
        <w:rPr>
          <w:rFonts w:cs="Times New Roman"/>
        </w:rPr>
      </w:pPr>
      <w:bookmarkStart w:id="6" w:name="_Toc531878481"/>
      <w:r w:rsidRPr="003E342A">
        <w:rPr>
          <w:rFonts w:cs="Times New Roman"/>
        </w:rPr>
        <w:lastRenderedPageBreak/>
        <w:t>Introduction</w:t>
      </w:r>
      <w:bookmarkEnd w:id="6"/>
    </w:p>
    <w:p w14:paraId="3348D80B" w14:textId="77777777" w:rsidR="0099656E" w:rsidRPr="003E342A" w:rsidRDefault="0099656E" w:rsidP="007B01DA">
      <w:pPr>
        <w:spacing w:line="480" w:lineRule="auto"/>
        <w:jc w:val="both"/>
        <w:rPr>
          <w:rFonts w:ascii="Times New Roman" w:hAnsi="Times New Roman" w:cs="Times New Roman"/>
          <w:sz w:val="24"/>
          <w:szCs w:val="24"/>
        </w:rPr>
      </w:pPr>
    </w:p>
    <w:p w14:paraId="0DD47D6A" w14:textId="343368D1" w:rsidR="00B70A0C" w:rsidRPr="003E342A" w:rsidRDefault="000904CE" w:rsidP="0099656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Science and technology have long been key drivers of global economic, social, and political relationships. From gunpowder and the telescope to evolutionary theory and nuclear technology, scientific changes have often entailed enormous upheavals that bring the promise of greater human prosperity while threatening the established social, political and cultural order. Political leaders, regulatory bodies, and the people they serve must, when confronted with new advances, grapple with questions of societal good, cost-benefit analyses, and market dynamics. In an organization as </w:t>
      </w:r>
      <w:r w:rsidR="00B70A0C" w:rsidRPr="003E342A">
        <w:rPr>
          <w:rFonts w:ascii="Times New Roman" w:hAnsi="Times New Roman" w:cs="Times New Roman"/>
          <w:sz w:val="24"/>
          <w:szCs w:val="24"/>
        </w:rPr>
        <w:t>complex and influential</w:t>
      </w:r>
      <w:r w:rsidRPr="003E342A">
        <w:rPr>
          <w:rFonts w:ascii="Times New Roman" w:hAnsi="Times New Roman" w:cs="Times New Roman"/>
          <w:sz w:val="24"/>
          <w:szCs w:val="24"/>
        </w:rPr>
        <w:t xml:space="preserve"> as the European Union, this process of regulating new technologies</w:t>
      </w:r>
      <w:r w:rsidR="005E3C07" w:rsidRPr="003E342A">
        <w:rPr>
          <w:rFonts w:ascii="Times New Roman" w:hAnsi="Times New Roman" w:cs="Times New Roman"/>
          <w:sz w:val="24"/>
          <w:szCs w:val="24"/>
        </w:rPr>
        <w:t xml:space="preserve"> is a long and circuitous </w:t>
      </w:r>
      <w:r w:rsidR="00280DE0" w:rsidRPr="003E342A">
        <w:rPr>
          <w:rFonts w:ascii="Times New Roman" w:hAnsi="Times New Roman" w:cs="Times New Roman"/>
          <w:sz w:val="24"/>
          <w:szCs w:val="24"/>
        </w:rPr>
        <w:t>one</w:t>
      </w:r>
      <w:r w:rsidR="005E3C07" w:rsidRPr="003E342A">
        <w:rPr>
          <w:rFonts w:ascii="Times New Roman" w:hAnsi="Times New Roman" w:cs="Times New Roman"/>
          <w:sz w:val="24"/>
          <w:szCs w:val="24"/>
        </w:rPr>
        <w:t>, involving several institutions and governing bodies</w:t>
      </w:r>
      <w:r w:rsidR="00B70A0C" w:rsidRPr="003E342A">
        <w:rPr>
          <w:rFonts w:ascii="Times New Roman" w:hAnsi="Times New Roman" w:cs="Times New Roman"/>
          <w:sz w:val="24"/>
          <w:szCs w:val="24"/>
        </w:rPr>
        <w:t>, sometimes failing to deliver policies that are in line with popular opinion</w:t>
      </w:r>
      <w:r w:rsidRPr="003E342A">
        <w:rPr>
          <w:rFonts w:ascii="Times New Roman" w:hAnsi="Times New Roman" w:cs="Times New Roman"/>
          <w:sz w:val="24"/>
          <w:szCs w:val="24"/>
        </w:rPr>
        <w:t xml:space="preserve">. </w:t>
      </w:r>
      <w:r w:rsidR="00F86E0D" w:rsidRPr="003E342A">
        <w:rPr>
          <w:rFonts w:ascii="Times New Roman" w:hAnsi="Times New Roman" w:cs="Times New Roman"/>
          <w:sz w:val="24"/>
          <w:szCs w:val="24"/>
        </w:rPr>
        <w:t xml:space="preserve">In recent decades, </w:t>
      </w:r>
      <w:r w:rsidR="00B70A0C" w:rsidRPr="003E342A">
        <w:rPr>
          <w:rFonts w:ascii="Times New Roman" w:hAnsi="Times New Roman" w:cs="Times New Roman"/>
          <w:sz w:val="24"/>
          <w:szCs w:val="24"/>
        </w:rPr>
        <w:t xml:space="preserve">however, </w:t>
      </w:r>
      <w:r w:rsidR="00F86E0D" w:rsidRPr="003E342A">
        <w:rPr>
          <w:rFonts w:ascii="Times New Roman" w:hAnsi="Times New Roman" w:cs="Times New Roman"/>
          <w:sz w:val="24"/>
          <w:szCs w:val="24"/>
        </w:rPr>
        <w:t>the European Union has been adopting regulatory processes that are more responsive to public desires and employ more democratically legitimate decisionmaking structures. Though these changes have been transpiring across many European regulatory fields, one particularly contentious and salient test case for such reforms is the topic of Genetically Modified Organisms (GMOs)</w:t>
      </w:r>
      <w:r w:rsidR="0056418F" w:rsidRPr="003E342A">
        <w:rPr>
          <w:rFonts w:ascii="Times New Roman" w:hAnsi="Times New Roman" w:cs="Times New Roman"/>
          <w:sz w:val="24"/>
          <w:szCs w:val="24"/>
        </w:rPr>
        <w:t>.</w:t>
      </w:r>
      <w:r w:rsidR="00F86E0D" w:rsidRPr="003E342A">
        <w:rPr>
          <w:rFonts w:ascii="Times New Roman" w:hAnsi="Times New Roman" w:cs="Times New Roman"/>
          <w:sz w:val="24"/>
          <w:szCs w:val="24"/>
        </w:rPr>
        <w:t xml:space="preserve"> </w:t>
      </w:r>
    </w:p>
    <w:p w14:paraId="0281FF51" w14:textId="6705CE64" w:rsidR="00C73A67"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As a result of several food and chemical-related public health scares as well as strong activism by environmental organization such as Greenpeace, longstanding majorities of EU citizens support restrictions on the authorization and use of </w:t>
      </w:r>
      <w:r w:rsidR="00280DE0" w:rsidRPr="003E342A">
        <w:rPr>
          <w:rFonts w:ascii="Times New Roman" w:hAnsi="Times New Roman" w:cs="Times New Roman"/>
          <w:sz w:val="24"/>
          <w:szCs w:val="24"/>
        </w:rPr>
        <w:t xml:space="preserve">GMOs </w:t>
      </w:r>
      <w:r w:rsidRPr="003E342A">
        <w:rPr>
          <w:rFonts w:ascii="Times New Roman" w:hAnsi="Times New Roman" w:cs="Times New Roman"/>
          <w:sz w:val="24"/>
          <w:szCs w:val="24"/>
        </w:rPr>
        <w:t>for human and animal consumption in the European Union. Given the EU’s ongoing Democratic Deficit and the deepening crisis of faith in recent years in European institutions, the European Commission under the leadership of Jean</w:t>
      </w:r>
      <w:r w:rsidR="00B70A0C" w:rsidRPr="003E342A">
        <w:rPr>
          <w:rFonts w:ascii="Times New Roman" w:hAnsi="Times New Roman" w:cs="Times New Roman"/>
          <w:sz w:val="24"/>
          <w:szCs w:val="24"/>
        </w:rPr>
        <w:t>-</w:t>
      </w:r>
      <w:r w:rsidRPr="003E342A">
        <w:rPr>
          <w:rFonts w:ascii="Times New Roman" w:hAnsi="Times New Roman" w:cs="Times New Roman"/>
          <w:sz w:val="24"/>
          <w:szCs w:val="24"/>
        </w:rPr>
        <w:t xml:space="preserve">Claude Juncker has been </w:t>
      </w:r>
      <w:proofErr w:type="gramStart"/>
      <w:r w:rsidRPr="003E342A">
        <w:rPr>
          <w:rFonts w:ascii="Times New Roman" w:hAnsi="Times New Roman" w:cs="Times New Roman"/>
          <w:sz w:val="24"/>
          <w:szCs w:val="24"/>
        </w:rPr>
        <w:t xml:space="preserve">making </w:t>
      </w:r>
      <w:r w:rsidR="00B70A0C" w:rsidRPr="003E342A">
        <w:rPr>
          <w:rFonts w:ascii="Times New Roman" w:hAnsi="Times New Roman" w:cs="Times New Roman"/>
          <w:sz w:val="24"/>
          <w:szCs w:val="24"/>
        </w:rPr>
        <w:t>an effort</w:t>
      </w:r>
      <w:proofErr w:type="gramEnd"/>
      <w:r w:rsidRPr="003E342A">
        <w:rPr>
          <w:rFonts w:ascii="Times New Roman" w:hAnsi="Times New Roman" w:cs="Times New Roman"/>
          <w:sz w:val="24"/>
          <w:szCs w:val="24"/>
        </w:rPr>
        <w:t xml:space="preserve"> to respond to these public desires</w:t>
      </w:r>
      <w:r w:rsidR="00B70A0C" w:rsidRPr="003E342A">
        <w:rPr>
          <w:rFonts w:ascii="Times New Roman" w:hAnsi="Times New Roman" w:cs="Times New Roman"/>
          <w:sz w:val="24"/>
          <w:szCs w:val="24"/>
        </w:rPr>
        <w:t xml:space="preserve"> with a series of proposed regulatory reforms.</w:t>
      </w:r>
    </w:p>
    <w:p w14:paraId="6ADE2936" w14:textId="03F726CE" w:rsidR="009018C2" w:rsidRPr="003E342A" w:rsidRDefault="00F876B7" w:rsidP="000904C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 xml:space="preserve">The </w:t>
      </w:r>
      <w:r w:rsidR="00A2175E">
        <w:rPr>
          <w:rFonts w:ascii="Times New Roman" w:hAnsi="Times New Roman" w:cs="Times New Roman"/>
          <w:sz w:val="24"/>
          <w:szCs w:val="24"/>
        </w:rPr>
        <w:t xml:space="preserve">Juncker Commission has made two </w:t>
      </w:r>
      <w:r w:rsidR="009407AF">
        <w:rPr>
          <w:rFonts w:ascii="Times New Roman" w:hAnsi="Times New Roman" w:cs="Times New Roman"/>
          <w:sz w:val="24"/>
          <w:szCs w:val="24"/>
        </w:rPr>
        <w:t>main reform proposals</w:t>
      </w:r>
      <w:r w:rsidR="009018C2" w:rsidRPr="003E342A">
        <w:rPr>
          <w:rFonts w:ascii="Times New Roman" w:hAnsi="Times New Roman" w:cs="Times New Roman"/>
          <w:sz w:val="24"/>
          <w:szCs w:val="24"/>
        </w:rPr>
        <w:t>.</w:t>
      </w:r>
      <w:r w:rsidRPr="003E342A">
        <w:rPr>
          <w:rFonts w:ascii="Times New Roman" w:hAnsi="Times New Roman" w:cs="Times New Roman"/>
          <w:sz w:val="24"/>
          <w:szCs w:val="24"/>
        </w:rPr>
        <w:t xml:space="preserve"> </w:t>
      </w:r>
      <w:r w:rsidR="009018C2" w:rsidRPr="003E342A">
        <w:rPr>
          <w:rFonts w:ascii="Times New Roman" w:hAnsi="Times New Roman" w:cs="Times New Roman"/>
          <w:sz w:val="24"/>
          <w:szCs w:val="24"/>
        </w:rPr>
        <w:t>F</w:t>
      </w:r>
      <w:r w:rsidRPr="003E342A">
        <w:rPr>
          <w:rFonts w:ascii="Times New Roman" w:hAnsi="Times New Roman" w:cs="Times New Roman"/>
          <w:sz w:val="24"/>
          <w:szCs w:val="24"/>
        </w:rPr>
        <w:t>irst,</w:t>
      </w:r>
      <w:r w:rsidR="00067CD6">
        <w:rPr>
          <w:rFonts w:ascii="Times New Roman" w:hAnsi="Times New Roman" w:cs="Times New Roman"/>
          <w:sz w:val="24"/>
          <w:szCs w:val="24"/>
        </w:rPr>
        <w:t xml:space="preserve"> </w:t>
      </w:r>
      <w:r w:rsidR="009407AF">
        <w:rPr>
          <w:rFonts w:ascii="Times New Roman" w:hAnsi="Times New Roman" w:cs="Times New Roman"/>
          <w:sz w:val="24"/>
          <w:szCs w:val="24"/>
        </w:rPr>
        <w:t xml:space="preserve">in 2015, </w:t>
      </w:r>
      <w:r w:rsidR="00067CD6" w:rsidRPr="003E342A">
        <w:rPr>
          <w:rFonts w:ascii="Times New Roman" w:hAnsi="Times New Roman" w:cs="Times New Roman"/>
          <w:sz w:val="24"/>
          <w:szCs w:val="24"/>
        </w:rPr>
        <w:t xml:space="preserve">the </w:t>
      </w:r>
      <w:r w:rsidR="00067CD6">
        <w:rPr>
          <w:rFonts w:ascii="Times New Roman" w:hAnsi="Times New Roman" w:cs="Times New Roman"/>
          <w:sz w:val="24"/>
          <w:szCs w:val="24"/>
        </w:rPr>
        <w:t>Commission</w:t>
      </w:r>
      <w:r w:rsidR="00067CD6" w:rsidRPr="003E342A">
        <w:rPr>
          <w:rFonts w:ascii="Times New Roman" w:hAnsi="Times New Roman" w:cs="Times New Roman"/>
          <w:sz w:val="24"/>
          <w:szCs w:val="24"/>
        </w:rPr>
        <w:t xml:space="preserve"> proposed legislation that would have allowed member states to prevent products </w:t>
      </w:r>
      <w:r w:rsidR="00067CD6" w:rsidRPr="003E342A">
        <w:rPr>
          <w:rFonts w:ascii="Times New Roman" w:hAnsi="Times New Roman" w:cs="Times New Roman"/>
          <w:sz w:val="24"/>
          <w:szCs w:val="24"/>
        </w:rPr>
        <w:lastRenderedPageBreak/>
        <w:t>containing ingredients of GMO origin to be sold on their territories</w:t>
      </w:r>
      <w:r w:rsidR="009018C2" w:rsidRPr="003E342A">
        <w:rPr>
          <w:rFonts w:ascii="Times New Roman" w:hAnsi="Times New Roman" w:cs="Times New Roman"/>
          <w:sz w:val="24"/>
          <w:szCs w:val="24"/>
        </w:rPr>
        <w:t>. Second, after failing to receive traction on the</w:t>
      </w:r>
      <w:r w:rsidR="00067CD6">
        <w:rPr>
          <w:rFonts w:ascii="Times New Roman" w:hAnsi="Times New Roman" w:cs="Times New Roman"/>
          <w:sz w:val="24"/>
          <w:szCs w:val="24"/>
        </w:rPr>
        <w:t xml:space="preserve"> “GMO ban,” </w:t>
      </w:r>
      <w:r w:rsidR="009407AF">
        <w:rPr>
          <w:rFonts w:ascii="Times New Roman" w:hAnsi="Times New Roman" w:cs="Times New Roman"/>
          <w:sz w:val="24"/>
          <w:szCs w:val="24"/>
        </w:rPr>
        <w:t xml:space="preserve">in 2017 </w:t>
      </w:r>
      <w:r w:rsidR="00067CD6">
        <w:rPr>
          <w:rFonts w:ascii="Times New Roman" w:hAnsi="Times New Roman" w:cs="Times New Roman"/>
          <w:sz w:val="24"/>
          <w:szCs w:val="24"/>
        </w:rPr>
        <w:t xml:space="preserve">the Commission proposed </w:t>
      </w:r>
      <w:r w:rsidR="00067CD6" w:rsidRPr="003E342A">
        <w:rPr>
          <w:rFonts w:ascii="Times New Roman" w:hAnsi="Times New Roman" w:cs="Times New Roman"/>
          <w:sz w:val="24"/>
          <w:szCs w:val="24"/>
        </w:rPr>
        <w:t xml:space="preserve">a reform to regulatory committee procedure, backed by anti-GMO advocacy groups, </w:t>
      </w:r>
      <w:r w:rsidR="00067CD6">
        <w:rPr>
          <w:rFonts w:ascii="Times New Roman" w:hAnsi="Times New Roman" w:cs="Times New Roman"/>
          <w:sz w:val="24"/>
          <w:szCs w:val="24"/>
        </w:rPr>
        <w:t xml:space="preserve">which </w:t>
      </w:r>
      <w:r w:rsidR="00067CD6" w:rsidRPr="003E342A">
        <w:rPr>
          <w:rFonts w:ascii="Times New Roman" w:hAnsi="Times New Roman" w:cs="Times New Roman"/>
          <w:sz w:val="24"/>
          <w:szCs w:val="24"/>
        </w:rPr>
        <w:t>would allow committee deadlocks (that have resulted in the approval of new strains of genetically modified organisms) to be resolved in the favor of the EU Member States who oppose the approval</w:t>
      </w:r>
      <w:r w:rsidR="009018C2" w:rsidRPr="003E342A">
        <w:rPr>
          <w:rFonts w:ascii="Times New Roman" w:hAnsi="Times New Roman" w:cs="Times New Roman"/>
          <w:sz w:val="24"/>
          <w:szCs w:val="24"/>
        </w:rPr>
        <w:t xml:space="preserve">. Upon again not receiving </w:t>
      </w:r>
      <w:proofErr w:type="gramStart"/>
      <w:r w:rsidR="009018C2" w:rsidRPr="003E342A">
        <w:rPr>
          <w:rFonts w:ascii="Times New Roman" w:hAnsi="Times New Roman" w:cs="Times New Roman"/>
          <w:sz w:val="24"/>
          <w:szCs w:val="24"/>
        </w:rPr>
        <w:t>sufficient</w:t>
      </w:r>
      <w:proofErr w:type="gramEnd"/>
      <w:r w:rsidR="009018C2" w:rsidRPr="003E342A">
        <w:rPr>
          <w:rFonts w:ascii="Times New Roman" w:hAnsi="Times New Roman" w:cs="Times New Roman"/>
          <w:sz w:val="24"/>
          <w:szCs w:val="24"/>
        </w:rPr>
        <w:t xml:space="preserve"> support for this proposal, the Commission, and Commission President Juncker himself, have continued to agitate for ways to restrict the continued approval and sale of GMO products in Member States whose governments and populations are generally opposed to such </w:t>
      </w:r>
      <w:r w:rsidR="009407AF">
        <w:rPr>
          <w:rFonts w:ascii="Times New Roman" w:hAnsi="Times New Roman" w:cs="Times New Roman"/>
          <w:sz w:val="24"/>
          <w:szCs w:val="24"/>
        </w:rPr>
        <w:t>products</w:t>
      </w:r>
      <w:r w:rsidR="009018C2" w:rsidRPr="003E342A">
        <w:rPr>
          <w:rFonts w:ascii="Times New Roman" w:hAnsi="Times New Roman" w:cs="Times New Roman"/>
          <w:sz w:val="24"/>
          <w:szCs w:val="24"/>
        </w:rPr>
        <w:t>. These efforts on behalf of the Commission do seem to represent a genuine desire on the part of the Juncker administration to respond to public pressures and introduce more transparency and democracy into the regulation of GM technologies.</w:t>
      </w:r>
    </w:p>
    <w:p w14:paraId="666C8837" w14:textId="1B1C87D5" w:rsidR="00DD31A2" w:rsidRPr="003E342A" w:rsidRDefault="00F876B7" w:rsidP="00280DE0">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 xml:space="preserve">However, Juncker’s policy proposals pose an enormous quandary for European Institutions for several reasons. </w:t>
      </w:r>
      <w:r w:rsidR="005E3C07" w:rsidRPr="003E342A">
        <w:rPr>
          <w:rFonts w:ascii="Times New Roman" w:hAnsi="Times New Roman" w:cs="Times New Roman"/>
          <w:sz w:val="24"/>
          <w:szCs w:val="24"/>
        </w:rPr>
        <w:t>N</w:t>
      </w:r>
      <w:r w:rsidR="000904CE" w:rsidRPr="003E342A">
        <w:rPr>
          <w:rFonts w:ascii="Times New Roman" w:hAnsi="Times New Roman" w:cs="Times New Roman"/>
          <w:sz w:val="24"/>
          <w:szCs w:val="24"/>
        </w:rPr>
        <w:t xml:space="preserve">amely, </w:t>
      </w:r>
      <w:r w:rsidR="005E3C07" w:rsidRPr="003E342A">
        <w:rPr>
          <w:rFonts w:ascii="Times New Roman" w:hAnsi="Times New Roman" w:cs="Times New Roman"/>
          <w:sz w:val="24"/>
          <w:szCs w:val="24"/>
        </w:rPr>
        <w:t>they</w:t>
      </w:r>
      <w:r w:rsidR="000904CE" w:rsidRPr="003E342A">
        <w:rPr>
          <w:rFonts w:ascii="Times New Roman" w:hAnsi="Times New Roman" w:cs="Times New Roman"/>
          <w:sz w:val="24"/>
          <w:szCs w:val="24"/>
        </w:rPr>
        <w:t xml:space="preserve"> directly contravene rulings by both the European Court of Justice and the World Trade Organization and threaten the integrity of the European </w:t>
      </w:r>
      <w:r w:rsidR="00271AE9">
        <w:rPr>
          <w:rFonts w:ascii="Times New Roman" w:hAnsi="Times New Roman" w:cs="Times New Roman"/>
          <w:sz w:val="24"/>
          <w:szCs w:val="24"/>
        </w:rPr>
        <w:t>Single Market</w:t>
      </w:r>
      <w:r w:rsidR="000904CE" w:rsidRPr="003E342A">
        <w:rPr>
          <w:rFonts w:ascii="Times New Roman" w:hAnsi="Times New Roman" w:cs="Times New Roman"/>
          <w:sz w:val="24"/>
          <w:szCs w:val="24"/>
        </w:rPr>
        <w:t xml:space="preserve"> and the vitality of European economic competitiveness</w:t>
      </w:r>
      <w:r w:rsidR="005E3C07" w:rsidRPr="003E342A">
        <w:rPr>
          <w:rFonts w:ascii="Times New Roman" w:hAnsi="Times New Roman" w:cs="Times New Roman"/>
          <w:sz w:val="24"/>
          <w:szCs w:val="24"/>
        </w:rPr>
        <w:t>; further, they threaten to sideline</w:t>
      </w:r>
      <w:r w:rsidR="000904CE" w:rsidRPr="003E342A">
        <w:rPr>
          <w:rFonts w:ascii="Times New Roman" w:hAnsi="Times New Roman" w:cs="Times New Roman"/>
          <w:sz w:val="24"/>
          <w:szCs w:val="24"/>
        </w:rPr>
        <w:t xml:space="preserve"> scientific expertise in making decisions with implications for public health. </w:t>
      </w:r>
    </w:p>
    <w:p w14:paraId="1AB8952E" w14:textId="48F40824" w:rsidR="00681BBF" w:rsidRPr="003E342A" w:rsidRDefault="009018C2" w:rsidP="00012641">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 xml:space="preserve">In the first case, the European Court of Justice has repeatedly upheld the core EU principle of the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 the idea that all goods that can be legally sold in one EU country can be sold across the EU without institutional trade barriers of any kind, be they tariff or non-tariff in origin.</w:t>
      </w:r>
      <w:r w:rsidR="0069777B" w:rsidRPr="003E342A">
        <w:rPr>
          <w:rStyle w:val="FootnoteReference"/>
          <w:rFonts w:ascii="Times New Roman" w:hAnsi="Times New Roman" w:cs="Times New Roman"/>
          <w:sz w:val="24"/>
          <w:szCs w:val="24"/>
        </w:rPr>
        <w:footnoteReference w:id="1"/>
      </w:r>
      <w:r w:rsidRPr="003E342A">
        <w:rPr>
          <w:rFonts w:ascii="Times New Roman" w:hAnsi="Times New Roman" w:cs="Times New Roman"/>
          <w:sz w:val="24"/>
          <w:szCs w:val="24"/>
        </w:rPr>
        <w:t xml:space="preserve"> This idea of the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is of such importance to the integrity of the European Union that it</w:t>
      </w:r>
      <w:r w:rsidR="00271AE9">
        <w:rPr>
          <w:rFonts w:ascii="Times New Roman" w:hAnsi="Times New Roman" w:cs="Times New Roman"/>
          <w:sz w:val="24"/>
          <w:szCs w:val="24"/>
        </w:rPr>
        <w:t xml:space="preserve">s principles are known as </w:t>
      </w:r>
      <w:r w:rsidRPr="003E342A">
        <w:rPr>
          <w:rFonts w:ascii="Times New Roman" w:hAnsi="Times New Roman" w:cs="Times New Roman"/>
          <w:sz w:val="24"/>
          <w:szCs w:val="24"/>
        </w:rPr>
        <w:t xml:space="preserve">the Four Freedoms – free movement of services, people, capital, and goods – that form the bedrock of European </w:t>
      </w:r>
      <w:r w:rsidR="00280DE0" w:rsidRPr="003E342A">
        <w:rPr>
          <w:rFonts w:ascii="Times New Roman" w:hAnsi="Times New Roman" w:cs="Times New Roman"/>
          <w:sz w:val="24"/>
          <w:szCs w:val="24"/>
        </w:rPr>
        <w:t xml:space="preserve">integration and </w:t>
      </w:r>
      <w:r w:rsidRPr="003E342A">
        <w:rPr>
          <w:rFonts w:ascii="Times New Roman" w:hAnsi="Times New Roman" w:cs="Times New Roman"/>
          <w:sz w:val="24"/>
          <w:szCs w:val="24"/>
        </w:rPr>
        <w:t xml:space="preserve">jurisprudence. As such, the idea </w:t>
      </w:r>
      <w:r w:rsidRPr="003E342A">
        <w:rPr>
          <w:rFonts w:ascii="Times New Roman" w:hAnsi="Times New Roman" w:cs="Times New Roman"/>
          <w:sz w:val="24"/>
          <w:szCs w:val="24"/>
        </w:rPr>
        <w:lastRenderedPageBreak/>
        <w:t xml:space="preserve">that </w:t>
      </w:r>
      <w:r w:rsidR="005734EB" w:rsidRPr="003E342A">
        <w:rPr>
          <w:rFonts w:ascii="Times New Roman" w:hAnsi="Times New Roman" w:cs="Times New Roman"/>
          <w:sz w:val="24"/>
          <w:szCs w:val="24"/>
        </w:rPr>
        <w:t xml:space="preserve">some Member States might be granted the authority to prevent the sale of GM products that are the legal products of other Member States would be deleterious to the integrity of the </w:t>
      </w:r>
      <w:r w:rsidR="00271AE9">
        <w:rPr>
          <w:rFonts w:ascii="Times New Roman" w:hAnsi="Times New Roman" w:cs="Times New Roman"/>
          <w:sz w:val="24"/>
          <w:szCs w:val="24"/>
        </w:rPr>
        <w:t>Single Market</w:t>
      </w:r>
      <w:r w:rsidR="005734EB" w:rsidRPr="003E342A">
        <w:rPr>
          <w:rFonts w:ascii="Times New Roman" w:hAnsi="Times New Roman" w:cs="Times New Roman"/>
          <w:sz w:val="24"/>
          <w:szCs w:val="24"/>
        </w:rPr>
        <w:t xml:space="preserve"> and European law – regardless of the level of popular support that such a policy might achieve</w:t>
      </w:r>
      <w:r w:rsidR="00EC2736">
        <w:rPr>
          <w:rFonts w:ascii="Times New Roman" w:hAnsi="Times New Roman" w:cs="Times New Roman"/>
          <w:sz w:val="24"/>
          <w:szCs w:val="24"/>
        </w:rPr>
        <w:t xml:space="preserve"> (the exception regarding Health and Safety is discussed in chapter IV) </w:t>
      </w:r>
      <w:r w:rsidR="005734EB" w:rsidRPr="003E342A">
        <w:rPr>
          <w:rFonts w:ascii="Times New Roman" w:hAnsi="Times New Roman" w:cs="Times New Roman"/>
          <w:sz w:val="24"/>
          <w:szCs w:val="24"/>
        </w:rPr>
        <w:t xml:space="preserve">. </w:t>
      </w:r>
    </w:p>
    <w:p w14:paraId="473A0664" w14:textId="39515B35" w:rsidR="00681BBF" w:rsidRPr="003E342A" w:rsidRDefault="005734EB" w:rsidP="00012641">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In the second case,</w:t>
      </w:r>
      <w:r w:rsidR="002B0DFC" w:rsidRPr="003E342A">
        <w:rPr>
          <w:rFonts w:ascii="Times New Roman" w:hAnsi="Times New Roman" w:cs="Times New Roman"/>
          <w:sz w:val="24"/>
          <w:szCs w:val="24"/>
        </w:rPr>
        <w:t xml:space="preserve"> the European Union, as a member of the World Trade Organization, enjoys </w:t>
      </w:r>
      <w:r w:rsidR="006904AB">
        <w:rPr>
          <w:rFonts w:ascii="Times New Roman" w:hAnsi="Times New Roman" w:cs="Times New Roman"/>
          <w:sz w:val="24"/>
          <w:szCs w:val="24"/>
        </w:rPr>
        <w:t xml:space="preserve">treaty-regulated </w:t>
      </w:r>
      <w:r w:rsidR="002B0DFC" w:rsidRPr="003E342A">
        <w:rPr>
          <w:rFonts w:ascii="Times New Roman" w:hAnsi="Times New Roman" w:cs="Times New Roman"/>
          <w:sz w:val="24"/>
          <w:szCs w:val="24"/>
        </w:rPr>
        <w:t xml:space="preserve">access to the markets of other WTO members in return for its own commitment to the elimination of trade barriers to their products. Though the EU has sought </w:t>
      </w:r>
      <w:r w:rsidR="00C8733A" w:rsidRPr="003E342A">
        <w:rPr>
          <w:rFonts w:ascii="Times New Roman" w:hAnsi="Times New Roman" w:cs="Times New Roman"/>
          <w:sz w:val="24"/>
          <w:szCs w:val="24"/>
        </w:rPr>
        <w:t xml:space="preserve">in the past </w:t>
      </w:r>
      <w:r w:rsidR="002B0DFC" w:rsidRPr="003E342A">
        <w:rPr>
          <w:rFonts w:ascii="Times New Roman" w:hAnsi="Times New Roman" w:cs="Times New Roman"/>
          <w:sz w:val="24"/>
          <w:szCs w:val="24"/>
        </w:rPr>
        <w:t xml:space="preserve">to use public health and popular </w:t>
      </w:r>
      <w:r w:rsidR="00C8733A" w:rsidRPr="003E342A">
        <w:rPr>
          <w:rFonts w:ascii="Times New Roman" w:hAnsi="Times New Roman" w:cs="Times New Roman"/>
          <w:sz w:val="24"/>
          <w:szCs w:val="24"/>
        </w:rPr>
        <w:t>opinion as rationale for stringent GMO regulatory policies, the WTO arbitration body has ruled against the EU for, in the WTO opinion, a de-facto moratorium on the approval of GM products, which effectively constitute a trade barrier against the GM products of other countries.</w:t>
      </w:r>
      <w:r w:rsidR="0069777B" w:rsidRPr="003E342A">
        <w:rPr>
          <w:rStyle w:val="FootnoteReference"/>
          <w:rFonts w:ascii="Times New Roman" w:hAnsi="Times New Roman" w:cs="Times New Roman"/>
          <w:sz w:val="24"/>
          <w:szCs w:val="24"/>
        </w:rPr>
        <w:footnoteReference w:id="2"/>
      </w:r>
      <w:r w:rsidR="00C8733A" w:rsidRPr="003E342A">
        <w:rPr>
          <w:rFonts w:ascii="Times New Roman" w:hAnsi="Times New Roman" w:cs="Times New Roman"/>
          <w:sz w:val="24"/>
          <w:szCs w:val="24"/>
        </w:rPr>
        <w:t xml:space="preserve"> Once more, applying greater restrictions on GMOs, though in keeping with popular opinion and the expressed desires of democratically-elected governments, would contravene international WTO </w:t>
      </w:r>
      <w:r w:rsidR="001D72C1" w:rsidRPr="003E342A">
        <w:rPr>
          <w:rFonts w:ascii="Times New Roman" w:hAnsi="Times New Roman" w:cs="Times New Roman"/>
          <w:sz w:val="24"/>
          <w:szCs w:val="24"/>
        </w:rPr>
        <w:t>rulings</w:t>
      </w:r>
      <w:r w:rsidR="00C8733A" w:rsidRPr="003E342A">
        <w:rPr>
          <w:rFonts w:ascii="Times New Roman" w:hAnsi="Times New Roman" w:cs="Times New Roman"/>
          <w:sz w:val="24"/>
          <w:szCs w:val="24"/>
        </w:rPr>
        <w:t xml:space="preserve"> and result in significant difficulties for EU trade growth, particularly in its ongoing trade negotiations with the United States. </w:t>
      </w:r>
    </w:p>
    <w:p w14:paraId="1A7C2B55" w14:textId="20423550" w:rsidR="00DD31A2" w:rsidRPr="003E342A" w:rsidRDefault="001D72C1" w:rsidP="00DD31A2">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Further, related to the issue of the WTO and trade, GM technology and biotechnologies as a whole are a rapidly growing industry that attracts billions of dollars in international investment; as a possible result of the EU’s </w:t>
      </w:r>
      <w:r w:rsidR="00280DE0" w:rsidRPr="003E342A">
        <w:rPr>
          <w:rFonts w:ascii="Times New Roman" w:hAnsi="Times New Roman" w:cs="Times New Roman"/>
          <w:sz w:val="24"/>
          <w:szCs w:val="24"/>
        </w:rPr>
        <w:t xml:space="preserve">skeptical </w:t>
      </w:r>
      <w:r w:rsidRPr="003E342A">
        <w:rPr>
          <w:rFonts w:ascii="Times New Roman" w:hAnsi="Times New Roman" w:cs="Times New Roman"/>
          <w:sz w:val="24"/>
          <w:szCs w:val="24"/>
        </w:rPr>
        <w:t xml:space="preserve">attitude toward many GM-related biotechnologies, the EU is falling significantly behind China and the United States in biotechnology investment; further, those EU countries that have adopted more GM-friendly stances have received disproportionate shares of the biotech </w:t>
      </w:r>
      <w:r w:rsidR="00B70A0C" w:rsidRPr="003E342A">
        <w:rPr>
          <w:rFonts w:ascii="Times New Roman" w:hAnsi="Times New Roman" w:cs="Times New Roman"/>
          <w:sz w:val="24"/>
          <w:szCs w:val="24"/>
        </w:rPr>
        <w:t xml:space="preserve">advancement and </w:t>
      </w:r>
      <w:r w:rsidRPr="003E342A">
        <w:rPr>
          <w:rFonts w:ascii="Times New Roman" w:hAnsi="Times New Roman" w:cs="Times New Roman"/>
          <w:sz w:val="24"/>
          <w:szCs w:val="24"/>
        </w:rPr>
        <w:t>investment that does occur in Europe. Thus</w:t>
      </w:r>
      <w:r w:rsidR="00640E7E">
        <w:rPr>
          <w:rFonts w:ascii="Times New Roman" w:hAnsi="Times New Roman" w:cs="Times New Roman"/>
          <w:sz w:val="24"/>
          <w:szCs w:val="24"/>
        </w:rPr>
        <w:t>,</w:t>
      </w:r>
      <w:r w:rsidRPr="003E342A">
        <w:rPr>
          <w:rFonts w:ascii="Times New Roman" w:hAnsi="Times New Roman" w:cs="Times New Roman"/>
          <w:sz w:val="24"/>
          <w:szCs w:val="24"/>
        </w:rPr>
        <w:t xml:space="preserve"> while European consumers may be seeking to secure a certain conception of their own best </w:t>
      </w:r>
      <w:r w:rsidRPr="003E342A">
        <w:rPr>
          <w:rFonts w:ascii="Times New Roman" w:hAnsi="Times New Roman" w:cs="Times New Roman"/>
          <w:sz w:val="24"/>
          <w:szCs w:val="24"/>
        </w:rPr>
        <w:lastRenderedPageBreak/>
        <w:t>interests through regulating or eliminating GMOs, they may be doing so through policies and attitudes that are injurious in other regards.</w:t>
      </w:r>
      <w:r w:rsidR="007702E3" w:rsidRPr="003E342A">
        <w:rPr>
          <w:rFonts w:ascii="Times New Roman" w:hAnsi="Times New Roman" w:cs="Times New Roman"/>
          <w:sz w:val="24"/>
          <w:szCs w:val="24"/>
        </w:rPr>
        <w:t xml:space="preserve"> </w:t>
      </w:r>
    </w:p>
    <w:p w14:paraId="52147A37" w14:textId="77777777" w:rsidR="00AD3182" w:rsidRDefault="007702E3" w:rsidP="00DD31A2">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Finally, though more abstractly, such policies and procedures as proposed by the Juncker Commission and supported by members of the Anti-GMO coalition form part of a growing trend in European regulation that seeks to prioritize popular sentiment </w:t>
      </w:r>
      <w:r w:rsidR="00987437" w:rsidRPr="003E342A">
        <w:rPr>
          <w:rFonts w:ascii="Times New Roman" w:hAnsi="Times New Roman" w:cs="Times New Roman"/>
          <w:sz w:val="24"/>
          <w:szCs w:val="24"/>
        </w:rPr>
        <w:t xml:space="preserve">about scientific concepts </w:t>
      </w:r>
      <w:r w:rsidRPr="003E342A">
        <w:rPr>
          <w:rFonts w:ascii="Times New Roman" w:hAnsi="Times New Roman" w:cs="Times New Roman"/>
          <w:sz w:val="24"/>
          <w:szCs w:val="24"/>
        </w:rPr>
        <w:t xml:space="preserve">over </w:t>
      </w:r>
      <w:r w:rsidR="00B70A0C" w:rsidRPr="003E342A">
        <w:rPr>
          <w:rFonts w:ascii="Times New Roman" w:hAnsi="Times New Roman" w:cs="Times New Roman"/>
          <w:sz w:val="24"/>
          <w:szCs w:val="24"/>
        </w:rPr>
        <w:t xml:space="preserve">consensus within the scientific </w:t>
      </w:r>
      <w:proofErr w:type="gramStart"/>
      <w:r w:rsidR="00B70A0C" w:rsidRPr="003E342A">
        <w:rPr>
          <w:rFonts w:ascii="Times New Roman" w:hAnsi="Times New Roman" w:cs="Times New Roman"/>
          <w:sz w:val="24"/>
          <w:szCs w:val="24"/>
        </w:rPr>
        <w:t>community</w:t>
      </w:r>
      <w:r w:rsidR="00987437" w:rsidRPr="003E342A">
        <w:rPr>
          <w:rFonts w:ascii="Times New Roman" w:hAnsi="Times New Roman" w:cs="Times New Roman"/>
          <w:sz w:val="24"/>
          <w:szCs w:val="24"/>
        </w:rPr>
        <w:t>,</w:t>
      </w:r>
      <w:r w:rsidRPr="003E342A">
        <w:rPr>
          <w:rFonts w:ascii="Times New Roman" w:hAnsi="Times New Roman" w:cs="Times New Roman"/>
          <w:sz w:val="24"/>
          <w:szCs w:val="24"/>
        </w:rPr>
        <w:t xml:space="preserve"> and</w:t>
      </w:r>
      <w:proofErr w:type="gramEnd"/>
      <w:r w:rsidRPr="003E342A">
        <w:rPr>
          <w:rFonts w:ascii="Times New Roman" w:hAnsi="Times New Roman" w:cs="Times New Roman"/>
          <w:sz w:val="24"/>
          <w:szCs w:val="24"/>
        </w:rPr>
        <w:t xml:space="preserve"> dilutes the role of subject matter experts. </w:t>
      </w:r>
      <w:r w:rsidR="00DD31A2" w:rsidRPr="003E342A">
        <w:rPr>
          <w:rFonts w:ascii="Times New Roman" w:hAnsi="Times New Roman" w:cs="Times New Roman"/>
          <w:sz w:val="24"/>
          <w:szCs w:val="24"/>
        </w:rPr>
        <w:t xml:space="preserve">In 2017 article that excoriates EU GMO regulatory policy, Giovanni Tagliabue draws attention to the patchwork nature of European GMO regulations, and the paradoxes inherent in the status quo: a restrictive regulatory framework on GMO cultivation but relatively unrestricted imports of genetically modified organisms for animal feed; the commonplace prohibitions on protection against cultivation, juxtaposed with the European Parliament’s 2015 rejection of </w:t>
      </w:r>
      <w:r w:rsidR="00DD31A2" w:rsidRPr="003E342A">
        <w:rPr>
          <w:rFonts w:ascii="Times New Roman" w:hAnsi="Times New Roman" w:cs="Times New Roman"/>
          <w:color w:val="000000" w:themeColor="text1"/>
          <w:sz w:val="24"/>
          <w:szCs w:val="24"/>
        </w:rPr>
        <w:t>Commission-proposed prohibitions on importation on grounds of damage to th</w:t>
      </w:r>
      <w:r w:rsidR="00DD31A2" w:rsidRPr="003E342A">
        <w:rPr>
          <w:rFonts w:ascii="Times New Roman" w:hAnsi="Times New Roman" w:cs="Times New Roman"/>
          <w:sz w:val="24"/>
          <w:szCs w:val="24"/>
        </w:rPr>
        <w:t>e common market; perhaps most importantly the labelling of “genetic modification” as a new and risky technology while the products of the most invasive and scientifically corporatized breeding and hybridization programs and monocropping can be considered relatively “natural</w:t>
      </w:r>
      <w:r w:rsidR="00225B5D" w:rsidRPr="003E342A">
        <w:rPr>
          <w:rFonts w:ascii="Times New Roman" w:hAnsi="Times New Roman" w:cs="Times New Roman"/>
          <w:sz w:val="24"/>
          <w:szCs w:val="24"/>
        </w:rPr>
        <w:t>.”</w:t>
      </w:r>
      <w:r w:rsidR="00DD31A2" w:rsidRPr="003E342A">
        <w:rPr>
          <w:rFonts w:ascii="Times New Roman" w:hAnsi="Times New Roman" w:cs="Times New Roman"/>
          <w:sz w:val="24"/>
          <w:szCs w:val="24"/>
        </w:rPr>
        <w:t xml:space="preserve"> Tagliabue remarks that “</w:t>
      </w:r>
      <w:proofErr w:type="gramStart"/>
      <w:r w:rsidR="00DD31A2" w:rsidRPr="003E342A">
        <w:rPr>
          <w:rFonts w:ascii="Times New Roman" w:hAnsi="Times New Roman" w:cs="Times New Roman"/>
          <w:sz w:val="24"/>
          <w:szCs w:val="24"/>
        </w:rPr>
        <w:t>This dynamics</w:t>
      </w:r>
      <w:proofErr w:type="gramEnd"/>
      <w:r w:rsidR="00DD31A2" w:rsidRPr="003E342A">
        <w:rPr>
          <w:rFonts w:ascii="Times New Roman" w:hAnsi="Times New Roman" w:cs="Times New Roman"/>
          <w:sz w:val="24"/>
          <w:szCs w:val="24"/>
        </w:rPr>
        <w:t xml:space="preserve"> [sic] may be seen as an ongoing </w:t>
      </w:r>
      <w:r w:rsidR="006D1C28">
        <w:rPr>
          <w:rFonts w:ascii="Times New Roman" w:hAnsi="Times New Roman" w:cs="Times New Roman"/>
          <w:sz w:val="24"/>
          <w:szCs w:val="24"/>
        </w:rPr>
        <w:t>‘</w:t>
      </w:r>
      <w:r w:rsidR="00DD31A2" w:rsidRPr="003E342A">
        <w:rPr>
          <w:rFonts w:ascii="Times New Roman" w:hAnsi="Times New Roman" w:cs="Times New Roman"/>
          <w:sz w:val="24"/>
          <w:szCs w:val="24"/>
        </w:rPr>
        <w:t>Schumpeterian</w:t>
      </w:r>
      <w:r w:rsidR="006D1C28">
        <w:rPr>
          <w:rFonts w:ascii="Times New Roman" w:hAnsi="Times New Roman" w:cs="Times New Roman"/>
          <w:sz w:val="24"/>
          <w:szCs w:val="24"/>
        </w:rPr>
        <w:t>’</w:t>
      </w:r>
      <w:r w:rsidR="00DD31A2" w:rsidRPr="003E342A">
        <w:rPr>
          <w:rFonts w:ascii="Times New Roman" w:hAnsi="Times New Roman" w:cs="Times New Roman"/>
          <w:sz w:val="24"/>
          <w:szCs w:val="24"/>
        </w:rPr>
        <w:t xml:space="preserve"> chain of public choices: the calculus of consent drives politicians more than a science-based approach to law-making.”</w:t>
      </w:r>
      <w:r w:rsidR="00E055CD">
        <w:rPr>
          <w:rStyle w:val="FootnoteReference"/>
          <w:rFonts w:ascii="Times New Roman" w:hAnsi="Times New Roman" w:cs="Times New Roman"/>
          <w:sz w:val="24"/>
          <w:szCs w:val="24"/>
        </w:rPr>
        <w:footnoteReference w:id="3"/>
      </w:r>
      <w:r w:rsidR="00DD31A2" w:rsidRPr="003E342A">
        <w:rPr>
          <w:rFonts w:ascii="Times New Roman" w:hAnsi="Times New Roman" w:cs="Times New Roman"/>
          <w:sz w:val="24"/>
          <w:szCs w:val="24"/>
        </w:rPr>
        <w:t xml:space="preserve"> </w:t>
      </w:r>
    </w:p>
    <w:p w14:paraId="5444DCD8" w14:textId="635DB886" w:rsidR="00C8733A" w:rsidRPr="003E342A" w:rsidRDefault="00DD31A2" w:rsidP="00DD31A2">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Tagliabue thus raises a vital and important point regarding the nature of regulatory behavior: to what extent should policymakers respond to the “calculus of consent” over a “science-based approach” to regulation?</w:t>
      </w:r>
      <w:r w:rsidRPr="003E342A">
        <w:rPr>
          <w:rStyle w:val="FootnoteReference"/>
          <w:rFonts w:ascii="Times New Roman" w:hAnsi="Times New Roman" w:cs="Times New Roman"/>
          <w:sz w:val="24"/>
          <w:szCs w:val="24"/>
        </w:rPr>
        <w:footnoteReference w:id="4"/>
      </w:r>
      <w:r w:rsidRPr="003E342A">
        <w:rPr>
          <w:rFonts w:ascii="Times New Roman" w:hAnsi="Times New Roman" w:cs="Times New Roman"/>
          <w:sz w:val="24"/>
          <w:szCs w:val="24"/>
        </w:rPr>
        <w:t xml:space="preserve"> </w:t>
      </w:r>
      <w:r w:rsidR="004040BB" w:rsidRPr="003E342A">
        <w:rPr>
          <w:rFonts w:ascii="Times New Roman" w:hAnsi="Times New Roman" w:cs="Times New Roman"/>
          <w:sz w:val="24"/>
          <w:szCs w:val="24"/>
        </w:rPr>
        <w:t xml:space="preserve">As </w:t>
      </w:r>
      <w:r w:rsidR="00EC2736">
        <w:rPr>
          <w:rFonts w:ascii="Times New Roman" w:hAnsi="Times New Roman" w:cs="Times New Roman"/>
          <w:sz w:val="24"/>
          <w:szCs w:val="24"/>
        </w:rPr>
        <w:t>further sections shall discuss</w:t>
      </w:r>
      <w:r w:rsidR="004040BB" w:rsidRPr="003E342A">
        <w:rPr>
          <w:rFonts w:ascii="Times New Roman" w:hAnsi="Times New Roman" w:cs="Times New Roman"/>
          <w:sz w:val="24"/>
          <w:szCs w:val="24"/>
        </w:rPr>
        <w:t xml:space="preserve">, a Public Choice dilemma occurs when there is significant divergence of opinion between the desires of the public and the </w:t>
      </w:r>
      <w:r w:rsidR="004040BB" w:rsidRPr="003E342A">
        <w:rPr>
          <w:rFonts w:ascii="Times New Roman" w:hAnsi="Times New Roman" w:cs="Times New Roman"/>
          <w:sz w:val="24"/>
          <w:szCs w:val="24"/>
        </w:rPr>
        <w:lastRenderedPageBreak/>
        <w:t xml:space="preserve">preferences of subject matter experts and policy makers. </w:t>
      </w:r>
      <w:r w:rsidR="007702E3" w:rsidRPr="003E342A">
        <w:rPr>
          <w:rFonts w:ascii="Times New Roman" w:hAnsi="Times New Roman" w:cs="Times New Roman"/>
          <w:sz w:val="24"/>
          <w:szCs w:val="24"/>
        </w:rPr>
        <w:t xml:space="preserve">Though the dangers of technocracy and elitism must be kept in mind, </w:t>
      </w:r>
      <w:r w:rsidR="00987437" w:rsidRPr="003E342A">
        <w:rPr>
          <w:rFonts w:ascii="Times New Roman" w:hAnsi="Times New Roman" w:cs="Times New Roman"/>
          <w:sz w:val="24"/>
          <w:szCs w:val="24"/>
        </w:rPr>
        <w:t>anti-expert</w:t>
      </w:r>
      <w:r w:rsidR="007702E3" w:rsidRPr="003E342A">
        <w:rPr>
          <w:rFonts w:ascii="Times New Roman" w:hAnsi="Times New Roman" w:cs="Times New Roman"/>
          <w:sz w:val="24"/>
          <w:szCs w:val="24"/>
        </w:rPr>
        <w:t xml:space="preserve"> populism comes with its own downsides</w:t>
      </w:r>
      <w:r w:rsidR="00B70A0C" w:rsidRPr="003E342A">
        <w:rPr>
          <w:rFonts w:ascii="Times New Roman" w:hAnsi="Times New Roman" w:cs="Times New Roman"/>
          <w:sz w:val="24"/>
          <w:szCs w:val="24"/>
        </w:rPr>
        <w:t xml:space="preserve"> as well</w:t>
      </w:r>
      <w:r w:rsidR="007702E3" w:rsidRPr="003E342A">
        <w:rPr>
          <w:rFonts w:ascii="Times New Roman" w:hAnsi="Times New Roman" w:cs="Times New Roman"/>
          <w:sz w:val="24"/>
          <w:szCs w:val="24"/>
        </w:rPr>
        <w:t xml:space="preserve">, and thus </w:t>
      </w:r>
      <w:r w:rsidR="00987437" w:rsidRPr="003E342A">
        <w:rPr>
          <w:rFonts w:ascii="Times New Roman" w:hAnsi="Times New Roman" w:cs="Times New Roman"/>
          <w:sz w:val="24"/>
          <w:szCs w:val="24"/>
        </w:rPr>
        <w:t>th</w:t>
      </w:r>
      <w:r w:rsidR="00B70A0C" w:rsidRPr="003E342A">
        <w:rPr>
          <w:rFonts w:ascii="Times New Roman" w:hAnsi="Times New Roman" w:cs="Times New Roman"/>
          <w:sz w:val="24"/>
          <w:szCs w:val="24"/>
        </w:rPr>
        <w:t>e</w:t>
      </w:r>
      <w:r w:rsidR="00987437" w:rsidRPr="003E342A">
        <w:rPr>
          <w:rFonts w:ascii="Times New Roman" w:hAnsi="Times New Roman" w:cs="Times New Roman"/>
          <w:sz w:val="24"/>
          <w:szCs w:val="24"/>
        </w:rPr>
        <w:t xml:space="preserve"> </w:t>
      </w:r>
      <w:r w:rsidR="007702E3" w:rsidRPr="003E342A">
        <w:rPr>
          <w:rFonts w:ascii="Times New Roman" w:hAnsi="Times New Roman" w:cs="Times New Roman"/>
          <w:sz w:val="24"/>
          <w:szCs w:val="24"/>
        </w:rPr>
        <w:t xml:space="preserve">narrow regulatory issue </w:t>
      </w:r>
      <w:r w:rsidR="00B70A0C" w:rsidRPr="003E342A">
        <w:rPr>
          <w:rFonts w:ascii="Times New Roman" w:hAnsi="Times New Roman" w:cs="Times New Roman"/>
          <w:sz w:val="24"/>
          <w:szCs w:val="24"/>
        </w:rPr>
        <w:t xml:space="preserve">of GMOs </w:t>
      </w:r>
      <w:r w:rsidR="007702E3" w:rsidRPr="003E342A">
        <w:rPr>
          <w:rFonts w:ascii="Times New Roman" w:hAnsi="Times New Roman" w:cs="Times New Roman"/>
          <w:sz w:val="24"/>
          <w:szCs w:val="24"/>
        </w:rPr>
        <w:t xml:space="preserve">has implications that have become </w:t>
      </w:r>
      <w:proofErr w:type="gramStart"/>
      <w:r w:rsidR="007702E3" w:rsidRPr="003E342A">
        <w:rPr>
          <w:rFonts w:ascii="Times New Roman" w:hAnsi="Times New Roman" w:cs="Times New Roman"/>
          <w:sz w:val="24"/>
          <w:szCs w:val="24"/>
        </w:rPr>
        <w:t>all the more</w:t>
      </w:r>
      <w:proofErr w:type="gramEnd"/>
      <w:r w:rsidR="007702E3" w:rsidRPr="003E342A">
        <w:rPr>
          <w:rFonts w:ascii="Times New Roman" w:hAnsi="Times New Roman" w:cs="Times New Roman"/>
          <w:sz w:val="24"/>
          <w:szCs w:val="24"/>
        </w:rPr>
        <w:t xml:space="preserve"> relevant in the current age of populist </w:t>
      </w:r>
      <w:r w:rsidR="00987437" w:rsidRPr="003E342A">
        <w:rPr>
          <w:rFonts w:ascii="Times New Roman" w:hAnsi="Times New Roman" w:cs="Times New Roman"/>
          <w:sz w:val="24"/>
          <w:szCs w:val="24"/>
        </w:rPr>
        <w:t xml:space="preserve">sentiment </w:t>
      </w:r>
      <w:r w:rsidR="007702E3" w:rsidRPr="003E342A">
        <w:rPr>
          <w:rFonts w:ascii="Times New Roman" w:hAnsi="Times New Roman" w:cs="Times New Roman"/>
          <w:sz w:val="24"/>
          <w:szCs w:val="24"/>
        </w:rPr>
        <w:t>throughout the West.</w:t>
      </w:r>
    </w:p>
    <w:p w14:paraId="4BCB8FEC" w14:textId="4C718605" w:rsidR="000904CE" w:rsidRPr="003E342A" w:rsidRDefault="00012641" w:rsidP="0099656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Together, these strands constitute a major dilemma: between institutionally, legally, and economically constrained policy on the one hand, and popular democratic desires on the other</w:t>
      </w:r>
      <w:r w:rsidR="00681BBF" w:rsidRPr="003E342A">
        <w:rPr>
          <w:rFonts w:ascii="Times New Roman" w:hAnsi="Times New Roman" w:cs="Times New Roman"/>
          <w:sz w:val="24"/>
          <w:szCs w:val="24"/>
        </w:rPr>
        <w:t xml:space="preserve"> – a situation that</w:t>
      </w:r>
      <w:r w:rsidR="004040BB" w:rsidRPr="003E342A">
        <w:rPr>
          <w:rFonts w:ascii="Times New Roman" w:hAnsi="Times New Roman" w:cs="Times New Roman"/>
          <w:sz w:val="24"/>
          <w:szCs w:val="24"/>
        </w:rPr>
        <w:t xml:space="preserve">, as Tagliabue points out, </w:t>
      </w:r>
      <w:r w:rsidR="00681BBF" w:rsidRPr="003E342A">
        <w:rPr>
          <w:rFonts w:ascii="Times New Roman" w:hAnsi="Times New Roman" w:cs="Times New Roman"/>
          <w:sz w:val="24"/>
          <w:szCs w:val="24"/>
        </w:rPr>
        <w:t>qualifie</w:t>
      </w:r>
      <w:r w:rsidR="00987437" w:rsidRPr="003E342A">
        <w:rPr>
          <w:rFonts w:ascii="Times New Roman" w:hAnsi="Times New Roman" w:cs="Times New Roman"/>
          <w:sz w:val="24"/>
          <w:szCs w:val="24"/>
        </w:rPr>
        <w:t>s</w:t>
      </w:r>
      <w:r w:rsidR="00681BBF" w:rsidRPr="003E342A">
        <w:rPr>
          <w:rFonts w:ascii="Times New Roman" w:hAnsi="Times New Roman" w:cs="Times New Roman"/>
          <w:sz w:val="24"/>
          <w:szCs w:val="24"/>
        </w:rPr>
        <w:t xml:space="preserve"> as a </w:t>
      </w:r>
      <w:r w:rsidR="00935CF6">
        <w:rPr>
          <w:rFonts w:ascii="Times New Roman" w:hAnsi="Times New Roman" w:cs="Times New Roman"/>
          <w:sz w:val="24"/>
          <w:szCs w:val="24"/>
        </w:rPr>
        <w:t xml:space="preserve">Schumpeterian </w:t>
      </w:r>
      <w:r w:rsidR="00681BBF" w:rsidRPr="003E342A">
        <w:rPr>
          <w:rFonts w:ascii="Times New Roman" w:hAnsi="Times New Roman" w:cs="Times New Roman"/>
          <w:sz w:val="24"/>
          <w:szCs w:val="24"/>
        </w:rPr>
        <w:t xml:space="preserve">Public Choice Dilemma. </w:t>
      </w:r>
      <w:r w:rsidR="000904CE" w:rsidRPr="003E342A">
        <w:rPr>
          <w:rFonts w:ascii="Times New Roman" w:hAnsi="Times New Roman" w:cs="Times New Roman"/>
          <w:sz w:val="24"/>
          <w:szCs w:val="24"/>
        </w:rPr>
        <w:t xml:space="preserve">Though the discursive and regulatory philosophies of </w:t>
      </w:r>
      <w:r w:rsidR="00094987" w:rsidRPr="003E342A">
        <w:rPr>
          <w:rFonts w:ascii="Times New Roman" w:hAnsi="Times New Roman" w:cs="Times New Roman"/>
          <w:sz w:val="24"/>
          <w:szCs w:val="24"/>
        </w:rPr>
        <w:t>Jürgen</w:t>
      </w:r>
      <w:r w:rsidR="000904CE" w:rsidRPr="003E342A">
        <w:rPr>
          <w:rFonts w:ascii="Times New Roman" w:hAnsi="Times New Roman" w:cs="Times New Roman"/>
          <w:sz w:val="24"/>
          <w:szCs w:val="24"/>
        </w:rPr>
        <w:t xml:space="preserve"> Habermas offer several suggestions to resolve these conflicts</w:t>
      </w:r>
      <w:r w:rsidRPr="003E342A">
        <w:rPr>
          <w:rFonts w:ascii="Times New Roman" w:hAnsi="Times New Roman" w:cs="Times New Roman"/>
          <w:sz w:val="24"/>
          <w:szCs w:val="24"/>
        </w:rPr>
        <w:t xml:space="preserve"> in the direction of democracy, transparency, and legitimacy</w:t>
      </w:r>
      <w:r w:rsidR="000904CE" w:rsidRPr="003E342A">
        <w:rPr>
          <w:rFonts w:ascii="Times New Roman" w:hAnsi="Times New Roman" w:cs="Times New Roman"/>
          <w:sz w:val="24"/>
          <w:szCs w:val="24"/>
        </w:rPr>
        <w:t>, the school of Schumpeterian Public Choice theory offers rebuttals</w:t>
      </w:r>
      <w:r w:rsidRPr="003E342A">
        <w:rPr>
          <w:rFonts w:ascii="Times New Roman" w:hAnsi="Times New Roman" w:cs="Times New Roman"/>
          <w:sz w:val="24"/>
          <w:szCs w:val="24"/>
        </w:rPr>
        <w:t xml:space="preserve">, arguing for an embrace of technocratic expert consensus over the preferences of the people who have little expertise in the </w:t>
      </w:r>
      <w:r w:rsidR="00681BBF" w:rsidRPr="003E342A">
        <w:rPr>
          <w:rFonts w:ascii="Times New Roman" w:hAnsi="Times New Roman" w:cs="Times New Roman"/>
          <w:sz w:val="24"/>
          <w:szCs w:val="24"/>
        </w:rPr>
        <w:t>subjects under discussion or the consequences of proposed policies</w:t>
      </w:r>
      <w:r w:rsidR="000904CE" w:rsidRPr="003E342A">
        <w:rPr>
          <w:rFonts w:ascii="Times New Roman" w:hAnsi="Times New Roman" w:cs="Times New Roman"/>
          <w:sz w:val="24"/>
          <w:szCs w:val="24"/>
        </w:rPr>
        <w:t xml:space="preserve">. Ultimately, the package of reforms proposed by President Juncker would be harmful if passed in their current forms, but, further, the conflict between popular preferences and institutional and economic realities calls into question several assumptions about the relationship between the body politic and “elite” </w:t>
      </w:r>
      <w:proofErr w:type="gramStart"/>
      <w:r w:rsidR="000904CE" w:rsidRPr="003E342A">
        <w:rPr>
          <w:rFonts w:ascii="Times New Roman" w:hAnsi="Times New Roman" w:cs="Times New Roman"/>
          <w:sz w:val="24"/>
          <w:szCs w:val="24"/>
        </w:rPr>
        <w:t>decisionmakers, and</w:t>
      </w:r>
      <w:proofErr w:type="gramEnd"/>
      <w:r w:rsidR="000904CE" w:rsidRPr="003E342A">
        <w:rPr>
          <w:rFonts w:ascii="Times New Roman" w:hAnsi="Times New Roman" w:cs="Times New Roman"/>
          <w:sz w:val="24"/>
          <w:szCs w:val="24"/>
        </w:rPr>
        <w:t xml:space="preserve"> has much broader resonance in this new age of populist iconoclasm.</w:t>
      </w:r>
    </w:p>
    <w:p w14:paraId="2116F844" w14:textId="77777777" w:rsidR="00987437" w:rsidRPr="003E342A" w:rsidRDefault="00987437" w:rsidP="00F876B7">
      <w:pPr>
        <w:spacing w:line="480" w:lineRule="auto"/>
        <w:jc w:val="both"/>
        <w:rPr>
          <w:rFonts w:ascii="Times New Roman" w:hAnsi="Times New Roman" w:cs="Times New Roman"/>
          <w:b/>
          <w:sz w:val="24"/>
          <w:szCs w:val="24"/>
        </w:rPr>
      </w:pPr>
    </w:p>
    <w:p w14:paraId="2B4B3368" w14:textId="7EFFE72E" w:rsidR="0099656E" w:rsidRPr="003E342A" w:rsidRDefault="00F876B7" w:rsidP="0099656E">
      <w:pPr>
        <w:pStyle w:val="Heading1"/>
        <w:rPr>
          <w:rFonts w:cs="Times New Roman"/>
        </w:rPr>
      </w:pPr>
      <w:bookmarkStart w:id="7" w:name="_Toc531878482"/>
      <w:r w:rsidRPr="003E342A">
        <w:rPr>
          <w:rFonts w:cs="Times New Roman"/>
        </w:rPr>
        <w:t>Research Questions and Scope of Work</w:t>
      </w:r>
      <w:bookmarkEnd w:id="7"/>
    </w:p>
    <w:p w14:paraId="67F8D5EB" w14:textId="77777777" w:rsidR="00CD6EE7" w:rsidRPr="003E342A" w:rsidRDefault="00CD6EE7" w:rsidP="00CD6EE7">
      <w:pPr>
        <w:rPr>
          <w:rFonts w:ascii="Times New Roman" w:hAnsi="Times New Roman" w:cs="Times New Roman"/>
        </w:rPr>
      </w:pPr>
    </w:p>
    <w:p w14:paraId="748DE69C" w14:textId="210D918F" w:rsidR="00F876B7" w:rsidRPr="003E342A" w:rsidRDefault="00F876B7" w:rsidP="00F876B7">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Several key questions arise from the current predicament regarding GMO Regulations in Europe, and which this thesis will attempt to address. First, how did the history of European food and GM regulation lead to this current </w:t>
      </w:r>
      <w:r w:rsidR="00EC2736">
        <w:rPr>
          <w:rFonts w:ascii="Times New Roman" w:hAnsi="Times New Roman" w:cs="Times New Roman"/>
          <w:sz w:val="24"/>
          <w:szCs w:val="24"/>
        </w:rPr>
        <w:t>regulatory impasse</w:t>
      </w:r>
      <w:r w:rsidR="004542AA" w:rsidRPr="003E342A">
        <w:rPr>
          <w:rFonts w:ascii="Times New Roman" w:hAnsi="Times New Roman" w:cs="Times New Roman"/>
          <w:sz w:val="24"/>
          <w:szCs w:val="24"/>
        </w:rPr>
        <w:t xml:space="preserve"> and how does it frame the current debate</w:t>
      </w:r>
      <w:r w:rsidRPr="003E342A">
        <w:rPr>
          <w:rFonts w:ascii="Times New Roman" w:hAnsi="Times New Roman" w:cs="Times New Roman"/>
          <w:sz w:val="24"/>
          <w:szCs w:val="24"/>
        </w:rPr>
        <w:t xml:space="preserve">? Second, what are the arguments in favor of the reforms proposed by the Juncker Commission? Third, what are the primary arguments against these reforms? This research will </w:t>
      </w:r>
      <w:r w:rsidRPr="003E342A">
        <w:rPr>
          <w:rFonts w:ascii="Times New Roman" w:hAnsi="Times New Roman" w:cs="Times New Roman"/>
          <w:sz w:val="24"/>
          <w:szCs w:val="24"/>
        </w:rPr>
        <w:lastRenderedPageBreak/>
        <w:t xml:space="preserve">show that there </w:t>
      </w:r>
      <w:r w:rsidR="00EC2736">
        <w:rPr>
          <w:rFonts w:ascii="Times New Roman" w:hAnsi="Times New Roman" w:cs="Times New Roman"/>
          <w:sz w:val="24"/>
          <w:szCs w:val="24"/>
        </w:rPr>
        <w:t>are strong arguments</w:t>
      </w:r>
      <w:r w:rsidRPr="003E342A">
        <w:rPr>
          <w:rFonts w:ascii="Times New Roman" w:hAnsi="Times New Roman" w:cs="Times New Roman"/>
          <w:sz w:val="24"/>
          <w:szCs w:val="24"/>
        </w:rPr>
        <w:t xml:space="preserve"> both for and against the reforms. </w:t>
      </w:r>
      <w:proofErr w:type="gramStart"/>
      <w:r w:rsidRPr="003E342A">
        <w:rPr>
          <w:rFonts w:ascii="Times New Roman" w:hAnsi="Times New Roman" w:cs="Times New Roman"/>
          <w:sz w:val="24"/>
          <w:szCs w:val="24"/>
        </w:rPr>
        <w:t>In light of</w:t>
      </w:r>
      <w:proofErr w:type="gramEnd"/>
      <w:r w:rsidRPr="003E342A">
        <w:rPr>
          <w:rFonts w:ascii="Times New Roman" w:hAnsi="Times New Roman" w:cs="Times New Roman"/>
          <w:sz w:val="24"/>
          <w:szCs w:val="24"/>
        </w:rPr>
        <w:t xml:space="preserve"> this evidence, this thesis will touch on a final question: what should European institutions do about the GMO question, and are there possible resolutions to this dilemma?</w:t>
      </w:r>
    </w:p>
    <w:p w14:paraId="02D4E5E3" w14:textId="31B8854C" w:rsidR="00F876B7" w:rsidRPr="003E342A" w:rsidRDefault="00F876B7" w:rsidP="00F876B7">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The answers to these questions are informed by the philosophical outlooks of </w:t>
      </w:r>
      <w:r w:rsidR="00094987" w:rsidRPr="003E342A">
        <w:rPr>
          <w:rFonts w:ascii="Times New Roman" w:hAnsi="Times New Roman" w:cs="Times New Roman"/>
          <w:sz w:val="24"/>
          <w:szCs w:val="24"/>
        </w:rPr>
        <w:t>Jürgen</w:t>
      </w:r>
      <w:r w:rsidRPr="003E342A">
        <w:rPr>
          <w:rFonts w:ascii="Times New Roman" w:hAnsi="Times New Roman" w:cs="Times New Roman"/>
          <w:sz w:val="24"/>
          <w:szCs w:val="24"/>
        </w:rPr>
        <w:t xml:space="preserve"> Habermas on the one hand and Joseph Schumpeter on the other. Habermas argues for increasing democratization and transparency of European regulatory processes to ward off the growing democratic deficit and legitimacy crisis in the Union; Schumpeter, in contrast, argued against over-democratization of policymaking, seeking instead to follow the consensus of experts that would avoid the pitfalls of populism. How this conflict between public opinion and attainable policy goals plays out may, in the end, have significant consequences for the structure of both European liberal democracy and the global economy more broadly, for what public pressure demands is significantly out of step with what is attainable given current international structures.</w:t>
      </w:r>
    </w:p>
    <w:p w14:paraId="3C83E8A4" w14:textId="32D2F971" w:rsidR="00F876B7" w:rsidRPr="003E342A" w:rsidRDefault="00F876B7" w:rsidP="00F876B7">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To answer the questions, after situating the </w:t>
      </w:r>
      <w:r w:rsidR="00EC2736">
        <w:rPr>
          <w:rFonts w:ascii="Times New Roman" w:hAnsi="Times New Roman" w:cs="Times New Roman"/>
          <w:sz w:val="24"/>
          <w:szCs w:val="24"/>
        </w:rPr>
        <w:t>current debate</w:t>
      </w:r>
      <w:r w:rsidRPr="003E342A">
        <w:rPr>
          <w:rFonts w:ascii="Times New Roman" w:hAnsi="Times New Roman" w:cs="Times New Roman"/>
          <w:sz w:val="24"/>
          <w:szCs w:val="24"/>
        </w:rPr>
        <w:t xml:space="preserve"> in the institutional history of food and GMO regulations, this work will take the following course: first, it will detail the </w:t>
      </w:r>
      <w:r w:rsidR="006A6DBD" w:rsidRPr="003E342A">
        <w:rPr>
          <w:rFonts w:ascii="Times New Roman" w:hAnsi="Times New Roman" w:cs="Times New Roman"/>
          <w:sz w:val="24"/>
          <w:szCs w:val="24"/>
        </w:rPr>
        <w:t xml:space="preserve">regulatory history and </w:t>
      </w:r>
      <w:r w:rsidRPr="003E342A">
        <w:rPr>
          <w:rFonts w:ascii="Times New Roman" w:hAnsi="Times New Roman" w:cs="Times New Roman"/>
          <w:sz w:val="24"/>
          <w:szCs w:val="24"/>
        </w:rPr>
        <w:t xml:space="preserve">comitological rules that </w:t>
      </w:r>
      <w:r w:rsidR="00EC2736">
        <w:rPr>
          <w:rFonts w:ascii="Times New Roman" w:hAnsi="Times New Roman" w:cs="Times New Roman"/>
          <w:sz w:val="24"/>
          <w:szCs w:val="24"/>
        </w:rPr>
        <w:t>have led to the</w:t>
      </w:r>
      <w:r w:rsidRPr="003E342A">
        <w:rPr>
          <w:rFonts w:ascii="Times New Roman" w:hAnsi="Times New Roman" w:cs="Times New Roman"/>
          <w:sz w:val="24"/>
          <w:szCs w:val="24"/>
        </w:rPr>
        <w:t xml:space="preserve"> dilemma and the proposed reforms that would resolve the dilemma</w:t>
      </w:r>
      <w:r w:rsidR="00EC2736">
        <w:rPr>
          <w:rFonts w:ascii="Times New Roman" w:hAnsi="Times New Roman" w:cs="Times New Roman"/>
          <w:sz w:val="24"/>
          <w:szCs w:val="24"/>
        </w:rPr>
        <w:t xml:space="preserve"> of whether to allow increased barriers to GMOs in the EU</w:t>
      </w:r>
      <w:r w:rsidRPr="003E342A">
        <w:rPr>
          <w:rFonts w:ascii="Times New Roman" w:hAnsi="Times New Roman" w:cs="Times New Roman"/>
          <w:sz w:val="24"/>
          <w:szCs w:val="24"/>
        </w:rPr>
        <w:t xml:space="preserve">. Second, it will analyze the nature of Europe’s democratic deficit and </w:t>
      </w:r>
      <w:r w:rsidR="006A6DBD" w:rsidRPr="003E342A">
        <w:rPr>
          <w:rFonts w:ascii="Times New Roman" w:hAnsi="Times New Roman" w:cs="Times New Roman"/>
          <w:sz w:val="24"/>
          <w:szCs w:val="24"/>
        </w:rPr>
        <w:t xml:space="preserve">ongoing populist </w:t>
      </w:r>
      <w:r w:rsidRPr="003E342A">
        <w:rPr>
          <w:rFonts w:ascii="Times New Roman" w:hAnsi="Times New Roman" w:cs="Times New Roman"/>
          <w:sz w:val="24"/>
          <w:szCs w:val="24"/>
        </w:rPr>
        <w:t>legitimacy crisis as informed by Habermas’s proposals. Then, it will explain the institutional and structural constraints</w:t>
      </w:r>
      <w:r w:rsidR="006A6DBD" w:rsidRPr="003E342A">
        <w:rPr>
          <w:rFonts w:ascii="Times New Roman" w:hAnsi="Times New Roman" w:cs="Times New Roman"/>
          <w:sz w:val="24"/>
          <w:szCs w:val="24"/>
        </w:rPr>
        <w:t xml:space="preserve"> such as European Law and World Trade Organization rulings</w:t>
      </w:r>
      <w:r w:rsidRPr="003E342A">
        <w:rPr>
          <w:rFonts w:ascii="Times New Roman" w:hAnsi="Times New Roman" w:cs="Times New Roman"/>
          <w:sz w:val="24"/>
          <w:szCs w:val="24"/>
        </w:rPr>
        <w:t xml:space="preserve"> that pose an enormous quandary for the proponents of Juncker and </w:t>
      </w:r>
      <w:proofErr w:type="gramStart"/>
      <w:r w:rsidRPr="003E342A">
        <w:rPr>
          <w:rFonts w:ascii="Times New Roman" w:hAnsi="Times New Roman" w:cs="Times New Roman"/>
          <w:sz w:val="24"/>
          <w:szCs w:val="24"/>
        </w:rPr>
        <w:t>Habermas, and</w:t>
      </w:r>
      <w:proofErr w:type="gramEnd"/>
      <w:r w:rsidRPr="003E342A">
        <w:rPr>
          <w:rFonts w:ascii="Times New Roman" w:hAnsi="Times New Roman" w:cs="Times New Roman"/>
          <w:sz w:val="24"/>
          <w:szCs w:val="24"/>
        </w:rPr>
        <w:t xml:space="preserve"> show that Schumpeter’s elaboration of the Public Choice Dilemma is certainly at work in this situation.</w:t>
      </w:r>
    </w:p>
    <w:p w14:paraId="2B80B7BE" w14:textId="26D0D2C9" w:rsidR="00F876B7" w:rsidRPr="003E342A" w:rsidRDefault="00F876B7" w:rsidP="00F876B7">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The research does not investigate the nature of the ideological divide regarding GMOs in the European Union, nor does it attempt to weigh in on the veracity or truth-claims of GMO </w:t>
      </w:r>
      <w:r w:rsidRPr="003E342A">
        <w:rPr>
          <w:rFonts w:ascii="Times New Roman" w:hAnsi="Times New Roman" w:cs="Times New Roman"/>
          <w:sz w:val="24"/>
          <w:szCs w:val="24"/>
        </w:rPr>
        <w:lastRenderedPageBreak/>
        <w:t xml:space="preserve">proponents or opponents. Suffice it to say, there are strong arguments that should be carefully considered on all sides of the debate. Rather, this investigation will take it as </w:t>
      </w:r>
      <w:proofErr w:type="gramStart"/>
      <w:r w:rsidRPr="003E342A">
        <w:rPr>
          <w:rFonts w:ascii="Times New Roman" w:hAnsi="Times New Roman" w:cs="Times New Roman"/>
          <w:sz w:val="24"/>
          <w:szCs w:val="24"/>
        </w:rPr>
        <w:t>sufficient</w:t>
      </w:r>
      <w:proofErr w:type="gramEnd"/>
      <w:r w:rsidRPr="003E342A">
        <w:rPr>
          <w:rFonts w:ascii="Times New Roman" w:hAnsi="Times New Roman" w:cs="Times New Roman"/>
          <w:sz w:val="24"/>
          <w:szCs w:val="24"/>
        </w:rPr>
        <w:t xml:space="preserve"> to demonstrate that there is a substantial difference between public opinion on the one hand and the scientific community more generally. This difference, combined with the structural problems of EU law and international agreement, constitute the corpus of this dilemma, regardless of who (if anyone) is “right</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w:t>
      </w:r>
    </w:p>
    <w:p w14:paraId="4F10191D" w14:textId="77777777" w:rsidR="0048261E" w:rsidRPr="003E342A" w:rsidRDefault="0048261E" w:rsidP="0048261E">
      <w:pPr>
        <w:spacing w:line="480" w:lineRule="auto"/>
        <w:contextualSpacing/>
        <w:jc w:val="both"/>
        <w:rPr>
          <w:rFonts w:ascii="Times New Roman" w:hAnsi="Times New Roman" w:cs="Times New Roman"/>
          <w:sz w:val="24"/>
          <w:szCs w:val="24"/>
        </w:rPr>
      </w:pPr>
    </w:p>
    <w:p w14:paraId="3184652B" w14:textId="3F29FB1D" w:rsidR="002F0AFB" w:rsidRPr="003E342A" w:rsidRDefault="002F0AFB" w:rsidP="002F0AFB">
      <w:pPr>
        <w:spacing w:line="480" w:lineRule="auto"/>
        <w:jc w:val="both"/>
        <w:rPr>
          <w:rFonts w:ascii="Times New Roman" w:hAnsi="Times New Roman" w:cs="Times New Roman"/>
          <w:sz w:val="24"/>
          <w:szCs w:val="24"/>
        </w:rPr>
      </w:pPr>
    </w:p>
    <w:p w14:paraId="55C95D5B" w14:textId="77777777" w:rsidR="000904CE" w:rsidRPr="003E342A" w:rsidRDefault="000904CE" w:rsidP="000904CE">
      <w:pPr>
        <w:spacing w:line="480" w:lineRule="auto"/>
        <w:ind w:firstLine="720"/>
        <w:contextualSpacing/>
        <w:jc w:val="both"/>
        <w:rPr>
          <w:rFonts w:ascii="Times New Roman" w:hAnsi="Times New Roman" w:cs="Times New Roman"/>
          <w:sz w:val="24"/>
          <w:szCs w:val="24"/>
        </w:rPr>
      </w:pPr>
    </w:p>
    <w:p w14:paraId="0068C958" w14:textId="77777777" w:rsidR="008C28B2" w:rsidRDefault="008C28B2">
      <w:pPr>
        <w:rPr>
          <w:rFonts w:ascii="Times New Roman" w:eastAsiaTheme="majorEastAsia" w:hAnsi="Times New Roman" w:cs="Times New Roman"/>
          <w:b/>
          <w:spacing w:val="-10"/>
          <w:kern w:val="28"/>
          <w:sz w:val="28"/>
          <w:szCs w:val="56"/>
        </w:rPr>
      </w:pPr>
      <w:r>
        <w:rPr>
          <w:rFonts w:cs="Times New Roman"/>
        </w:rPr>
        <w:br w:type="page"/>
      </w:r>
    </w:p>
    <w:p w14:paraId="6CAFDAC9" w14:textId="46031C7D" w:rsidR="0048261E" w:rsidRPr="003E342A" w:rsidRDefault="003C2D63" w:rsidP="00856943">
      <w:pPr>
        <w:pStyle w:val="Title"/>
        <w:jc w:val="center"/>
        <w:rPr>
          <w:rFonts w:cs="Times New Roman"/>
        </w:rPr>
      </w:pPr>
      <w:bookmarkStart w:id="8" w:name="_Toc531878483"/>
      <w:r w:rsidRPr="003E342A">
        <w:rPr>
          <w:rFonts w:cs="Times New Roman"/>
        </w:rPr>
        <w:lastRenderedPageBreak/>
        <w:t>Chapter I:</w:t>
      </w:r>
      <w:r w:rsidR="00F55643" w:rsidRPr="003E342A">
        <w:rPr>
          <w:rFonts w:cs="Times New Roman"/>
        </w:rPr>
        <w:t xml:space="preserve"> </w:t>
      </w:r>
      <w:r w:rsidRPr="003E342A">
        <w:rPr>
          <w:rFonts w:cs="Times New Roman"/>
        </w:rPr>
        <w:t>The History and Challenges of European GMO Regulation</w:t>
      </w:r>
      <w:bookmarkEnd w:id="8"/>
    </w:p>
    <w:p w14:paraId="2F2FF71C" w14:textId="77777777" w:rsidR="0048261E" w:rsidRPr="003E342A" w:rsidRDefault="0048261E">
      <w:pPr>
        <w:rPr>
          <w:rFonts w:ascii="Times New Roman" w:hAnsi="Times New Roman" w:cs="Times New Roman"/>
          <w:b/>
          <w:sz w:val="24"/>
        </w:rPr>
      </w:pPr>
    </w:p>
    <w:p w14:paraId="5CD01C69" w14:textId="77777777" w:rsidR="0048261E" w:rsidRPr="003E342A" w:rsidRDefault="0048261E" w:rsidP="0048261E">
      <w:pPr>
        <w:spacing w:line="480" w:lineRule="auto"/>
        <w:ind w:firstLine="720"/>
        <w:contextualSpacing/>
        <w:jc w:val="both"/>
        <w:rPr>
          <w:rFonts w:ascii="Times New Roman" w:hAnsi="Times New Roman" w:cs="Times New Roman"/>
          <w:sz w:val="24"/>
          <w:szCs w:val="24"/>
        </w:rPr>
      </w:pPr>
    </w:p>
    <w:p w14:paraId="149AE4A2" w14:textId="77777777" w:rsidR="00F55643" w:rsidRPr="003E342A" w:rsidRDefault="00F55643">
      <w:pPr>
        <w:rPr>
          <w:rFonts w:ascii="Times New Roman" w:hAnsi="Times New Roman" w:cs="Times New Roman"/>
          <w:b/>
          <w:sz w:val="24"/>
          <w:szCs w:val="24"/>
        </w:rPr>
      </w:pPr>
      <w:r w:rsidRPr="003E342A">
        <w:rPr>
          <w:rFonts w:ascii="Times New Roman" w:hAnsi="Times New Roman" w:cs="Times New Roman"/>
          <w:b/>
          <w:sz w:val="24"/>
          <w:szCs w:val="24"/>
        </w:rPr>
        <w:br w:type="page"/>
      </w:r>
    </w:p>
    <w:p w14:paraId="1F81BBA5" w14:textId="60929870" w:rsidR="0048261E" w:rsidRPr="003E342A" w:rsidRDefault="0048261E" w:rsidP="005F50AE">
      <w:pPr>
        <w:pStyle w:val="Heading1"/>
        <w:rPr>
          <w:rFonts w:cs="Times New Roman"/>
        </w:rPr>
      </w:pPr>
      <w:bookmarkStart w:id="9" w:name="_Toc531878484"/>
      <w:r w:rsidRPr="003E342A">
        <w:rPr>
          <w:rFonts w:cs="Times New Roman"/>
        </w:rPr>
        <w:lastRenderedPageBreak/>
        <w:t>Science and Regulation in the EU</w:t>
      </w:r>
      <w:bookmarkEnd w:id="9"/>
    </w:p>
    <w:p w14:paraId="03D8618F" w14:textId="77777777" w:rsidR="005F50AE" w:rsidRPr="003E342A" w:rsidRDefault="005F50AE" w:rsidP="005F50AE">
      <w:pPr>
        <w:rPr>
          <w:rFonts w:ascii="Times New Roman" w:hAnsi="Times New Roman" w:cs="Times New Roman"/>
        </w:rPr>
      </w:pPr>
    </w:p>
    <w:p w14:paraId="5E27B8D9" w14:textId="36DEE19B" w:rsidR="0048261E" w:rsidRPr="003E342A" w:rsidRDefault="0048261E" w:rsidP="0048261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The European Commission, originally known as the Commission of the European Communities, was forged in 1968 from the European Coal and Steel Community, Commission of the European Economic Community, and Commission of the European Atomic Energy Community. With the advent of the European Commission, EU governance bodies succeeded in a centralization of European research direction and funding under its authority. The 1992 ratification of the Maastricht Treaty, which came into force in 1994 heralding the official beginning of the European Union, created numerous institutions that drastically changed the course of EU science policy. First, the Maastricht Treaty Enshrined the precautionary principle (discussed below) as the regulatory standard.</w:t>
      </w:r>
      <w:r w:rsidRPr="003E342A">
        <w:rPr>
          <w:rStyle w:val="FootnoteReference"/>
          <w:rFonts w:ascii="Times New Roman" w:hAnsi="Times New Roman" w:cs="Times New Roman"/>
          <w:sz w:val="24"/>
          <w:szCs w:val="24"/>
        </w:rPr>
        <w:footnoteReference w:id="5"/>
      </w:r>
      <w:r w:rsidRPr="003E342A">
        <w:rPr>
          <w:rFonts w:ascii="Times New Roman" w:hAnsi="Times New Roman" w:cs="Times New Roman"/>
          <w:sz w:val="24"/>
          <w:szCs w:val="24"/>
        </w:rPr>
        <w:t xml:space="preserve"> </w:t>
      </w:r>
    </w:p>
    <w:p w14:paraId="34EB4835" w14:textId="2962D418" w:rsidR="0048261E" w:rsidRPr="003E342A" w:rsidRDefault="0048261E" w:rsidP="0048261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The 2000 Lisbon Agenda brought even greater changes. “The 2000 Lisbon Agenda announced the EU's strategy to facilitate Europe's transition into a full-fledged and efficient </w:t>
      </w:r>
      <w:r w:rsidR="0099656E" w:rsidRPr="003E342A">
        <w:rPr>
          <w:rFonts w:ascii="Times New Roman" w:hAnsi="Times New Roman" w:cs="Times New Roman"/>
          <w:sz w:val="24"/>
          <w:szCs w:val="24"/>
        </w:rPr>
        <w:t>‘</w:t>
      </w:r>
      <w:r w:rsidRPr="003E342A">
        <w:rPr>
          <w:rFonts w:ascii="Times New Roman" w:hAnsi="Times New Roman" w:cs="Times New Roman"/>
          <w:sz w:val="24"/>
          <w:szCs w:val="24"/>
        </w:rPr>
        <w:t>knowledge-based society</w:t>
      </w:r>
      <w:r w:rsidR="0099656E" w:rsidRPr="003E342A">
        <w:rPr>
          <w:rFonts w:ascii="Times New Roman" w:hAnsi="Times New Roman" w:cs="Times New Roman"/>
          <w:sz w:val="24"/>
          <w:szCs w:val="24"/>
        </w:rPr>
        <w:t>’</w:t>
      </w:r>
      <w:r w:rsidRPr="003E342A">
        <w:rPr>
          <w:rFonts w:ascii="Times New Roman" w:hAnsi="Times New Roman" w:cs="Times New Roman"/>
          <w:sz w:val="24"/>
          <w:szCs w:val="24"/>
        </w:rPr>
        <w:t xml:space="preserve"> by 2010</w:t>
      </w:r>
      <w:r w:rsidR="00C45B0A" w:rsidRPr="003E342A">
        <w:rPr>
          <w:rFonts w:ascii="Times New Roman" w:hAnsi="Times New Roman" w:cs="Times New Roman"/>
          <w:sz w:val="24"/>
          <w:szCs w:val="24"/>
        </w:rPr>
        <w:t>.</w:t>
      </w:r>
      <w:r w:rsidRPr="003E342A">
        <w:rPr>
          <w:rFonts w:ascii="Times New Roman" w:hAnsi="Times New Roman" w:cs="Times New Roman"/>
          <w:sz w:val="24"/>
          <w:szCs w:val="24"/>
        </w:rPr>
        <w:t xml:space="preserve">  Science, not surprisingly, is portrayed as central to achieving this vision</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6"/>
      </w:r>
      <w:r w:rsidRPr="003E342A">
        <w:rPr>
          <w:rFonts w:ascii="Times New Roman" w:hAnsi="Times New Roman" w:cs="Times New Roman"/>
          <w:sz w:val="24"/>
          <w:szCs w:val="24"/>
        </w:rPr>
        <w:t xml:space="preserve"> The Lisbon Agenda was externally focused and geared toward economic competitiveness. Surrounding this strategy was a proliferation of new scientific institutions including the European Research Area (renamed European Research Area Board in 2001), the reaction to Commissioner for Research Philippe </w:t>
      </w:r>
      <w:proofErr w:type="spellStart"/>
      <w:r w:rsidRPr="003E342A">
        <w:rPr>
          <w:rFonts w:ascii="Times New Roman" w:hAnsi="Times New Roman" w:cs="Times New Roman"/>
          <w:sz w:val="24"/>
          <w:szCs w:val="24"/>
        </w:rPr>
        <w:t>Busquin’s</w:t>
      </w:r>
      <w:proofErr w:type="spellEnd"/>
      <w:r w:rsidRPr="003E342A">
        <w:rPr>
          <w:rFonts w:ascii="Times New Roman" w:hAnsi="Times New Roman" w:cs="Times New Roman"/>
          <w:sz w:val="24"/>
          <w:szCs w:val="24"/>
        </w:rPr>
        <w:t xml:space="preserve"> lament of the EU’s still-fragmented research agendas and networks, as well as the 2007 European Research Council.</w:t>
      </w:r>
      <w:r w:rsidRPr="003E342A">
        <w:rPr>
          <w:rStyle w:val="FootnoteReference"/>
          <w:rFonts w:ascii="Times New Roman" w:hAnsi="Times New Roman" w:cs="Times New Roman"/>
          <w:sz w:val="24"/>
          <w:szCs w:val="24"/>
        </w:rPr>
        <w:footnoteReference w:id="7"/>
      </w:r>
    </w:p>
    <w:p w14:paraId="413DD7E5" w14:textId="557C424F" w:rsidR="0048261E" w:rsidRPr="003E342A" w:rsidRDefault="0048261E" w:rsidP="0048261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As part of a greater push toward scientific competitiveness, in 2011, </w:t>
      </w:r>
      <w:r w:rsidR="00E1141C">
        <w:rPr>
          <w:rFonts w:ascii="Times New Roman" w:hAnsi="Times New Roman" w:cs="Times New Roman"/>
          <w:sz w:val="24"/>
          <w:szCs w:val="24"/>
        </w:rPr>
        <w:t>Commission</w:t>
      </w:r>
      <w:r w:rsidRPr="003E342A">
        <w:rPr>
          <w:rFonts w:ascii="Times New Roman" w:hAnsi="Times New Roman" w:cs="Times New Roman"/>
          <w:sz w:val="24"/>
          <w:szCs w:val="24"/>
        </w:rPr>
        <w:t xml:space="preserve"> President Jose Emmanuel Barroso appointed Professor Anne Glover as Chief Science Advisor (in </w:t>
      </w:r>
      <w:r w:rsidRPr="003E342A">
        <w:rPr>
          <w:rFonts w:ascii="Times New Roman" w:hAnsi="Times New Roman" w:cs="Times New Roman"/>
          <w:sz w:val="24"/>
          <w:szCs w:val="24"/>
        </w:rPr>
        <w:lastRenderedPageBreak/>
        <w:t>accordance with his 2009 declaration of intention to do so). The position was created to “provide [the president] high-level and independent scientific advice throughout all stages of policy development and delivery. The Chief Scientific Advisor will provide advice directly to the President and will give regular updates on major scientific and technological developments.</w:t>
      </w:r>
      <w:r w:rsidRPr="003E342A">
        <w:rPr>
          <w:rStyle w:val="FootnoteReference"/>
          <w:rFonts w:ascii="Times New Roman" w:hAnsi="Times New Roman" w:cs="Times New Roman"/>
          <w:sz w:val="24"/>
          <w:szCs w:val="24"/>
        </w:rPr>
        <w:footnoteReference w:id="8"/>
      </w:r>
      <w:r w:rsidRPr="003E342A">
        <w:rPr>
          <w:rFonts w:ascii="Times New Roman" w:hAnsi="Times New Roman" w:cs="Times New Roman"/>
          <w:sz w:val="24"/>
          <w:szCs w:val="24"/>
        </w:rPr>
        <w:t xml:space="preserve"> Throughout her tenure, Professor Glover was an outspoken proponent of the cultivation and advancement of genetically modified foods and related technologies. However, this overt advocacy was not without political consequences.</w:t>
      </w:r>
    </w:p>
    <w:p w14:paraId="7C904055" w14:textId="77777777" w:rsidR="0048261E" w:rsidRPr="003E342A" w:rsidRDefault="0048261E" w:rsidP="0048261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The Policies of Jean Claude Juncker, in stark contrast to those of Barroso, tend to take a very different tone regarding the scientific community and its role in EU policymaking. Soon after taking office, in November 2014 Juncker abolished the position of science advisor, firing Professor Glover</w:t>
      </w:r>
      <w:r w:rsidRPr="003E342A">
        <w:rPr>
          <w:rFonts w:ascii="Times New Roman" w:hAnsi="Times New Roman" w:cs="Times New Roman"/>
          <w:color w:val="2E74B5" w:themeColor="accent5" w:themeShade="BF"/>
          <w:sz w:val="24"/>
          <w:szCs w:val="24"/>
        </w:rPr>
        <w:t xml:space="preserve">. </w:t>
      </w:r>
      <w:r w:rsidRPr="003E342A">
        <w:rPr>
          <w:rFonts w:ascii="Times New Roman" w:hAnsi="Times New Roman" w:cs="Times New Roman"/>
          <w:sz w:val="24"/>
          <w:szCs w:val="24"/>
        </w:rPr>
        <w:t>In the May 2015 “Better Regulation” communication, the Juncker administration responded to member states who decried the Commission’s regulatory overreach by prioritizing member state input and devolving some comitological procedures.</w:t>
      </w:r>
      <w:r w:rsidRPr="003E342A">
        <w:rPr>
          <w:rStyle w:val="FootnoteReference"/>
          <w:rFonts w:ascii="Times New Roman" w:hAnsi="Times New Roman" w:cs="Times New Roman"/>
          <w:sz w:val="24"/>
          <w:szCs w:val="24"/>
        </w:rPr>
        <w:footnoteReference w:id="9"/>
      </w:r>
      <w:r w:rsidRPr="003E342A">
        <w:rPr>
          <w:rFonts w:ascii="Times New Roman" w:hAnsi="Times New Roman" w:cs="Times New Roman"/>
          <w:sz w:val="24"/>
          <w:szCs w:val="24"/>
        </w:rPr>
        <w:t xml:space="preserve"> The official announcement declared that “Political priorities drive Commission action on the challenges that the EU faces today.  Better regulation is a tool to provide a basis for timely and sound policy decisions - but it can never replace political decisions,”</w:t>
      </w:r>
      <w:r w:rsidRPr="003E342A">
        <w:rPr>
          <w:rStyle w:val="FootnoteReference"/>
          <w:rFonts w:ascii="Times New Roman" w:hAnsi="Times New Roman" w:cs="Times New Roman"/>
          <w:sz w:val="24"/>
          <w:szCs w:val="24"/>
        </w:rPr>
        <w:footnoteReference w:id="10"/>
      </w:r>
      <w:r w:rsidRPr="003E342A">
        <w:rPr>
          <w:rFonts w:ascii="Times New Roman" w:hAnsi="Times New Roman" w:cs="Times New Roman"/>
          <w:sz w:val="24"/>
          <w:szCs w:val="24"/>
        </w:rPr>
        <w:t xml:space="preserve"> stating in no uncertain terms that politics would be the ultimate rationale for regulatory decisions. </w:t>
      </w:r>
    </w:p>
    <w:p w14:paraId="4500FC68" w14:textId="2C0DD5CF" w:rsidR="0048261E" w:rsidRPr="003E342A" w:rsidRDefault="0048261E" w:rsidP="0048261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Though the initiation of the Better Regulation initiative has far larger implications for the future of EU regulatory decisionmaking, the abolition of the post of EC Science Advisor stirred the greater controversy. In dismissing Professor Glover, signs indicate that the Juncker </w:t>
      </w:r>
      <w:r w:rsidRPr="003E342A">
        <w:rPr>
          <w:rFonts w:ascii="Times New Roman" w:hAnsi="Times New Roman" w:cs="Times New Roman"/>
          <w:sz w:val="24"/>
          <w:szCs w:val="24"/>
        </w:rPr>
        <w:lastRenderedPageBreak/>
        <w:t>administration was heeding the calls of a coalition of environmental groups, the most notable being Greenpeace, who called for the dismissal of Anne Glover and abolition of the position on grounds of the role’s “</w:t>
      </w:r>
      <w:proofErr w:type="spellStart"/>
      <w:r w:rsidRPr="003E342A">
        <w:rPr>
          <w:rFonts w:ascii="Times New Roman" w:hAnsi="Times New Roman" w:cs="Times New Roman"/>
          <w:sz w:val="24"/>
          <w:szCs w:val="24"/>
        </w:rPr>
        <w:t>intransparency</w:t>
      </w:r>
      <w:proofErr w:type="spellEnd"/>
      <w:r w:rsidRPr="003E342A">
        <w:rPr>
          <w:rFonts w:ascii="Times New Roman" w:hAnsi="Times New Roman" w:cs="Times New Roman"/>
          <w:sz w:val="24"/>
          <w:szCs w:val="24"/>
        </w:rPr>
        <w:t>” as well as outrage at the fact that Glover had given “one-sided, partial opinions in the debate on the use of genetically modified organisms</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1"/>
      </w:r>
      <w:r w:rsidRPr="003E342A">
        <w:rPr>
          <w:rFonts w:ascii="Times New Roman" w:hAnsi="Times New Roman" w:cs="Times New Roman"/>
          <w:sz w:val="24"/>
          <w:szCs w:val="24"/>
        </w:rPr>
        <w:t xml:space="preserve"> The dismissal earned a vociferous rebuke from members of the science community. As a Telegraph article highlights following the dismissal, “</w:t>
      </w:r>
      <w:r w:rsidR="0099656E" w:rsidRPr="003E342A">
        <w:rPr>
          <w:rFonts w:ascii="Times New Roman" w:hAnsi="Times New Roman" w:cs="Times New Roman"/>
          <w:sz w:val="24"/>
          <w:szCs w:val="24"/>
        </w:rPr>
        <w:t>‘</w:t>
      </w:r>
      <w:r w:rsidRPr="003E342A">
        <w:rPr>
          <w:rFonts w:ascii="Times New Roman" w:hAnsi="Times New Roman" w:cs="Times New Roman"/>
          <w:sz w:val="24"/>
          <w:szCs w:val="24"/>
        </w:rPr>
        <w:t>It’s a sad day for science, policy, politics and the public in Europe,’ said Professor Colin Blakemore and the University of London,” [sic], a view that the article concatenates with similar opinions from a variety of viewpoints, including the representative of the World Health Organization to the EU.</w:t>
      </w:r>
      <w:r w:rsidRPr="003E342A">
        <w:rPr>
          <w:rStyle w:val="FootnoteReference"/>
          <w:rFonts w:ascii="Times New Roman" w:hAnsi="Times New Roman" w:cs="Times New Roman"/>
          <w:sz w:val="24"/>
          <w:szCs w:val="24"/>
        </w:rPr>
        <w:footnoteReference w:id="12"/>
      </w:r>
      <w:r w:rsidRPr="003E342A">
        <w:rPr>
          <w:rFonts w:ascii="Times New Roman" w:hAnsi="Times New Roman" w:cs="Times New Roman"/>
          <w:sz w:val="24"/>
          <w:szCs w:val="24"/>
        </w:rPr>
        <w:t xml:space="preserve"> However, the dismissal was not based on expert difference on the matter; rather, “As the former prime minister of Luxembourg, a country that along with France, Austria, Greece and Hungary, that has banned, and is opposed, to the use of GM crops on political grounds, Mr</w:t>
      </w:r>
      <w:r w:rsidR="00CE7076" w:rsidRPr="003E342A">
        <w:rPr>
          <w:rFonts w:ascii="Times New Roman" w:hAnsi="Times New Roman" w:cs="Times New Roman"/>
          <w:sz w:val="24"/>
          <w:szCs w:val="24"/>
        </w:rPr>
        <w:t>.</w:t>
      </w:r>
      <w:r w:rsidRPr="003E342A">
        <w:rPr>
          <w:rFonts w:ascii="Times New Roman" w:hAnsi="Times New Roman" w:cs="Times New Roman"/>
          <w:sz w:val="24"/>
          <w:szCs w:val="24"/>
        </w:rPr>
        <w:t xml:space="preserve"> Juncker's personal views are well known. On taking the post as commission president…</w:t>
      </w:r>
      <w:r w:rsidR="0099656E" w:rsidRPr="003E342A">
        <w:rPr>
          <w:rFonts w:ascii="Times New Roman" w:hAnsi="Times New Roman" w:cs="Times New Roman"/>
          <w:sz w:val="24"/>
          <w:szCs w:val="24"/>
        </w:rPr>
        <w:t xml:space="preserve"> </w:t>
      </w:r>
      <w:proofErr w:type="spellStart"/>
      <w:r w:rsidRPr="003E342A">
        <w:rPr>
          <w:rFonts w:ascii="Times New Roman" w:hAnsi="Times New Roman" w:cs="Times New Roman"/>
          <w:sz w:val="24"/>
          <w:szCs w:val="24"/>
        </w:rPr>
        <w:t>Mr</w:t>
      </w:r>
      <w:proofErr w:type="spellEnd"/>
      <w:r w:rsidRPr="003E342A">
        <w:rPr>
          <w:rFonts w:ascii="Times New Roman" w:hAnsi="Times New Roman" w:cs="Times New Roman"/>
          <w:sz w:val="24"/>
          <w:szCs w:val="24"/>
        </w:rPr>
        <w:t xml:space="preserve"> Juncker has announced plans to review EU rules on </w:t>
      </w:r>
      <w:proofErr w:type="spellStart"/>
      <w:r w:rsidRPr="003E342A">
        <w:rPr>
          <w:rFonts w:ascii="Times New Roman" w:hAnsi="Times New Roman" w:cs="Times New Roman"/>
          <w:sz w:val="24"/>
          <w:szCs w:val="24"/>
        </w:rPr>
        <w:t>authorising</w:t>
      </w:r>
      <w:proofErr w:type="spellEnd"/>
      <w:r w:rsidRPr="003E342A">
        <w:rPr>
          <w:rFonts w:ascii="Times New Roman" w:hAnsi="Times New Roman" w:cs="Times New Roman"/>
          <w:sz w:val="24"/>
          <w:szCs w:val="24"/>
        </w:rPr>
        <w:t xml:space="preserve"> biotechnology in order to allow countries to ban their use.”</w:t>
      </w:r>
      <w:r w:rsidRPr="003E342A">
        <w:rPr>
          <w:rStyle w:val="FootnoteReference"/>
          <w:rFonts w:ascii="Times New Roman" w:hAnsi="Times New Roman" w:cs="Times New Roman"/>
          <w:sz w:val="24"/>
          <w:szCs w:val="24"/>
        </w:rPr>
        <w:footnoteReference w:id="13"/>
      </w:r>
      <w:r w:rsidRPr="003E342A">
        <w:rPr>
          <w:rFonts w:ascii="Times New Roman" w:hAnsi="Times New Roman" w:cs="Times New Roman"/>
          <w:sz w:val="24"/>
          <w:szCs w:val="24"/>
        </w:rPr>
        <w:t xml:space="preserve"> </w:t>
      </w:r>
    </w:p>
    <w:p w14:paraId="1A301B43" w14:textId="4B5E407B" w:rsidR="003C2D63" w:rsidRPr="003E342A" w:rsidRDefault="003C2D63">
      <w:pPr>
        <w:rPr>
          <w:rFonts w:ascii="Times New Roman" w:hAnsi="Times New Roman" w:cs="Times New Roman"/>
          <w:b/>
          <w:sz w:val="24"/>
        </w:rPr>
      </w:pPr>
    </w:p>
    <w:p w14:paraId="38F6C999" w14:textId="0CE266C0" w:rsidR="000904CE" w:rsidRPr="003E342A" w:rsidRDefault="000904CE" w:rsidP="005F50AE">
      <w:pPr>
        <w:pStyle w:val="Heading2"/>
        <w:rPr>
          <w:rFonts w:cs="Times New Roman"/>
        </w:rPr>
      </w:pPr>
      <w:r w:rsidRPr="003E342A">
        <w:rPr>
          <w:rFonts w:cs="Times New Roman"/>
        </w:rPr>
        <w:t>A Fragmented Regulatory Regime</w:t>
      </w:r>
    </w:p>
    <w:p w14:paraId="7B00F399" w14:textId="77777777" w:rsidR="005F50AE" w:rsidRPr="003E342A" w:rsidRDefault="005F50AE" w:rsidP="005F50AE">
      <w:pPr>
        <w:rPr>
          <w:rFonts w:ascii="Times New Roman" w:hAnsi="Times New Roman" w:cs="Times New Roman"/>
        </w:rPr>
      </w:pPr>
    </w:p>
    <w:p w14:paraId="7A4BDCFC" w14:textId="75485D17" w:rsidR="00C9292D" w:rsidRPr="003E342A" w:rsidRDefault="000904CE" w:rsidP="00C9292D">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GMO policy in the EU is fractured. Only six of the currently 28 member states cultivate GMOs on their territory.</w:t>
      </w:r>
      <w:r w:rsidRPr="003E342A">
        <w:rPr>
          <w:rStyle w:val="FootnoteReference"/>
          <w:rFonts w:ascii="Times New Roman" w:hAnsi="Times New Roman" w:cs="Times New Roman"/>
          <w:sz w:val="24"/>
          <w:szCs w:val="24"/>
        </w:rPr>
        <w:footnoteReference w:id="14"/>
      </w:r>
      <w:r w:rsidRPr="003E342A">
        <w:rPr>
          <w:rFonts w:ascii="Times New Roman" w:hAnsi="Times New Roman" w:cs="Times New Roman"/>
          <w:sz w:val="24"/>
          <w:szCs w:val="24"/>
        </w:rPr>
        <w:t xml:space="preserve"> The majority of this cultivation is concentrated in Spain and Portugal (Spain has the largest number of companies active in biotechnology in the OECD – 2,981 in </w:t>
      </w:r>
      <w:r w:rsidRPr="003E342A">
        <w:rPr>
          <w:rFonts w:ascii="Times New Roman" w:hAnsi="Times New Roman" w:cs="Times New Roman"/>
          <w:sz w:val="24"/>
          <w:szCs w:val="24"/>
        </w:rPr>
        <w:lastRenderedPageBreak/>
        <w:t>2015).</w:t>
      </w:r>
      <w:r w:rsidRPr="003E342A">
        <w:rPr>
          <w:rStyle w:val="FootnoteReference"/>
          <w:rFonts w:ascii="Times New Roman" w:hAnsi="Times New Roman" w:cs="Times New Roman"/>
          <w:sz w:val="24"/>
          <w:szCs w:val="24"/>
        </w:rPr>
        <w:footnoteReference w:id="15"/>
      </w:r>
      <w:r w:rsidRPr="003E342A">
        <w:rPr>
          <w:rFonts w:ascii="Times New Roman" w:hAnsi="Times New Roman" w:cs="Times New Roman"/>
          <w:sz w:val="24"/>
          <w:szCs w:val="24"/>
        </w:rPr>
        <w:t xml:space="preserve"> GMO-averse Austria, in contrast, has only 4% as many such firms despite an overall GDP that is more than 30% of that of Spain.</w:t>
      </w:r>
    </w:p>
    <w:p w14:paraId="5D9D87E2" w14:textId="097D58D4" w:rsidR="00CE7076" w:rsidRPr="003E342A" w:rsidRDefault="00CE7076" w:rsidP="00CE7076">
      <w:pPr>
        <w:rPr>
          <w:rFonts w:ascii="Times New Roman" w:hAnsi="Times New Roman" w:cs="Times New Roman"/>
          <w:sz w:val="24"/>
          <w:szCs w:val="24"/>
        </w:rPr>
      </w:pPr>
      <w:r w:rsidRPr="003E342A">
        <w:rPr>
          <w:rFonts w:ascii="Times New Roman" w:hAnsi="Times New Roman" w:cs="Times New Roman"/>
          <w:noProof/>
        </w:rPr>
        <w:drawing>
          <wp:anchor distT="0" distB="0" distL="114300" distR="114300" simplePos="0" relativeHeight="251696128" behindDoc="1" locked="0" layoutInCell="1" allowOverlap="1" wp14:anchorId="27325505" wp14:editId="46DDEBE7">
            <wp:simplePos x="0" y="0"/>
            <wp:positionH relativeFrom="margin">
              <wp:posOffset>137160</wp:posOffset>
            </wp:positionH>
            <wp:positionV relativeFrom="paragraph">
              <wp:posOffset>320040</wp:posOffset>
            </wp:positionV>
            <wp:extent cx="5303520" cy="3017520"/>
            <wp:effectExtent l="0" t="0" r="0" b="0"/>
            <wp:wrapTight wrapText="bothSides">
              <wp:wrapPolygon edited="0">
                <wp:start x="0" y="0"/>
                <wp:lineTo x="0" y="21409"/>
                <wp:lineTo x="21491" y="21409"/>
                <wp:lineTo x="21491"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extLst>
                        <a:ext uri="{BEBA8EAE-BF5A-486C-A8C5-ECC9F3942E4B}">
                          <a14:imgProps xmlns:a14="http://schemas.microsoft.com/office/drawing/2010/main">
                            <a14:imgLayer r:embed="rId10">
                              <a14:imgEffect>
                                <a14:saturation sat="0"/>
                              </a14:imgEffect>
                            </a14:imgLayer>
                          </a14:imgProps>
                        </a:ext>
                        <a:ext uri="{28A0092B-C50C-407E-A947-70E740481C1C}">
                          <a14:useLocalDpi xmlns:a14="http://schemas.microsoft.com/office/drawing/2010/main" val="0"/>
                        </a:ext>
                      </a:extLst>
                    </a:blip>
                    <a:srcRect t="2403" r="1695" b="2424"/>
                    <a:stretch/>
                  </pic:blipFill>
                  <pic:spPr bwMode="auto">
                    <a:xfrm>
                      <a:off x="0" y="0"/>
                      <a:ext cx="5303520" cy="3017520"/>
                    </a:xfrm>
                    <a:prstGeom prst="rect">
                      <a:avLst/>
                    </a:prstGeom>
                    <a:ln>
                      <a:noFill/>
                    </a:ln>
                    <a:extLst>
                      <a:ext uri="{53640926-AAD7-44D8-BBD7-CCE9431645EC}">
                        <a14:shadowObscured xmlns:a14="http://schemas.microsoft.com/office/drawing/2010/main"/>
                      </a:ext>
                    </a:extLst>
                  </pic:spPr>
                </pic:pic>
              </a:graphicData>
            </a:graphic>
          </wp:anchor>
        </w:drawing>
      </w:r>
      <w:r w:rsidRPr="003E342A">
        <w:rPr>
          <w:rFonts w:ascii="Times New Roman" w:hAnsi="Times New Roman" w:cs="Times New Roman"/>
          <w:i/>
          <w:color w:val="000000" w:themeColor="text1"/>
          <w:sz w:val="24"/>
          <w:szCs w:val="24"/>
        </w:rPr>
        <w:t xml:space="preserve">Figure </w:t>
      </w:r>
      <w:r w:rsidRPr="003E342A">
        <w:rPr>
          <w:rFonts w:ascii="Times New Roman" w:hAnsi="Times New Roman" w:cs="Times New Roman"/>
          <w:i/>
          <w:color w:val="000000" w:themeColor="text1"/>
          <w:sz w:val="24"/>
          <w:szCs w:val="24"/>
        </w:rPr>
        <w:fldChar w:fldCharType="begin"/>
      </w:r>
      <w:r w:rsidRPr="003E342A">
        <w:rPr>
          <w:rFonts w:ascii="Times New Roman" w:hAnsi="Times New Roman" w:cs="Times New Roman"/>
          <w:i/>
          <w:color w:val="000000" w:themeColor="text1"/>
          <w:sz w:val="24"/>
          <w:szCs w:val="24"/>
        </w:rPr>
        <w:instrText xml:space="preserve"> SEQ Figure \* ARABIC </w:instrText>
      </w:r>
      <w:r w:rsidRPr="003E342A">
        <w:rPr>
          <w:rFonts w:ascii="Times New Roman" w:hAnsi="Times New Roman" w:cs="Times New Roman"/>
          <w:i/>
          <w:color w:val="000000" w:themeColor="text1"/>
          <w:sz w:val="24"/>
          <w:szCs w:val="24"/>
        </w:rPr>
        <w:fldChar w:fldCharType="separate"/>
      </w:r>
      <w:r w:rsidR="00AD63C9">
        <w:rPr>
          <w:rFonts w:ascii="Times New Roman" w:hAnsi="Times New Roman" w:cs="Times New Roman"/>
          <w:i/>
          <w:noProof/>
          <w:color w:val="000000" w:themeColor="text1"/>
          <w:sz w:val="24"/>
          <w:szCs w:val="24"/>
        </w:rPr>
        <w:t>1</w:t>
      </w:r>
      <w:r w:rsidRPr="003E342A">
        <w:rPr>
          <w:rFonts w:ascii="Times New Roman" w:hAnsi="Times New Roman" w:cs="Times New Roman"/>
          <w:i/>
          <w:color w:val="000000" w:themeColor="text1"/>
          <w:sz w:val="24"/>
          <w:szCs w:val="24"/>
        </w:rPr>
        <w:fldChar w:fldCharType="end"/>
      </w:r>
      <w:r w:rsidRPr="003E342A">
        <w:rPr>
          <w:rFonts w:ascii="Times New Roman" w:hAnsi="Times New Roman" w:cs="Times New Roman"/>
          <w:i/>
          <w:color w:val="000000" w:themeColor="text1"/>
          <w:sz w:val="24"/>
          <w:szCs w:val="24"/>
        </w:rPr>
        <w:t>: Biotech firms by Country (OECD Biotechnology Indicators. 2015)</w:t>
      </w:r>
    </w:p>
    <w:p w14:paraId="66C9E552" w14:textId="3B5BC226" w:rsidR="000904CE" w:rsidRPr="003E342A" w:rsidRDefault="000904CE" w:rsidP="004C7548">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Austria’s staunch anti-GMO stance has been the catalyst for numerous legal disputes within the EU. In the mid-1990s Austrian voters chose by referendum to ban the cultivation of GMOs outright on Austrian territory; the EU commission, seeing this as a potential obstacle to the free market, requested on three separate occasions for the EU Council to invalidate the referendum, which the Council refused by qualified majority to do on each occasion. Nevertheless, the Commission did succeed in forcing Austria to lift its ban for purposes of food and feed, to the detriment of the Commission’s public image in Austria and elsewhere.</w:t>
      </w:r>
      <w:r w:rsidRPr="003E342A">
        <w:rPr>
          <w:rStyle w:val="FootnoteReference"/>
          <w:rFonts w:ascii="Times New Roman" w:hAnsi="Times New Roman" w:cs="Times New Roman"/>
          <w:sz w:val="24"/>
          <w:szCs w:val="24"/>
        </w:rPr>
        <w:footnoteReference w:id="16"/>
      </w:r>
      <w:r w:rsidRPr="003E342A">
        <w:rPr>
          <w:rFonts w:ascii="Times New Roman" w:hAnsi="Times New Roman" w:cs="Times New Roman"/>
          <w:sz w:val="24"/>
          <w:szCs w:val="24"/>
        </w:rPr>
        <w:t xml:space="preserve"> This history of what some see as strongarm tactics against member state anti-GMO policies – and the resulting damage in the perception of the ability of the EU to represent the desires of EU citizens – forms an important part of the backdrop to the Juncker Administration’s current and proposed GMO regulatory policies. </w:t>
      </w:r>
      <w:r w:rsidRPr="003E342A">
        <w:rPr>
          <w:rFonts w:ascii="Times New Roman" w:hAnsi="Times New Roman" w:cs="Times New Roman"/>
          <w:sz w:val="24"/>
          <w:szCs w:val="24"/>
        </w:rPr>
        <w:lastRenderedPageBreak/>
        <w:t xml:space="preserve">The Juncker regime strives to improve public perceptions of the EU, </w:t>
      </w:r>
      <w:proofErr w:type="gramStart"/>
      <w:r w:rsidRPr="003E342A">
        <w:rPr>
          <w:rFonts w:ascii="Times New Roman" w:hAnsi="Times New Roman" w:cs="Times New Roman"/>
          <w:sz w:val="24"/>
          <w:szCs w:val="24"/>
        </w:rPr>
        <w:t>the majority of</w:t>
      </w:r>
      <w:proofErr w:type="gramEnd"/>
      <w:r w:rsidRPr="003E342A">
        <w:rPr>
          <w:rFonts w:ascii="Times New Roman" w:hAnsi="Times New Roman" w:cs="Times New Roman"/>
          <w:sz w:val="24"/>
          <w:szCs w:val="24"/>
        </w:rPr>
        <w:t xml:space="preserve"> whose citizens and governments do not look favorably upon the expansion of GMO cultivation and consumption. </w:t>
      </w:r>
    </w:p>
    <w:p w14:paraId="32973925" w14:textId="74282BF8" w:rsidR="00B35A61" w:rsidRDefault="00B35A61" w:rsidP="000904CE">
      <w:pPr>
        <w:spacing w:line="480" w:lineRule="auto"/>
        <w:jc w:val="both"/>
        <w:rPr>
          <w:rFonts w:ascii="Times New Roman" w:hAnsi="Times New Roman" w:cs="Times New Roman"/>
          <w:b/>
          <w:bCs/>
          <w:color w:val="242021"/>
          <w:sz w:val="24"/>
          <w:szCs w:val="24"/>
        </w:rPr>
      </w:pPr>
    </w:p>
    <w:p w14:paraId="442BC999" w14:textId="0026A79E" w:rsidR="00692ECC" w:rsidRDefault="00692ECC" w:rsidP="000904CE">
      <w:pPr>
        <w:spacing w:line="480" w:lineRule="auto"/>
        <w:jc w:val="both"/>
        <w:rPr>
          <w:rFonts w:ascii="Times New Roman" w:hAnsi="Times New Roman" w:cs="Times New Roman"/>
          <w:b/>
          <w:bCs/>
          <w:color w:val="242021"/>
          <w:sz w:val="24"/>
          <w:szCs w:val="24"/>
        </w:rPr>
      </w:pPr>
      <w:r>
        <w:rPr>
          <w:rFonts w:ascii="Times New Roman" w:hAnsi="Times New Roman" w:cs="Times New Roman"/>
          <w:b/>
          <w:bCs/>
          <w:color w:val="242021"/>
          <w:sz w:val="24"/>
          <w:szCs w:val="24"/>
        </w:rPr>
        <w:t>Coalitions</w:t>
      </w:r>
      <w:r w:rsidR="00883A40">
        <w:rPr>
          <w:rFonts w:ascii="Times New Roman" w:hAnsi="Times New Roman" w:cs="Times New Roman"/>
          <w:b/>
          <w:bCs/>
          <w:color w:val="242021"/>
          <w:sz w:val="24"/>
          <w:szCs w:val="24"/>
        </w:rPr>
        <w:t xml:space="preserve"> and Stakeholders</w:t>
      </w:r>
    </w:p>
    <w:p w14:paraId="03FF041E" w14:textId="4258764E" w:rsidR="00D27316" w:rsidRDefault="00692ECC" w:rsidP="000904CE">
      <w:pPr>
        <w:spacing w:line="480" w:lineRule="auto"/>
        <w:jc w:val="both"/>
        <w:rPr>
          <w:rFonts w:ascii="Times New Roman" w:hAnsi="Times New Roman" w:cs="Times New Roman"/>
          <w:bCs/>
          <w:color w:val="242021"/>
          <w:sz w:val="24"/>
          <w:szCs w:val="24"/>
        </w:rPr>
      </w:pPr>
      <w:r>
        <w:rPr>
          <w:rFonts w:ascii="Times New Roman" w:hAnsi="Times New Roman" w:cs="Times New Roman"/>
          <w:bCs/>
          <w:color w:val="242021"/>
          <w:sz w:val="24"/>
          <w:szCs w:val="24"/>
        </w:rPr>
        <w:t xml:space="preserve">Central to the debate are two opposing groups whose areas of concern overlap on the issue of GMO regulation. </w:t>
      </w:r>
      <w:r w:rsidR="001645A7">
        <w:rPr>
          <w:rFonts w:ascii="Times New Roman" w:hAnsi="Times New Roman" w:cs="Times New Roman"/>
          <w:bCs/>
          <w:color w:val="242021"/>
          <w:sz w:val="24"/>
          <w:szCs w:val="24"/>
        </w:rPr>
        <w:t>One</w:t>
      </w:r>
      <w:r w:rsidR="00F033AE">
        <w:rPr>
          <w:rFonts w:ascii="Times New Roman" w:hAnsi="Times New Roman" w:cs="Times New Roman"/>
          <w:bCs/>
          <w:color w:val="242021"/>
          <w:sz w:val="24"/>
          <w:szCs w:val="24"/>
        </w:rPr>
        <w:t xml:space="preserve"> of the most influential frameworks on the nature of coalitions and how they interact with policymaking is the Advocacy Coalition Framework</w:t>
      </w:r>
      <w:r w:rsidR="00D27316">
        <w:rPr>
          <w:rFonts w:ascii="Times New Roman" w:hAnsi="Times New Roman" w:cs="Times New Roman"/>
          <w:bCs/>
          <w:color w:val="242021"/>
          <w:sz w:val="24"/>
          <w:szCs w:val="24"/>
        </w:rPr>
        <w:t xml:space="preserve"> (ACF)</w:t>
      </w:r>
      <w:r w:rsidR="00F033AE">
        <w:rPr>
          <w:rFonts w:ascii="Times New Roman" w:hAnsi="Times New Roman" w:cs="Times New Roman"/>
          <w:bCs/>
          <w:color w:val="242021"/>
          <w:sz w:val="24"/>
          <w:szCs w:val="24"/>
        </w:rPr>
        <w:t>, which describes advocacy coalitions as “people from a variety of positions[…]who show a non-trivial degree of coordinated activity over time” on a policy issue or set of policy issues.</w:t>
      </w:r>
      <w:r w:rsidR="00F033AE">
        <w:rPr>
          <w:rStyle w:val="FootnoteReference"/>
          <w:rFonts w:ascii="Times New Roman" w:hAnsi="Times New Roman" w:cs="Times New Roman"/>
          <w:bCs/>
          <w:color w:val="242021"/>
          <w:sz w:val="24"/>
          <w:szCs w:val="24"/>
        </w:rPr>
        <w:footnoteReference w:id="17"/>
      </w:r>
      <w:r w:rsidR="00F033AE">
        <w:rPr>
          <w:rFonts w:ascii="Times New Roman" w:hAnsi="Times New Roman" w:cs="Times New Roman"/>
          <w:bCs/>
          <w:color w:val="242021"/>
          <w:sz w:val="24"/>
          <w:szCs w:val="24"/>
        </w:rPr>
        <w:t xml:space="preserve"> By </w:t>
      </w:r>
      <w:r w:rsidR="00647C20">
        <w:rPr>
          <w:rFonts w:ascii="Times New Roman" w:hAnsi="Times New Roman" w:cs="Times New Roman"/>
          <w:bCs/>
          <w:color w:val="242021"/>
          <w:sz w:val="24"/>
          <w:szCs w:val="24"/>
        </w:rPr>
        <w:t>incorporating and disseminating new information “on their own terms,” coalitions “adapt to the beliefs of another coalition, particularly when its views become ‘too important to ignore’”.</w:t>
      </w:r>
      <w:r w:rsidR="00647C20">
        <w:rPr>
          <w:rStyle w:val="FootnoteReference"/>
          <w:rFonts w:ascii="Times New Roman" w:hAnsi="Times New Roman" w:cs="Times New Roman"/>
          <w:bCs/>
          <w:color w:val="242021"/>
          <w:sz w:val="24"/>
          <w:szCs w:val="24"/>
        </w:rPr>
        <w:footnoteReference w:id="18"/>
      </w:r>
      <w:r w:rsidR="00647C20">
        <w:rPr>
          <w:rFonts w:ascii="Times New Roman" w:hAnsi="Times New Roman" w:cs="Times New Roman"/>
          <w:bCs/>
          <w:color w:val="242021"/>
          <w:sz w:val="24"/>
          <w:szCs w:val="24"/>
        </w:rPr>
        <w:t xml:space="preserve"> Further, they do and must compete with other coalitions to translate their positions into policy, for “coalitions have to exercise power effectively to maintain or improve their positions within subsystems.”</w:t>
      </w:r>
      <w:r w:rsidR="00647C20">
        <w:rPr>
          <w:rStyle w:val="FootnoteReference"/>
          <w:rFonts w:ascii="Times New Roman" w:hAnsi="Times New Roman" w:cs="Times New Roman"/>
          <w:bCs/>
          <w:color w:val="242021"/>
          <w:sz w:val="24"/>
          <w:szCs w:val="24"/>
        </w:rPr>
        <w:footnoteReference w:id="19"/>
      </w:r>
      <w:r w:rsidR="00883A40">
        <w:rPr>
          <w:rFonts w:ascii="Times New Roman" w:hAnsi="Times New Roman" w:cs="Times New Roman"/>
          <w:bCs/>
          <w:color w:val="242021"/>
          <w:sz w:val="24"/>
          <w:szCs w:val="24"/>
        </w:rPr>
        <w:t xml:space="preserve"> </w:t>
      </w:r>
    </w:p>
    <w:p w14:paraId="6214F3EB" w14:textId="43193F6F" w:rsidR="00692ECC" w:rsidRPr="00692ECC" w:rsidRDefault="0068058E" w:rsidP="00D27316">
      <w:pPr>
        <w:spacing w:line="480" w:lineRule="auto"/>
        <w:ind w:firstLine="720"/>
        <w:jc w:val="both"/>
        <w:rPr>
          <w:rFonts w:ascii="Times New Roman" w:hAnsi="Times New Roman" w:cs="Times New Roman"/>
          <w:bCs/>
          <w:color w:val="242021"/>
          <w:sz w:val="24"/>
          <w:szCs w:val="24"/>
        </w:rPr>
      </w:pPr>
      <w:r>
        <w:rPr>
          <w:rFonts w:ascii="Times New Roman" w:hAnsi="Times New Roman" w:cs="Times New Roman"/>
          <w:bCs/>
          <w:color w:val="242021"/>
          <w:sz w:val="24"/>
          <w:szCs w:val="24"/>
        </w:rPr>
        <w:t xml:space="preserve">In an analysis of the establishment of GMO policy in Turkey, </w:t>
      </w:r>
      <w:proofErr w:type="spellStart"/>
      <w:r>
        <w:rPr>
          <w:rFonts w:ascii="Times New Roman" w:hAnsi="Times New Roman" w:cs="Times New Roman"/>
          <w:bCs/>
          <w:color w:val="242021"/>
          <w:sz w:val="24"/>
          <w:szCs w:val="24"/>
        </w:rPr>
        <w:t>Yagci</w:t>
      </w:r>
      <w:proofErr w:type="spellEnd"/>
      <w:r>
        <w:rPr>
          <w:rFonts w:ascii="Times New Roman" w:hAnsi="Times New Roman" w:cs="Times New Roman"/>
          <w:bCs/>
          <w:color w:val="242021"/>
          <w:sz w:val="24"/>
          <w:szCs w:val="24"/>
        </w:rPr>
        <w:t xml:space="preserve"> (2018) uses the </w:t>
      </w:r>
      <w:r w:rsidR="00D27316">
        <w:rPr>
          <w:rFonts w:ascii="Times New Roman" w:hAnsi="Times New Roman" w:cs="Times New Roman"/>
          <w:bCs/>
          <w:color w:val="242021"/>
          <w:sz w:val="24"/>
          <w:szCs w:val="24"/>
        </w:rPr>
        <w:t>ACF</w:t>
      </w:r>
      <w:r>
        <w:rPr>
          <w:rFonts w:ascii="Times New Roman" w:hAnsi="Times New Roman" w:cs="Times New Roman"/>
          <w:bCs/>
          <w:color w:val="242021"/>
          <w:sz w:val="24"/>
          <w:szCs w:val="24"/>
        </w:rPr>
        <w:t xml:space="preserve"> to </w:t>
      </w:r>
      <w:r w:rsidR="00D27316">
        <w:rPr>
          <w:rFonts w:ascii="Times New Roman" w:hAnsi="Times New Roman" w:cs="Times New Roman"/>
          <w:bCs/>
          <w:color w:val="242021"/>
          <w:sz w:val="24"/>
          <w:szCs w:val="24"/>
        </w:rPr>
        <w:t>argue</w:t>
      </w:r>
      <w:r>
        <w:rPr>
          <w:rFonts w:ascii="Times New Roman" w:hAnsi="Times New Roman" w:cs="Times New Roman"/>
          <w:bCs/>
          <w:color w:val="242021"/>
          <w:sz w:val="24"/>
          <w:szCs w:val="24"/>
        </w:rPr>
        <w:t xml:space="preserve"> that Biotechnology companies and anti-GMO advocates were the main forces in articulating Turkish GMO policy</w:t>
      </w:r>
      <w:r w:rsidR="00D27316">
        <w:rPr>
          <w:rFonts w:ascii="Times New Roman" w:hAnsi="Times New Roman" w:cs="Times New Roman"/>
          <w:bCs/>
          <w:color w:val="242021"/>
          <w:sz w:val="24"/>
          <w:szCs w:val="24"/>
        </w:rPr>
        <w:t xml:space="preserve">, compromising on a protectionist strategy </w:t>
      </w:r>
      <w:r>
        <w:rPr>
          <w:rFonts w:ascii="Times New Roman" w:hAnsi="Times New Roman" w:cs="Times New Roman"/>
          <w:bCs/>
          <w:color w:val="242021"/>
          <w:sz w:val="24"/>
          <w:szCs w:val="24"/>
        </w:rPr>
        <w:t xml:space="preserve">in a “Baptist-bootlegger” fashion. </w:t>
      </w:r>
      <w:r w:rsidR="00D27316">
        <w:rPr>
          <w:rFonts w:ascii="Times New Roman" w:hAnsi="Times New Roman" w:cs="Times New Roman"/>
          <w:bCs/>
          <w:color w:val="242021"/>
          <w:sz w:val="24"/>
          <w:szCs w:val="24"/>
        </w:rPr>
        <w:t>In like fashion, Brooks (2018) employs the ACF to analyze coalitions that formed for and against Direct to Consumer Advertising</w:t>
      </w:r>
      <w:r w:rsidR="0045021F">
        <w:rPr>
          <w:rFonts w:ascii="Times New Roman" w:hAnsi="Times New Roman" w:cs="Times New Roman"/>
          <w:bCs/>
          <w:color w:val="242021"/>
          <w:sz w:val="24"/>
          <w:szCs w:val="24"/>
        </w:rPr>
        <w:t xml:space="preserve"> (DTCA)</w:t>
      </w:r>
      <w:r w:rsidR="00D27316">
        <w:rPr>
          <w:rFonts w:ascii="Times New Roman" w:hAnsi="Times New Roman" w:cs="Times New Roman"/>
          <w:bCs/>
          <w:color w:val="242021"/>
          <w:sz w:val="24"/>
          <w:szCs w:val="24"/>
        </w:rPr>
        <w:t xml:space="preserve"> of prescription drugs, finding that </w:t>
      </w:r>
      <w:r w:rsidR="0045021F">
        <w:rPr>
          <w:rFonts w:ascii="Times New Roman" w:hAnsi="Times New Roman" w:cs="Times New Roman"/>
          <w:bCs/>
          <w:color w:val="242021"/>
          <w:sz w:val="24"/>
          <w:szCs w:val="24"/>
        </w:rPr>
        <w:t>active influence, persuasion, and governmental “control” were key to the victory of the anti-DTCA coalition.</w:t>
      </w:r>
      <w:r w:rsidR="0045021F">
        <w:rPr>
          <w:rStyle w:val="FootnoteReference"/>
          <w:rFonts w:ascii="Times New Roman" w:hAnsi="Times New Roman" w:cs="Times New Roman"/>
          <w:bCs/>
          <w:color w:val="242021"/>
          <w:sz w:val="24"/>
          <w:szCs w:val="24"/>
        </w:rPr>
        <w:footnoteReference w:id="20"/>
      </w:r>
      <w:r w:rsidR="00D27316">
        <w:rPr>
          <w:rFonts w:ascii="Times New Roman" w:hAnsi="Times New Roman" w:cs="Times New Roman"/>
          <w:bCs/>
          <w:color w:val="242021"/>
          <w:sz w:val="24"/>
          <w:szCs w:val="24"/>
        </w:rPr>
        <w:t xml:space="preserve"> </w:t>
      </w:r>
      <w:r w:rsidR="00411C38">
        <w:rPr>
          <w:rFonts w:ascii="Times New Roman" w:hAnsi="Times New Roman" w:cs="Times New Roman"/>
          <w:bCs/>
          <w:color w:val="242021"/>
          <w:sz w:val="24"/>
          <w:szCs w:val="24"/>
        </w:rPr>
        <w:t>Though the biotech</w:t>
      </w:r>
      <w:r>
        <w:rPr>
          <w:rFonts w:ascii="Times New Roman" w:hAnsi="Times New Roman" w:cs="Times New Roman"/>
          <w:bCs/>
          <w:color w:val="242021"/>
          <w:sz w:val="24"/>
          <w:szCs w:val="24"/>
        </w:rPr>
        <w:t xml:space="preserve">nology industry is a significant player in influencing public opinion </w:t>
      </w:r>
      <w:r>
        <w:rPr>
          <w:rFonts w:ascii="Times New Roman" w:hAnsi="Times New Roman" w:cs="Times New Roman"/>
          <w:bCs/>
          <w:color w:val="242021"/>
          <w:sz w:val="24"/>
          <w:szCs w:val="24"/>
        </w:rPr>
        <w:lastRenderedPageBreak/>
        <w:t>in the EU on the GMO question,</w:t>
      </w:r>
      <w:r w:rsidR="00D27316">
        <w:rPr>
          <w:rFonts w:ascii="Times New Roman" w:hAnsi="Times New Roman" w:cs="Times New Roman"/>
          <w:bCs/>
          <w:color w:val="242021"/>
          <w:sz w:val="24"/>
          <w:szCs w:val="24"/>
        </w:rPr>
        <w:t xml:space="preserve"> and the regulations discussed naturally have effects on the biotechnology industry,</w:t>
      </w:r>
      <w:r>
        <w:rPr>
          <w:rFonts w:ascii="Times New Roman" w:hAnsi="Times New Roman" w:cs="Times New Roman"/>
          <w:bCs/>
          <w:color w:val="242021"/>
          <w:sz w:val="24"/>
          <w:szCs w:val="24"/>
        </w:rPr>
        <w:t xml:space="preserve"> the subject of this research is not the formation of public perception but rather the </w:t>
      </w:r>
      <w:r w:rsidR="0094741D">
        <w:rPr>
          <w:rFonts w:ascii="Times New Roman" w:hAnsi="Times New Roman" w:cs="Times New Roman"/>
          <w:bCs/>
          <w:color w:val="242021"/>
          <w:sz w:val="24"/>
          <w:szCs w:val="24"/>
        </w:rPr>
        <w:t xml:space="preserve">successes </w:t>
      </w:r>
      <w:r w:rsidR="00D27316">
        <w:rPr>
          <w:rFonts w:ascii="Times New Roman" w:hAnsi="Times New Roman" w:cs="Times New Roman"/>
          <w:bCs/>
          <w:color w:val="242021"/>
          <w:sz w:val="24"/>
          <w:szCs w:val="24"/>
        </w:rPr>
        <w:t xml:space="preserve">and hopes </w:t>
      </w:r>
      <w:r w:rsidR="0094741D">
        <w:rPr>
          <w:rFonts w:ascii="Times New Roman" w:hAnsi="Times New Roman" w:cs="Times New Roman"/>
          <w:bCs/>
          <w:color w:val="242021"/>
          <w:sz w:val="24"/>
          <w:szCs w:val="24"/>
        </w:rPr>
        <w:t xml:space="preserve">of </w:t>
      </w:r>
      <w:r w:rsidR="00D27316">
        <w:rPr>
          <w:rFonts w:ascii="Times New Roman" w:hAnsi="Times New Roman" w:cs="Times New Roman"/>
          <w:bCs/>
          <w:color w:val="242021"/>
          <w:sz w:val="24"/>
          <w:szCs w:val="24"/>
        </w:rPr>
        <w:t>GMO opponents in achieving policy changes that contravene the opinions of, and diminish the regulatory influence of, the EU scientific community</w:t>
      </w:r>
      <w:r>
        <w:rPr>
          <w:rFonts w:ascii="Times New Roman" w:hAnsi="Times New Roman" w:cs="Times New Roman"/>
          <w:bCs/>
          <w:color w:val="242021"/>
          <w:sz w:val="24"/>
          <w:szCs w:val="24"/>
        </w:rPr>
        <w:t xml:space="preserve">. For purposes of this research, </w:t>
      </w:r>
      <w:r w:rsidR="00D27316">
        <w:rPr>
          <w:rFonts w:ascii="Times New Roman" w:hAnsi="Times New Roman" w:cs="Times New Roman"/>
          <w:bCs/>
          <w:color w:val="242021"/>
          <w:sz w:val="24"/>
          <w:szCs w:val="24"/>
        </w:rPr>
        <w:t xml:space="preserve">therefore, </w:t>
      </w:r>
      <w:r>
        <w:rPr>
          <w:rFonts w:ascii="Times New Roman" w:hAnsi="Times New Roman" w:cs="Times New Roman"/>
          <w:bCs/>
          <w:color w:val="242021"/>
          <w:sz w:val="24"/>
          <w:szCs w:val="24"/>
        </w:rPr>
        <w:t>the two primary groups of analysis are the Anti-Biotech Coalition and the Scientific Community. The Anti-Biotech coalition has been successful in translating policy preferences into European Union policy over the objections of the Scientific Community and to the detriment of the Biotechnology Industry.</w:t>
      </w:r>
    </w:p>
    <w:p w14:paraId="7B95A433" w14:textId="2E21F9DD" w:rsidR="00692ECC" w:rsidRDefault="00692ECC" w:rsidP="000904CE">
      <w:pPr>
        <w:spacing w:line="480" w:lineRule="auto"/>
        <w:jc w:val="both"/>
        <w:rPr>
          <w:rFonts w:ascii="Times New Roman" w:hAnsi="Times New Roman" w:cs="Times New Roman"/>
          <w:b/>
          <w:bCs/>
          <w:color w:val="242021"/>
          <w:sz w:val="24"/>
          <w:szCs w:val="24"/>
        </w:rPr>
      </w:pPr>
    </w:p>
    <w:p w14:paraId="687B60C2" w14:textId="37CBE668" w:rsidR="00DF65F5" w:rsidRDefault="00DF65F5" w:rsidP="000904CE">
      <w:pPr>
        <w:spacing w:line="480" w:lineRule="auto"/>
        <w:jc w:val="both"/>
        <w:rPr>
          <w:rFonts w:ascii="Times New Roman" w:hAnsi="Times New Roman" w:cs="Times New Roman"/>
          <w:bCs/>
          <w:i/>
          <w:color w:val="242021"/>
          <w:sz w:val="24"/>
          <w:szCs w:val="24"/>
        </w:rPr>
      </w:pPr>
      <w:r>
        <w:rPr>
          <w:rFonts w:ascii="Times New Roman" w:hAnsi="Times New Roman" w:cs="Times New Roman"/>
          <w:bCs/>
          <w:i/>
          <w:color w:val="242021"/>
          <w:sz w:val="24"/>
          <w:szCs w:val="24"/>
        </w:rPr>
        <w:t>The Biotechnology Industry</w:t>
      </w:r>
    </w:p>
    <w:p w14:paraId="2452E98B" w14:textId="05DCD766" w:rsidR="00DF65F5" w:rsidRDefault="00D27BF9" w:rsidP="00933657">
      <w:pPr>
        <w:spacing w:line="480" w:lineRule="auto"/>
        <w:ind w:firstLine="720"/>
        <w:jc w:val="both"/>
        <w:rPr>
          <w:rFonts w:ascii="Times New Roman" w:hAnsi="Times New Roman" w:cs="Times New Roman"/>
          <w:bCs/>
          <w:color w:val="242021"/>
          <w:sz w:val="24"/>
          <w:szCs w:val="24"/>
        </w:rPr>
      </w:pPr>
      <w:r>
        <w:rPr>
          <w:rFonts w:ascii="Times New Roman" w:hAnsi="Times New Roman" w:cs="Times New Roman"/>
          <w:bCs/>
          <w:color w:val="242021"/>
          <w:sz w:val="24"/>
          <w:szCs w:val="24"/>
        </w:rPr>
        <w:t xml:space="preserve">Thought not </w:t>
      </w:r>
      <w:proofErr w:type="gramStart"/>
      <w:r>
        <w:rPr>
          <w:rFonts w:ascii="Times New Roman" w:hAnsi="Times New Roman" w:cs="Times New Roman"/>
          <w:bCs/>
          <w:color w:val="242021"/>
          <w:sz w:val="24"/>
          <w:szCs w:val="24"/>
        </w:rPr>
        <w:t>a main focus</w:t>
      </w:r>
      <w:proofErr w:type="gramEnd"/>
      <w:r>
        <w:rPr>
          <w:rFonts w:ascii="Times New Roman" w:hAnsi="Times New Roman" w:cs="Times New Roman"/>
          <w:bCs/>
          <w:color w:val="242021"/>
          <w:sz w:val="24"/>
          <w:szCs w:val="24"/>
        </w:rPr>
        <w:t xml:space="preserve"> of this research, the</w:t>
      </w:r>
      <w:r w:rsidR="00A02734">
        <w:rPr>
          <w:rFonts w:ascii="Times New Roman" w:hAnsi="Times New Roman" w:cs="Times New Roman"/>
          <w:bCs/>
          <w:color w:val="242021"/>
          <w:sz w:val="24"/>
          <w:szCs w:val="24"/>
        </w:rPr>
        <w:t xml:space="preserve"> European </w:t>
      </w:r>
      <w:r>
        <w:rPr>
          <w:rFonts w:ascii="Times New Roman" w:hAnsi="Times New Roman" w:cs="Times New Roman"/>
          <w:bCs/>
          <w:color w:val="242021"/>
          <w:sz w:val="24"/>
          <w:szCs w:val="24"/>
        </w:rPr>
        <w:t>b</w:t>
      </w:r>
      <w:r w:rsidR="00A02734">
        <w:rPr>
          <w:rFonts w:ascii="Times New Roman" w:hAnsi="Times New Roman" w:cs="Times New Roman"/>
          <w:bCs/>
          <w:color w:val="242021"/>
          <w:sz w:val="24"/>
          <w:szCs w:val="24"/>
        </w:rPr>
        <w:t>iotechnology</w:t>
      </w:r>
      <w:r>
        <w:rPr>
          <w:rFonts w:ascii="Times New Roman" w:hAnsi="Times New Roman" w:cs="Times New Roman"/>
          <w:bCs/>
          <w:color w:val="242021"/>
          <w:sz w:val="24"/>
          <w:szCs w:val="24"/>
        </w:rPr>
        <w:t xml:space="preserve"> is certain affected by the topics under discussion. The European biotechnology</w:t>
      </w:r>
      <w:r w:rsidR="00A02734">
        <w:rPr>
          <w:rFonts w:ascii="Times New Roman" w:hAnsi="Times New Roman" w:cs="Times New Roman"/>
          <w:bCs/>
          <w:color w:val="242021"/>
          <w:sz w:val="24"/>
          <w:szCs w:val="24"/>
        </w:rPr>
        <w:t xml:space="preserve"> industry remains a substantial driver of European technological and economic growth, with biotechnology having been named a “Key Enabling Technology” as part of Europe’s Horizon 2020 program which aims to catalyze European technological leadership.</w:t>
      </w:r>
      <w:r w:rsidR="00A02734">
        <w:rPr>
          <w:rStyle w:val="FootnoteReference"/>
          <w:rFonts w:ascii="Times New Roman" w:hAnsi="Times New Roman" w:cs="Times New Roman"/>
          <w:bCs/>
          <w:color w:val="242021"/>
          <w:sz w:val="24"/>
          <w:szCs w:val="24"/>
        </w:rPr>
        <w:footnoteReference w:id="21"/>
      </w:r>
      <w:r w:rsidR="00A02734">
        <w:rPr>
          <w:rFonts w:ascii="Times New Roman" w:hAnsi="Times New Roman" w:cs="Times New Roman"/>
          <w:bCs/>
          <w:color w:val="242021"/>
          <w:sz w:val="24"/>
          <w:szCs w:val="24"/>
        </w:rPr>
        <w:t xml:space="preserve"> </w:t>
      </w:r>
      <w:r w:rsidR="00B660E7">
        <w:rPr>
          <w:rFonts w:ascii="Times New Roman" w:hAnsi="Times New Roman" w:cs="Times New Roman"/>
          <w:bCs/>
          <w:color w:val="242021"/>
          <w:sz w:val="24"/>
          <w:szCs w:val="24"/>
        </w:rPr>
        <w:t xml:space="preserve">Further, </w:t>
      </w:r>
      <w:r>
        <w:rPr>
          <w:rFonts w:ascii="Times New Roman" w:hAnsi="Times New Roman" w:cs="Times New Roman"/>
          <w:bCs/>
          <w:color w:val="242021"/>
          <w:sz w:val="24"/>
          <w:szCs w:val="24"/>
        </w:rPr>
        <w:t xml:space="preserve">EU funding backs the </w:t>
      </w:r>
      <w:r w:rsidR="00B660E7">
        <w:rPr>
          <w:rFonts w:ascii="Times New Roman" w:hAnsi="Times New Roman" w:cs="Times New Roman"/>
          <w:bCs/>
          <w:color w:val="242021"/>
          <w:sz w:val="24"/>
          <w:szCs w:val="24"/>
        </w:rPr>
        <w:t>Bio-Based Industries Joint Undertaking</w:t>
      </w:r>
      <w:r>
        <w:rPr>
          <w:rFonts w:ascii="Times New Roman" w:hAnsi="Times New Roman" w:cs="Times New Roman"/>
          <w:bCs/>
          <w:color w:val="242021"/>
          <w:sz w:val="24"/>
          <w:szCs w:val="24"/>
        </w:rPr>
        <w:t xml:space="preserve">, </w:t>
      </w:r>
      <w:r w:rsidR="00B660E7">
        <w:rPr>
          <w:rFonts w:ascii="Times New Roman" w:hAnsi="Times New Roman" w:cs="Times New Roman"/>
          <w:bCs/>
          <w:color w:val="242021"/>
          <w:sz w:val="24"/>
          <w:szCs w:val="24"/>
        </w:rPr>
        <w:t>“a</w:t>
      </w:r>
      <w:r w:rsidR="00B660E7" w:rsidRPr="00B660E7">
        <w:rPr>
          <w:rFonts w:ascii="Times New Roman" w:hAnsi="Times New Roman" w:cs="Times New Roman"/>
          <w:bCs/>
          <w:color w:val="242021"/>
          <w:sz w:val="24"/>
          <w:szCs w:val="24"/>
        </w:rPr>
        <w:t xml:space="preserve"> €3.7 billion partnership between</w:t>
      </w:r>
      <w:r w:rsidR="00F476DC">
        <w:rPr>
          <w:rFonts w:ascii="Times New Roman" w:hAnsi="Times New Roman" w:cs="Times New Roman"/>
          <w:bCs/>
          <w:color w:val="242021"/>
          <w:sz w:val="24"/>
          <w:szCs w:val="24"/>
        </w:rPr>
        <w:t xml:space="preserve"> </w:t>
      </w:r>
      <w:r w:rsidR="00B660E7" w:rsidRPr="00B660E7">
        <w:rPr>
          <w:rFonts w:ascii="Times New Roman" w:hAnsi="Times New Roman" w:cs="Times New Roman"/>
          <w:bCs/>
          <w:color w:val="242021"/>
          <w:sz w:val="24"/>
          <w:szCs w:val="24"/>
        </w:rPr>
        <w:t>the EU and the Bio-based Industries Consortium</w:t>
      </w:r>
      <w:r w:rsidR="00B660E7">
        <w:rPr>
          <w:rFonts w:ascii="Times New Roman" w:hAnsi="Times New Roman" w:cs="Times New Roman"/>
          <w:bCs/>
          <w:color w:val="242021"/>
          <w:sz w:val="24"/>
          <w:szCs w:val="24"/>
        </w:rPr>
        <w:t>,” similarly focused on creating jobs and scientific and technological infrastructure for future European leadership.</w:t>
      </w:r>
      <w:r w:rsidR="00B660E7">
        <w:rPr>
          <w:rStyle w:val="FootnoteReference"/>
          <w:rFonts w:ascii="Times New Roman" w:hAnsi="Times New Roman" w:cs="Times New Roman"/>
          <w:bCs/>
          <w:color w:val="242021"/>
          <w:sz w:val="24"/>
          <w:szCs w:val="24"/>
        </w:rPr>
        <w:footnoteReference w:id="22"/>
      </w:r>
      <w:r w:rsidR="00B660E7">
        <w:rPr>
          <w:rFonts w:ascii="Times New Roman" w:hAnsi="Times New Roman" w:cs="Times New Roman"/>
          <w:bCs/>
          <w:color w:val="242021"/>
          <w:sz w:val="24"/>
          <w:szCs w:val="24"/>
        </w:rPr>
        <w:t xml:space="preserve"> </w:t>
      </w:r>
      <w:r w:rsidR="00262324">
        <w:rPr>
          <w:rFonts w:ascii="Times New Roman" w:hAnsi="Times New Roman" w:cs="Times New Roman"/>
          <w:bCs/>
          <w:color w:val="242021"/>
          <w:sz w:val="24"/>
          <w:szCs w:val="24"/>
        </w:rPr>
        <w:t xml:space="preserve">The European biotechnology industry is substantial, though small compared to that in the US. In 2017, Europe boasted 234 public biotech companies versus 331 in the US; European IPOs resulted in €866 million raised, while American IPOs amounted to €2.03 billion; however, </w:t>
      </w:r>
      <w:r w:rsidR="00262324">
        <w:rPr>
          <w:rFonts w:ascii="Times New Roman" w:hAnsi="Times New Roman" w:cs="Times New Roman"/>
          <w:bCs/>
          <w:color w:val="242021"/>
          <w:sz w:val="24"/>
          <w:szCs w:val="24"/>
        </w:rPr>
        <w:lastRenderedPageBreak/>
        <w:t>of the 234 public European biotech firms, only 1 was classified as an “agribiotechnology” firm.</w:t>
      </w:r>
      <w:r w:rsidR="00262324">
        <w:rPr>
          <w:rStyle w:val="FootnoteReference"/>
          <w:rFonts w:ascii="Times New Roman" w:hAnsi="Times New Roman" w:cs="Times New Roman"/>
          <w:bCs/>
          <w:color w:val="242021"/>
          <w:sz w:val="24"/>
          <w:szCs w:val="24"/>
        </w:rPr>
        <w:footnoteReference w:id="23"/>
      </w:r>
      <w:r>
        <w:rPr>
          <w:rFonts w:ascii="Times New Roman" w:hAnsi="Times New Roman" w:cs="Times New Roman"/>
          <w:bCs/>
          <w:color w:val="242021"/>
          <w:sz w:val="24"/>
          <w:szCs w:val="24"/>
        </w:rPr>
        <w:t xml:space="preserve"> </w:t>
      </w:r>
      <w:r w:rsidR="00954AC9">
        <w:rPr>
          <w:rFonts w:ascii="Times New Roman" w:hAnsi="Times New Roman" w:cs="Times New Roman"/>
          <w:bCs/>
          <w:color w:val="242021"/>
          <w:sz w:val="24"/>
          <w:szCs w:val="24"/>
        </w:rPr>
        <w:t xml:space="preserve">According to 2015 OECD data (the most recent available), </w:t>
      </w:r>
      <w:r w:rsidR="006C6D27">
        <w:rPr>
          <w:rFonts w:ascii="Times New Roman" w:hAnsi="Times New Roman" w:cs="Times New Roman"/>
          <w:bCs/>
          <w:color w:val="242021"/>
          <w:sz w:val="24"/>
          <w:szCs w:val="24"/>
        </w:rPr>
        <w:t>2,005 dedicated biotechnology firms operated in the EU,  contributing a total of 3.8 billion USD in purchasing power parity.</w:t>
      </w:r>
      <w:r w:rsidR="006C6D27">
        <w:rPr>
          <w:rStyle w:val="FootnoteReference"/>
          <w:rFonts w:ascii="Times New Roman" w:hAnsi="Times New Roman" w:cs="Times New Roman"/>
          <w:bCs/>
          <w:color w:val="242021"/>
          <w:sz w:val="24"/>
          <w:szCs w:val="24"/>
        </w:rPr>
        <w:footnoteReference w:id="24"/>
      </w:r>
      <w:r w:rsidR="006C6D27">
        <w:rPr>
          <w:rFonts w:ascii="Times New Roman" w:hAnsi="Times New Roman" w:cs="Times New Roman"/>
          <w:bCs/>
          <w:color w:val="242021"/>
          <w:sz w:val="24"/>
          <w:szCs w:val="24"/>
        </w:rPr>
        <w:t xml:space="preserve"> More detailed</w:t>
      </w:r>
      <w:r>
        <w:rPr>
          <w:rFonts w:ascii="Times New Roman" w:hAnsi="Times New Roman" w:cs="Times New Roman"/>
          <w:bCs/>
          <w:color w:val="242021"/>
          <w:sz w:val="24"/>
          <w:szCs w:val="24"/>
        </w:rPr>
        <w:t xml:space="preserve"> data on the size of the European biotechnology industry or sector is either vague or difficult to find; however, in 2016 an industry group reported that </w:t>
      </w:r>
      <w:r w:rsidR="00B57106">
        <w:rPr>
          <w:rFonts w:ascii="Times New Roman" w:hAnsi="Times New Roman" w:cs="Times New Roman"/>
          <w:bCs/>
          <w:color w:val="242021"/>
          <w:sz w:val="24"/>
          <w:szCs w:val="24"/>
        </w:rPr>
        <w:t xml:space="preserve">industrial </w:t>
      </w:r>
      <w:r>
        <w:rPr>
          <w:rFonts w:ascii="Times New Roman" w:hAnsi="Times New Roman" w:cs="Times New Roman"/>
          <w:bCs/>
          <w:color w:val="242021"/>
          <w:sz w:val="24"/>
          <w:szCs w:val="24"/>
        </w:rPr>
        <w:t xml:space="preserve">biotechnology </w:t>
      </w:r>
      <w:r w:rsidR="00B57106">
        <w:rPr>
          <w:rFonts w:ascii="Times New Roman" w:hAnsi="Times New Roman" w:cs="Times New Roman"/>
          <w:bCs/>
          <w:color w:val="242021"/>
          <w:sz w:val="24"/>
          <w:szCs w:val="24"/>
        </w:rPr>
        <w:t xml:space="preserve">(just one part of the overall biotechnology industry, which also includes agricultural biotechnology and biomedical biotechnology) </w:t>
      </w:r>
      <w:r>
        <w:rPr>
          <w:rFonts w:ascii="Times New Roman" w:hAnsi="Times New Roman" w:cs="Times New Roman"/>
          <w:bCs/>
          <w:color w:val="242021"/>
          <w:sz w:val="24"/>
          <w:szCs w:val="24"/>
        </w:rPr>
        <w:t>sustains 486,000 full-time equivalent jobs</w:t>
      </w:r>
      <w:r w:rsidR="00592DB6">
        <w:rPr>
          <w:rFonts w:ascii="Times New Roman" w:hAnsi="Times New Roman" w:cs="Times New Roman"/>
          <w:bCs/>
          <w:color w:val="242021"/>
          <w:sz w:val="24"/>
          <w:szCs w:val="24"/>
        </w:rPr>
        <w:t xml:space="preserve"> and contributes €31.6 billion in added value to the EU economy, with projection of 57.5-99.5 billion by 2030.</w:t>
      </w:r>
      <w:r w:rsidR="00592DB6">
        <w:rPr>
          <w:rStyle w:val="FootnoteReference"/>
          <w:rFonts w:ascii="Times New Roman" w:hAnsi="Times New Roman" w:cs="Times New Roman"/>
          <w:bCs/>
          <w:color w:val="242021"/>
          <w:sz w:val="24"/>
          <w:szCs w:val="24"/>
        </w:rPr>
        <w:footnoteReference w:id="25"/>
      </w:r>
    </w:p>
    <w:p w14:paraId="42E21EB1" w14:textId="77777777" w:rsidR="006642DC" w:rsidRPr="00DF65F5" w:rsidRDefault="006642DC" w:rsidP="000904CE">
      <w:pPr>
        <w:spacing w:line="480" w:lineRule="auto"/>
        <w:jc w:val="both"/>
        <w:rPr>
          <w:rFonts w:ascii="Times New Roman" w:hAnsi="Times New Roman" w:cs="Times New Roman"/>
          <w:bCs/>
          <w:color w:val="242021"/>
          <w:sz w:val="24"/>
          <w:szCs w:val="24"/>
        </w:rPr>
      </w:pPr>
    </w:p>
    <w:p w14:paraId="6A6F6602" w14:textId="407B4A0E" w:rsidR="000904CE" w:rsidRPr="003E342A" w:rsidRDefault="000904CE" w:rsidP="005F50AE">
      <w:pPr>
        <w:pStyle w:val="Heading2"/>
        <w:rPr>
          <w:rFonts w:cs="Times New Roman"/>
        </w:rPr>
      </w:pPr>
      <w:r w:rsidRPr="003E342A">
        <w:rPr>
          <w:rFonts w:cs="Times New Roman"/>
        </w:rPr>
        <w:t>The Anti-Biotech Coalition</w:t>
      </w:r>
    </w:p>
    <w:p w14:paraId="5DFF520C" w14:textId="77777777" w:rsidR="005F50AE" w:rsidRPr="003E342A" w:rsidRDefault="005F50AE" w:rsidP="005F50AE">
      <w:pPr>
        <w:rPr>
          <w:rFonts w:ascii="Times New Roman" w:hAnsi="Times New Roman" w:cs="Times New Roman"/>
        </w:rPr>
      </w:pPr>
    </w:p>
    <w:p w14:paraId="2866AB2B" w14:textId="77777777" w:rsidR="00271AE9" w:rsidRDefault="00647C20" w:rsidP="00271AE9">
      <w:pPr>
        <w:spacing w:line="480" w:lineRule="auto"/>
        <w:ind w:firstLine="720"/>
        <w:jc w:val="both"/>
        <w:rPr>
          <w:rFonts w:ascii="Times New Roman" w:hAnsi="Times New Roman" w:cs="Times New Roman"/>
          <w:color w:val="242021"/>
          <w:sz w:val="24"/>
          <w:szCs w:val="24"/>
        </w:rPr>
      </w:pPr>
      <w:r>
        <w:rPr>
          <w:rFonts w:ascii="Times New Roman" w:hAnsi="Times New Roman" w:cs="Times New Roman"/>
          <w:color w:val="242021"/>
          <w:sz w:val="24"/>
          <w:szCs w:val="24"/>
        </w:rPr>
        <w:t xml:space="preserve">The first significant coalition in the GMO debate is that which is opposed to GMOs and certain types of biotechnology more broadly. </w:t>
      </w:r>
      <w:r w:rsidR="000904CE" w:rsidRPr="003E342A">
        <w:rPr>
          <w:rFonts w:ascii="Times New Roman" w:hAnsi="Times New Roman" w:cs="Times New Roman"/>
          <w:color w:val="242021"/>
          <w:sz w:val="24"/>
          <w:szCs w:val="24"/>
        </w:rPr>
        <w:t xml:space="preserve">The </w:t>
      </w:r>
      <w:r>
        <w:rPr>
          <w:rFonts w:ascii="Times New Roman" w:hAnsi="Times New Roman" w:cs="Times New Roman"/>
          <w:color w:val="242021"/>
          <w:sz w:val="24"/>
          <w:szCs w:val="24"/>
        </w:rPr>
        <w:t>previous section’s criticisms of GMOs</w:t>
      </w:r>
      <w:r w:rsidR="000904CE" w:rsidRPr="003E342A">
        <w:rPr>
          <w:rFonts w:ascii="Times New Roman" w:hAnsi="Times New Roman" w:cs="Times New Roman"/>
          <w:color w:val="242021"/>
          <w:sz w:val="24"/>
          <w:szCs w:val="24"/>
        </w:rPr>
        <w:t xml:space="preserve"> do not represent disparate isolated voices but rather a bloc of many likeminded consumers and citizens. Biotechnology is a </w:t>
      </w:r>
      <w:proofErr w:type="gramStart"/>
      <w:r w:rsidR="000904CE" w:rsidRPr="003E342A">
        <w:rPr>
          <w:rFonts w:ascii="Times New Roman" w:hAnsi="Times New Roman" w:cs="Times New Roman"/>
          <w:color w:val="242021"/>
          <w:sz w:val="24"/>
          <w:szCs w:val="24"/>
        </w:rPr>
        <w:t>broad field encompassing technologies</w:t>
      </w:r>
      <w:proofErr w:type="gramEnd"/>
      <w:r w:rsidR="000904CE" w:rsidRPr="003E342A">
        <w:rPr>
          <w:rFonts w:ascii="Times New Roman" w:hAnsi="Times New Roman" w:cs="Times New Roman"/>
          <w:color w:val="242021"/>
          <w:sz w:val="24"/>
          <w:szCs w:val="24"/>
        </w:rPr>
        <w:t xml:space="preserve"> as diverse as biofuel production, </w:t>
      </w:r>
      <w:r>
        <w:rPr>
          <w:rFonts w:ascii="Times New Roman" w:hAnsi="Times New Roman" w:cs="Times New Roman"/>
          <w:color w:val="242021"/>
          <w:sz w:val="24"/>
          <w:szCs w:val="24"/>
        </w:rPr>
        <w:t>medical treatment</w:t>
      </w:r>
      <w:r w:rsidR="000904CE" w:rsidRPr="003E342A">
        <w:rPr>
          <w:rFonts w:ascii="Times New Roman" w:hAnsi="Times New Roman" w:cs="Times New Roman"/>
          <w:color w:val="242021"/>
          <w:sz w:val="24"/>
          <w:szCs w:val="24"/>
        </w:rPr>
        <w:t xml:space="preserve">, and genetic engineering. As </w:t>
      </w:r>
      <w:proofErr w:type="spellStart"/>
      <w:r w:rsidR="000904CE" w:rsidRPr="003E342A">
        <w:rPr>
          <w:rFonts w:ascii="Times New Roman" w:hAnsi="Times New Roman" w:cs="Times New Roman"/>
          <w:color w:val="242021"/>
          <w:sz w:val="24"/>
          <w:szCs w:val="24"/>
        </w:rPr>
        <w:t>Kurzer</w:t>
      </w:r>
      <w:proofErr w:type="spellEnd"/>
      <w:r w:rsidR="000904CE" w:rsidRPr="003E342A">
        <w:rPr>
          <w:rFonts w:ascii="Times New Roman" w:hAnsi="Times New Roman" w:cs="Times New Roman"/>
          <w:color w:val="242021"/>
          <w:sz w:val="24"/>
          <w:szCs w:val="24"/>
        </w:rPr>
        <w:t xml:space="preserve"> and Cooper point out, there is a stark difference between perceptions of “red” (medical-related) and “green” (agriculture-related) biotechnology, with general acceptance of the former and </w:t>
      </w:r>
      <w:r>
        <w:rPr>
          <w:rFonts w:ascii="Times New Roman" w:hAnsi="Times New Roman" w:cs="Times New Roman"/>
          <w:color w:val="242021"/>
          <w:sz w:val="24"/>
          <w:szCs w:val="24"/>
        </w:rPr>
        <w:t>much more widespread</w:t>
      </w:r>
      <w:r w:rsidR="000904CE" w:rsidRPr="003E342A">
        <w:rPr>
          <w:rFonts w:ascii="Times New Roman" w:hAnsi="Times New Roman" w:cs="Times New Roman"/>
          <w:color w:val="242021"/>
          <w:sz w:val="24"/>
          <w:szCs w:val="24"/>
        </w:rPr>
        <w:t xml:space="preserve"> rejection of the latter. A coalition opposed to green biotechnologies, comprising “environment NGOs, consumer groups, and small traditional or organic farmers,” has been an effective force on the issue, and “intense popular opposition to GMO…provided a critical resource for the anti-biotech coalition.</w:t>
      </w:r>
      <w:r w:rsidR="004C7548" w:rsidRPr="003E342A">
        <w:rPr>
          <w:rFonts w:ascii="Times New Roman" w:hAnsi="Times New Roman" w:cs="Times New Roman"/>
          <w:color w:val="242021"/>
          <w:sz w:val="24"/>
          <w:szCs w:val="24"/>
        </w:rPr>
        <w:t>”</w:t>
      </w:r>
      <w:r w:rsidR="00271AE9">
        <w:rPr>
          <w:rFonts w:ascii="Times New Roman" w:hAnsi="Times New Roman" w:cs="Times New Roman"/>
          <w:color w:val="242021"/>
          <w:sz w:val="24"/>
          <w:szCs w:val="24"/>
        </w:rPr>
        <w:t xml:space="preserve"> </w:t>
      </w:r>
      <w:r w:rsidR="000904CE" w:rsidRPr="003E342A">
        <w:rPr>
          <w:rFonts w:ascii="Times New Roman" w:hAnsi="Times New Roman" w:cs="Times New Roman"/>
          <w:color w:val="242021"/>
          <w:sz w:val="24"/>
          <w:szCs w:val="24"/>
        </w:rPr>
        <w:t xml:space="preserve"> For reasons that merit further investigation, the perceptions of the public – and consequently the </w:t>
      </w:r>
      <w:r w:rsidR="000904CE" w:rsidRPr="003E342A">
        <w:rPr>
          <w:rFonts w:ascii="Times New Roman" w:hAnsi="Times New Roman" w:cs="Times New Roman"/>
          <w:color w:val="242021"/>
          <w:sz w:val="24"/>
          <w:szCs w:val="24"/>
        </w:rPr>
        <w:lastRenderedPageBreak/>
        <w:t>perceptions of their democratically elected governments – exhibit intractable differences on the topic of genetic modification, with naturalistic and ecologically-motivated beliefs dominating the opposition.</w:t>
      </w:r>
      <w:r w:rsidR="000904CE" w:rsidRPr="003E342A">
        <w:rPr>
          <w:rStyle w:val="FootnoteReference"/>
          <w:rFonts w:ascii="Times New Roman" w:hAnsi="Times New Roman" w:cs="Times New Roman"/>
          <w:color w:val="242021"/>
          <w:sz w:val="24"/>
          <w:szCs w:val="24"/>
        </w:rPr>
        <w:footnoteReference w:id="26"/>
      </w:r>
      <w:r w:rsidR="000904CE" w:rsidRPr="003E342A">
        <w:rPr>
          <w:rFonts w:ascii="Times New Roman" w:hAnsi="Times New Roman" w:cs="Times New Roman"/>
          <w:color w:val="242021"/>
          <w:sz w:val="24"/>
          <w:szCs w:val="24"/>
        </w:rPr>
        <w:t xml:space="preserve"> </w:t>
      </w:r>
    </w:p>
    <w:p w14:paraId="173EE1DB" w14:textId="4BAB8AA0" w:rsidR="00271AE9" w:rsidRPr="003E342A" w:rsidRDefault="00271AE9" w:rsidP="00271AE9">
      <w:pPr>
        <w:spacing w:line="480" w:lineRule="auto"/>
        <w:ind w:firstLine="720"/>
        <w:jc w:val="both"/>
        <w:rPr>
          <w:rFonts w:ascii="Times New Roman" w:hAnsi="Times New Roman" w:cs="Times New Roman"/>
          <w:sz w:val="24"/>
          <w:szCs w:val="24"/>
        </w:rPr>
      </w:pPr>
      <w:r>
        <w:rPr>
          <w:rFonts w:ascii="Times New Roman" w:hAnsi="Times New Roman" w:cs="Times New Roman"/>
          <w:color w:val="242021"/>
          <w:sz w:val="24"/>
          <w:szCs w:val="24"/>
        </w:rPr>
        <w:t xml:space="preserve">Critically, the anti-Biotech coalition has managed to both foster and draw on majority acceptance of its GMO policy preferences among European consumers. </w:t>
      </w:r>
      <w:r w:rsidRPr="003E342A">
        <w:rPr>
          <w:rFonts w:ascii="Times New Roman" w:hAnsi="Times New Roman" w:cs="Times New Roman"/>
          <w:sz w:val="24"/>
          <w:szCs w:val="24"/>
        </w:rPr>
        <w:t>In a 2001 Eurobarometer poll, 71% of Europeans surveyed looked negatively on GMO food; “In 2001, an average of 71 per cent of the EU-15 public ‘did not want GM foods,’ while in 2005 62 per cent of the EU-25 public was ‘worried’ about GM foods and beverage.”</w:t>
      </w:r>
      <w:r w:rsidRPr="003E342A">
        <w:rPr>
          <w:rStyle w:val="FootnoteReference"/>
          <w:rFonts w:ascii="Times New Roman" w:hAnsi="Times New Roman" w:cs="Times New Roman"/>
          <w:sz w:val="24"/>
          <w:szCs w:val="24"/>
        </w:rPr>
        <w:footnoteReference w:id="27"/>
      </w:r>
      <w:r w:rsidRPr="003E342A">
        <w:rPr>
          <w:rFonts w:ascii="Times New Roman" w:hAnsi="Times New Roman" w:cs="Times New Roman"/>
          <w:sz w:val="24"/>
          <w:szCs w:val="24"/>
        </w:rPr>
        <w:t xml:space="preserve"> By 2010, this number had changed to 54% though showing a strong correlation with having heard of or being knowledgeable about GMOs; no Eurobarometer polls on GMOs have been released since that time, though national polls reveal strongly negative attitudes.</w:t>
      </w:r>
      <w:r w:rsidRPr="003E342A">
        <w:rPr>
          <w:rStyle w:val="FootnoteReference"/>
          <w:rFonts w:ascii="Times New Roman" w:hAnsi="Times New Roman" w:cs="Times New Roman"/>
          <w:sz w:val="24"/>
          <w:szCs w:val="24"/>
        </w:rPr>
        <w:footnoteReference w:id="28"/>
      </w:r>
      <w:r w:rsidRPr="003E342A">
        <w:rPr>
          <w:rFonts w:ascii="Times New Roman" w:hAnsi="Times New Roman" w:cs="Times New Roman"/>
          <w:sz w:val="24"/>
          <w:szCs w:val="24"/>
        </w:rPr>
        <w:t xml:space="preserve"> Further, a majority (51%) of Europeans expressed that the EU has taken insufficient action on environmental protection.</w:t>
      </w:r>
      <w:r w:rsidRPr="003E342A">
        <w:rPr>
          <w:rStyle w:val="FootnoteReference"/>
          <w:rFonts w:ascii="Times New Roman" w:hAnsi="Times New Roman" w:cs="Times New Roman"/>
          <w:sz w:val="24"/>
          <w:szCs w:val="24"/>
        </w:rPr>
        <w:footnoteReference w:id="29"/>
      </w:r>
    </w:p>
    <w:p w14:paraId="06C1B8DC" w14:textId="403EAFD9" w:rsidR="00271AE9" w:rsidRPr="00271AE9" w:rsidRDefault="000904CE" w:rsidP="001D6484">
      <w:pPr>
        <w:spacing w:line="480" w:lineRule="auto"/>
        <w:ind w:firstLine="720"/>
        <w:jc w:val="both"/>
        <w:rPr>
          <w:rFonts w:ascii="Times New Roman" w:hAnsi="Times New Roman" w:cs="Times New Roman"/>
          <w:color w:val="242021"/>
          <w:sz w:val="24"/>
          <w:szCs w:val="24"/>
        </w:rPr>
      </w:pPr>
      <w:proofErr w:type="spellStart"/>
      <w:r w:rsidRPr="003E342A">
        <w:rPr>
          <w:rFonts w:ascii="Times New Roman" w:hAnsi="Times New Roman" w:cs="Times New Roman"/>
          <w:color w:val="242021"/>
          <w:sz w:val="24"/>
          <w:szCs w:val="24"/>
        </w:rPr>
        <w:t>Kurzer</w:t>
      </w:r>
      <w:proofErr w:type="spellEnd"/>
      <w:r w:rsidRPr="003E342A">
        <w:rPr>
          <w:rFonts w:ascii="Times New Roman" w:hAnsi="Times New Roman" w:cs="Times New Roman"/>
          <w:color w:val="242021"/>
          <w:sz w:val="24"/>
          <w:szCs w:val="24"/>
        </w:rPr>
        <w:t xml:space="preserve"> and Cooper continue to outline that the </w:t>
      </w:r>
      <w:r w:rsidR="004040BB" w:rsidRPr="003E342A">
        <w:rPr>
          <w:rFonts w:ascii="Times New Roman" w:hAnsi="Times New Roman" w:cs="Times New Roman"/>
          <w:color w:val="242021"/>
          <w:sz w:val="24"/>
          <w:szCs w:val="24"/>
        </w:rPr>
        <w:t>A</w:t>
      </w:r>
      <w:r w:rsidRPr="003E342A">
        <w:rPr>
          <w:rFonts w:ascii="Times New Roman" w:hAnsi="Times New Roman" w:cs="Times New Roman"/>
          <w:color w:val="242021"/>
          <w:sz w:val="24"/>
          <w:szCs w:val="24"/>
        </w:rPr>
        <w:t>nti-</w:t>
      </w:r>
      <w:r w:rsidR="00271AE9">
        <w:rPr>
          <w:rFonts w:ascii="Times New Roman" w:hAnsi="Times New Roman" w:cs="Times New Roman"/>
          <w:color w:val="242021"/>
          <w:sz w:val="24"/>
          <w:szCs w:val="24"/>
        </w:rPr>
        <w:t>Biotech</w:t>
      </w:r>
      <w:r w:rsidRPr="003E342A">
        <w:rPr>
          <w:rFonts w:ascii="Times New Roman" w:hAnsi="Times New Roman" w:cs="Times New Roman"/>
          <w:color w:val="242021"/>
          <w:sz w:val="24"/>
          <w:szCs w:val="24"/>
        </w:rPr>
        <w:t xml:space="preserve"> </w:t>
      </w:r>
      <w:r w:rsidR="004040BB" w:rsidRPr="003E342A">
        <w:rPr>
          <w:rFonts w:ascii="Times New Roman" w:hAnsi="Times New Roman" w:cs="Times New Roman"/>
          <w:color w:val="242021"/>
          <w:sz w:val="24"/>
          <w:szCs w:val="24"/>
        </w:rPr>
        <w:t>C</w:t>
      </w:r>
      <w:r w:rsidRPr="003E342A">
        <w:rPr>
          <w:rFonts w:ascii="Times New Roman" w:hAnsi="Times New Roman" w:cs="Times New Roman"/>
          <w:color w:val="242021"/>
          <w:sz w:val="24"/>
          <w:szCs w:val="24"/>
        </w:rPr>
        <w:t>oalition has</w:t>
      </w:r>
      <w:r w:rsidR="00271AE9">
        <w:rPr>
          <w:rFonts w:ascii="Times New Roman" w:hAnsi="Times New Roman" w:cs="Times New Roman"/>
          <w:color w:val="242021"/>
          <w:sz w:val="24"/>
          <w:szCs w:val="24"/>
        </w:rPr>
        <w:t>, as a result of this majority agreement,</w:t>
      </w:r>
      <w:r w:rsidRPr="003E342A">
        <w:rPr>
          <w:rFonts w:ascii="Times New Roman" w:hAnsi="Times New Roman" w:cs="Times New Roman"/>
          <w:color w:val="242021"/>
          <w:sz w:val="24"/>
          <w:szCs w:val="24"/>
        </w:rPr>
        <w:t xml:space="preserve"> </w:t>
      </w:r>
      <w:r w:rsidR="00271AE9">
        <w:rPr>
          <w:rFonts w:ascii="Times New Roman" w:hAnsi="Times New Roman" w:cs="Times New Roman"/>
          <w:color w:val="242021"/>
          <w:sz w:val="24"/>
          <w:szCs w:val="24"/>
        </w:rPr>
        <w:t>managed to achieve</w:t>
      </w:r>
      <w:r w:rsidRPr="003E342A">
        <w:rPr>
          <w:rFonts w:ascii="Times New Roman" w:hAnsi="Times New Roman" w:cs="Times New Roman"/>
          <w:color w:val="242021"/>
          <w:sz w:val="24"/>
          <w:szCs w:val="24"/>
        </w:rPr>
        <w:t xml:space="preserve"> “three significant victories in the last decade”: first, “a de facto moratorium from 1998 to 2004 on the authorization of biotech crops,” second, </w:t>
      </w:r>
      <w:r w:rsidRPr="003E342A">
        <w:rPr>
          <w:rFonts w:ascii="Times New Roman" w:hAnsi="Times New Roman" w:cs="Times New Roman"/>
          <w:color w:val="242021"/>
          <w:sz w:val="24"/>
          <w:szCs w:val="24"/>
        </w:rPr>
        <w:lastRenderedPageBreak/>
        <w:t>“labelling and traceability requirements” of products that contain GM material, and third “[closing] the European market de facto to GM foods</w:t>
      </w:r>
      <w:r w:rsidR="00225B5D"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30"/>
      </w:r>
      <w:r w:rsidRPr="003E342A">
        <w:rPr>
          <w:rFonts w:ascii="Times New Roman" w:hAnsi="Times New Roman" w:cs="Times New Roman"/>
          <w:color w:val="242021"/>
          <w:sz w:val="24"/>
          <w:szCs w:val="24"/>
        </w:rPr>
        <w:t xml:space="preserve"> Though the most intense opposition to GMO is concentrated in and has access to political power in only a few Member States, these elements have enjoyed </w:t>
      </w:r>
      <w:r w:rsidR="006904AB">
        <w:rPr>
          <w:rFonts w:ascii="Times New Roman" w:hAnsi="Times New Roman" w:cs="Times New Roman"/>
          <w:color w:val="242021"/>
          <w:sz w:val="24"/>
          <w:szCs w:val="24"/>
        </w:rPr>
        <w:t>critical levels of</w:t>
      </w:r>
      <w:r w:rsidRPr="003E342A">
        <w:rPr>
          <w:rFonts w:ascii="Times New Roman" w:hAnsi="Times New Roman" w:cs="Times New Roman"/>
          <w:color w:val="242021"/>
          <w:sz w:val="24"/>
          <w:szCs w:val="24"/>
        </w:rPr>
        <w:t xml:space="preserve"> influence at the EU level</w:t>
      </w:r>
      <w:r w:rsidR="00F91292">
        <w:rPr>
          <w:rFonts w:ascii="Times New Roman" w:hAnsi="Times New Roman" w:cs="Times New Roman"/>
          <w:color w:val="242021"/>
          <w:sz w:val="24"/>
          <w:szCs w:val="24"/>
        </w:rPr>
        <w:t xml:space="preserve"> compared to other </w:t>
      </w:r>
      <w:r w:rsidR="00A30C79">
        <w:rPr>
          <w:rFonts w:ascii="Times New Roman" w:hAnsi="Times New Roman" w:cs="Times New Roman"/>
          <w:color w:val="242021"/>
          <w:sz w:val="24"/>
          <w:szCs w:val="24"/>
        </w:rPr>
        <w:t>large interest groups in the European Union</w:t>
      </w:r>
      <w:r w:rsidR="006904AB">
        <w:rPr>
          <w:rFonts w:ascii="Times New Roman" w:hAnsi="Times New Roman" w:cs="Times New Roman"/>
          <w:color w:val="242021"/>
          <w:sz w:val="24"/>
          <w:szCs w:val="24"/>
        </w:rPr>
        <w:t>:</w:t>
      </w:r>
      <w:r w:rsidRPr="003E342A">
        <w:rPr>
          <w:rFonts w:ascii="Times New Roman" w:hAnsi="Times New Roman" w:cs="Times New Roman"/>
          <w:color w:val="242021"/>
          <w:sz w:val="24"/>
          <w:szCs w:val="24"/>
        </w:rPr>
        <w:t xml:space="preserve"> the latitude conferred to member states in the areas of health and safety and possible implications for disruption to the Common Market have resulted in the Commission  agreeing to “stricter standards and procedures than they otherwise would have preferred</w:t>
      </w:r>
      <w:r w:rsidR="004C7548" w:rsidRPr="003E342A">
        <w:rPr>
          <w:rFonts w:ascii="Times New Roman" w:hAnsi="Times New Roman" w:cs="Times New Roman"/>
          <w:color w:val="242021"/>
          <w:sz w:val="24"/>
          <w:szCs w:val="24"/>
        </w:rPr>
        <w:t>.</w:t>
      </w:r>
      <w:r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31"/>
      </w:r>
      <w:r w:rsidR="00A30C79">
        <w:rPr>
          <w:rFonts w:ascii="Times New Roman" w:hAnsi="Times New Roman" w:cs="Times New Roman"/>
          <w:color w:val="242021"/>
          <w:sz w:val="24"/>
          <w:szCs w:val="24"/>
        </w:rPr>
        <w:t xml:space="preserve"> Further, </w:t>
      </w:r>
      <w:proofErr w:type="spellStart"/>
      <w:r w:rsidR="00A30C79">
        <w:rPr>
          <w:rFonts w:ascii="Times New Roman" w:hAnsi="Times New Roman" w:cs="Times New Roman"/>
          <w:color w:val="242021"/>
          <w:sz w:val="24"/>
          <w:szCs w:val="24"/>
        </w:rPr>
        <w:t>Kurzer</w:t>
      </w:r>
      <w:proofErr w:type="spellEnd"/>
      <w:r w:rsidR="00A30C79">
        <w:rPr>
          <w:rFonts w:ascii="Times New Roman" w:hAnsi="Times New Roman" w:cs="Times New Roman"/>
          <w:color w:val="242021"/>
          <w:sz w:val="24"/>
          <w:szCs w:val="24"/>
        </w:rPr>
        <w:t xml:space="preserve"> and Cooper cite the outreach efforts of trans-national actors, namely Greenpeace, at coordinating continent-wide messaging while also articulating anti-GMO messages to the unique cultural and economic circumstances of each Member State, for example appealing to rural and local traditions of cultivation and farming lifestyle.</w:t>
      </w:r>
      <w:r w:rsidR="00A30C79">
        <w:rPr>
          <w:rStyle w:val="FootnoteReference"/>
          <w:rFonts w:ascii="Times New Roman" w:hAnsi="Times New Roman" w:cs="Times New Roman"/>
          <w:color w:val="242021"/>
          <w:sz w:val="24"/>
          <w:szCs w:val="24"/>
        </w:rPr>
        <w:footnoteReference w:id="32"/>
      </w:r>
      <w:r w:rsidR="00271AE9">
        <w:rPr>
          <w:rFonts w:ascii="Times New Roman" w:hAnsi="Times New Roman" w:cs="Times New Roman"/>
          <w:color w:val="242021"/>
          <w:sz w:val="24"/>
          <w:szCs w:val="24"/>
        </w:rPr>
        <w:t xml:space="preserve"> Finally, as discussed above, the anti-biotech coalition’s views on Professor Anne Glover were widely seen as pivotal in her dismissal </w:t>
      </w:r>
      <w:r w:rsidR="00271AE9" w:rsidRPr="00271AE9">
        <w:rPr>
          <w:rFonts w:ascii="Times New Roman" w:hAnsi="Times New Roman" w:cs="Times New Roman"/>
          <w:color w:val="242021"/>
          <w:sz w:val="24"/>
          <w:szCs w:val="24"/>
        </w:rPr>
        <w:t>as Chief Science Advisor.</w:t>
      </w:r>
    </w:p>
    <w:p w14:paraId="4EA95828" w14:textId="7A079CCA" w:rsidR="000904CE" w:rsidRPr="00271AE9" w:rsidRDefault="000904CE" w:rsidP="000904CE">
      <w:pPr>
        <w:spacing w:line="480" w:lineRule="auto"/>
        <w:ind w:firstLine="720"/>
        <w:jc w:val="both"/>
        <w:rPr>
          <w:rFonts w:ascii="Times New Roman" w:hAnsi="Times New Roman" w:cs="Times New Roman"/>
          <w:color w:val="242021"/>
          <w:sz w:val="24"/>
          <w:szCs w:val="24"/>
        </w:rPr>
      </w:pPr>
    </w:p>
    <w:p w14:paraId="591A01FF" w14:textId="423148B0" w:rsidR="0023239E" w:rsidRPr="00271AE9" w:rsidRDefault="0023239E" w:rsidP="005F50AE">
      <w:pPr>
        <w:pStyle w:val="Heading2"/>
        <w:rPr>
          <w:rFonts w:cs="Times New Roman"/>
          <w:szCs w:val="24"/>
        </w:rPr>
      </w:pPr>
    </w:p>
    <w:p w14:paraId="77BE6598" w14:textId="3868DD06" w:rsidR="004329AD" w:rsidRPr="00271AE9" w:rsidRDefault="004329AD" w:rsidP="004329AD">
      <w:pPr>
        <w:rPr>
          <w:i/>
          <w:sz w:val="24"/>
          <w:szCs w:val="24"/>
        </w:rPr>
      </w:pPr>
      <w:r w:rsidRPr="00271AE9">
        <w:rPr>
          <w:i/>
          <w:sz w:val="24"/>
          <w:szCs w:val="24"/>
        </w:rPr>
        <w:t>The Scientific Community</w:t>
      </w:r>
    </w:p>
    <w:p w14:paraId="3A31962E" w14:textId="77777777" w:rsidR="004329AD" w:rsidRPr="00271AE9" w:rsidRDefault="004329AD" w:rsidP="004329AD">
      <w:pPr>
        <w:rPr>
          <w:rFonts w:ascii="Times New Roman" w:eastAsia="Times New Roman" w:hAnsi="Times New Roman" w:cs="Times New Roman"/>
          <w:sz w:val="24"/>
          <w:szCs w:val="24"/>
        </w:rPr>
      </w:pPr>
    </w:p>
    <w:p w14:paraId="4F6D998B" w14:textId="77777777" w:rsidR="00EC2736" w:rsidRDefault="00647C20" w:rsidP="00F702AC">
      <w:pPr>
        <w:spacing w:line="480" w:lineRule="auto"/>
        <w:jc w:val="both"/>
        <w:rPr>
          <w:rFonts w:ascii="Times New Roman" w:eastAsia="Times New Roman" w:hAnsi="Times New Roman" w:cs="Times New Roman"/>
          <w:sz w:val="24"/>
          <w:szCs w:val="24"/>
        </w:rPr>
      </w:pPr>
      <w:r w:rsidRPr="00271AE9">
        <w:rPr>
          <w:rFonts w:ascii="Times New Roman" w:eastAsia="Times New Roman" w:hAnsi="Times New Roman" w:cs="Times New Roman"/>
          <w:sz w:val="24"/>
          <w:szCs w:val="24"/>
        </w:rPr>
        <w:t>The scientific community in the European Union operates differently than the Anti-Biotech Coalition. Primarily, Scientists are often much more reluctant than other groups to engage in public advocacy and coalition-building in the political sense.</w:t>
      </w:r>
      <w:r w:rsidRPr="00271AE9">
        <w:rPr>
          <w:rStyle w:val="FootnoteReference"/>
          <w:rFonts w:ascii="Times New Roman" w:hAnsi="Times New Roman" w:cs="Times New Roman"/>
          <w:sz w:val="24"/>
          <w:szCs w:val="24"/>
        </w:rPr>
        <w:footnoteReference w:id="33"/>
      </w:r>
      <w:r w:rsidRPr="00271AE9">
        <w:rPr>
          <w:rFonts w:ascii="Times New Roman" w:eastAsia="Times New Roman" w:hAnsi="Times New Roman" w:cs="Times New Roman"/>
          <w:sz w:val="24"/>
          <w:szCs w:val="24"/>
        </w:rPr>
        <w:t xml:space="preserve"> Nevertheless, as </w:t>
      </w:r>
      <w:r w:rsidR="00134185" w:rsidRPr="00271AE9">
        <w:rPr>
          <w:rFonts w:ascii="Times New Roman" w:eastAsia="Times New Roman" w:hAnsi="Times New Roman" w:cs="Times New Roman"/>
          <w:sz w:val="24"/>
          <w:szCs w:val="24"/>
        </w:rPr>
        <w:t xml:space="preserve">a de facto </w:t>
      </w:r>
      <w:r w:rsidRPr="00271AE9">
        <w:rPr>
          <w:rFonts w:ascii="Times New Roman" w:eastAsia="Times New Roman" w:hAnsi="Times New Roman" w:cs="Times New Roman"/>
          <w:sz w:val="24"/>
          <w:szCs w:val="24"/>
        </w:rPr>
        <w:t>coalition, they do engage in adaptation, taking stands and adapting messaging when opposing coalitions become “too important to ignore.”</w:t>
      </w:r>
      <w:r w:rsidR="00134185" w:rsidRPr="00271AE9">
        <w:rPr>
          <w:rFonts w:ascii="Times New Roman" w:eastAsia="Times New Roman" w:hAnsi="Times New Roman" w:cs="Times New Roman"/>
          <w:sz w:val="24"/>
          <w:szCs w:val="24"/>
        </w:rPr>
        <w:t xml:space="preserve"> On the GMO issue, as the Anti-GMO coalition and its messages have </w:t>
      </w:r>
      <w:r w:rsidR="00271AE9" w:rsidRPr="00271AE9">
        <w:rPr>
          <w:rFonts w:ascii="Times New Roman" w:eastAsia="Times New Roman" w:hAnsi="Times New Roman" w:cs="Times New Roman"/>
          <w:sz w:val="24"/>
          <w:szCs w:val="24"/>
        </w:rPr>
        <w:lastRenderedPageBreak/>
        <w:t>grown to majority acceptance</w:t>
      </w:r>
      <w:r w:rsidR="00134185" w:rsidRPr="00271AE9">
        <w:rPr>
          <w:rFonts w:ascii="Times New Roman" w:eastAsia="Times New Roman" w:hAnsi="Times New Roman" w:cs="Times New Roman"/>
          <w:sz w:val="24"/>
          <w:szCs w:val="24"/>
        </w:rPr>
        <w:t xml:space="preserve"> within the European Union, the Scientific Community has become increasingly vocal in its position on GMOs. </w:t>
      </w:r>
    </w:p>
    <w:p w14:paraId="29F40367" w14:textId="62B83246" w:rsidR="004329AD" w:rsidRPr="00271AE9" w:rsidRDefault="000F60E0" w:rsidP="00EC2736">
      <w:pPr>
        <w:spacing w:line="480" w:lineRule="auto"/>
        <w:ind w:firstLine="720"/>
        <w:jc w:val="both"/>
        <w:rPr>
          <w:rFonts w:ascii="Times New Roman" w:eastAsia="Times New Roman" w:hAnsi="Times New Roman" w:cs="Times New Roman"/>
          <w:sz w:val="24"/>
          <w:szCs w:val="24"/>
        </w:rPr>
      </w:pPr>
      <w:r w:rsidRPr="00271AE9">
        <w:rPr>
          <w:rFonts w:ascii="Times New Roman" w:eastAsia="Times New Roman" w:hAnsi="Times New Roman" w:cs="Times New Roman"/>
          <w:sz w:val="24"/>
          <w:szCs w:val="24"/>
        </w:rPr>
        <w:t xml:space="preserve">For example, the European Academies Science Advisory Council, a </w:t>
      </w:r>
      <w:r w:rsidR="00883A40" w:rsidRPr="00271AE9">
        <w:rPr>
          <w:rFonts w:ascii="Times New Roman" w:eastAsia="Times New Roman" w:hAnsi="Times New Roman" w:cs="Times New Roman"/>
          <w:sz w:val="24"/>
          <w:szCs w:val="24"/>
        </w:rPr>
        <w:t>body representing, and funded by,</w:t>
      </w:r>
      <w:r w:rsidRPr="00271AE9">
        <w:rPr>
          <w:rFonts w:ascii="Times New Roman" w:eastAsia="Times New Roman" w:hAnsi="Times New Roman" w:cs="Times New Roman"/>
          <w:sz w:val="24"/>
          <w:szCs w:val="24"/>
        </w:rPr>
        <w:t xml:space="preserve"> the national science academies of 27 European countries, has</w:t>
      </w:r>
      <w:r w:rsidR="00883A40" w:rsidRPr="00271AE9">
        <w:rPr>
          <w:rFonts w:ascii="Times New Roman" w:eastAsia="Times New Roman" w:hAnsi="Times New Roman" w:cs="Times New Roman"/>
          <w:sz w:val="24"/>
          <w:szCs w:val="24"/>
        </w:rPr>
        <w:t xml:space="preserve"> recently</w:t>
      </w:r>
      <w:r w:rsidRPr="00271AE9">
        <w:rPr>
          <w:rFonts w:ascii="Times New Roman" w:eastAsia="Times New Roman" w:hAnsi="Times New Roman" w:cs="Times New Roman"/>
          <w:sz w:val="24"/>
          <w:szCs w:val="24"/>
        </w:rPr>
        <w:t xml:space="preserve"> expressed strong opinions on the need for changes in </w:t>
      </w:r>
      <w:r w:rsidR="00883A40" w:rsidRPr="00271AE9">
        <w:rPr>
          <w:rFonts w:ascii="Times New Roman" w:eastAsia="Times New Roman" w:hAnsi="Times New Roman" w:cs="Times New Roman"/>
          <w:sz w:val="24"/>
          <w:szCs w:val="24"/>
        </w:rPr>
        <w:t xml:space="preserve">what it views as regressive </w:t>
      </w:r>
      <w:r w:rsidRPr="00271AE9">
        <w:rPr>
          <w:rFonts w:ascii="Times New Roman" w:eastAsia="Times New Roman" w:hAnsi="Times New Roman" w:cs="Times New Roman"/>
          <w:sz w:val="24"/>
          <w:szCs w:val="24"/>
        </w:rPr>
        <w:t xml:space="preserve">GMO regulation. </w:t>
      </w:r>
      <w:r w:rsidR="00134185" w:rsidRPr="00271AE9">
        <w:rPr>
          <w:rFonts w:ascii="Times New Roman" w:eastAsia="Times New Roman" w:hAnsi="Times New Roman" w:cs="Times New Roman"/>
          <w:sz w:val="24"/>
          <w:szCs w:val="24"/>
        </w:rPr>
        <w:t xml:space="preserve">In 2014, in the midst of a debate on the reform that would allow EU Member States to opt out of GMO cultivation on their territories, the </w:t>
      </w:r>
      <w:r w:rsidRPr="00271AE9">
        <w:rPr>
          <w:rFonts w:ascii="Times New Roman" w:eastAsia="Times New Roman" w:hAnsi="Times New Roman" w:cs="Times New Roman"/>
          <w:sz w:val="24"/>
          <w:szCs w:val="24"/>
        </w:rPr>
        <w:t xml:space="preserve">EASAC issued a summary stating that </w:t>
      </w:r>
      <w:r w:rsidR="00134185" w:rsidRPr="00271AE9">
        <w:rPr>
          <w:rFonts w:ascii="Times New Roman" w:eastAsia="Times New Roman" w:hAnsi="Times New Roman" w:cs="Times New Roman"/>
          <w:sz w:val="24"/>
          <w:szCs w:val="24"/>
        </w:rPr>
        <w:t>“</w:t>
      </w:r>
      <w:r w:rsidR="00134185" w:rsidRPr="00271AE9">
        <w:rPr>
          <w:sz w:val="24"/>
          <w:szCs w:val="24"/>
        </w:rPr>
        <w:t xml:space="preserve">Compared with other regions of the world, the EU has fallen behind in its adoption of crop plant genetic modification and one of the reasons for this has been the time-consuming and expensive regulatory framework, compounded by </w:t>
      </w:r>
      <w:proofErr w:type="spellStart"/>
      <w:r w:rsidR="00134185" w:rsidRPr="00271AE9">
        <w:rPr>
          <w:sz w:val="24"/>
          <w:szCs w:val="24"/>
        </w:rPr>
        <w:t>politicisation</w:t>
      </w:r>
      <w:proofErr w:type="spellEnd"/>
      <w:r w:rsidR="00134185" w:rsidRPr="00271AE9">
        <w:rPr>
          <w:sz w:val="24"/>
          <w:szCs w:val="24"/>
        </w:rPr>
        <w:t xml:space="preserve"> of decision-making by Member States. Many in the scientific community are concerned that this situation will worsen.”</w:t>
      </w:r>
      <w:r w:rsidRPr="00271AE9">
        <w:rPr>
          <w:rStyle w:val="FootnoteReference"/>
          <w:sz w:val="24"/>
          <w:szCs w:val="24"/>
        </w:rPr>
        <w:footnoteReference w:id="34"/>
      </w:r>
      <w:r w:rsidR="00883A40" w:rsidRPr="00271AE9">
        <w:rPr>
          <w:rFonts w:ascii="Times New Roman" w:eastAsia="Times New Roman" w:hAnsi="Times New Roman" w:cs="Times New Roman"/>
          <w:sz w:val="24"/>
          <w:szCs w:val="24"/>
        </w:rPr>
        <w:t xml:space="preserve"> Indeed, when in late 2018 the European Court of Justice ruled that new gene modification technologies must be classified according to decade-old GMO regulations, the Chief Science Advisors of the European Commission issued a rare rebuttal, noting that</w:t>
      </w:r>
      <w:r w:rsidR="004329AD" w:rsidRPr="00271AE9">
        <w:rPr>
          <w:rFonts w:ascii="Times New Roman" w:eastAsia="Times New Roman" w:hAnsi="Times New Roman" w:cs="Times New Roman"/>
          <w:sz w:val="24"/>
          <w:szCs w:val="24"/>
        </w:rPr>
        <w:t xml:space="preserve"> “</w:t>
      </w:r>
      <w:r w:rsidR="004329AD" w:rsidRPr="00271AE9">
        <w:rPr>
          <w:rFonts w:ascii="Times New Roman" w:hAnsi="Times New Roman" w:cs="Times New Roman"/>
          <w:sz w:val="24"/>
          <w:szCs w:val="24"/>
        </w:rPr>
        <w:t>there is danger that unless the EU improves the regulatory environment for products of gene-editing, it will be left behind in this field, which could also diminish EU influence on ongoing debates at the international level with respect to specific applications and regulatory processes.”</w:t>
      </w:r>
      <w:r w:rsidR="004329AD" w:rsidRPr="00271AE9">
        <w:rPr>
          <w:rStyle w:val="FootnoteReference"/>
          <w:rFonts w:ascii="Times New Roman" w:hAnsi="Times New Roman" w:cs="Times New Roman"/>
          <w:sz w:val="24"/>
          <w:szCs w:val="24"/>
        </w:rPr>
        <w:footnoteReference w:id="35"/>
      </w:r>
    </w:p>
    <w:p w14:paraId="7D97C746" w14:textId="35380241" w:rsidR="00692ECC" w:rsidRPr="00271AE9" w:rsidRDefault="00692ECC" w:rsidP="004329AD">
      <w:pPr>
        <w:rPr>
          <w:i/>
          <w:sz w:val="24"/>
          <w:szCs w:val="24"/>
        </w:rPr>
      </w:pPr>
    </w:p>
    <w:p w14:paraId="2B7F000A" w14:textId="114A9716" w:rsidR="004329AD" w:rsidRPr="00271AE9" w:rsidRDefault="004329AD" w:rsidP="004329AD">
      <w:pPr>
        <w:rPr>
          <w:sz w:val="24"/>
          <w:szCs w:val="24"/>
        </w:rPr>
      </w:pPr>
    </w:p>
    <w:p w14:paraId="2E5359CA" w14:textId="32393E5B" w:rsidR="000904CE" w:rsidRPr="00271AE9" w:rsidRDefault="000904CE" w:rsidP="005F50AE">
      <w:pPr>
        <w:pStyle w:val="Heading2"/>
        <w:rPr>
          <w:rFonts w:cs="Times New Roman"/>
          <w:szCs w:val="24"/>
        </w:rPr>
      </w:pPr>
      <w:r w:rsidRPr="00271AE9">
        <w:rPr>
          <w:rFonts w:cs="Times New Roman"/>
          <w:szCs w:val="24"/>
        </w:rPr>
        <w:t>Precautionary Principle</w:t>
      </w:r>
    </w:p>
    <w:p w14:paraId="60036B87" w14:textId="77777777" w:rsidR="005F50AE" w:rsidRPr="00271AE9" w:rsidRDefault="005F50AE" w:rsidP="005F50AE">
      <w:pPr>
        <w:rPr>
          <w:rFonts w:ascii="Times New Roman" w:hAnsi="Times New Roman" w:cs="Times New Roman"/>
          <w:sz w:val="24"/>
          <w:szCs w:val="24"/>
        </w:rPr>
      </w:pPr>
    </w:p>
    <w:p w14:paraId="4EA85ABF" w14:textId="5AE6B0F8" w:rsidR="000904CE" w:rsidRPr="003E342A" w:rsidRDefault="000904CE" w:rsidP="000904CE">
      <w:pPr>
        <w:spacing w:line="480" w:lineRule="auto"/>
        <w:ind w:firstLine="720"/>
        <w:contextualSpacing/>
        <w:jc w:val="both"/>
        <w:rPr>
          <w:rFonts w:ascii="Times New Roman" w:hAnsi="Times New Roman" w:cs="Times New Roman"/>
          <w:sz w:val="24"/>
          <w:szCs w:val="24"/>
        </w:rPr>
      </w:pPr>
      <w:r w:rsidRPr="00271AE9">
        <w:rPr>
          <w:rFonts w:ascii="Times New Roman" w:hAnsi="Times New Roman" w:cs="Times New Roman"/>
          <w:sz w:val="24"/>
          <w:szCs w:val="24"/>
        </w:rPr>
        <w:lastRenderedPageBreak/>
        <w:t xml:space="preserve">Of note as well is the EC’s usage of the Precautionary Principle, which although conceived as a mechanism to </w:t>
      </w:r>
      <w:r w:rsidR="0023239E" w:rsidRPr="00271AE9">
        <w:rPr>
          <w:rFonts w:ascii="Times New Roman" w:hAnsi="Times New Roman" w:cs="Times New Roman"/>
          <w:sz w:val="24"/>
          <w:szCs w:val="24"/>
        </w:rPr>
        <w:t>prioritize</w:t>
      </w:r>
      <w:r w:rsidRPr="00271AE9">
        <w:rPr>
          <w:rFonts w:ascii="Times New Roman" w:hAnsi="Times New Roman" w:cs="Times New Roman"/>
          <w:sz w:val="24"/>
          <w:szCs w:val="24"/>
        </w:rPr>
        <w:t xml:space="preserve"> public protection and safety in the minds of regulators, remains “an abstract legal principle that is implemented through policy making, and, as such, it can produce different policy responses</w:t>
      </w:r>
      <w:r w:rsidR="00225B5D" w:rsidRPr="00271AE9">
        <w:rPr>
          <w:rFonts w:ascii="Times New Roman" w:hAnsi="Times New Roman" w:cs="Times New Roman"/>
          <w:sz w:val="24"/>
          <w:szCs w:val="24"/>
        </w:rPr>
        <w:t>.”</w:t>
      </w:r>
      <w:r w:rsidRPr="00271AE9">
        <w:rPr>
          <w:rStyle w:val="FootnoteReference"/>
          <w:rFonts w:ascii="Times New Roman" w:hAnsi="Times New Roman" w:cs="Times New Roman"/>
          <w:sz w:val="24"/>
          <w:szCs w:val="24"/>
        </w:rPr>
        <w:footnoteReference w:id="36"/>
      </w:r>
      <w:r w:rsidRPr="00271AE9">
        <w:rPr>
          <w:rFonts w:ascii="Times New Roman" w:hAnsi="Times New Roman" w:cs="Times New Roman"/>
          <w:sz w:val="24"/>
          <w:szCs w:val="24"/>
        </w:rPr>
        <w:t xml:space="preserve"> This standard is defined in numerous ways, though in pr</w:t>
      </w:r>
      <w:r w:rsidRPr="003E342A">
        <w:rPr>
          <w:rFonts w:ascii="Times New Roman" w:hAnsi="Times New Roman" w:cs="Times New Roman"/>
          <w:sz w:val="24"/>
          <w:szCs w:val="24"/>
        </w:rPr>
        <w:t>inciple places the onus on new technologies to prove themselves safe rather than placing the onus on regulators to prove them unsafe. However, the Commission left the principle officially undefined, an oversight which would in many respects set the stage for the current debate over regulation of GMOs.</w:t>
      </w:r>
      <w:r w:rsidRPr="003E342A">
        <w:rPr>
          <w:rStyle w:val="FootnoteReference"/>
          <w:rFonts w:ascii="Times New Roman" w:hAnsi="Times New Roman" w:cs="Times New Roman"/>
          <w:sz w:val="24"/>
          <w:szCs w:val="24"/>
        </w:rPr>
        <w:footnoteReference w:id="37"/>
      </w:r>
      <w:r w:rsidRPr="003E342A">
        <w:rPr>
          <w:rFonts w:ascii="Times New Roman" w:hAnsi="Times New Roman" w:cs="Times New Roman"/>
          <w:sz w:val="24"/>
          <w:szCs w:val="24"/>
        </w:rPr>
        <w:t xml:space="preserve"> For example, in 2000 EC published a communication to bring</w:t>
      </w:r>
      <w:r w:rsidR="0077734C">
        <w:rPr>
          <w:rFonts w:ascii="Times New Roman" w:hAnsi="Times New Roman" w:cs="Times New Roman"/>
          <w:sz w:val="24"/>
          <w:szCs w:val="24"/>
        </w:rPr>
        <w:t xml:space="preserve"> the </w:t>
      </w:r>
      <w:r w:rsidR="00543A99">
        <w:rPr>
          <w:rFonts w:ascii="Times New Roman" w:hAnsi="Times New Roman" w:cs="Times New Roman"/>
          <w:sz w:val="24"/>
          <w:szCs w:val="24"/>
        </w:rPr>
        <w:t>precautionary principle</w:t>
      </w:r>
      <w:r w:rsidRPr="003E342A">
        <w:rPr>
          <w:rFonts w:ascii="Times New Roman" w:hAnsi="Times New Roman" w:cs="Times New Roman"/>
          <w:sz w:val="24"/>
          <w:szCs w:val="24"/>
        </w:rPr>
        <w:t xml:space="preserve"> line with WTO standards since it was previously “ill-</w:t>
      </w:r>
      <w:proofErr w:type="spellStart"/>
      <w:r w:rsidRPr="003E342A">
        <w:rPr>
          <w:rFonts w:ascii="Times New Roman" w:hAnsi="Times New Roman" w:cs="Times New Roman"/>
          <w:sz w:val="24"/>
          <w:szCs w:val="24"/>
        </w:rPr>
        <w:t>defined,ad</w:t>
      </w:r>
      <w:proofErr w:type="spellEnd"/>
      <w:r w:rsidRPr="003E342A">
        <w:rPr>
          <w:rFonts w:ascii="Times New Roman" w:hAnsi="Times New Roman" w:cs="Times New Roman"/>
          <w:sz w:val="24"/>
          <w:szCs w:val="24"/>
        </w:rPr>
        <w:t xml:space="preserve"> hoc and, to a certain extent, nonscientific application of the precautionary principle</w:t>
      </w:r>
      <w:r w:rsidR="004C7548" w:rsidRPr="003E342A">
        <w:rPr>
          <w:rFonts w:ascii="Times New Roman" w:hAnsi="Times New Roman" w:cs="Times New Roman"/>
          <w:sz w:val="24"/>
          <w:szCs w:val="24"/>
        </w:rPr>
        <w:t>.</w:t>
      </w:r>
      <w:r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38"/>
      </w:r>
    </w:p>
    <w:p w14:paraId="2BAE2C5A" w14:textId="4EF703FE" w:rsidR="000904CE" w:rsidRPr="003E342A" w:rsidRDefault="000904CE" w:rsidP="000904C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 xml:space="preserve">The </w:t>
      </w:r>
      <w:r w:rsidR="00543A99">
        <w:rPr>
          <w:rFonts w:ascii="Times New Roman" w:hAnsi="Times New Roman" w:cs="Times New Roman"/>
          <w:sz w:val="24"/>
          <w:szCs w:val="24"/>
        </w:rPr>
        <w:t>p</w:t>
      </w:r>
      <w:r w:rsidRPr="003E342A">
        <w:rPr>
          <w:rFonts w:ascii="Times New Roman" w:hAnsi="Times New Roman" w:cs="Times New Roman"/>
          <w:sz w:val="24"/>
          <w:szCs w:val="24"/>
        </w:rPr>
        <w:t xml:space="preserve">recautionary </w:t>
      </w:r>
      <w:r w:rsidR="00543A99">
        <w:rPr>
          <w:rFonts w:ascii="Times New Roman" w:hAnsi="Times New Roman" w:cs="Times New Roman"/>
          <w:sz w:val="24"/>
          <w:szCs w:val="24"/>
        </w:rPr>
        <w:t>p</w:t>
      </w:r>
      <w:r w:rsidRPr="003E342A">
        <w:rPr>
          <w:rFonts w:ascii="Times New Roman" w:hAnsi="Times New Roman" w:cs="Times New Roman"/>
          <w:sz w:val="24"/>
          <w:szCs w:val="24"/>
        </w:rPr>
        <w:t>rinciple is generally agreed to have arisen in the 1970s in West German environmental policy</w:t>
      </w:r>
      <w:r w:rsidR="004C7548" w:rsidRPr="003E342A">
        <w:rPr>
          <w:rFonts w:ascii="Times New Roman" w:hAnsi="Times New Roman" w:cs="Times New Roman"/>
          <w:sz w:val="24"/>
          <w:szCs w:val="24"/>
        </w:rPr>
        <w:t xml:space="preserve"> </w:t>
      </w:r>
      <w:r w:rsidRPr="003E342A">
        <w:rPr>
          <w:rFonts w:ascii="Times New Roman" w:hAnsi="Times New Roman" w:cs="Times New Roman"/>
          <w:sz w:val="24"/>
          <w:szCs w:val="24"/>
        </w:rPr>
        <w:t>and began to be incorporated into various international agreements and environmental laws in the 1980s. In 1990s the principle gained general worldwide acceptance, being included in agreements by the UN and the EU.</w:t>
      </w:r>
      <w:r w:rsidRPr="003E342A">
        <w:rPr>
          <w:rStyle w:val="FootnoteReference"/>
          <w:rFonts w:ascii="Times New Roman" w:hAnsi="Times New Roman" w:cs="Times New Roman"/>
          <w:sz w:val="24"/>
          <w:szCs w:val="24"/>
        </w:rPr>
        <w:footnoteReference w:id="39"/>
      </w:r>
      <w:r w:rsidRPr="003E342A">
        <w:rPr>
          <w:rFonts w:ascii="Times New Roman" w:hAnsi="Times New Roman" w:cs="Times New Roman"/>
          <w:sz w:val="24"/>
          <w:szCs w:val="24"/>
        </w:rPr>
        <w:t xml:space="preserve"> In 1998, 35 scientists and policymakers from the US and Europe attended the Wingspread Conference on the Precautionary Principle, in which the principle was defined as “</w:t>
      </w:r>
      <w:r w:rsidRPr="003E342A">
        <w:rPr>
          <w:rFonts w:ascii="Times New Roman" w:hAnsi="Times New Roman" w:cs="Times New Roman"/>
          <w:color w:val="000000"/>
          <w:sz w:val="24"/>
          <w:szCs w:val="24"/>
        </w:rPr>
        <w:t>when an activity raises threats of harm to human health or the environment, precautionary measures should be taken even if some cause and effect relationships are not fully established scientifically”</w:t>
      </w:r>
      <w:r w:rsidRPr="003E342A">
        <w:rPr>
          <w:rStyle w:val="FootnoteReference"/>
          <w:rFonts w:ascii="Times New Roman" w:hAnsi="Times New Roman" w:cs="Times New Roman"/>
          <w:color w:val="000000"/>
          <w:sz w:val="24"/>
          <w:szCs w:val="24"/>
        </w:rPr>
        <w:footnoteReference w:id="40"/>
      </w:r>
      <w:r w:rsidRPr="003E342A">
        <w:rPr>
          <w:rFonts w:ascii="Times New Roman" w:hAnsi="Times New Roman" w:cs="Times New Roman"/>
          <w:sz w:val="24"/>
          <w:szCs w:val="24"/>
        </w:rPr>
        <w:t xml:space="preserve"> In the US, in stark contrast, “</w:t>
      </w:r>
      <w:r w:rsidRPr="003E342A">
        <w:rPr>
          <w:rFonts w:ascii="Times New Roman" w:hAnsi="Times New Roman" w:cs="Times New Roman"/>
          <w:color w:val="000000"/>
          <w:sz w:val="24"/>
          <w:szCs w:val="24"/>
        </w:rPr>
        <w:t xml:space="preserve">uncertainty is used </w:t>
      </w:r>
      <w:r w:rsidRPr="003E342A">
        <w:rPr>
          <w:rFonts w:ascii="Times New Roman" w:hAnsi="Times New Roman" w:cs="Times New Roman"/>
          <w:color w:val="000000"/>
          <w:sz w:val="24"/>
          <w:szCs w:val="24"/>
        </w:rPr>
        <w:lastRenderedPageBreak/>
        <w:t>strategically by the regulated community as reason to justify inaction</w:t>
      </w:r>
      <w:r w:rsidRPr="003E342A">
        <w:rPr>
          <w:rFonts w:ascii="Times New Roman" w:hAnsi="Times New Roman" w:cs="Times New Roman"/>
          <w:sz w:val="24"/>
          <w:szCs w:val="24"/>
        </w:rPr>
        <w:t xml:space="preserve"> …</w:t>
      </w:r>
      <w:r w:rsidRPr="003E342A">
        <w:rPr>
          <w:rFonts w:ascii="Times New Roman" w:hAnsi="Times New Roman" w:cs="Times New Roman"/>
          <w:color w:val="000000"/>
          <w:sz w:val="24"/>
          <w:szCs w:val="24"/>
        </w:rPr>
        <w:t>lacking such data, substances are deemed safe simply by default (U.S. Environmental Protection Agency, 1998)…Many laws in the U.S. assume potentially harmful activities safe by default and require near proof of damage before government agencies can act.”</w:t>
      </w:r>
      <w:r w:rsidRPr="003E342A">
        <w:rPr>
          <w:rStyle w:val="FootnoteReference"/>
          <w:rFonts w:ascii="Times New Roman" w:hAnsi="Times New Roman" w:cs="Times New Roman"/>
          <w:color w:val="000000"/>
          <w:sz w:val="24"/>
          <w:szCs w:val="24"/>
        </w:rPr>
        <w:footnoteReference w:id="41"/>
      </w:r>
    </w:p>
    <w:p w14:paraId="53E83FCD" w14:textId="72C2DC78" w:rsidR="000904CE" w:rsidRPr="003E342A" w:rsidRDefault="000904CE" w:rsidP="000904C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 xml:space="preserve">However, the Precautionary </w:t>
      </w:r>
      <w:r w:rsidR="00C41691">
        <w:rPr>
          <w:rFonts w:ascii="Times New Roman" w:hAnsi="Times New Roman" w:cs="Times New Roman"/>
          <w:sz w:val="24"/>
          <w:szCs w:val="24"/>
        </w:rPr>
        <w:t>P</w:t>
      </w:r>
      <w:r w:rsidRPr="003E342A">
        <w:rPr>
          <w:rFonts w:ascii="Times New Roman" w:hAnsi="Times New Roman" w:cs="Times New Roman"/>
          <w:sz w:val="24"/>
          <w:szCs w:val="24"/>
        </w:rPr>
        <w:t>rinciple has long been seen as at risk for politicization to slow innovation and science when they were deemed politically unwanted; “t</w:t>
      </w:r>
      <w:r w:rsidRPr="003E342A">
        <w:rPr>
          <w:rFonts w:ascii="Times New Roman" w:hAnsi="Times New Roman" w:cs="Times New Roman"/>
          <w:color w:val="000000"/>
          <w:sz w:val="24"/>
          <w:szCs w:val="24"/>
        </w:rPr>
        <w:t>he precautionary principle has often been portrayed as contrary to the tenets of sound science and inconsistent with the norms of ‘science-based’ decision making</w:t>
      </w:r>
      <w:r w:rsidR="00225B5D" w:rsidRPr="003E342A">
        <w:rPr>
          <w:rFonts w:ascii="Times New Roman" w:hAnsi="Times New Roman" w:cs="Times New Roman"/>
          <w:color w:val="000000"/>
          <w:sz w:val="24"/>
          <w:szCs w:val="24"/>
        </w:rPr>
        <w:t>.”</w:t>
      </w:r>
      <w:r w:rsidRPr="003E342A">
        <w:rPr>
          <w:rStyle w:val="FootnoteReference"/>
          <w:rFonts w:ascii="Times New Roman" w:hAnsi="Times New Roman" w:cs="Times New Roman"/>
          <w:sz w:val="24"/>
          <w:szCs w:val="24"/>
        </w:rPr>
        <w:footnoteReference w:id="42"/>
      </w:r>
      <w:r w:rsidRPr="003E342A">
        <w:rPr>
          <w:rFonts w:ascii="Times New Roman" w:hAnsi="Times New Roman" w:cs="Times New Roman"/>
          <w:sz w:val="24"/>
          <w:szCs w:val="24"/>
        </w:rPr>
        <w:t xml:space="preserve"> Even before the Juncker administration, the commission showed clear signs of </w:t>
      </w:r>
      <w:proofErr w:type="spellStart"/>
      <w:r w:rsidRPr="003E342A">
        <w:rPr>
          <w:rFonts w:ascii="Times New Roman" w:hAnsi="Times New Roman" w:cs="Times New Roman"/>
          <w:sz w:val="24"/>
          <w:szCs w:val="24"/>
        </w:rPr>
        <w:t>sociopoliticization</w:t>
      </w:r>
      <w:proofErr w:type="spellEnd"/>
      <w:r w:rsidRPr="003E342A">
        <w:rPr>
          <w:rFonts w:ascii="Times New Roman" w:hAnsi="Times New Roman" w:cs="Times New Roman"/>
          <w:sz w:val="24"/>
          <w:szCs w:val="24"/>
        </w:rPr>
        <w:t xml:space="preserve"> of the Precautionary Principle and regulatory decisionmaking more generally, for “Although the Commission, in principle, </w:t>
      </w:r>
      <w:proofErr w:type="spellStart"/>
      <w:r w:rsidRPr="003E342A">
        <w:rPr>
          <w:rFonts w:ascii="Times New Roman" w:hAnsi="Times New Roman" w:cs="Times New Roman"/>
          <w:sz w:val="24"/>
          <w:szCs w:val="24"/>
        </w:rPr>
        <w:t>favours</w:t>
      </w:r>
      <w:proofErr w:type="spellEnd"/>
      <w:r w:rsidRPr="003E342A">
        <w:rPr>
          <w:rFonts w:ascii="Times New Roman" w:hAnsi="Times New Roman" w:cs="Times New Roman"/>
          <w:sz w:val="24"/>
          <w:szCs w:val="24"/>
        </w:rPr>
        <w:t xml:space="preserve"> cost-benefit analysis, it argues that it should not only consider the costs to the ‘Community’ as a whole but also to a number of non-economic considerations such as public acceptability, leaving the Commission plenty of vague language for interpretation</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43"/>
      </w:r>
      <w:r w:rsidRPr="003E342A">
        <w:rPr>
          <w:rFonts w:ascii="Times New Roman" w:hAnsi="Times New Roman" w:cs="Times New Roman"/>
          <w:sz w:val="24"/>
          <w:szCs w:val="24"/>
        </w:rPr>
        <w:t xml:space="preserve"> Finally, the EC may use the Precautionary Principle “to </w:t>
      </w:r>
      <w:proofErr w:type="spellStart"/>
      <w:r w:rsidRPr="003E342A">
        <w:rPr>
          <w:rFonts w:ascii="Times New Roman" w:hAnsi="Times New Roman" w:cs="Times New Roman"/>
          <w:sz w:val="24"/>
          <w:szCs w:val="24"/>
        </w:rPr>
        <w:t>legitimise</w:t>
      </w:r>
      <w:proofErr w:type="spellEnd"/>
      <w:r w:rsidRPr="003E342A">
        <w:rPr>
          <w:rFonts w:ascii="Times New Roman" w:hAnsi="Times New Roman" w:cs="Times New Roman"/>
          <w:sz w:val="24"/>
          <w:szCs w:val="24"/>
        </w:rPr>
        <w:t xml:space="preserve"> decisions that are irrational,” which shall be further evidenced below.</w:t>
      </w:r>
      <w:r w:rsidRPr="003E342A">
        <w:rPr>
          <w:rStyle w:val="FootnoteReference"/>
          <w:rFonts w:ascii="Times New Roman" w:hAnsi="Times New Roman" w:cs="Times New Roman"/>
          <w:sz w:val="24"/>
          <w:szCs w:val="24"/>
        </w:rPr>
        <w:footnoteReference w:id="44"/>
      </w:r>
    </w:p>
    <w:p w14:paraId="0FE483C7" w14:textId="39D62E37" w:rsidR="000904CE" w:rsidRPr="003E342A" w:rsidRDefault="000904CE" w:rsidP="00C41691">
      <w:pPr>
        <w:spacing w:line="480" w:lineRule="auto"/>
        <w:ind w:firstLine="720"/>
        <w:contextualSpacing/>
        <w:jc w:val="both"/>
        <w:rPr>
          <w:rFonts w:ascii="Times New Roman" w:hAnsi="Times New Roman" w:cs="Times New Roman"/>
          <w:color w:val="131413"/>
          <w:sz w:val="24"/>
          <w:szCs w:val="24"/>
        </w:rPr>
      </w:pPr>
      <w:r w:rsidRPr="003E342A">
        <w:rPr>
          <w:rFonts w:ascii="Times New Roman" w:hAnsi="Times New Roman" w:cs="Times New Roman"/>
          <w:sz w:val="24"/>
          <w:szCs w:val="24"/>
        </w:rPr>
        <w:t xml:space="preserve">In </w:t>
      </w:r>
      <w:r w:rsidR="00470E9A" w:rsidRPr="003E342A">
        <w:rPr>
          <w:rFonts w:ascii="Times New Roman" w:hAnsi="Times New Roman" w:cs="Times New Roman"/>
          <w:sz w:val="24"/>
          <w:szCs w:val="24"/>
        </w:rPr>
        <w:t>a preliminary European Court of Justice ruling on EU GMO regulation 1829/2003</w:t>
      </w:r>
      <w:r w:rsidRPr="003E342A">
        <w:rPr>
          <w:rFonts w:ascii="Times New Roman" w:hAnsi="Times New Roman" w:cs="Times New Roman"/>
          <w:sz w:val="24"/>
          <w:szCs w:val="24"/>
        </w:rPr>
        <w:t xml:space="preserve">, the Precautionary Principle </w:t>
      </w:r>
      <w:r w:rsidR="00470E9A" w:rsidRPr="003E342A">
        <w:rPr>
          <w:rFonts w:ascii="Times New Roman" w:hAnsi="Times New Roman" w:cs="Times New Roman"/>
          <w:sz w:val="24"/>
          <w:szCs w:val="24"/>
        </w:rPr>
        <w:t>was defined to imply</w:t>
      </w:r>
      <w:r w:rsidRPr="003E342A">
        <w:rPr>
          <w:rFonts w:ascii="Times New Roman" w:hAnsi="Times New Roman" w:cs="Times New Roman"/>
          <w:sz w:val="24"/>
          <w:szCs w:val="24"/>
        </w:rPr>
        <w:t xml:space="preserve"> that </w:t>
      </w:r>
      <w:r w:rsidR="009730A5" w:rsidRPr="003E342A">
        <w:rPr>
          <w:rFonts w:ascii="Times New Roman" w:hAnsi="Times New Roman" w:cs="Times New Roman"/>
          <w:sz w:val="24"/>
          <w:szCs w:val="24"/>
        </w:rPr>
        <w:t xml:space="preserve">in certain circumstances </w:t>
      </w:r>
      <w:r w:rsidRPr="003E342A">
        <w:rPr>
          <w:rFonts w:ascii="Times New Roman" w:hAnsi="Times New Roman" w:cs="Times New Roman"/>
          <w:sz w:val="24"/>
          <w:szCs w:val="24"/>
        </w:rPr>
        <w:t>as long as “</w:t>
      </w:r>
      <w:r w:rsidRPr="003E342A">
        <w:rPr>
          <w:rFonts w:ascii="Times New Roman" w:hAnsi="Times New Roman" w:cs="Times New Roman"/>
          <w:i/>
          <w:iCs/>
          <w:color w:val="131413"/>
          <w:sz w:val="24"/>
          <w:szCs w:val="24"/>
        </w:rPr>
        <w:t xml:space="preserve">scientific uncertainty </w:t>
      </w:r>
      <w:r w:rsidRPr="003E342A">
        <w:rPr>
          <w:rFonts w:ascii="Times New Roman" w:hAnsi="Times New Roman" w:cs="Times New Roman"/>
          <w:color w:val="131413"/>
          <w:sz w:val="24"/>
          <w:szCs w:val="24"/>
        </w:rPr>
        <w:t xml:space="preserve">persists, </w:t>
      </w:r>
      <w:r w:rsidRPr="003E342A">
        <w:rPr>
          <w:rFonts w:ascii="Times New Roman" w:hAnsi="Times New Roman" w:cs="Times New Roman"/>
          <w:i/>
          <w:iCs/>
          <w:color w:val="131413"/>
          <w:sz w:val="24"/>
          <w:szCs w:val="24"/>
        </w:rPr>
        <w:t xml:space="preserve">provisional </w:t>
      </w:r>
      <w:r w:rsidRPr="003E342A">
        <w:rPr>
          <w:rFonts w:ascii="Times New Roman" w:hAnsi="Times New Roman" w:cs="Times New Roman"/>
          <w:color w:val="131413"/>
          <w:sz w:val="24"/>
          <w:szCs w:val="24"/>
        </w:rPr>
        <w:t xml:space="preserve">risk management measures necessary to ensure the </w:t>
      </w:r>
      <w:r w:rsidRPr="003E342A">
        <w:rPr>
          <w:rFonts w:ascii="Times New Roman" w:hAnsi="Times New Roman" w:cs="Times New Roman"/>
          <w:i/>
          <w:iCs/>
          <w:color w:val="131413"/>
          <w:sz w:val="24"/>
          <w:szCs w:val="24"/>
        </w:rPr>
        <w:t xml:space="preserve">high level of health protection </w:t>
      </w:r>
      <w:r w:rsidRPr="003E342A">
        <w:rPr>
          <w:rFonts w:ascii="Times New Roman" w:hAnsi="Times New Roman" w:cs="Times New Roman"/>
          <w:color w:val="131413"/>
          <w:sz w:val="24"/>
          <w:szCs w:val="24"/>
        </w:rPr>
        <w:t xml:space="preserve">chosen in the Community may be adopted, pending further scientific information for a </w:t>
      </w:r>
      <w:r w:rsidRPr="003E342A">
        <w:rPr>
          <w:rFonts w:ascii="Times New Roman" w:hAnsi="Times New Roman" w:cs="Times New Roman"/>
          <w:i/>
          <w:iCs/>
          <w:color w:val="131413"/>
          <w:sz w:val="24"/>
          <w:szCs w:val="24"/>
        </w:rPr>
        <w:t xml:space="preserve">more comprehensive </w:t>
      </w:r>
      <w:r w:rsidRPr="003E342A">
        <w:rPr>
          <w:rFonts w:ascii="Times New Roman" w:hAnsi="Times New Roman" w:cs="Times New Roman"/>
          <w:color w:val="131413"/>
          <w:sz w:val="24"/>
          <w:szCs w:val="24"/>
        </w:rPr>
        <w:t>risk assessment</w:t>
      </w:r>
      <w:r w:rsidR="00225B5D" w:rsidRPr="003E342A">
        <w:rPr>
          <w:rFonts w:ascii="Times New Roman" w:hAnsi="Times New Roman" w:cs="Times New Roman"/>
          <w:color w:val="131413"/>
          <w:sz w:val="24"/>
          <w:szCs w:val="24"/>
        </w:rPr>
        <w:t>.”</w:t>
      </w:r>
      <w:r w:rsidR="00470E9A" w:rsidRPr="003E342A">
        <w:rPr>
          <w:rStyle w:val="FootnoteReference"/>
          <w:rFonts w:ascii="Times New Roman" w:hAnsi="Times New Roman" w:cs="Times New Roman"/>
          <w:color w:val="131413"/>
          <w:sz w:val="24"/>
          <w:szCs w:val="24"/>
        </w:rPr>
        <w:footnoteReference w:id="45"/>
      </w:r>
      <w:r w:rsidR="002644E2" w:rsidRPr="003E342A">
        <w:rPr>
          <w:rFonts w:ascii="Times New Roman" w:hAnsi="Times New Roman" w:cs="Times New Roman"/>
          <w:color w:val="131413"/>
          <w:sz w:val="24"/>
          <w:szCs w:val="24"/>
        </w:rPr>
        <w:t xml:space="preserve"> </w:t>
      </w:r>
      <w:r w:rsidR="00C41691">
        <w:rPr>
          <w:rFonts w:ascii="Times New Roman" w:hAnsi="Times New Roman" w:cs="Times New Roman"/>
          <w:color w:val="131413"/>
          <w:sz w:val="24"/>
          <w:szCs w:val="24"/>
        </w:rPr>
        <w:t xml:space="preserve">Nevertheless, observers note that the official </w:t>
      </w:r>
      <w:r w:rsidR="00C41691">
        <w:rPr>
          <w:rFonts w:ascii="Times New Roman" w:hAnsi="Times New Roman" w:cs="Times New Roman"/>
          <w:color w:val="131413"/>
          <w:sz w:val="24"/>
          <w:szCs w:val="24"/>
        </w:rPr>
        <w:lastRenderedPageBreak/>
        <w:t xml:space="preserve">definitions are one thing, and applications are quite another; </w:t>
      </w:r>
      <w:proofErr w:type="spellStart"/>
      <w:r w:rsidR="00C41691">
        <w:rPr>
          <w:rFonts w:ascii="Times New Roman" w:hAnsi="Times New Roman" w:cs="Times New Roman"/>
          <w:color w:val="131413"/>
          <w:sz w:val="24"/>
          <w:szCs w:val="24"/>
        </w:rPr>
        <w:t>Lofstedt</w:t>
      </w:r>
      <w:proofErr w:type="spellEnd"/>
      <w:r w:rsidR="00C41691">
        <w:rPr>
          <w:rFonts w:ascii="Times New Roman" w:hAnsi="Times New Roman" w:cs="Times New Roman"/>
          <w:color w:val="131413"/>
          <w:sz w:val="24"/>
          <w:szCs w:val="24"/>
        </w:rPr>
        <w:t xml:space="preserve"> (2014) notes that “</w:t>
      </w:r>
      <w:r w:rsidR="00C41691" w:rsidRPr="00C41691">
        <w:rPr>
          <w:rFonts w:ascii="Times New Roman" w:hAnsi="Times New Roman" w:cs="Times New Roman"/>
          <w:color w:val="131413"/>
          <w:sz w:val="24"/>
          <w:szCs w:val="24"/>
        </w:rPr>
        <w:t>regulators and policy makers are consistently misusing the precautionary</w:t>
      </w:r>
      <w:r w:rsidR="00C41691">
        <w:rPr>
          <w:rFonts w:ascii="Times New Roman" w:hAnsi="Times New Roman" w:cs="Times New Roman"/>
          <w:color w:val="131413"/>
          <w:sz w:val="24"/>
          <w:szCs w:val="24"/>
        </w:rPr>
        <w:t xml:space="preserve"> </w:t>
      </w:r>
      <w:r w:rsidR="00C41691" w:rsidRPr="00C41691">
        <w:rPr>
          <w:rFonts w:ascii="Times New Roman" w:hAnsi="Times New Roman" w:cs="Times New Roman"/>
          <w:color w:val="131413"/>
          <w:sz w:val="24"/>
          <w:szCs w:val="24"/>
        </w:rPr>
        <w:t>principle and the European courts have not been systematic in their interpretations</w:t>
      </w:r>
      <w:r w:rsidR="00C41691">
        <w:rPr>
          <w:rFonts w:ascii="Times New Roman" w:hAnsi="Times New Roman" w:cs="Times New Roman"/>
          <w:color w:val="131413"/>
          <w:sz w:val="24"/>
          <w:szCs w:val="24"/>
        </w:rPr>
        <w:t xml:space="preserve"> </w:t>
      </w:r>
      <w:r w:rsidR="00C41691" w:rsidRPr="00C41691">
        <w:rPr>
          <w:rFonts w:ascii="Times New Roman" w:hAnsi="Times New Roman" w:cs="Times New Roman"/>
          <w:color w:val="131413"/>
          <w:sz w:val="24"/>
          <w:szCs w:val="24"/>
        </w:rPr>
        <w:t>of it</w:t>
      </w:r>
      <w:r w:rsidR="00C41691">
        <w:rPr>
          <w:rFonts w:ascii="Times New Roman" w:hAnsi="Times New Roman" w:cs="Times New Roman"/>
          <w:color w:val="131413"/>
          <w:sz w:val="24"/>
          <w:szCs w:val="24"/>
        </w:rPr>
        <w:t>.”</w:t>
      </w:r>
      <w:r w:rsidR="00C41691">
        <w:rPr>
          <w:rStyle w:val="FootnoteReference"/>
          <w:rFonts w:ascii="Times New Roman" w:hAnsi="Times New Roman" w:cs="Times New Roman"/>
          <w:color w:val="131413"/>
          <w:sz w:val="24"/>
          <w:szCs w:val="24"/>
        </w:rPr>
        <w:footnoteReference w:id="46"/>
      </w:r>
      <w:r w:rsidR="00C41691">
        <w:rPr>
          <w:rFonts w:ascii="Times New Roman" w:hAnsi="Times New Roman" w:cs="Times New Roman"/>
          <w:color w:val="131413"/>
          <w:sz w:val="24"/>
          <w:szCs w:val="24"/>
        </w:rPr>
        <w:t xml:space="preserve">  </w:t>
      </w:r>
      <w:r w:rsidR="00470E9A" w:rsidRPr="003E342A">
        <w:rPr>
          <w:rFonts w:ascii="Times New Roman" w:hAnsi="Times New Roman" w:cs="Times New Roman"/>
          <w:color w:val="131413"/>
          <w:sz w:val="24"/>
          <w:szCs w:val="24"/>
        </w:rPr>
        <w:t>Though scientific uncertainty can never be fully eliminated</w:t>
      </w:r>
      <w:r w:rsidRPr="003E342A">
        <w:rPr>
          <w:rFonts w:ascii="Times New Roman" w:hAnsi="Times New Roman" w:cs="Times New Roman"/>
          <w:color w:val="131413"/>
          <w:sz w:val="24"/>
          <w:szCs w:val="24"/>
        </w:rPr>
        <w:t>,</w:t>
      </w:r>
      <w:r w:rsidR="00470E9A" w:rsidRPr="003E342A">
        <w:rPr>
          <w:rFonts w:ascii="Times New Roman" w:hAnsi="Times New Roman" w:cs="Times New Roman"/>
          <w:color w:val="131413"/>
          <w:sz w:val="24"/>
          <w:szCs w:val="24"/>
        </w:rPr>
        <w:t xml:space="preserve"> in effect this definition implies that</w:t>
      </w:r>
      <w:r w:rsidRPr="003E342A">
        <w:rPr>
          <w:rFonts w:ascii="Times New Roman" w:hAnsi="Times New Roman" w:cs="Times New Roman"/>
          <w:color w:val="131413"/>
          <w:sz w:val="24"/>
          <w:szCs w:val="24"/>
        </w:rPr>
        <w:t xml:space="preserve"> until the safety of a new technology is </w:t>
      </w:r>
      <w:r w:rsidR="00470E9A" w:rsidRPr="003E342A">
        <w:rPr>
          <w:rFonts w:ascii="Times New Roman" w:hAnsi="Times New Roman" w:cs="Times New Roman"/>
          <w:color w:val="131413"/>
          <w:sz w:val="24"/>
          <w:szCs w:val="24"/>
        </w:rPr>
        <w:t xml:space="preserve">sufficiently </w:t>
      </w:r>
      <w:r w:rsidRPr="003E342A">
        <w:rPr>
          <w:rFonts w:ascii="Times New Roman" w:hAnsi="Times New Roman" w:cs="Times New Roman"/>
          <w:color w:val="131413"/>
          <w:sz w:val="24"/>
          <w:szCs w:val="24"/>
        </w:rPr>
        <w:t xml:space="preserve">established, regulators may prevent its propagation in the name of the protection of public health. </w:t>
      </w:r>
      <w:r w:rsidR="002644E2" w:rsidRPr="003E342A">
        <w:rPr>
          <w:rFonts w:ascii="Times New Roman" w:hAnsi="Times New Roman" w:cs="Times New Roman"/>
          <w:color w:val="131413"/>
          <w:sz w:val="24"/>
          <w:szCs w:val="24"/>
        </w:rPr>
        <w:t xml:space="preserve">As </w:t>
      </w:r>
      <w:proofErr w:type="spellStart"/>
      <w:r w:rsidR="002644E2" w:rsidRPr="003E342A">
        <w:rPr>
          <w:rFonts w:ascii="Times New Roman" w:hAnsi="Times New Roman" w:cs="Times New Roman"/>
          <w:color w:val="131413"/>
          <w:sz w:val="24"/>
          <w:szCs w:val="24"/>
        </w:rPr>
        <w:t>Skogstad</w:t>
      </w:r>
      <w:proofErr w:type="spellEnd"/>
      <w:r w:rsidR="002644E2" w:rsidRPr="003E342A">
        <w:rPr>
          <w:rFonts w:ascii="Times New Roman" w:hAnsi="Times New Roman" w:cs="Times New Roman"/>
          <w:color w:val="131413"/>
          <w:sz w:val="24"/>
          <w:szCs w:val="24"/>
        </w:rPr>
        <w:t xml:space="preserve"> (2011) puts it, “</w:t>
      </w:r>
      <w:r w:rsidR="002644E2" w:rsidRPr="003E342A">
        <w:rPr>
          <w:rFonts w:ascii="Times New Roman" w:eastAsiaTheme="minorEastAsia" w:hAnsi="Times New Roman" w:cs="Times New Roman"/>
          <w:sz w:val="24"/>
          <w:szCs w:val="24"/>
          <w:lang w:eastAsia="zh-CN"/>
        </w:rPr>
        <w:t>Analysts characterize the EU political culture of GMO regulation as a precautionary one whose epistemological underpinnings are skepticism about the capacity of science to know and assess the risks of this novel technology and, understandably therefore, less willingness to grant scientific experts exclusive authority in risk regulation</w:t>
      </w:r>
      <w:r w:rsidR="00225B5D" w:rsidRPr="003E342A">
        <w:rPr>
          <w:rFonts w:ascii="Times New Roman" w:eastAsiaTheme="minorEastAsia" w:hAnsi="Times New Roman" w:cs="Times New Roman"/>
          <w:sz w:val="24"/>
          <w:szCs w:val="24"/>
          <w:lang w:eastAsia="zh-CN"/>
        </w:rPr>
        <w:t>.”</w:t>
      </w:r>
      <w:r w:rsidR="002644E2" w:rsidRPr="003E342A">
        <w:rPr>
          <w:rStyle w:val="FootnoteReference"/>
          <w:rFonts w:ascii="Times New Roman" w:eastAsiaTheme="minorEastAsia" w:hAnsi="Times New Roman" w:cs="Times New Roman"/>
          <w:sz w:val="24"/>
          <w:szCs w:val="24"/>
          <w:lang w:eastAsia="zh-CN"/>
        </w:rPr>
        <w:footnoteReference w:id="47"/>
      </w:r>
      <w:r w:rsidR="002644E2" w:rsidRPr="003E342A">
        <w:rPr>
          <w:rFonts w:ascii="Times New Roman" w:eastAsiaTheme="minorEastAsia" w:hAnsi="Times New Roman" w:cs="Times New Roman"/>
          <w:sz w:val="24"/>
          <w:szCs w:val="24"/>
          <w:lang w:eastAsia="zh-CN"/>
        </w:rPr>
        <w:t xml:space="preserve"> </w:t>
      </w:r>
      <w:r w:rsidRPr="003E342A">
        <w:rPr>
          <w:rFonts w:ascii="Times New Roman" w:hAnsi="Times New Roman" w:cs="Times New Roman"/>
          <w:color w:val="131413"/>
          <w:sz w:val="24"/>
          <w:szCs w:val="24"/>
        </w:rPr>
        <w:t xml:space="preserve">In one sense, this regulatory perspective is </w:t>
      </w:r>
      <w:r w:rsidR="009730A5" w:rsidRPr="003E342A">
        <w:rPr>
          <w:rFonts w:ascii="Times New Roman" w:hAnsi="Times New Roman" w:cs="Times New Roman"/>
          <w:color w:val="131413"/>
          <w:sz w:val="24"/>
          <w:szCs w:val="24"/>
        </w:rPr>
        <w:t>left with important ambiguities:</w:t>
      </w:r>
      <w:r w:rsidRPr="003E342A">
        <w:rPr>
          <w:rFonts w:ascii="Times New Roman" w:hAnsi="Times New Roman" w:cs="Times New Roman"/>
          <w:color w:val="131413"/>
          <w:sz w:val="24"/>
          <w:szCs w:val="24"/>
        </w:rPr>
        <w:t xml:space="preserve"> who is to decide what constitutes “scientific uncertainty”? What is a sufficiently comprehensive risk assessment? What degree of restriction constitutes the “measures necessary to ensure…health protection”? These are indeed important questions that to some extent remain open to interpretation and </w:t>
      </w:r>
      <w:r w:rsidR="009730A5" w:rsidRPr="003E342A">
        <w:rPr>
          <w:rFonts w:ascii="Times New Roman" w:hAnsi="Times New Roman" w:cs="Times New Roman"/>
          <w:color w:val="131413"/>
          <w:sz w:val="24"/>
          <w:szCs w:val="24"/>
        </w:rPr>
        <w:t>contestation</w:t>
      </w:r>
      <w:r w:rsidRPr="003E342A">
        <w:rPr>
          <w:rFonts w:ascii="Times New Roman" w:hAnsi="Times New Roman" w:cs="Times New Roman"/>
          <w:color w:val="131413"/>
          <w:sz w:val="24"/>
          <w:szCs w:val="24"/>
        </w:rPr>
        <w:t xml:space="preserve">. In practice, however, the Precautionary Principle can be reduced to a simple motto: the burden of proof rests upon those who claim safety. </w:t>
      </w:r>
      <w:r w:rsidR="0023239E" w:rsidRPr="003E342A">
        <w:rPr>
          <w:rFonts w:ascii="Times New Roman" w:hAnsi="Times New Roman" w:cs="Times New Roman"/>
          <w:color w:val="131413"/>
          <w:sz w:val="24"/>
          <w:szCs w:val="24"/>
        </w:rPr>
        <w:t>But j</w:t>
      </w:r>
      <w:r w:rsidRPr="003E342A">
        <w:rPr>
          <w:rFonts w:ascii="Times New Roman" w:hAnsi="Times New Roman" w:cs="Times New Roman"/>
          <w:color w:val="131413"/>
          <w:sz w:val="24"/>
          <w:szCs w:val="24"/>
        </w:rPr>
        <w:t>ust as in US regulatory rules the burden of proof rests roughly on harm and yet thousands of substances are not permissible in foods, in turn so does the burden of proof resting on safety not prevent the approval of new foods.</w:t>
      </w:r>
    </w:p>
    <w:p w14:paraId="4CA016C6" w14:textId="77777777" w:rsidR="000904CE" w:rsidRPr="003E342A" w:rsidRDefault="000904CE" w:rsidP="000904CE">
      <w:pPr>
        <w:spacing w:line="480" w:lineRule="auto"/>
        <w:jc w:val="both"/>
        <w:rPr>
          <w:rFonts w:ascii="Times New Roman" w:hAnsi="Times New Roman" w:cs="Times New Roman"/>
          <w:b/>
          <w:sz w:val="24"/>
          <w:szCs w:val="24"/>
        </w:rPr>
      </w:pPr>
    </w:p>
    <w:p w14:paraId="0EC27D4D" w14:textId="29FC8CFB" w:rsidR="000904CE" w:rsidRPr="003E342A" w:rsidRDefault="000904CE" w:rsidP="005F50AE">
      <w:pPr>
        <w:pStyle w:val="Heading2"/>
        <w:rPr>
          <w:rFonts w:cs="Times New Roman"/>
        </w:rPr>
      </w:pPr>
      <w:r w:rsidRPr="003E342A">
        <w:rPr>
          <w:rFonts w:cs="Times New Roman"/>
        </w:rPr>
        <w:t>Participatory Technology Assessments</w:t>
      </w:r>
    </w:p>
    <w:p w14:paraId="40656143" w14:textId="77777777" w:rsidR="005F50AE" w:rsidRPr="003E342A" w:rsidRDefault="005F50AE" w:rsidP="005F50AE">
      <w:pPr>
        <w:rPr>
          <w:rFonts w:ascii="Times New Roman" w:hAnsi="Times New Roman" w:cs="Times New Roman"/>
        </w:rPr>
      </w:pPr>
    </w:p>
    <w:p w14:paraId="564DA33A" w14:textId="7EAFD449" w:rsidR="000904CE" w:rsidRPr="003E342A" w:rsidRDefault="00543A99" w:rsidP="000904C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 xml:space="preserve">A further key term in the regulatory toolkit, </w:t>
      </w:r>
      <w:r w:rsidR="000904CE" w:rsidRPr="003E342A">
        <w:rPr>
          <w:rFonts w:ascii="Times New Roman" w:hAnsi="Times New Roman" w:cs="Times New Roman"/>
          <w:sz w:val="24"/>
          <w:szCs w:val="24"/>
        </w:rPr>
        <w:t>Participatory Technology Assessment</w:t>
      </w:r>
      <w:r>
        <w:rPr>
          <w:rFonts w:ascii="Times New Roman" w:hAnsi="Times New Roman" w:cs="Times New Roman"/>
          <w:sz w:val="24"/>
          <w:szCs w:val="24"/>
        </w:rPr>
        <w:t>,</w:t>
      </w:r>
      <w:r w:rsidR="000904CE" w:rsidRPr="003E342A">
        <w:rPr>
          <w:rFonts w:ascii="Times New Roman" w:hAnsi="Times New Roman" w:cs="Times New Roman"/>
          <w:sz w:val="24"/>
          <w:szCs w:val="24"/>
        </w:rPr>
        <w:t xml:space="preserve"> is a concept that has existed since 1980. Beginning in the mid</w:t>
      </w:r>
      <w:r w:rsidR="00470E9A" w:rsidRPr="003E342A">
        <w:rPr>
          <w:rFonts w:ascii="Times New Roman" w:hAnsi="Times New Roman" w:cs="Times New Roman"/>
          <w:sz w:val="24"/>
          <w:szCs w:val="24"/>
        </w:rPr>
        <w:t>-</w:t>
      </w:r>
      <w:r w:rsidR="000904CE" w:rsidRPr="003E342A">
        <w:rPr>
          <w:rFonts w:ascii="Times New Roman" w:hAnsi="Times New Roman" w:cs="Times New Roman"/>
          <w:sz w:val="24"/>
          <w:szCs w:val="24"/>
        </w:rPr>
        <w:t>1980s, several science-related crises – Chernobyl (1986), Bhopal (1984), Mad Cow (1980s) and Dioxins (1999) – triggered and sustained increasing public skepticism in the effectiveness and legitimacy of regulatory procedures</w:t>
      </w:r>
      <w:r w:rsidR="006904AB">
        <w:rPr>
          <w:rFonts w:ascii="Times New Roman" w:hAnsi="Times New Roman" w:cs="Times New Roman"/>
          <w:sz w:val="24"/>
          <w:szCs w:val="24"/>
        </w:rPr>
        <w:t>.</w:t>
      </w:r>
      <w:r w:rsidR="000904CE" w:rsidRPr="003E342A">
        <w:rPr>
          <w:rStyle w:val="FootnoteReference"/>
          <w:rFonts w:ascii="Times New Roman" w:hAnsi="Times New Roman" w:cs="Times New Roman"/>
          <w:sz w:val="24"/>
          <w:szCs w:val="24"/>
        </w:rPr>
        <w:footnoteReference w:id="48"/>
      </w:r>
      <w:r w:rsidR="000904CE" w:rsidRPr="003E342A">
        <w:rPr>
          <w:rFonts w:ascii="Times New Roman" w:hAnsi="Times New Roman" w:cs="Times New Roman"/>
          <w:sz w:val="24"/>
          <w:szCs w:val="24"/>
        </w:rPr>
        <w:t xml:space="preserve"> In European regulatory circles this has led to a demand for greater public participation in such regulatory processes, discussed in greater detail below. “</w:t>
      </w:r>
      <w:r w:rsidR="000904CE" w:rsidRPr="003E342A">
        <w:rPr>
          <w:rFonts w:ascii="Times New Roman" w:hAnsi="Times New Roman" w:cs="Times New Roman"/>
          <w:color w:val="131413"/>
          <w:sz w:val="24"/>
          <w:szCs w:val="24"/>
        </w:rPr>
        <w:t xml:space="preserve">Since the mid-1990s, following a series of food-related scares and debates, with Bovine Spongiform Encephalopathy (BSE) and genetically modified (GM) foods as the most prominent issues, food safety institutions in Europe have been facing growing demands for a more effective, efficient and, at the same time, balanced and fair regulatory process that is also </w:t>
      </w:r>
      <w:proofErr w:type="spellStart"/>
      <w:r w:rsidR="000904CE" w:rsidRPr="003E342A">
        <w:rPr>
          <w:rFonts w:ascii="Times New Roman" w:hAnsi="Times New Roman" w:cs="Times New Roman"/>
          <w:color w:val="131413"/>
          <w:sz w:val="24"/>
          <w:szCs w:val="24"/>
        </w:rPr>
        <w:t>characterised</w:t>
      </w:r>
      <w:proofErr w:type="spellEnd"/>
      <w:r w:rsidR="000904CE" w:rsidRPr="003E342A">
        <w:rPr>
          <w:rFonts w:ascii="Times New Roman" w:hAnsi="Times New Roman" w:cs="Times New Roman"/>
          <w:color w:val="131413"/>
          <w:sz w:val="24"/>
          <w:szCs w:val="24"/>
        </w:rPr>
        <w:t xml:space="preserve"> by more transparent and participatory decision-making procedures</w:t>
      </w:r>
      <w:r w:rsidR="004C7548" w:rsidRPr="003E342A">
        <w:rPr>
          <w:rFonts w:ascii="Times New Roman" w:hAnsi="Times New Roman" w:cs="Times New Roman"/>
          <w:color w:val="131413"/>
          <w:sz w:val="24"/>
          <w:szCs w:val="24"/>
        </w:rPr>
        <w:t>.”</w:t>
      </w:r>
      <w:r w:rsidR="000904CE" w:rsidRPr="003E342A">
        <w:rPr>
          <w:rStyle w:val="FootnoteReference"/>
          <w:rFonts w:ascii="Times New Roman" w:hAnsi="Times New Roman" w:cs="Times New Roman"/>
          <w:sz w:val="24"/>
          <w:szCs w:val="24"/>
        </w:rPr>
        <w:footnoteReference w:id="49"/>
      </w:r>
      <w:r w:rsidR="000904CE" w:rsidRPr="003E342A">
        <w:rPr>
          <w:rFonts w:ascii="Times New Roman" w:hAnsi="Times New Roman" w:cs="Times New Roman"/>
          <w:sz w:val="24"/>
          <w:szCs w:val="24"/>
        </w:rPr>
        <w:t xml:space="preserve"> The concept of Participatory Technology Assessment (henceforth “PTA”</w:t>
      </w:r>
      <w:r w:rsidR="00470E9A" w:rsidRPr="003E342A">
        <w:rPr>
          <w:rStyle w:val="FootnoteReference"/>
          <w:rFonts w:ascii="Times New Roman" w:hAnsi="Times New Roman" w:cs="Times New Roman"/>
          <w:sz w:val="24"/>
          <w:szCs w:val="24"/>
        </w:rPr>
        <w:footnoteReference w:id="50"/>
      </w:r>
      <w:r w:rsidR="00470E9A" w:rsidRPr="003E342A">
        <w:rPr>
          <w:rFonts w:ascii="Times New Roman" w:hAnsi="Times New Roman" w:cs="Times New Roman"/>
          <w:sz w:val="24"/>
          <w:szCs w:val="24"/>
        </w:rPr>
        <w:t xml:space="preserve">) </w:t>
      </w:r>
      <w:r w:rsidR="000904CE" w:rsidRPr="003E342A">
        <w:rPr>
          <w:rFonts w:ascii="Times New Roman" w:hAnsi="Times New Roman" w:cs="Times New Roman"/>
          <w:sz w:val="24"/>
          <w:szCs w:val="24"/>
        </w:rPr>
        <w:t>is the process of involving various constituent viewpoints outside of the scientific community into the process of determining the potential impacts of new technologies. For example, in 1996 the Danish government attempted to evaluate new plans for ensuring a clean supply of drinking water; five industry and stakeholder groups each presented its plan before a panel of 60 subject matter experts, 60 politicians, and 60 randomly selected citizens, all ultimately casting votes regarding the 5 plans.</w:t>
      </w:r>
      <w:r w:rsidR="000904CE" w:rsidRPr="003E342A">
        <w:rPr>
          <w:rStyle w:val="FootnoteReference"/>
          <w:rFonts w:ascii="Times New Roman" w:hAnsi="Times New Roman" w:cs="Times New Roman"/>
          <w:sz w:val="24"/>
          <w:szCs w:val="24"/>
        </w:rPr>
        <w:footnoteReference w:id="51"/>
      </w:r>
      <w:r w:rsidR="000904CE" w:rsidRPr="003E342A">
        <w:rPr>
          <w:rFonts w:ascii="Times New Roman" w:hAnsi="Times New Roman" w:cs="Times New Roman"/>
          <w:sz w:val="24"/>
          <w:szCs w:val="24"/>
        </w:rPr>
        <w:t xml:space="preserve"> </w:t>
      </w:r>
    </w:p>
    <w:p w14:paraId="7B7BC102" w14:textId="52472163" w:rsidR="000904CE" w:rsidRPr="003E342A" w:rsidRDefault="000904CE" w:rsidP="000904C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 xml:space="preserve">Such a model represents a stark contrast to a more technocratic system in which the plans would be decided between merely politicians and experts, or perhaps drafted only amongst </w:t>
      </w:r>
      <w:r w:rsidRPr="003E342A">
        <w:rPr>
          <w:rFonts w:ascii="Times New Roman" w:hAnsi="Times New Roman" w:cs="Times New Roman"/>
          <w:sz w:val="24"/>
          <w:szCs w:val="24"/>
        </w:rPr>
        <w:lastRenderedPageBreak/>
        <w:t xml:space="preserve">regulatory or industry experts and submitted to politicians, who could choose whether to present it to their constituents, for approval. In contrast to US regulatory agencies, this represents </w:t>
      </w:r>
      <w:proofErr w:type="gramStart"/>
      <w:r w:rsidRPr="003E342A">
        <w:rPr>
          <w:rFonts w:ascii="Times New Roman" w:hAnsi="Times New Roman" w:cs="Times New Roman"/>
          <w:sz w:val="24"/>
          <w:szCs w:val="24"/>
        </w:rPr>
        <w:t>an</w:t>
      </w:r>
      <w:proofErr w:type="gramEnd"/>
      <w:r w:rsidRPr="003E342A">
        <w:rPr>
          <w:rFonts w:ascii="Times New Roman" w:hAnsi="Times New Roman" w:cs="Times New Roman"/>
          <w:sz w:val="24"/>
          <w:szCs w:val="24"/>
        </w:rPr>
        <w:t xml:space="preserve"> </w:t>
      </w:r>
      <w:r w:rsidR="00836542">
        <w:rPr>
          <w:rFonts w:ascii="Times New Roman" w:hAnsi="Times New Roman" w:cs="Times New Roman"/>
          <w:sz w:val="24"/>
          <w:szCs w:val="24"/>
        </w:rPr>
        <w:t>high</w:t>
      </w:r>
      <w:r w:rsidRPr="003E342A">
        <w:rPr>
          <w:rFonts w:ascii="Times New Roman" w:hAnsi="Times New Roman" w:cs="Times New Roman"/>
          <w:sz w:val="24"/>
          <w:szCs w:val="24"/>
        </w:rPr>
        <w:t xml:space="preserve"> level of layman participation. The US Food and Drug Administration, for example, makes extensive use of Advisory Committees, composed of “qualified experts” as well as nominated, vetted “consumer representatives” who must be able to “analyze scientific data, understand research design, discuss benefits and risks, and evaluate the safety and efficacy of products under review,” a significant contrast to the randomly selected and broad-based participants in some European PTAs.</w:t>
      </w:r>
      <w:r w:rsidRPr="003E342A">
        <w:rPr>
          <w:rStyle w:val="FootnoteReference"/>
          <w:rFonts w:ascii="Times New Roman" w:hAnsi="Times New Roman" w:cs="Times New Roman"/>
          <w:sz w:val="24"/>
          <w:szCs w:val="24"/>
        </w:rPr>
        <w:footnoteReference w:id="52"/>
      </w:r>
      <w:r w:rsidRPr="003E342A">
        <w:rPr>
          <w:rFonts w:ascii="Times New Roman" w:hAnsi="Times New Roman" w:cs="Times New Roman"/>
          <w:sz w:val="24"/>
          <w:szCs w:val="24"/>
        </w:rPr>
        <w:t xml:space="preserve"> In some European cases, no experts are involved in the PTA panel, such as the 1997 Baden conference on ozone in which the “panel consisted of young people aged 18-26 only. The panelists were instructed by written material and during two preparatory weekends with several </w:t>
      </w:r>
      <w:proofErr w:type="gramStart"/>
      <w:r w:rsidRPr="003E342A">
        <w:rPr>
          <w:rFonts w:ascii="Times New Roman" w:hAnsi="Times New Roman" w:cs="Times New Roman"/>
          <w:sz w:val="24"/>
          <w:szCs w:val="24"/>
        </w:rPr>
        <w:t>weeks</w:t>
      </w:r>
      <w:proofErr w:type="gramEnd"/>
      <w:r w:rsidRPr="003E342A">
        <w:rPr>
          <w:rFonts w:ascii="Times New Roman" w:hAnsi="Times New Roman" w:cs="Times New Roman"/>
          <w:sz w:val="24"/>
          <w:szCs w:val="24"/>
        </w:rPr>
        <w:t xml:space="preserve"> interval. During the weekends, no experts were heard” [sic].</w:t>
      </w:r>
      <w:r w:rsidRPr="003E342A">
        <w:rPr>
          <w:rStyle w:val="FootnoteReference"/>
          <w:rFonts w:ascii="Times New Roman" w:hAnsi="Times New Roman" w:cs="Times New Roman"/>
          <w:sz w:val="24"/>
          <w:szCs w:val="24"/>
        </w:rPr>
        <w:footnoteReference w:id="53"/>
      </w:r>
      <w:r w:rsidR="00673F8C">
        <w:rPr>
          <w:rFonts w:ascii="Times New Roman" w:hAnsi="Times New Roman" w:cs="Times New Roman"/>
          <w:sz w:val="24"/>
          <w:szCs w:val="24"/>
        </w:rPr>
        <w:t xml:space="preserve"> It may merit consideration in which situations</w:t>
      </w:r>
      <w:r w:rsidR="00836542">
        <w:rPr>
          <w:rFonts w:ascii="Times New Roman" w:hAnsi="Times New Roman" w:cs="Times New Roman"/>
          <w:sz w:val="24"/>
          <w:szCs w:val="24"/>
        </w:rPr>
        <w:t xml:space="preserve"> each approach may be preferable to the other, and a worthy topic for future research.</w:t>
      </w:r>
    </w:p>
    <w:p w14:paraId="55A85ADE" w14:textId="77777777" w:rsidR="000904CE" w:rsidRPr="003E342A" w:rsidRDefault="000904CE" w:rsidP="000904C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PTA was first codified as an assessment and regulatory mechanism in the 1980s and has grown to see widespread use throughout Europe.</w:t>
      </w:r>
      <w:r w:rsidRPr="003E342A">
        <w:rPr>
          <w:rStyle w:val="FootnoteReference"/>
          <w:rFonts w:ascii="Times New Roman" w:hAnsi="Times New Roman" w:cs="Times New Roman"/>
          <w:sz w:val="24"/>
          <w:szCs w:val="24"/>
        </w:rPr>
        <w:footnoteReference w:id="54"/>
      </w:r>
      <w:r w:rsidRPr="003E342A">
        <w:rPr>
          <w:rFonts w:ascii="Times New Roman" w:hAnsi="Times New Roman" w:cs="Times New Roman"/>
          <w:sz w:val="24"/>
          <w:szCs w:val="24"/>
        </w:rPr>
        <w:t xml:space="preserve"> A large body of research and meta-research, sponsored or commissioned by EU funding and coordination mechanisms and listed on the EU Commission’s website (specifically, its CORDIS database), makes use of PTA or studies its use.</w:t>
      </w:r>
      <w:r w:rsidRPr="003E342A">
        <w:rPr>
          <w:rStyle w:val="FootnoteReference"/>
          <w:rFonts w:ascii="Times New Roman" w:hAnsi="Times New Roman" w:cs="Times New Roman"/>
          <w:sz w:val="24"/>
          <w:szCs w:val="24"/>
        </w:rPr>
        <w:footnoteReference w:id="55"/>
      </w:r>
      <w:r w:rsidRPr="003E342A">
        <w:rPr>
          <w:rFonts w:ascii="Times New Roman" w:hAnsi="Times New Roman" w:cs="Times New Roman"/>
          <w:sz w:val="24"/>
          <w:szCs w:val="24"/>
        </w:rPr>
        <w:t xml:space="preserve"> Most notably, the 2000 European PTA review, known by its abbreviation EUROPTA, was carried out </w:t>
      </w:r>
    </w:p>
    <w:p w14:paraId="36B2DB47" w14:textId="77777777" w:rsidR="000904CE" w:rsidRPr="003E342A" w:rsidRDefault="000904CE" w:rsidP="000904CE">
      <w:pPr>
        <w:ind w:left="720" w:right="720"/>
        <w:contextualSpacing/>
        <w:jc w:val="both"/>
        <w:rPr>
          <w:rFonts w:ascii="Times New Roman" w:hAnsi="Times New Roman" w:cs="Times New Roman"/>
          <w:sz w:val="24"/>
          <w:szCs w:val="24"/>
        </w:rPr>
      </w:pPr>
      <w:r w:rsidRPr="003E342A">
        <w:rPr>
          <w:rFonts w:ascii="Times New Roman" w:hAnsi="Times New Roman" w:cs="Times New Roman"/>
          <w:sz w:val="24"/>
          <w:szCs w:val="24"/>
        </w:rPr>
        <w:lastRenderedPageBreak/>
        <w:t xml:space="preserve">“to advance the understanding of the role of PTA by critically assessing the experiences to date of different European national participatory initiatives, to identify criteria for the practical implementation of participatory methods, and to contribute to the development of participatory methods and practices in technology assessment” </w:t>
      </w:r>
    </w:p>
    <w:p w14:paraId="06930A77" w14:textId="77777777" w:rsidR="000904CE" w:rsidRPr="003E342A" w:rsidRDefault="000904CE" w:rsidP="000904CE">
      <w:pPr>
        <w:spacing w:line="480" w:lineRule="auto"/>
        <w:ind w:left="720" w:right="720"/>
        <w:contextualSpacing/>
        <w:jc w:val="both"/>
        <w:rPr>
          <w:rFonts w:ascii="Times New Roman" w:hAnsi="Times New Roman" w:cs="Times New Roman"/>
          <w:sz w:val="24"/>
          <w:szCs w:val="24"/>
        </w:rPr>
      </w:pPr>
    </w:p>
    <w:p w14:paraId="20922674" w14:textId="1F2E1243" w:rsidR="005F50AE" w:rsidRPr="003E342A" w:rsidRDefault="000904CE" w:rsidP="000904CE">
      <w:pPr>
        <w:spacing w:line="480" w:lineRule="auto"/>
        <w:contextualSpacing/>
        <w:jc w:val="both"/>
        <w:rPr>
          <w:rFonts w:ascii="Times New Roman" w:hAnsi="Times New Roman" w:cs="Times New Roman"/>
          <w:sz w:val="24"/>
          <w:szCs w:val="24"/>
        </w:rPr>
      </w:pPr>
      <w:r w:rsidRPr="003E342A">
        <w:rPr>
          <w:rFonts w:ascii="Times New Roman" w:hAnsi="Times New Roman" w:cs="Times New Roman"/>
          <w:sz w:val="24"/>
          <w:szCs w:val="24"/>
        </w:rPr>
        <w:t>and further, a principal objective of the assessment was to “make recommendations about the use of PTA at a national as well as a (European) transnational level</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56"/>
      </w:r>
      <w:r w:rsidRPr="003E342A">
        <w:rPr>
          <w:rFonts w:ascii="Times New Roman" w:hAnsi="Times New Roman" w:cs="Times New Roman"/>
          <w:sz w:val="24"/>
          <w:szCs w:val="24"/>
        </w:rPr>
        <w:t xml:space="preserve"> A 2008 European Parliament study was undertaken “to ensure successful pan-European PTA cooperation</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57"/>
      </w:r>
      <w:r w:rsidRPr="003E342A">
        <w:rPr>
          <w:rFonts w:ascii="Times New Roman" w:hAnsi="Times New Roman" w:cs="Times New Roman"/>
          <w:sz w:val="24"/>
          <w:szCs w:val="24"/>
        </w:rPr>
        <w:t xml:space="preserve"> The Logic of PTA has thus permeated many aspects of EU decisionmaking</w:t>
      </w:r>
      <w:r w:rsidR="00CE7076" w:rsidRPr="003E342A">
        <w:rPr>
          <w:rFonts w:ascii="Times New Roman" w:hAnsi="Times New Roman" w:cs="Times New Roman"/>
          <w:sz w:val="24"/>
          <w:szCs w:val="24"/>
        </w:rPr>
        <w:t>.</w:t>
      </w:r>
    </w:p>
    <w:p w14:paraId="7ACBF4E1" w14:textId="60BA9EF0" w:rsidR="000904CE" w:rsidRPr="003E342A" w:rsidRDefault="000904CE" w:rsidP="005F50AE">
      <w:pPr>
        <w:pStyle w:val="Heading1"/>
        <w:rPr>
          <w:rFonts w:cs="Times New Roman"/>
        </w:rPr>
      </w:pPr>
      <w:bookmarkStart w:id="14" w:name="_Toc531878485"/>
      <w:r w:rsidRPr="003E342A">
        <w:rPr>
          <w:rFonts w:cs="Times New Roman"/>
        </w:rPr>
        <w:t>A Brief History of GMO Policy</w:t>
      </w:r>
      <w:bookmarkEnd w:id="14"/>
    </w:p>
    <w:p w14:paraId="406825C7" w14:textId="77777777" w:rsidR="005F50AE" w:rsidRPr="003E342A" w:rsidRDefault="005F50AE" w:rsidP="005F50AE">
      <w:pPr>
        <w:rPr>
          <w:rFonts w:ascii="Times New Roman" w:hAnsi="Times New Roman" w:cs="Times New Roman"/>
        </w:rPr>
      </w:pPr>
    </w:p>
    <w:p w14:paraId="7D7E6740" w14:textId="5826EE26"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The late 1990s were a landmark period in GMO policy in the European Union. </w:t>
      </w:r>
      <w:r w:rsidR="00945A79" w:rsidRPr="003E342A">
        <w:rPr>
          <w:rFonts w:ascii="Times New Roman" w:hAnsi="Times New Roman" w:cs="Times New Roman"/>
          <w:sz w:val="24"/>
          <w:szCs w:val="24"/>
        </w:rPr>
        <w:t xml:space="preserve">Though other institutions (such as the </w:t>
      </w:r>
      <w:r w:rsidR="00EC2736">
        <w:rPr>
          <w:rFonts w:ascii="Times New Roman" w:hAnsi="Times New Roman" w:cs="Times New Roman"/>
          <w:sz w:val="24"/>
          <w:szCs w:val="24"/>
        </w:rPr>
        <w:t>EU</w:t>
      </w:r>
      <w:r w:rsidR="00945A79" w:rsidRPr="003E342A">
        <w:rPr>
          <w:rFonts w:ascii="Times New Roman" w:hAnsi="Times New Roman" w:cs="Times New Roman"/>
          <w:sz w:val="24"/>
          <w:szCs w:val="24"/>
        </w:rPr>
        <w:t xml:space="preserve"> Council) can decide on political priorities, and the European Parliament must ultimately approve new legislation, the European Commission and its subsidiary agencies</w:t>
      </w:r>
      <w:r w:rsidR="00DA52FA" w:rsidRPr="003E342A">
        <w:rPr>
          <w:rFonts w:ascii="Times New Roman" w:hAnsi="Times New Roman" w:cs="Times New Roman"/>
          <w:sz w:val="24"/>
          <w:szCs w:val="24"/>
        </w:rPr>
        <w:t xml:space="preserve"> (such as the European Food Safety Authority)</w:t>
      </w:r>
      <w:r w:rsidR="00945A79" w:rsidRPr="003E342A">
        <w:rPr>
          <w:rFonts w:ascii="Times New Roman" w:hAnsi="Times New Roman" w:cs="Times New Roman"/>
          <w:sz w:val="24"/>
          <w:szCs w:val="24"/>
        </w:rPr>
        <w:t xml:space="preserve"> and committees are tasked with interpretation and enforcement of regulations</w:t>
      </w:r>
      <w:r w:rsidR="0016613D" w:rsidRPr="003E342A">
        <w:rPr>
          <w:rFonts w:ascii="Times New Roman" w:hAnsi="Times New Roman" w:cs="Times New Roman"/>
          <w:sz w:val="24"/>
          <w:szCs w:val="24"/>
        </w:rPr>
        <w:t>; Furthermore, the Commission must originate all proposed legislation</w:t>
      </w:r>
      <w:r w:rsidR="0016613D" w:rsidRPr="003E342A">
        <w:rPr>
          <w:rStyle w:val="FootnoteReference"/>
          <w:rFonts w:ascii="Times New Roman" w:hAnsi="Times New Roman" w:cs="Times New Roman"/>
          <w:sz w:val="24"/>
          <w:szCs w:val="24"/>
        </w:rPr>
        <w:t xml:space="preserve"> </w:t>
      </w:r>
      <w:r w:rsidR="00945A79" w:rsidRPr="003E342A">
        <w:rPr>
          <w:rStyle w:val="FootnoteReference"/>
          <w:rFonts w:ascii="Times New Roman" w:hAnsi="Times New Roman" w:cs="Times New Roman"/>
          <w:sz w:val="24"/>
          <w:szCs w:val="24"/>
        </w:rPr>
        <w:footnoteReference w:id="58"/>
      </w:r>
      <w:r w:rsidR="0016613D" w:rsidRPr="003E342A">
        <w:rPr>
          <w:rFonts w:ascii="Times New Roman" w:hAnsi="Times New Roman" w:cs="Times New Roman"/>
          <w:sz w:val="24"/>
          <w:szCs w:val="24"/>
        </w:rPr>
        <w:t>.</w:t>
      </w:r>
      <w:r w:rsidR="002A0099" w:rsidRPr="003E342A">
        <w:rPr>
          <w:rFonts w:ascii="Times New Roman" w:hAnsi="Times New Roman" w:cs="Times New Roman"/>
          <w:sz w:val="24"/>
          <w:szCs w:val="24"/>
        </w:rPr>
        <w:t xml:space="preserve"> The </w:t>
      </w:r>
      <w:r w:rsidR="00EC2736">
        <w:rPr>
          <w:rFonts w:ascii="Times New Roman" w:hAnsi="Times New Roman" w:cs="Times New Roman"/>
          <w:sz w:val="24"/>
          <w:szCs w:val="24"/>
        </w:rPr>
        <w:t>EU</w:t>
      </w:r>
      <w:r w:rsidR="002A0099" w:rsidRPr="003E342A">
        <w:rPr>
          <w:rFonts w:ascii="Times New Roman" w:hAnsi="Times New Roman" w:cs="Times New Roman"/>
          <w:sz w:val="24"/>
          <w:szCs w:val="24"/>
        </w:rPr>
        <w:t xml:space="preserve"> Council is formed by the Heads of State of European Member States, and thus gives political will and direction to the European </w:t>
      </w:r>
      <w:proofErr w:type="gramStart"/>
      <w:r w:rsidR="002A0099" w:rsidRPr="003E342A">
        <w:rPr>
          <w:rFonts w:ascii="Times New Roman" w:hAnsi="Times New Roman" w:cs="Times New Roman"/>
          <w:sz w:val="24"/>
          <w:szCs w:val="24"/>
        </w:rPr>
        <w:t>Union, but</w:t>
      </w:r>
      <w:proofErr w:type="gramEnd"/>
      <w:r w:rsidR="002A0099" w:rsidRPr="003E342A">
        <w:rPr>
          <w:rFonts w:ascii="Times New Roman" w:hAnsi="Times New Roman" w:cs="Times New Roman"/>
          <w:sz w:val="24"/>
          <w:szCs w:val="24"/>
        </w:rPr>
        <w:t xml:space="preserve"> lacks administrative oversight authority. This separation of powers, as outlined in the EU’s foundational treaties, has been the source of ongoing tension and frustration on the GMO issue.</w:t>
      </w:r>
      <w:r w:rsidR="002A0099" w:rsidRPr="003E342A">
        <w:rPr>
          <w:rStyle w:val="FootnoteReference"/>
          <w:rFonts w:ascii="Times New Roman" w:hAnsi="Times New Roman" w:cs="Times New Roman"/>
          <w:sz w:val="24"/>
          <w:szCs w:val="24"/>
        </w:rPr>
        <w:footnoteReference w:id="59"/>
      </w:r>
      <w:r w:rsidR="0016613D" w:rsidRPr="003E342A">
        <w:rPr>
          <w:rFonts w:ascii="Times New Roman" w:hAnsi="Times New Roman" w:cs="Times New Roman"/>
          <w:sz w:val="24"/>
          <w:szCs w:val="24"/>
        </w:rPr>
        <w:t xml:space="preserve"> </w:t>
      </w:r>
      <w:r w:rsidR="00945A79" w:rsidRPr="003E342A">
        <w:rPr>
          <w:rFonts w:ascii="Times New Roman" w:hAnsi="Times New Roman" w:cs="Times New Roman"/>
          <w:sz w:val="24"/>
          <w:szCs w:val="24"/>
        </w:rPr>
        <w:t xml:space="preserve">The Commission’s </w:t>
      </w:r>
      <w:r w:rsidRPr="003E342A">
        <w:rPr>
          <w:rFonts w:ascii="Times New Roman" w:hAnsi="Times New Roman" w:cs="Times New Roman"/>
          <w:sz w:val="24"/>
          <w:szCs w:val="24"/>
        </w:rPr>
        <w:t xml:space="preserve">“Directive 90/220/EEC…covered the development of GM crops and the placing on the market of </w:t>
      </w:r>
      <w:r w:rsidRPr="003E342A">
        <w:rPr>
          <w:rFonts w:ascii="Times New Roman" w:hAnsi="Times New Roman" w:cs="Times New Roman"/>
          <w:sz w:val="24"/>
          <w:szCs w:val="24"/>
        </w:rPr>
        <w:lastRenderedPageBreak/>
        <w:t>live GMOs such as fruit, seeds, and other products” However, the legislation did not regulate “processed products containing GMOs.”</w:t>
      </w:r>
      <w:r w:rsidRPr="003E342A">
        <w:rPr>
          <w:rStyle w:val="FootnoteReference"/>
          <w:rFonts w:ascii="Times New Roman" w:hAnsi="Times New Roman" w:cs="Times New Roman"/>
          <w:sz w:val="24"/>
          <w:szCs w:val="24"/>
        </w:rPr>
        <w:footnoteReference w:id="60"/>
      </w:r>
      <w:r w:rsidRPr="003E342A">
        <w:rPr>
          <w:rFonts w:ascii="Times New Roman" w:hAnsi="Times New Roman" w:cs="Times New Roman"/>
          <w:sz w:val="24"/>
          <w:szCs w:val="24"/>
        </w:rPr>
        <w:t xml:space="preserve"> In 1996, the “GMO crisis” began in the UK with the launch of a “tomato puree containing GM tomatoes” which stoked consumer ire and was branded as a “</w:t>
      </w:r>
      <w:proofErr w:type="spellStart"/>
      <w:r w:rsidRPr="003E342A">
        <w:rPr>
          <w:rFonts w:ascii="Times New Roman" w:hAnsi="Times New Roman" w:cs="Times New Roman"/>
          <w:sz w:val="24"/>
          <w:szCs w:val="24"/>
        </w:rPr>
        <w:t>frankenfood</w:t>
      </w:r>
      <w:proofErr w:type="spellEnd"/>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61"/>
      </w:r>
      <w:r w:rsidRPr="003E342A">
        <w:rPr>
          <w:rFonts w:ascii="Times New Roman" w:hAnsi="Times New Roman" w:cs="Times New Roman"/>
          <w:sz w:val="24"/>
          <w:szCs w:val="24"/>
        </w:rPr>
        <w:t xml:space="preserve"> Following on the heels of the tomato puree dispute, the European Commission passed </w:t>
      </w:r>
      <w:r w:rsidRPr="003E342A">
        <w:rPr>
          <w:rFonts w:ascii="Times New Roman" w:hAnsi="Times New Roman" w:cs="Times New Roman"/>
          <w:color w:val="000000"/>
          <w:sz w:val="24"/>
          <w:szCs w:val="24"/>
        </w:rPr>
        <w:t>Regulation</w:t>
      </w:r>
      <w:r w:rsidR="00EC2736">
        <w:rPr>
          <w:rFonts w:ascii="Times New Roman" w:hAnsi="Times New Roman" w:cs="Times New Roman"/>
          <w:color w:val="000000"/>
          <w:sz w:val="24"/>
          <w:szCs w:val="24"/>
        </w:rPr>
        <w:t xml:space="preserve"> </w:t>
      </w:r>
      <w:r w:rsidRPr="003E342A">
        <w:rPr>
          <w:rFonts w:ascii="Times New Roman" w:hAnsi="Times New Roman" w:cs="Times New Roman"/>
          <w:color w:val="000000"/>
          <w:sz w:val="24"/>
          <w:szCs w:val="24"/>
        </w:rPr>
        <w:t>(EC) No. 258/9, which required “compulsory labeling for all products containing GM ingredients placed on the market on or after May 16, 1997</w:t>
      </w:r>
      <w:r w:rsidR="00225B5D" w:rsidRPr="003E342A">
        <w:rPr>
          <w:rFonts w:ascii="Times New Roman" w:hAnsi="Times New Roman" w:cs="Times New Roman"/>
          <w:color w:val="000000"/>
          <w:sz w:val="24"/>
          <w:szCs w:val="24"/>
        </w:rPr>
        <w:t>.”</w:t>
      </w:r>
      <w:r w:rsidRPr="003E342A">
        <w:rPr>
          <w:rFonts w:ascii="Times New Roman" w:hAnsi="Times New Roman" w:cs="Times New Roman"/>
          <w:color w:val="000000"/>
          <w:sz w:val="24"/>
          <w:szCs w:val="24"/>
        </w:rPr>
        <w:t xml:space="preserve"> A key word in this regulation is “novel</w:t>
      </w:r>
      <w:r w:rsidR="00225B5D" w:rsidRPr="003E342A">
        <w:rPr>
          <w:rFonts w:ascii="Times New Roman" w:hAnsi="Times New Roman" w:cs="Times New Roman"/>
          <w:color w:val="000000"/>
          <w:sz w:val="24"/>
          <w:szCs w:val="24"/>
        </w:rPr>
        <w:t>,”</w:t>
      </w:r>
      <w:r w:rsidRPr="003E342A">
        <w:rPr>
          <w:rFonts w:ascii="Times New Roman" w:hAnsi="Times New Roman" w:cs="Times New Roman"/>
          <w:color w:val="000000"/>
          <w:sz w:val="24"/>
          <w:szCs w:val="24"/>
        </w:rPr>
        <w:t xml:space="preserve"> as “ingredients that had been authorized for use before May 15, 1997” were grandfathered into approval, which included several “roundup-ready” varietals of Soy and Corn.</w:t>
      </w:r>
      <w:r w:rsidRPr="003E342A">
        <w:rPr>
          <w:rStyle w:val="FootnoteReference"/>
          <w:rFonts w:ascii="Times New Roman" w:hAnsi="Times New Roman" w:cs="Times New Roman"/>
          <w:color w:val="000000"/>
          <w:sz w:val="24"/>
          <w:szCs w:val="24"/>
        </w:rPr>
        <w:footnoteReference w:id="62"/>
      </w:r>
      <w:r w:rsidRPr="003E342A">
        <w:rPr>
          <w:rFonts w:ascii="Times New Roman" w:hAnsi="Times New Roman" w:cs="Times New Roman"/>
          <w:color w:val="000000"/>
          <w:sz w:val="24"/>
          <w:szCs w:val="24"/>
        </w:rPr>
        <w:t xml:space="preserve"> Additionally, the regulation “does not apply to additives or flavorings</w:t>
      </w:r>
      <w:r w:rsidR="00225B5D" w:rsidRPr="003E342A">
        <w:rPr>
          <w:rFonts w:ascii="Times New Roman" w:hAnsi="Times New Roman" w:cs="Times New Roman"/>
          <w:color w:val="000000"/>
          <w:sz w:val="24"/>
          <w:szCs w:val="24"/>
        </w:rPr>
        <w:t>.”</w:t>
      </w:r>
      <w:r w:rsidRPr="003E342A">
        <w:rPr>
          <w:rFonts w:ascii="Times New Roman" w:hAnsi="Times New Roman" w:cs="Times New Roman"/>
          <w:color w:val="000000"/>
          <w:sz w:val="24"/>
          <w:szCs w:val="24"/>
        </w:rPr>
        <w:t xml:space="preserve"> These loopholes were patched in the following year with 1139/98/EE, which retroactively and proactively regulated any products in which genetically modified DNA or Proteins could be detected; in other words, if it was possible to tell from analyzing the end products that they arose from a genetically modified source, they were unauthorized.</w:t>
      </w:r>
      <w:r w:rsidRPr="003E342A">
        <w:rPr>
          <w:rStyle w:val="FootnoteReference"/>
          <w:rFonts w:ascii="Times New Roman" w:hAnsi="Times New Roman" w:cs="Times New Roman"/>
          <w:color w:val="000000"/>
          <w:sz w:val="24"/>
          <w:szCs w:val="24"/>
        </w:rPr>
        <w:footnoteReference w:id="63"/>
      </w:r>
    </w:p>
    <w:p w14:paraId="754C0AD7" w14:textId="77777777" w:rsidR="000904CE" w:rsidRPr="003E342A" w:rsidRDefault="000904CE" w:rsidP="000904CE">
      <w:pPr>
        <w:spacing w:line="480" w:lineRule="auto"/>
        <w:jc w:val="both"/>
        <w:rPr>
          <w:rFonts w:ascii="Times New Roman" w:hAnsi="Times New Roman" w:cs="Times New Roman"/>
          <w:b/>
          <w:sz w:val="24"/>
          <w:szCs w:val="24"/>
        </w:rPr>
      </w:pPr>
    </w:p>
    <w:p w14:paraId="0148DF68" w14:textId="53D24759" w:rsidR="000904CE" w:rsidRPr="003E342A" w:rsidRDefault="000904CE" w:rsidP="005F50AE">
      <w:pPr>
        <w:pStyle w:val="Heading2"/>
        <w:rPr>
          <w:rFonts w:cs="Times New Roman"/>
        </w:rPr>
      </w:pPr>
      <w:r w:rsidRPr="003E342A">
        <w:rPr>
          <w:rFonts w:cs="Times New Roman"/>
        </w:rPr>
        <w:t>The 1997 Dispute</w:t>
      </w:r>
    </w:p>
    <w:p w14:paraId="5C0B973C" w14:textId="77777777" w:rsidR="005F50AE" w:rsidRPr="003E342A" w:rsidRDefault="005F50AE" w:rsidP="005F50AE">
      <w:pPr>
        <w:rPr>
          <w:rFonts w:ascii="Times New Roman" w:hAnsi="Times New Roman" w:cs="Times New Roman"/>
        </w:rPr>
      </w:pPr>
    </w:p>
    <w:p w14:paraId="63AF51A6" w14:textId="7526C31B" w:rsidR="000904CE" w:rsidRPr="003E342A" w:rsidRDefault="002644E2"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A contest in 1997 between the regulatory authority of the Commission and those of member states culminated in a standoff that still colors the discussion of GMO regulations to this day. </w:t>
      </w:r>
      <w:r w:rsidR="000904CE" w:rsidRPr="003E342A">
        <w:rPr>
          <w:rFonts w:ascii="Times New Roman" w:hAnsi="Times New Roman" w:cs="Times New Roman"/>
          <w:sz w:val="24"/>
          <w:szCs w:val="24"/>
        </w:rPr>
        <w:t>“I</w:t>
      </w:r>
      <w:r w:rsidR="000904CE" w:rsidRPr="003E342A">
        <w:rPr>
          <w:rFonts w:ascii="Times New Roman" w:hAnsi="Times New Roman" w:cs="Times New Roman"/>
          <w:color w:val="242021"/>
          <w:sz w:val="24"/>
          <w:szCs w:val="24"/>
        </w:rPr>
        <w:t xml:space="preserve">n 1997, the Commission’s decision power led to a first confrontation with the Council over </w:t>
      </w:r>
      <w:proofErr w:type="spellStart"/>
      <w:r w:rsidR="000904CE" w:rsidRPr="003E342A">
        <w:rPr>
          <w:rFonts w:ascii="Times New Roman" w:hAnsi="Times New Roman" w:cs="Times New Roman"/>
          <w:color w:val="242021"/>
          <w:sz w:val="24"/>
          <w:szCs w:val="24"/>
        </w:rPr>
        <w:t>Bt</w:t>
      </w:r>
      <w:proofErr w:type="spellEnd"/>
      <w:r w:rsidR="000904CE" w:rsidRPr="003E342A">
        <w:rPr>
          <w:rFonts w:ascii="Times New Roman" w:hAnsi="Times New Roman" w:cs="Times New Roman"/>
          <w:color w:val="242021"/>
          <w:sz w:val="24"/>
          <w:szCs w:val="24"/>
        </w:rPr>
        <w:t xml:space="preserve"> 176 maize. Neither the comitology committee nor the Council succeeded in reaching a qualified majority and the Commission ultimately approved a GM </w:t>
      </w:r>
      <w:r w:rsidR="000904CE" w:rsidRPr="00640E7E">
        <w:rPr>
          <w:rFonts w:ascii="Times New Roman" w:hAnsi="Times New Roman" w:cs="Times New Roman"/>
          <w:sz w:val="24"/>
          <w:szCs w:val="24"/>
        </w:rPr>
        <w:t xml:space="preserve">maize for sale despite the fact that only </w:t>
      </w:r>
      <w:r w:rsidR="000904CE" w:rsidRPr="00640E7E">
        <w:rPr>
          <w:rFonts w:ascii="Times New Roman" w:hAnsi="Times New Roman" w:cs="Times New Roman"/>
          <w:sz w:val="24"/>
          <w:szCs w:val="24"/>
        </w:rPr>
        <w:lastRenderedPageBreak/>
        <w:t>one Member State supported its approval</w:t>
      </w:r>
      <w:r w:rsidR="00225B5D" w:rsidRPr="00640E7E">
        <w:rPr>
          <w:rFonts w:ascii="Times New Roman" w:hAnsi="Times New Roman" w:cs="Times New Roman"/>
          <w:sz w:val="24"/>
          <w:szCs w:val="24"/>
        </w:rPr>
        <w:t>.”</w:t>
      </w:r>
      <w:r w:rsidR="000904CE" w:rsidRPr="00640E7E">
        <w:rPr>
          <w:rStyle w:val="FootnoteReference"/>
          <w:rFonts w:ascii="Times New Roman" w:hAnsi="Times New Roman" w:cs="Times New Roman"/>
          <w:sz w:val="24"/>
          <w:szCs w:val="24"/>
        </w:rPr>
        <w:footnoteReference w:id="64"/>
      </w:r>
      <w:r w:rsidRPr="00640E7E">
        <w:rPr>
          <w:rFonts w:ascii="Times New Roman" w:hAnsi="Times New Roman" w:cs="Times New Roman"/>
          <w:sz w:val="24"/>
          <w:szCs w:val="24"/>
        </w:rPr>
        <w:t xml:space="preserve"> </w:t>
      </w:r>
      <w:r w:rsidR="000904CE" w:rsidRPr="00640E7E">
        <w:rPr>
          <w:rFonts w:ascii="Times New Roman" w:hAnsi="Times New Roman" w:cs="Times New Roman"/>
          <w:sz w:val="24"/>
          <w:szCs w:val="24"/>
        </w:rPr>
        <w:t xml:space="preserve">This move led </w:t>
      </w:r>
      <w:r w:rsidR="00945A79" w:rsidRPr="00640E7E">
        <w:rPr>
          <w:rFonts w:ascii="Times New Roman" w:hAnsi="Times New Roman" w:cs="Times New Roman"/>
          <w:sz w:val="24"/>
          <w:szCs w:val="24"/>
        </w:rPr>
        <w:t xml:space="preserve">the governments of </w:t>
      </w:r>
      <w:r w:rsidR="000904CE" w:rsidRPr="00640E7E">
        <w:rPr>
          <w:rFonts w:ascii="Times New Roman" w:hAnsi="Times New Roman" w:cs="Times New Roman"/>
          <w:sz w:val="24"/>
          <w:szCs w:val="24"/>
        </w:rPr>
        <w:t xml:space="preserve">Austria, Italy </w:t>
      </w:r>
      <w:r w:rsidR="000904CE" w:rsidRPr="003E342A">
        <w:rPr>
          <w:rFonts w:ascii="Times New Roman" w:hAnsi="Times New Roman" w:cs="Times New Roman"/>
          <w:sz w:val="24"/>
          <w:szCs w:val="24"/>
        </w:rPr>
        <w:t xml:space="preserve">and Luxembourg to ban the cultivation of the maize outright, which the </w:t>
      </w:r>
      <w:r w:rsidR="00945A79" w:rsidRPr="003E342A">
        <w:rPr>
          <w:rFonts w:ascii="Times New Roman" w:hAnsi="Times New Roman" w:cs="Times New Roman"/>
          <w:sz w:val="24"/>
          <w:szCs w:val="24"/>
        </w:rPr>
        <w:t>C</w:t>
      </w:r>
      <w:r w:rsidR="000904CE" w:rsidRPr="003E342A">
        <w:rPr>
          <w:rFonts w:ascii="Times New Roman" w:hAnsi="Times New Roman" w:cs="Times New Roman"/>
          <w:sz w:val="24"/>
          <w:szCs w:val="24"/>
        </w:rPr>
        <w:t xml:space="preserve">ommission considered an illegal contravention of the </w:t>
      </w:r>
      <w:r w:rsidR="00271AE9">
        <w:rPr>
          <w:rFonts w:ascii="Times New Roman" w:hAnsi="Times New Roman" w:cs="Times New Roman"/>
          <w:sz w:val="24"/>
          <w:szCs w:val="24"/>
        </w:rPr>
        <w:t>Single Market</w:t>
      </w:r>
      <w:r w:rsidR="00470E9A" w:rsidRPr="003E342A">
        <w:rPr>
          <w:rFonts w:ascii="Times New Roman" w:hAnsi="Times New Roman" w:cs="Times New Roman"/>
          <w:sz w:val="24"/>
          <w:szCs w:val="24"/>
        </w:rPr>
        <w:t xml:space="preserve"> principle</w:t>
      </w:r>
      <w:r w:rsidR="000904CE" w:rsidRPr="003E342A">
        <w:rPr>
          <w:rFonts w:ascii="Times New Roman" w:hAnsi="Times New Roman" w:cs="Times New Roman"/>
          <w:sz w:val="24"/>
          <w:szCs w:val="24"/>
        </w:rPr>
        <w:t>, and consequently required the bans be lifted. The culmination of this dispute was that “</w:t>
      </w:r>
      <w:r w:rsidR="000904CE" w:rsidRPr="003E342A">
        <w:rPr>
          <w:rFonts w:ascii="Times New Roman" w:hAnsi="Times New Roman" w:cs="Times New Roman"/>
          <w:color w:val="242021"/>
          <w:sz w:val="24"/>
          <w:szCs w:val="24"/>
        </w:rPr>
        <w:t>In June 1999 Member States in the Environment Council announced that they would not authorize any new GM products until existing procedures were reformed</w:t>
      </w:r>
      <w:r w:rsidR="00225B5D" w:rsidRPr="003E342A">
        <w:rPr>
          <w:rFonts w:ascii="Times New Roman" w:hAnsi="Times New Roman" w:cs="Times New Roman"/>
          <w:color w:val="242021"/>
          <w:sz w:val="24"/>
          <w:szCs w:val="24"/>
        </w:rPr>
        <w:t>.”</w:t>
      </w:r>
      <w:r w:rsidR="000904CE" w:rsidRPr="003E342A">
        <w:rPr>
          <w:rStyle w:val="FootnoteReference"/>
          <w:rFonts w:ascii="Times New Roman" w:hAnsi="Times New Roman" w:cs="Times New Roman"/>
          <w:color w:val="242021"/>
          <w:sz w:val="24"/>
          <w:szCs w:val="24"/>
        </w:rPr>
        <w:footnoteReference w:id="65"/>
      </w:r>
      <w:r w:rsidR="000904CE" w:rsidRPr="003E342A">
        <w:rPr>
          <w:rFonts w:ascii="Times New Roman" w:hAnsi="Times New Roman" w:cs="Times New Roman"/>
          <w:color w:val="242021"/>
          <w:sz w:val="24"/>
          <w:szCs w:val="24"/>
        </w:rPr>
        <w:t xml:space="preserve"> </w:t>
      </w:r>
      <w:r w:rsidR="000904CE" w:rsidRPr="003E342A">
        <w:rPr>
          <w:rFonts w:ascii="Times New Roman" w:hAnsi="Times New Roman" w:cs="Times New Roman"/>
          <w:sz w:val="24"/>
          <w:szCs w:val="24"/>
        </w:rPr>
        <w:t xml:space="preserve">12 of the then 15 </w:t>
      </w:r>
      <w:r w:rsidR="005F50AE" w:rsidRPr="003E342A">
        <w:rPr>
          <w:rFonts w:ascii="Times New Roman" w:hAnsi="Times New Roman" w:cs="Times New Roman"/>
          <w:sz w:val="24"/>
          <w:szCs w:val="24"/>
        </w:rPr>
        <w:t>M</w:t>
      </w:r>
      <w:r w:rsidR="000904CE" w:rsidRPr="003E342A">
        <w:rPr>
          <w:rFonts w:ascii="Times New Roman" w:hAnsi="Times New Roman" w:cs="Times New Roman"/>
          <w:sz w:val="24"/>
          <w:szCs w:val="24"/>
        </w:rPr>
        <w:t xml:space="preserve">ember </w:t>
      </w:r>
      <w:r w:rsidR="005F50AE" w:rsidRPr="003E342A">
        <w:rPr>
          <w:rFonts w:ascii="Times New Roman" w:hAnsi="Times New Roman" w:cs="Times New Roman"/>
          <w:sz w:val="24"/>
          <w:szCs w:val="24"/>
        </w:rPr>
        <w:t>S</w:t>
      </w:r>
      <w:r w:rsidR="000904CE" w:rsidRPr="003E342A">
        <w:rPr>
          <w:rFonts w:ascii="Times New Roman" w:hAnsi="Times New Roman" w:cs="Times New Roman"/>
          <w:sz w:val="24"/>
          <w:szCs w:val="24"/>
        </w:rPr>
        <w:t>tates agreed not to authorize new GMOs, resulting in a de facto moratorium.</w:t>
      </w:r>
      <w:r w:rsidR="000904CE" w:rsidRPr="003E342A">
        <w:rPr>
          <w:rStyle w:val="FootnoteReference"/>
          <w:rFonts w:ascii="Times New Roman" w:hAnsi="Times New Roman" w:cs="Times New Roman"/>
          <w:sz w:val="24"/>
          <w:szCs w:val="24"/>
        </w:rPr>
        <w:footnoteReference w:id="66"/>
      </w:r>
      <w:r w:rsidR="000904CE" w:rsidRPr="003E342A">
        <w:rPr>
          <w:rFonts w:ascii="Times New Roman" w:hAnsi="Times New Roman" w:cs="Times New Roman"/>
          <w:sz w:val="24"/>
          <w:szCs w:val="24"/>
        </w:rPr>
        <w:t xml:space="preserve"> </w:t>
      </w:r>
    </w:p>
    <w:p w14:paraId="38CFFA49" w14:textId="2E2B112B" w:rsidR="000904CE" w:rsidRPr="003E342A" w:rsidRDefault="000904CE" w:rsidP="005F50AE">
      <w:pPr>
        <w:pStyle w:val="Heading1"/>
        <w:rPr>
          <w:rFonts w:cs="Times New Roman"/>
        </w:rPr>
      </w:pPr>
      <w:bookmarkStart w:id="15" w:name="_Toc531878486"/>
      <w:r w:rsidRPr="003E342A">
        <w:rPr>
          <w:rFonts w:cs="Times New Roman"/>
        </w:rPr>
        <w:t>Recent Development</w:t>
      </w:r>
      <w:bookmarkEnd w:id="15"/>
    </w:p>
    <w:p w14:paraId="2CFA643C" w14:textId="77777777" w:rsidR="005F50AE" w:rsidRPr="003E342A" w:rsidRDefault="005F50AE" w:rsidP="005F50AE">
      <w:pPr>
        <w:rPr>
          <w:rFonts w:ascii="Times New Roman" w:hAnsi="Times New Roman" w:cs="Times New Roman"/>
        </w:rPr>
      </w:pPr>
    </w:p>
    <w:p w14:paraId="1DC1A3B4" w14:textId="5DFDA3C9"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The EU’s current policy on GMOs can be traced to 2010 with the proposal to grant the Member States authority over the cultivation of GMOs in their territory, a policy “described as ‘renationalization’ of prerogatives previously exercised at the European level</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67"/>
      </w:r>
      <w:r w:rsidRPr="003E342A">
        <w:rPr>
          <w:rFonts w:ascii="Times New Roman" w:hAnsi="Times New Roman" w:cs="Times New Roman"/>
          <w:sz w:val="24"/>
          <w:szCs w:val="24"/>
        </w:rPr>
        <w:t xml:space="preserve"> </w:t>
      </w:r>
      <w:proofErr w:type="spellStart"/>
      <w:r w:rsidRPr="003E342A">
        <w:rPr>
          <w:rFonts w:ascii="Times New Roman" w:hAnsi="Times New Roman" w:cs="Times New Roman"/>
          <w:sz w:val="24"/>
          <w:szCs w:val="24"/>
        </w:rPr>
        <w:t>Randour</w:t>
      </w:r>
      <w:proofErr w:type="spellEnd"/>
      <w:r w:rsidRPr="003E342A">
        <w:rPr>
          <w:rFonts w:ascii="Times New Roman" w:hAnsi="Times New Roman" w:cs="Times New Roman"/>
          <w:sz w:val="24"/>
          <w:szCs w:val="24"/>
        </w:rPr>
        <w:t xml:space="preserve"> (2014) analyzes the 2010 devolution of regulatory authority from a multi-level governance framework, arguing that the interplay of Subnational Resistance (environmental groups, namely the GMO-free Regions Network), the European Parliament (Green MEPs who accepted the devolution as a compromise), The EU Council (only 6 member states have GM crops on their territories) , and looming pressure from the WTO (in May 2003 several countries including the United States initiated a trade dispute regarding the de facto moratorium on new biotechnology) forced a reckoning. Caught between the rock of external trade pressure and the hard place of intransigent member states, the </w:t>
      </w:r>
      <w:r w:rsidR="00551B3B" w:rsidRPr="003E342A">
        <w:rPr>
          <w:rFonts w:ascii="Times New Roman" w:hAnsi="Times New Roman" w:cs="Times New Roman"/>
          <w:sz w:val="24"/>
          <w:szCs w:val="24"/>
        </w:rPr>
        <w:t>Commission</w:t>
      </w:r>
      <w:r w:rsidRPr="003E342A">
        <w:rPr>
          <w:rFonts w:ascii="Times New Roman" w:hAnsi="Times New Roman" w:cs="Times New Roman"/>
          <w:sz w:val="24"/>
          <w:szCs w:val="24"/>
        </w:rPr>
        <w:t xml:space="preserve"> chose to surrender some authority and devolve power to members– indeed, resolving the problem by avoiding it and placing the regulatory onus on national </w:t>
      </w:r>
      <w:r w:rsidRPr="003E342A">
        <w:rPr>
          <w:rFonts w:ascii="Times New Roman" w:hAnsi="Times New Roman" w:cs="Times New Roman"/>
          <w:sz w:val="24"/>
          <w:szCs w:val="24"/>
        </w:rPr>
        <w:lastRenderedPageBreak/>
        <w:t>governments.</w:t>
      </w:r>
      <w:r w:rsidRPr="003E342A">
        <w:rPr>
          <w:rStyle w:val="FootnoteReference"/>
          <w:rFonts w:ascii="Times New Roman" w:hAnsi="Times New Roman" w:cs="Times New Roman"/>
          <w:sz w:val="24"/>
          <w:szCs w:val="24"/>
        </w:rPr>
        <w:footnoteReference w:id="68"/>
      </w:r>
      <w:r w:rsidRPr="003E342A">
        <w:rPr>
          <w:rFonts w:ascii="Times New Roman" w:hAnsi="Times New Roman" w:cs="Times New Roman"/>
          <w:sz w:val="24"/>
          <w:szCs w:val="24"/>
        </w:rPr>
        <w:t xml:space="preserve"> </w:t>
      </w:r>
      <w:proofErr w:type="spellStart"/>
      <w:r w:rsidRPr="003E342A">
        <w:rPr>
          <w:rFonts w:ascii="Times New Roman" w:hAnsi="Times New Roman" w:cs="Times New Roman"/>
          <w:sz w:val="24"/>
          <w:szCs w:val="24"/>
        </w:rPr>
        <w:t>Randour</w:t>
      </w:r>
      <w:proofErr w:type="spellEnd"/>
      <w:r w:rsidRPr="003E342A">
        <w:rPr>
          <w:rFonts w:ascii="Times New Roman" w:hAnsi="Times New Roman" w:cs="Times New Roman"/>
          <w:sz w:val="24"/>
          <w:szCs w:val="24"/>
        </w:rPr>
        <w:t xml:space="preserve"> observes that several factors indicate that the EU conducted this multi-level balancing act: “first, the proposal tried to avoid breaching WTO rules by not altering the science-based assessments and the authorization process…second, the arguments to be used under the ‘new’ opt-out clause are to be entirely separated from environmental and health concerns” which demonstrates deference to political pressures, and “third, this compromise specifically aims to…ensure the functioning of the internal market” (1318). </w:t>
      </w:r>
      <w:proofErr w:type="spellStart"/>
      <w:r w:rsidRPr="003E342A">
        <w:rPr>
          <w:rFonts w:ascii="Times New Roman" w:hAnsi="Times New Roman" w:cs="Times New Roman"/>
          <w:sz w:val="24"/>
          <w:szCs w:val="24"/>
        </w:rPr>
        <w:t>Randour</w:t>
      </w:r>
      <w:proofErr w:type="spellEnd"/>
      <w:r w:rsidRPr="003E342A">
        <w:rPr>
          <w:rFonts w:ascii="Times New Roman" w:hAnsi="Times New Roman" w:cs="Times New Roman"/>
          <w:sz w:val="24"/>
          <w:szCs w:val="24"/>
        </w:rPr>
        <w:t xml:space="preserve"> poses the question of why the EU would voluntarily devolve this authority to Member States despite the above evidenced history of seeking generally to maximize authority over a wide range of issues, clearly including policies on science and technical regulation, and much of </w:t>
      </w:r>
      <w:proofErr w:type="spellStart"/>
      <w:r w:rsidRPr="003E342A">
        <w:rPr>
          <w:rFonts w:ascii="Times New Roman" w:hAnsi="Times New Roman" w:cs="Times New Roman"/>
          <w:sz w:val="24"/>
          <w:szCs w:val="24"/>
        </w:rPr>
        <w:t>Randour’s</w:t>
      </w:r>
      <w:proofErr w:type="spellEnd"/>
      <w:r w:rsidRPr="003E342A">
        <w:rPr>
          <w:rFonts w:ascii="Times New Roman" w:hAnsi="Times New Roman" w:cs="Times New Roman"/>
          <w:sz w:val="24"/>
          <w:szCs w:val="24"/>
        </w:rPr>
        <w:t xml:space="preserve"> analysis remains valid for understanding criticisms of the current 2017-2018 comitological reform proposal.</w:t>
      </w:r>
    </w:p>
    <w:p w14:paraId="28B1FA6C" w14:textId="3DB0EDC6" w:rsidR="000904CE" w:rsidRPr="003E342A" w:rsidRDefault="000904CE" w:rsidP="000904CE">
      <w:pPr>
        <w:spacing w:line="480" w:lineRule="auto"/>
        <w:ind w:firstLine="720"/>
        <w:jc w:val="both"/>
        <w:rPr>
          <w:rFonts w:ascii="Times New Roman" w:hAnsi="Times New Roman" w:cs="Times New Roman"/>
          <w:color w:val="242021"/>
          <w:sz w:val="24"/>
          <w:szCs w:val="24"/>
        </w:rPr>
      </w:pPr>
      <w:r w:rsidRPr="003E342A">
        <w:rPr>
          <w:rFonts w:ascii="Times New Roman" w:hAnsi="Times New Roman" w:cs="Times New Roman"/>
          <w:sz w:val="24"/>
          <w:szCs w:val="24"/>
        </w:rPr>
        <w:t xml:space="preserve">Devolution was not the only option available to the Commission, however, as many countries do use WTO obligations as weapons in a fight for internal reform, and a threat of a victory for retaliatory sanctions from the United States may have proven an effective bludgeon against internal prohibitions on GMO cultivation. As </w:t>
      </w:r>
      <w:proofErr w:type="spellStart"/>
      <w:r w:rsidRPr="003E342A">
        <w:rPr>
          <w:rFonts w:ascii="Times New Roman" w:hAnsi="Times New Roman" w:cs="Times New Roman"/>
          <w:sz w:val="24"/>
          <w:szCs w:val="24"/>
        </w:rPr>
        <w:t>Skogstad</w:t>
      </w:r>
      <w:proofErr w:type="spellEnd"/>
      <w:r w:rsidRPr="003E342A">
        <w:rPr>
          <w:rFonts w:ascii="Times New Roman" w:hAnsi="Times New Roman" w:cs="Times New Roman"/>
          <w:sz w:val="24"/>
          <w:szCs w:val="24"/>
        </w:rPr>
        <w:t xml:space="preserve"> </w:t>
      </w:r>
      <w:r w:rsidRPr="003E342A">
        <w:rPr>
          <w:rFonts w:ascii="Times New Roman" w:hAnsi="Times New Roman" w:cs="Times New Roman"/>
          <w:color w:val="242021"/>
          <w:sz w:val="24"/>
          <w:szCs w:val="24"/>
        </w:rPr>
        <w:t xml:space="preserve"> observes, “EU policies…have been under attack for some time both within the EU and outside, from EU trading partners and fellow WTO members like the US</w:t>
      </w:r>
      <w:r w:rsidR="00225B5D"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69"/>
      </w:r>
      <w:r w:rsidRPr="003E342A">
        <w:rPr>
          <w:rFonts w:ascii="Times New Roman" w:hAnsi="Times New Roman" w:cs="Times New Roman"/>
          <w:color w:val="242021"/>
          <w:sz w:val="24"/>
          <w:szCs w:val="24"/>
        </w:rPr>
        <w:t xml:space="preserve"> </w:t>
      </w:r>
      <w:proofErr w:type="spellStart"/>
      <w:r w:rsidRPr="003E342A">
        <w:rPr>
          <w:rFonts w:ascii="Times New Roman" w:hAnsi="Times New Roman" w:cs="Times New Roman"/>
          <w:color w:val="242021"/>
          <w:sz w:val="24"/>
          <w:szCs w:val="24"/>
        </w:rPr>
        <w:t>Skogstad</w:t>
      </w:r>
      <w:proofErr w:type="spellEnd"/>
      <w:r w:rsidRPr="003E342A">
        <w:rPr>
          <w:rFonts w:ascii="Times New Roman" w:hAnsi="Times New Roman" w:cs="Times New Roman"/>
          <w:color w:val="242021"/>
          <w:sz w:val="24"/>
          <w:szCs w:val="24"/>
        </w:rPr>
        <w:t xml:space="preserve"> continues: “Both internal and external criticisms fault the failure of the EU GMO regulatory regime to conform to ‘rendering account’ standards…The ascendant precautionary EU political culture of risk regulation, emphasizing the uncertainty of GMO risks and </w:t>
      </w:r>
      <w:proofErr w:type="spellStart"/>
      <w:r w:rsidRPr="003E342A">
        <w:rPr>
          <w:rFonts w:ascii="Times New Roman" w:hAnsi="Times New Roman" w:cs="Times New Roman"/>
          <w:color w:val="242021"/>
          <w:sz w:val="24"/>
          <w:szCs w:val="24"/>
        </w:rPr>
        <w:t>sceptical</w:t>
      </w:r>
      <w:proofErr w:type="spellEnd"/>
      <w:r w:rsidRPr="003E342A">
        <w:rPr>
          <w:rFonts w:ascii="Times New Roman" w:hAnsi="Times New Roman" w:cs="Times New Roman"/>
          <w:color w:val="242021"/>
          <w:sz w:val="24"/>
          <w:szCs w:val="24"/>
        </w:rPr>
        <w:t xml:space="preserve"> of scientists’ capacity to assess GMO risks, is reluctant to delegate regulatory authority to scientific experts and measures the accountability of EU decision-makers against democratic principles of popular control</w:t>
      </w:r>
      <w:r w:rsidR="00225B5D" w:rsidRPr="003E342A">
        <w:rPr>
          <w:rFonts w:ascii="Times New Roman" w:hAnsi="Times New Roman" w:cs="Times New Roman"/>
          <w:color w:val="242021"/>
          <w:sz w:val="24"/>
          <w:szCs w:val="24"/>
        </w:rPr>
        <w:t>.”</w:t>
      </w:r>
    </w:p>
    <w:p w14:paraId="4EE0C665" w14:textId="1021DECE" w:rsidR="000904CE" w:rsidRPr="003E342A" w:rsidRDefault="000904CE" w:rsidP="000904CE">
      <w:pPr>
        <w:spacing w:line="480" w:lineRule="auto"/>
        <w:ind w:firstLine="720"/>
        <w:jc w:val="both"/>
        <w:rPr>
          <w:rFonts w:ascii="Times New Roman" w:hAnsi="Times New Roman" w:cs="Times New Roman"/>
          <w:color w:val="242021"/>
          <w:sz w:val="24"/>
          <w:szCs w:val="24"/>
        </w:rPr>
      </w:pPr>
      <w:r w:rsidRPr="003E342A">
        <w:rPr>
          <w:rFonts w:ascii="Times New Roman" w:hAnsi="Times New Roman" w:cs="Times New Roman"/>
          <w:color w:val="242021"/>
          <w:sz w:val="24"/>
          <w:szCs w:val="24"/>
        </w:rPr>
        <w:lastRenderedPageBreak/>
        <w:t>The question of why the political culture is reluctant to side with scientific experts over democratic principles is one that is explored further, but one possible answer lies in the</w:t>
      </w:r>
      <w:r w:rsidR="000F5E02">
        <w:rPr>
          <w:rFonts w:ascii="Times New Roman" w:hAnsi="Times New Roman" w:cs="Times New Roman"/>
          <w:color w:val="242021"/>
          <w:sz w:val="24"/>
          <w:szCs w:val="24"/>
        </w:rPr>
        <w:t xml:space="preserve"> desire to address the</w:t>
      </w:r>
      <w:r w:rsidRPr="003E342A">
        <w:rPr>
          <w:rFonts w:ascii="Times New Roman" w:hAnsi="Times New Roman" w:cs="Times New Roman"/>
          <w:color w:val="242021"/>
          <w:sz w:val="24"/>
          <w:szCs w:val="24"/>
        </w:rPr>
        <w:t xml:space="preserve"> </w:t>
      </w:r>
      <w:r w:rsidR="00551B3B" w:rsidRPr="003E342A">
        <w:rPr>
          <w:rFonts w:ascii="Times New Roman" w:hAnsi="Times New Roman" w:cs="Times New Roman"/>
          <w:color w:val="242021"/>
          <w:sz w:val="24"/>
          <w:szCs w:val="24"/>
        </w:rPr>
        <w:t>“</w:t>
      </w:r>
      <w:r w:rsidRPr="003E342A">
        <w:rPr>
          <w:rFonts w:ascii="Times New Roman" w:hAnsi="Times New Roman" w:cs="Times New Roman"/>
          <w:color w:val="242021"/>
          <w:sz w:val="24"/>
          <w:szCs w:val="24"/>
        </w:rPr>
        <w:t>democratic deficit</w:t>
      </w:r>
      <w:r w:rsidR="00551B3B" w:rsidRPr="003E342A">
        <w:rPr>
          <w:rFonts w:ascii="Times New Roman" w:hAnsi="Times New Roman" w:cs="Times New Roman"/>
          <w:color w:val="242021"/>
          <w:sz w:val="24"/>
          <w:szCs w:val="24"/>
        </w:rPr>
        <w:t>” - explored in greater depth in Chapter III, but generally referring to the perceived lack of democratic input into the decisionmaking processes of EU institutions</w:t>
      </w:r>
      <w:r w:rsidR="0050536F" w:rsidRPr="003E342A">
        <w:rPr>
          <w:rFonts w:ascii="Times New Roman" w:hAnsi="Times New Roman" w:cs="Times New Roman"/>
          <w:color w:val="242021"/>
          <w:sz w:val="24"/>
          <w:szCs w:val="24"/>
        </w:rPr>
        <w:t>, particularly as those decisions are moved “higher” into EU institutions and away from the people or their national governments</w:t>
      </w:r>
      <w:r w:rsidRPr="003E342A">
        <w:rPr>
          <w:rFonts w:ascii="Times New Roman" w:hAnsi="Times New Roman" w:cs="Times New Roman"/>
          <w:color w:val="242021"/>
          <w:sz w:val="24"/>
          <w:szCs w:val="24"/>
        </w:rPr>
        <w:t xml:space="preserve">. While </w:t>
      </w:r>
      <w:r w:rsidR="00551B3B" w:rsidRPr="003E342A">
        <w:rPr>
          <w:rFonts w:ascii="Times New Roman" w:hAnsi="Times New Roman" w:cs="Times New Roman"/>
          <w:color w:val="242021"/>
          <w:sz w:val="24"/>
          <w:szCs w:val="24"/>
        </w:rPr>
        <w:t>legislative processes</w:t>
      </w:r>
      <w:r w:rsidRPr="003E342A">
        <w:rPr>
          <w:rFonts w:ascii="Times New Roman" w:hAnsi="Times New Roman" w:cs="Times New Roman"/>
          <w:color w:val="242021"/>
          <w:sz w:val="24"/>
          <w:szCs w:val="24"/>
        </w:rPr>
        <w:t xml:space="preserve"> may represent a model of </w:t>
      </w:r>
      <w:r w:rsidR="00551B3B" w:rsidRPr="003E342A">
        <w:rPr>
          <w:rFonts w:ascii="Times New Roman" w:hAnsi="Times New Roman" w:cs="Times New Roman"/>
          <w:color w:val="242021"/>
          <w:sz w:val="24"/>
          <w:szCs w:val="24"/>
        </w:rPr>
        <w:t xml:space="preserve">what </w:t>
      </w:r>
      <w:proofErr w:type="spellStart"/>
      <w:r w:rsidR="00551B3B" w:rsidRPr="003E342A">
        <w:rPr>
          <w:rFonts w:ascii="Times New Roman" w:hAnsi="Times New Roman" w:cs="Times New Roman"/>
          <w:color w:val="242021"/>
          <w:sz w:val="24"/>
          <w:szCs w:val="24"/>
        </w:rPr>
        <w:t>Skogstad</w:t>
      </w:r>
      <w:proofErr w:type="spellEnd"/>
      <w:r w:rsidR="00551B3B" w:rsidRPr="003E342A">
        <w:rPr>
          <w:rFonts w:ascii="Times New Roman" w:hAnsi="Times New Roman" w:cs="Times New Roman"/>
          <w:color w:val="242021"/>
          <w:sz w:val="24"/>
          <w:szCs w:val="24"/>
        </w:rPr>
        <w:t xml:space="preserve"> calls a “</w:t>
      </w:r>
      <w:r w:rsidRPr="003E342A">
        <w:rPr>
          <w:rFonts w:ascii="Times New Roman" w:hAnsi="Times New Roman" w:cs="Times New Roman"/>
          <w:color w:val="242021"/>
          <w:sz w:val="24"/>
          <w:szCs w:val="24"/>
        </w:rPr>
        <w:t>shared political authority</w:t>
      </w:r>
      <w:r w:rsidR="00551B3B" w:rsidRPr="003E342A">
        <w:rPr>
          <w:rFonts w:ascii="Times New Roman" w:hAnsi="Times New Roman" w:cs="Times New Roman"/>
          <w:color w:val="242021"/>
          <w:sz w:val="24"/>
          <w:szCs w:val="24"/>
        </w:rPr>
        <w:t>” that rests on democratic processes, the</w:t>
      </w:r>
      <w:r w:rsidRPr="003E342A">
        <w:rPr>
          <w:rFonts w:ascii="Times New Roman" w:hAnsi="Times New Roman" w:cs="Times New Roman"/>
          <w:color w:val="242021"/>
          <w:sz w:val="24"/>
          <w:szCs w:val="24"/>
        </w:rPr>
        <w:t xml:space="preserve"> “implementation of these same regulations by comitology procedures”</w:t>
      </w:r>
      <w:r w:rsidR="002A0099" w:rsidRPr="003E342A">
        <w:rPr>
          <w:rFonts w:ascii="Times New Roman" w:hAnsi="Times New Roman" w:cs="Times New Roman"/>
          <w:color w:val="242021"/>
          <w:sz w:val="24"/>
          <w:szCs w:val="24"/>
        </w:rPr>
        <w:t xml:space="preserve"> – using internal Commission mechanisms to avoid relying on Member State input – </w:t>
      </w:r>
      <w:r w:rsidRPr="003E342A">
        <w:rPr>
          <w:rFonts w:ascii="Times New Roman" w:hAnsi="Times New Roman" w:cs="Times New Roman"/>
          <w:color w:val="242021"/>
          <w:sz w:val="24"/>
          <w:szCs w:val="24"/>
        </w:rPr>
        <w:t xml:space="preserve"> is an element of a </w:t>
      </w:r>
      <w:r w:rsidR="002A0099" w:rsidRPr="003E342A">
        <w:rPr>
          <w:rFonts w:ascii="Times New Roman" w:hAnsi="Times New Roman" w:cs="Times New Roman"/>
          <w:color w:val="242021"/>
          <w:sz w:val="24"/>
          <w:szCs w:val="24"/>
        </w:rPr>
        <w:t>“</w:t>
      </w:r>
      <w:r w:rsidRPr="003E342A">
        <w:rPr>
          <w:rFonts w:ascii="Times New Roman" w:hAnsi="Times New Roman" w:cs="Times New Roman"/>
          <w:color w:val="242021"/>
          <w:sz w:val="24"/>
          <w:szCs w:val="24"/>
        </w:rPr>
        <w:t>delegated</w:t>
      </w:r>
      <w:r w:rsidR="002A0099" w:rsidRPr="003E342A">
        <w:rPr>
          <w:rFonts w:ascii="Times New Roman" w:hAnsi="Times New Roman" w:cs="Times New Roman"/>
          <w:color w:val="242021"/>
          <w:sz w:val="24"/>
          <w:szCs w:val="24"/>
        </w:rPr>
        <w:t>”</w:t>
      </w:r>
      <w:r w:rsidRPr="003E342A">
        <w:rPr>
          <w:rFonts w:ascii="Times New Roman" w:hAnsi="Times New Roman" w:cs="Times New Roman"/>
          <w:color w:val="242021"/>
          <w:sz w:val="24"/>
          <w:szCs w:val="24"/>
        </w:rPr>
        <w:t xml:space="preserve"> form of authority</w:t>
      </w:r>
      <w:r w:rsidR="00551B3B" w:rsidRPr="003E342A">
        <w:rPr>
          <w:rFonts w:ascii="Times New Roman" w:hAnsi="Times New Roman" w:cs="Times New Roman"/>
          <w:color w:val="242021"/>
          <w:sz w:val="24"/>
          <w:szCs w:val="24"/>
        </w:rPr>
        <w:t xml:space="preserve"> not democratically exercised by individual states but rather by the body they delegate to exercise them</w:t>
      </w:r>
      <w:r w:rsidR="002A0099" w:rsidRPr="003E342A">
        <w:rPr>
          <w:rFonts w:ascii="Times New Roman" w:hAnsi="Times New Roman" w:cs="Times New Roman"/>
          <w:color w:val="242021"/>
          <w:sz w:val="24"/>
          <w:szCs w:val="24"/>
        </w:rPr>
        <w:t xml:space="preserve"> </w:t>
      </w:r>
      <w:r w:rsidR="00551B3B" w:rsidRPr="003E342A">
        <w:rPr>
          <w:rFonts w:ascii="Times New Roman" w:hAnsi="Times New Roman" w:cs="Times New Roman"/>
          <w:color w:val="242021"/>
          <w:sz w:val="24"/>
          <w:szCs w:val="24"/>
        </w:rPr>
        <w:t>(i.e. the Commission)</w:t>
      </w:r>
      <w:r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70"/>
      </w:r>
      <w:r w:rsidRPr="003E342A">
        <w:rPr>
          <w:rFonts w:ascii="Times New Roman" w:hAnsi="Times New Roman" w:cs="Times New Roman"/>
          <w:color w:val="242021"/>
          <w:sz w:val="24"/>
          <w:szCs w:val="24"/>
        </w:rPr>
        <w:t xml:space="preserve"> </w:t>
      </w:r>
      <w:r w:rsidRPr="003E342A">
        <w:rPr>
          <w:rFonts w:ascii="Times New Roman" w:hAnsi="Times New Roman" w:cs="Times New Roman"/>
          <w:sz w:val="24"/>
          <w:szCs w:val="24"/>
        </w:rPr>
        <w:t xml:space="preserve">However, “The EU” is not a unitary actor, and as a nominally democratic institution the member states and representatives that compose decisionmaking bodies are bound </w:t>
      </w:r>
      <w:r w:rsidR="00551B3B" w:rsidRPr="003E342A">
        <w:rPr>
          <w:rFonts w:ascii="Times New Roman" w:hAnsi="Times New Roman" w:cs="Times New Roman"/>
          <w:sz w:val="24"/>
          <w:szCs w:val="24"/>
        </w:rPr>
        <w:t xml:space="preserve">to some extent, at least in norms, </w:t>
      </w:r>
      <w:r w:rsidRPr="003E342A">
        <w:rPr>
          <w:rFonts w:ascii="Times New Roman" w:hAnsi="Times New Roman" w:cs="Times New Roman"/>
          <w:sz w:val="24"/>
          <w:szCs w:val="24"/>
        </w:rPr>
        <w:t>by the desires of Member State governments – the majority of whom desired the ability to prohibit GMO cultivation, but some of which represented countries with sizeable biotech industries that would be devastated by an EU-wide ban. Given such circumstances, there may have been little room for maneuvering.</w:t>
      </w:r>
    </w:p>
    <w:p w14:paraId="2027DD45" w14:textId="44E4C5BE" w:rsidR="000904CE" w:rsidRPr="003E342A" w:rsidRDefault="00F877AD" w:rsidP="000904CE">
      <w:pPr>
        <w:spacing w:line="480" w:lineRule="auto"/>
        <w:ind w:firstLine="720"/>
        <w:jc w:val="both"/>
        <w:rPr>
          <w:rFonts w:ascii="Times New Roman" w:hAnsi="Times New Roman" w:cs="Times New Roman"/>
          <w:color w:val="242021"/>
          <w:sz w:val="24"/>
          <w:szCs w:val="24"/>
        </w:rPr>
      </w:pPr>
      <w:r>
        <w:rPr>
          <w:rFonts w:ascii="Times New Roman" w:hAnsi="Times New Roman" w:cs="Times New Roman"/>
          <w:sz w:val="24"/>
          <w:szCs w:val="24"/>
        </w:rPr>
        <w:t>Nevertheless, the policy of devolution or “renationalization”</w:t>
      </w:r>
      <w:r w:rsidR="000904CE" w:rsidRPr="003E342A">
        <w:rPr>
          <w:rFonts w:ascii="Times New Roman" w:hAnsi="Times New Roman" w:cs="Times New Roman"/>
          <w:sz w:val="24"/>
          <w:szCs w:val="24"/>
        </w:rPr>
        <w:t xml:space="preserve"> represents a divergence from standard operating procedure in many policy areas: “</w:t>
      </w:r>
      <w:r w:rsidR="000904CE" w:rsidRPr="003E342A">
        <w:rPr>
          <w:rFonts w:ascii="Times New Roman" w:hAnsi="Times New Roman" w:cs="Times New Roman"/>
          <w:color w:val="242021"/>
          <w:sz w:val="24"/>
          <w:szCs w:val="24"/>
        </w:rPr>
        <w:t>Although comitology rules permit a qualified majority of Member States to prevail over a dissenting minority of states</w:t>
      </w:r>
      <w:r w:rsidR="000904CE" w:rsidRPr="003E342A">
        <w:rPr>
          <w:rFonts w:ascii="Times New Roman" w:hAnsi="Times New Roman" w:cs="Times New Roman"/>
          <w:sz w:val="24"/>
          <w:szCs w:val="24"/>
        </w:rPr>
        <w:t xml:space="preserve">, </w:t>
      </w:r>
      <w:r w:rsidR="000904CE" w:rsidRPr="003E342A">
        <w:rPr>
          <w:rFonts w:ascii="Times New Roman" w:hAnsi="Times New Roman" w:cs="Times New Roman"/>
          <w:color w:val="242021"/>
          <w:sz w:val="24"/>
          <w:szCs w:val="24"/>
        </w:rPr>
        <w:t xml:space="preserve">in practice representatives of Member States in committees and the Council work toward consensus-building” – GMO policy thus represents a particularly intractable area of EU policy that defies established </w:t>
      </w:r>
      <w:r w:rsidR="000904CE" w:rsidRPr="003E342A">
        <w:rPr>
          <w:rFonts w:ascii="Times New Roman" w:hAnsi="Times New Roman" w:cs="Times New Roman"/>
          <w:color w:val="242021"/>
          <w:sz w:val="24"/>
          <w:szCs w:val="24"/>
        </w:rPr>
        <w:lastRenderedPageBreak/>
        <w:t>norms of consensus-seeking behavior of member states.</w:t>
      </w:r>
      <w:r w:rsidR="000904CE" w:rsidRPr="003E342A">
        <w:rPr>
          <w:rStyle w:val="FootnoteReference"/>
          <w:rFonts w:ascii="Times New Roman" w:hAnsi="Times New Roman" w:cs="Times New Roman"/>
          <w:color w:val="242021"/>
          <w:sz w:val="24"/>
          <w:szCs w:val="24"/>
        </w:rPr>
        <w:footnoteReference w:id="71"/>
      </w:r>
      <w:r w:rsidR="000904CE" w:rsidRPr="003E342A">
        <w:rPr>
          <w:rFonts w:ascii="Times New Roman" w:hAnsi="Times New Roman" w:cs="Times New Roman"/>
          <w:color w:val="242021"/>
          <w:sz w:val="24"/>
          <w:szCs w:val="24"/>
        </w:rPr>
        <w:t xml:space="preserve"> Rather, the GMO issue seems to play out according to different rules.</w:t>
      </w:r>
    </w:p>
    <w:p w14:paraId="34606BF8" w14:textId="77777777" w:rsidR="000904CE" w:rsidRPr="003E342A" w:rsidRDefault="000904CE" w:rsidP="000904CE">
      <w:pPr>
        <w:spacing w:line="480" w:lineRule="auto"/>
        <w:jc w:val="both"/>
        <w:rPr>
          <w:rFonts w:ascii="Times New Roman" w:hAnsi="Times New Roman" w:cs="Times New Roman"/>
          <w:color w:val="242021"/>
          <w:sz w:val="24"/>
          <w:szCs w:val="24"/>
        </w:rPr>
      </w:pPr>
    </w:p>
    <w:p w14:paraId="721AE301" w14:textId="6F3DEE37" w:rsidR="000904CE" w:rsidRPr="003E342A" w:rsidRDefault="000904CE" w:rsidP="005F50AE">
      <w:pPr>
        <w:pStyle w:val="Heading2"/>
        <w:rPr>
          <w:rFonts w:cs="Times New Roman"/>
        </w:rPr>
      </w:pPr>
      <w:r w:rsidRPr="003E342A">
        <w:rPr>
          <w:rFonts w:cs="Times New Roman"/>
        </w:rPr>
        <w:t>Four Pillars</w:t>
      </w:r>
    </w:p>
    <w:p w14:paraId="735D5815" w14:textId="77777777" w:rsidR="005F50AE" w:rsidRPr="003E342A" w:rsidRDefault="005F50AE" w:rsidP="005F50AE">
      <w:pPr>
        <w:rPr>
          <w:rFonts w:ascii="Times New Roman" w:hAnsi="Times New Roman" w:cs="Times New Roman"/>
        </w:rPr>
      </w:pPr>
    </w:p>
    <w:p w14:paraId="0C839C5F" w14:textId="2A57C796" w:rsidR="000904CE" w:rsidRPr="003E342A" w:rsidRDefault="000904CE" w:rsidP="00762343">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Four Commission directives that have been produced in the past 20 years form the pillars of the European stance on GMOs. “</w:t>
      </w:r>
      <w:r w:rsidRPr="003E342A">
        <w:rPr>
          <w:rFonts w:ascii="Times New Roman" w:hAnsi="Times New Roman" w:cs="Times New Roman"/>
          <w:color w:val="242021"/>
          <w:sz w:val="24"/>
          <w:szCs w:val="24"/>
        </w:rPr>
        <w:t>This package of reforms can be read as an effort to strengthen both democratic (participation) accountability standards of popular control as well as delegated fiduciary-based principles of performance accountability</w:t>
      </w:r>
      <w:r w:rsidR="00225B5D"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72"/>
      </w:r>
    </w:p>
    <w:p w14:paraId="3012977E" w14:textId="77777777" w:rsidR="000904CE" w:rsidRPr="003E342A" w:rsidRDefault="000904CE" w:rsidP="000904CE">
      <w:pPr>
        <w:numPr>
          <w:ilvl w:val="0"/>
          <w:numId w:val="1"/>
        </w:numPr>
        <w:spacing w:after="160"/>
        <w:jc w:val="both"/>
        <w:rPr>
          <w:rFonts w:ascii="Times New Roman" w:hAnsi="Times New Roman" w:cs="Times New Roman"/>
          <w:sz w:val="24"/>
          <w:szCs w:val="24"/>
        </w:rPr>
      </w:pPr>
      <w:r w:rsidRPr="003E342A">
        <w:rPr>
          <w:rFonts w:ascii="Times New Roman" w:hAnsi="Times New Roman" w:cs="Times New Roman"/>
          <w:sz w:val="24"/>
          <w:szCs w:val="24"/>
        </w:rPr>
        <w:t>Directive 2001/18, the Deliberate Release Directive. Its objective is to ensure the environmental safety of ‘live’ GMOs, like GM maize kernels or rapeseed. Like Directive 90/220 which it replaced in April 2001, Directive 2001/18 requires a risk assessment of every GMO before it is released into the environment.</w:t>
      </w:r>
    </w:p>
    <w:p w14:paraId="544A9257" w14:textId="77777777" w:rsidR="000904CE" w:rsidRPr="003E342A" w:rsidRDefault="000904CE" w:rsidP="000904CE">
      <w:pPr>
        <w:numPr>
          <w:ilvl w:val="0"/>
          <w:numId w:val="1"/>
        </w:numPr>
        <w:spacing w:after="160"/>
        <w:jc w:val="both"/>
        <w:rPr>
          <w:rFonts w:ascii="Times New Roman" w:hAnsi="Times New Roman" w:cs="Times New Roman"/>
          <w:sz w:val="24"/>
          <w:szCs w:val="24"/>
        </w:rPr>
      </w:pPr>
      <w:r w:rsidRPr="003E342A">
        <w:rPr>
          <w:rFonts w:ascii="Times New Roman" w:hAnsi="Times New Roman" w:cs="Times New Roman"/>
          <w:sz w:val="24"/>
          <w:szCs w:val="24"/>
        </w:rPr>
        <w:t>Regulation 1829/2003, the Food and Feed Regulation (Commission, 2003a), which replaced the 1997 Novel Food Directive. Its regulatory procedures are designed to ensure the human and animal health and safety of any GM food and feed, and processed food made from GMOs (like cornstarch) that are marketed in the EU.</w:t>
      </w:r>
    </w:p>
    <w:p w14:paraId="4BDCFE14" w14:textId="77777777" w:rsidR="000904CE" w:rsidRPr="003E342A" w:rsidRDefault="000904CE" w:rsidP="000904CE">
      <w:pPr>
        <w:numPr>
          <w:ilvl w:val="0"/>
          <w:numId w:val="1"/>
        </w:numPr>
        <w:spacing w:after="160"/>
        <w:jc w:val="both"/>
        <w:rPr>
          <w:rFonts w:ascii="Times New Roman" w:hAnsi="Times New Roman" w:cs="Times New Roman"/>
          <w:sz w:val="24"/>
          <w:szCs w:val="24"/>
        </w:rPr>
      </w:pPr>
      <w:r w:rsidRPr="003E342A">
        <w:rPr>
          <w:rFonts w:ascii="Times New Roman" w:hAnsi="Times New Roman" w:cs="Times New Roman"/>
          <w:sz w:val="24"/>
          <w:szCs w:val="24"/>
        </w:rPr>
        <w:t>Third is Regulation 1830/2003 on the labelling and traceability of GMOs and food and feed produced from GMOs (Commission, 2003b). Labelling is intended to ensure consumer choice, and traceability provisions are intended to track and recall GM products in the event of a safety issue.</w:t>
      </w:r>
    </w:p>
    <w:p w14:paraId="780C235F" w14:textId="0DF3206D" w:rsidR="000904CE" w:rsidRPr="003E342A" w:rsidRDefault="000904CE" w:rsidP="000904CE">
      <w:pPr>
        <w:numPr>
          <w:ilvl w:val="0"/>
          <w:numId w:val="1"/>
        </w:numPr>
        <w:spacing w:after="160"/>
        <w:jc w:val="both"/>
        <w:rPr>
          <w:rFonts w:ascii="Times New Roman" w:hAnsi="Times New Roman" w:cs="Times New Roman"/>
          <w:sz w:val="24"/>
          <w:szCs w:val="24"/>
        </w:rPr>
      </w:pPr>
      <w:r w:rsidRPr="003E342A">
        <w:rPr>
          <w:rFonts w:ascii="Times New Roman" w:hAnsi="Times New Roman" w:cs="Times New Roman"/>
          <w:color w:val="242021"/>
          <w:sz w:val="24"/>
          <w:szCs w:val="24"/>
        </w:rPr>
        <w:t>The fourth pillar in the EU GMO regulatory framework is not specific to GM products. It is Regulation 178/2002 which laid out European food law and the role of EFSA (Commission, 2002). Since it began operations in 2003as a permanent body dispensing advice to the Commission on food safety issues (and GMOs’ risks), EFSA has replaced Commission-appointed scientific committees.</w:t>
      </w:r>
      <w:r w:rsidR="00762343">
        <w:rPr>
          <w:rStyle w:val="FootnoteReference"/>
          <w:rFonts w:ascii="Times New Roman" w:hAnsi="Times New Roman" w:cs="Times New Roman"/>
          <w:color w:val="242021"/>
          <w:sz w:val="24"/>
          <w:szCs w:val="24"/>
        </w:rPr>
        <w:footnoteReference w:id="73"/>
      </w:r>
    </w:p>
    <w:p w14:paraId="04B5F91D" w14:textId="6B52CF98" w:rsidR="000904CE" w:rsidRPr="003E342A" w:rsidRDefault="000904CE" w:rsidP="000904CE">
      <w:pPr>
        <w:spacing w:after="160" w:line="480" w:lineRule="auto"/>
        <w:jc w:val="both"/>
        <w:rPr>
          <w:rFonts w:ascii="Times New Roman" w:hAnsi="Times New Roman" w:cs="Times New Roman"/>
          <w:sz w:val="24"/>
          <w:szCs w:val="24"/>
        </w:rPr>
      </w:pPr>
    </w:p>
    <w:p w14:paraId="54227BEA" w14:textId="227D176B" w:rsidR="000904CE" w:rsidRPr="003E342A" w:rsidRDefault="000904CE" w:rsidP="00CD6EE7">
      <w:pPr>
        <w:pStyle w:val="Heading1"/>
        <w:rPr>
          <w:rFonts w:cs="Times New Roman"/>
        </w:rPr>
      </w:pPr>
      <w:bookmarkStart w:id="16" w:name="_Toc531878487"/>
      <w:r w:rsidRPr="003E342A">
        <w:rPr>
          <w:rFonts w:cs="Times New Roman"/>
        </w:rPr>
        <w:t>Driving Forces</w:t>
      </w:r>
      <w:bookmarkEnd w:id="16"/>
    </w:p>
    <w:p w14:paraId="77ED729C" w14:textId="77777777" w:rsidR="005F50AE" w:rsidRPr="003E342A" w:rsidRDefault="005F50AE" w:rsidP="005F50AE">
      <w:pPr>
        <w:rPr>
          <w:rFonts w:ascii="Times New Roman" w:hAnsi="Times New Roman" w:cs="Times New Roman"/>
        </w:rPr>
      </w:pPr>
    </w:p>
    <w:p w14:paraId="49F8AA8E" w14:textId="25623FD7" w:rsidR="000904CE" w:rsidRPr="003E342A" w:rsidRDefault="005836AA"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lastRenderedPageBreak/>
        <w:t>Regulation requires striking a balance between different competing drawbacks and benefits</w:t>
      </w:r>
      <w:r w:rsidR="002A0099" w:rsidRPr="003E342A">
        <w:rPr>
          <w:rFonts w:ascii="Times New Roman" w:hAnsi="Times New Roman" w:cs="Times New Roman"/>
          <w:sz w:val="24"/>
          <w:szCs w:val="24"/>
        </w:rPr>
        <w:t>, often resulting in dilemmas for regulators</w:t>
      </w:r>
      <w:r w:rsidRPr="003E342A">
        <w:rPr>
          <w:rFonts w:ascii="Times New Roman" w:hAnsi="Times New Roman" w:cs="Times New Roman"/>
          <w:sz w:val="24"/>
          <w:szCs w:val="24"/>
        </w:rPr>
        <w:t xml:space="preserve">. </w:t>
      </w:r>
      <w:r w:rsidR="00310186" w:rsidRPr="003E342A">
        <w:rPr>
          <w:rFonts w:ascii="Times New Roman" w:hAnsi="Times New Roman" w:cs="Times New Roman"/>
          <w:sz w:val="24"/>
          <w:szCs w:val="24"/>
        </w:rPr>
        <w:t>In the classic formulation, this balancing act occurs between the priorities of economic competitiveness on the one hand and environmental and health protection on the other.</w:t>
      </w:r>
      <w:r w:rsidR="00310186" w:rsidRPr="003E342A">
        <w:rPr>
          <w:rStyle w:val="FootnoteReference"/>
          <w:rFonts w:ascii="Times New Roman" w:hAnsi="Times New Roman" w:cs="Times New Roman"/>
          <w:sz w:val="24"/>
          <w:szCs w:val="24"/>
        </w:rPr>
        <w:footnoteReference w:id="74"/>
      </w:r>
      <w:r w:rsidR="00310186" w:rsidRPr="003E342A">
        <w:rPr>
          <w:rFonts w:ascii="Times New Roman" w:hAnsi="Times New Roman" w:cs="Times New Roman"/>
          <w:sz w:val="24"/>
          <w:szCs w:val="24"/>
        </w:rPr>
        <w:t xml:space="preserve"> A classic case in recent years</w:t>
      </w:r>
      <w:r w:rsidR="00E33ACC" w:rsidRPr="003E342A">
        <w:rPr>
          <w:rFonts w:ascii="Times New Roman" w:hAnsi="Times New Roman" w:cs="Times New Roman"/>
          <w:sz w:val="24"/>
          <w:szCs w:val="24"/>
        </w:rPr>
        <w:t>, for example,</w:t>
      </w:r>
      <w:r w:rsidR="00310186" w:rsidRPr="003E342A">
        <w:rPr>
          <w:rFonts w:ascii="Times New Roman" w:hAnsi="Times New Roman" w:cs="Times New Roman"/>
          <w:sz w:val="24"/>
          <w:szCs w:val="24"/>
        </w:rPr>
        <w:t xml:space="preserve"> would be the choice of whether to require companies to install carbon dioxide scrubbers on exhaust ports even if those scrubbers are expensive and would cut into the companies’ bottom line. </w:t>
      </w:r>
      <w:proofErr w:type="spellStart"/>
      <w:r w:rsidR="00D34C06">
        <w:rPr>
          <w:rFonts w:ascii="Times New Roman" w:hAnsi="Times New Roman" w:cs="Times New Roman"/>
          <w:sz w:val="24"/>
          <w:szCs w:val="24"/>
        </w:rPr>
        <w:t>Löfstedt</w:t>
      </w:r>
      <w:proofErr w:type="spellEnd"/>
      <w:r w:rsidR="000904CE" w:rsidRPr="003E342A">
        <w:rPr>
          <w:rFonts w:ascii="Times New Roman" w:hAnsi="Times New Roman" w:cs="Times New Roman"/>
          <w:sz w:val="24"/>
          <w:szCs w:val="24"/>
        </w:rPr>
        <w:t xml:space="preserve"> (2004) notes that EU regulation tends to behave like a pendulum, swinging between the technocratic and democratic extremes.</w:t>
      </w:r>
      <w:r w:rsidR="00310186" w:rsidRPr="003E342A">
        <w:rPr>
          <w:rStyle w:val="FootnoteReference"/>
          <w:rFonts w:ascii="Times New Roman" w:hAnsi="Times New Roman" w:cs="Times New Roman"/>
          <w:sz w:val="24"/>
          <w:szCs w:val="24"/>
        </w:rPr>
        <w:footnoteReference w:id="75"/>
      </w:r>
      <w:r w:rsidR="00E33ACC" w:rsidRPr="003E342A">
        <w:rPr>
          <w:rFonts w:ascii="Times New Roman" w:hAnsi="Times New Roman" w:cs="Times New Roman"/>
          <w:sz w:val="24"/>
          <w:szCs w:val="24"/>
        </w:rPr>
        <w:t xml:space="preserve"> W</w:t>
      </w:r>
      <w:r w:rsidR="000904CE" w:rsidRPr="003E342A">
        <w:rPr>
          <w:rFonts w:ascii="Times New Roman" w:hAnsi="Times New Roman" w:cs="Times New Roman"/>
          <w:sz w:val="24"/>
          <w:szCs w:val="24"/>
        </w:rPr>
        <w:t xml:space="preserve">hat </w:t>
      </w:r>
      <w:proofErr w:type="spellStart"/>
      <w:r w:rsidR="00D34C06">
        <w:rPr>
          <w:rFonts w:ascii="Times New Roman" w:hAnsi="Times New Roman" w:cs="Times New Roman"/>
          <w:sz w:val="24"/>
          <w:szCs w:val="24"/>
        </w:rPr>
        <w:t>Löfstedt</w:t>
      </w:r>
      <w:proofErr w:type="spellEnd"/>
      <w:r w:rsidR="000904CE" w:rsidRPr="003E342A">
        <w:rPr>
          <w:rFonts w:ascii="Times New Roman" w:hAnsi="Times New Roman" w:cs="Times New Roman"/>
          <w:sz w:val="24"/>
          <w:szCs w:val="24"/>
        </w:rPr>
        <w:t xml:space="preserve"> identified as the driving force behind the movement between these two extremes is the changing balance of priorities among “competitiveness, sustainable development, and governance</w:t>
      </w:r>
      <w:r w:rsidR="00225B5D" w:rsidRPr="003E342A">
        <w:rPr>
          <w:rFonts w:ascii="Times New Roman" w:hAnsi="Times New Roman" w:cs="Times New Roman"/>
          <w:sz w:val="24"/>
          <w:szCs w:val="24"/>
        </w:rPr>
        <w:t>,”</w:t>
      </w:r>
      <w:r w:rsidR="000904CE" w:rsidRPr="003E342A">
        <w:rPr>
          <w:rFonts w:ascii="Times New Roman" w:hAnsi="Times New Roman" w:cs="Times New Roman"/>
          <w:sz w:val="24"/>
          <w:szCs w:val="24"/>
        </w:rPr>
        <w:t xml:space="preserve"> which </w:t>
      </w:r>
      <w:proofErr w:type="spellStart"/>
      <w:r w:rsidR="00D34C06">
        <w:rPr>
          <w:rFonts w:ascii="Times New Roman" w:hAnsi="Times New Roman" w:cs="Times New Roman"/>
          <w:sz w:val="24"/>
          <w:szCs w:val="24"/>
        </w:rPr>
        <w:t>Löfstedt</w:t>
      </w:r>
      <w:proofErr w:type="spellEnd"/>
      <w:r w:rsidR="000904CE" w:rsidRPr="003E342A">
        <w:rPr>
          <w:rFonts w:ascii="Times New Roman" w:hAnsi="Times New Roman" w:cs="Times New Roman"/>
          <w:sz w:val="24"/>
          <w:szCs w:val="24"/>
        </w:rPr>
        <w:t xml:space="preserve"> identifies with the Commission’s aim of creating “better regulation” to satisfy all three. This is a different take than the</w:t>
      </w:r>
      <w:r w:rsidR="00310186" w:rsidRPr="003E342A">
        <w:rPr>
          <w:rFonts w:ascii="Times New Roman" w:hAnsi="Times New Roman" w:cs="Times New Roman"/>
          <w:sz w:val="24"/>
          <w:szCs w:val="24"/>
        </w:rPr>
        <w:t xml:space="preserve"> classic</w:t>
      </w:r>
      <w:r w:rsidR="000904CE" w:rsidRPr="003E342A">
        <w:rPr>
          <w:rFonts w:ascii="Times New Roman" w:hAnsi="Times New Roman" w:cs="Times New Roman"/>
          <w:sz w:val="24"/>
          <w:szCs w:val="24"/>
        </w:rPr>
        <w:t xml:space="preserve"> regulatory dilemma (</w:t>
      </w:r>
      <w:r w:rsidR="00310186" w:rsidRPr="003E342A">
        <w:rPr>
          <w:rFonts w:ascii="Times New Roman" w:hAnsi="Times New Roman" w:cs="Times New Roman"/>
          <w:sz w:val="24"/>
          <w:szCs w:val="24"/>
        </w:rPr>
        <w:t>protection</w:t>
      </w:r>
      <w:r w:rsidR="000904CE" w:rsidRPr="003E342A">
        <w:rPr>
          <w:rFonts w:ascii="Times New Roman" w:hAnsi="Times New Roman" w:cs="Times New Roman"/>
          <w:sz w:val="24"/>
          <w:szCs w:val="24"/>
        </w:rPr>
        <w:t xml:space="preserve"> versus competitiveness) as noted </w:t>
      </w:r>
      <w:r w:rsidR="00310186" w:rsidRPr="003E342A">
        <w:rPr>
          <w:rFonts w:ascii="Times New Roman" w:hAnsi="Times New Roman" w:cs="Times New Roman"/>
          <w:sz w:val="24"/>
          <w:szCs w:val="24"/>
        </w:rPr>
        <w:t xml:space="preserve">above </w:t>
      </w:r>
      <w:r w:rsidR="000904CE" w:rsidRPr="003E342A">
        <w:rPr>
          <w:rFonts w:ascii="Times New Roman" w:hAnsi="Times New Roman" w:cs="Times New Roman"/>
          <w:sz w:val="24"/>
          <w:szCs w:val="24"/>
        </w:rPr>
        <w:t xml:space="preserve">by </w:t>
      </w:r>
      <w:proofErr w:type="spellStart"/>
      <w:r w:rsidR="000904CE" w:rsidRPr="003E342A">
        <w:rPr>
          <w:rFonts w:ascii="Times New Roman" w:hAnsi="Times New Roman" w:cs="Times New Roman"/>
          <w:sz w:val="24"/>
          <w:szCs w:val="24"/>
        </w:rPr>
        <w:t>Kapstein</w:t>
      </w:r>
      <w:proofErr w:type="spellEnd"/>
      <w:r w:rsidR="00310186" w:rsidRPr="003E342A">
        <w:rPr>
          <w:rFonts w:ascii="Times New Roman" w:hAnsi="Times New Roman" w:cs="Times New Roman"/>
          <w:sz w:val="24"/>
          <w:szCs w:val="24"/>
        </w:rPr>
        <w:t>. It also differs from</w:t>
      </w:r>
      <w:r w:rsidR="000904CE" w:rsidRPr="003E342A">
        <w:rPr>
          <w:rFonts w:ascii="Times New Roman" w:hAnsi="Times New Roman" w:cs="Times New Roman"/>
          <w:sz w:val="24"/>
          <w:szCs w:val="24"/>
        </w:rPr>
        <w:t xml:space="preserve"> the “regulatory trilemma” (</w:t>
      </w:r>
      <w:r w:rsidR="00310186" w:rsidRPr="003E342A">
        <w:rPr>
          <w:rFonts w:ascii="Times New Roman" w:hAnsi="Times New Roman" w:cs="Times New Roman"/>
          <w:sz w:val="24"/>
          <w:szCs w:val="24"/>
        </w:rPr>
        <w:t>protection</w:t>
      </w:r>
      <w:r w:rsidR="000904CE" w:rsidRPr="003E342A">
        <w:rPr>
          <w:rFonts w:ascii="Times New Roman" w:hAnsi="Times New Roman" w:cs="Times New Roman"/>
          <w:sz w:val="24"/>
          <w:szCs w:val="24"/>
        </w:rPr>
        <w:t>, competitiveness, and EU integration) proposed by Smith</w:t>
      </w:r>
      <w:r w:rsidR="00310186" w:rsidRPr="003E342A">
        <w:rPr>
          <w:rFonts w:ascii="Times New Roman" w:hAnsi="Times New Roman" w:cs="Times New Roman"/>
          <w:sz w:val="24"/>
          <w:szCs w:val="24"/>
        </w:rPr>
        <w:t xml:space="preserve"> – in this latter formulation, the classic concerns of balancing competitiveness and protection are met with the third priority of harmonizing European economic and regulatory integration, creating an even more difficult </w:t>
      </w:r>
      <w:r w:rsidR="00E33ACC" w:rsidRPr="003E342A">
        <w:rPr>
          <w:rFonts w:ascii="Times New Roman" w:hAnsi="Times New Roman" w:cs="Times New Roman"/>
          <w:sz w:val="24"/>
          <w:szCs w:val="24"/>
        </w:rPr>
        <w:t>equation to solve than the relatively simple problem of balancing protection and competitiveness</w:t>
      </w:r>
      <w:r w:rsidR="000904CE" w:rsidRPr="003E342A">
        <w:rPr>
          <w:rFonts w:ascii="Times New Roman" w:hAnsi="Times New Roman" w:cs="Times New Roman"/>
          <w:sz w:val="24"/>
          <w:szCs w:val="24"/>
        </w:rPr>
        <w:t>.</w:t>
      </w:r>
      <w:r w:rsidR="00E33ACC" w:rsidRPr="003E342A">
        <w:rPr>
          <w:rStyle w:val="FootnoteReference"/>
          <w:rFonts w:ascii="Times New Roman" w:hAnsi="Times New Roman" w:cs="Times New Roman"/>
          <w:sz w:val="24"/>
          <w:szCs w:val="24"/>
        </w:rPr>
        <w:footnoteReference w:id="76"/>
      </w:r>
      <w:r w:rsidR="00E33ACC" w:rsidRPr="003E342A">
        <w:rPr>
          <w:rFonts w:ascii="Times New Roman" w:hAnsi="Times New Roman" w:cs="Times New Roman"/>
          <w:sz w:val="24"/>
          <w:szCs w:val="24"/>
        </w:rPr>
        <w:t xml:space="preserve"> </w:t>
      </w:r>
      <w:proofErr w:type="spellStart"/>
      <w:r w:rsidR="00D34C06">
        <w:rPr>
          <w:rFonts w:ascii="Times New Roman" w:hAnsi="Times New Roman" w:cs="Times New Roman"/>
          <w:sz w:val="24"/>
          <w:szCs w:val="24"/>
        </w:rPr>
        <w:t>Löfstedt</w:t>
      </w:r>
      <w:proofErr w:type="spellEnd"/>
      <w:r w:rsidR="000904CE" w:rsidRPr="003E342A">
        <w:rPr>
          <w:rFonts w:ascii="Times New Roman" w:hAnsi="Times New Roman" w:cs="Times New Roman"/>
          <w:sz w:val="24"/>
          <w:szCs w:val="24"/>
        </w:rPr>
        <w:t xml:space="preserve"> and Smith </w:t>
      </w:r>
      <w:r w:rsidR="00E33ACC" w:rsidRPr="003E342A">
        <w:rPr>
          <w:rFonts w:ascii="Times New Roman" w:hAnsi="Times New Roman" w:cs="Times New Roman"/>
          <w:sz w:val="24"/>
          <w:szCs w:val="24"/>
        </w:rPr>
        <w:t xml:space="preserve">thus </w:t>
      </w:r>
      <w:r w:rsidR="000904CE" w:rsidRPr="003E342A">
        <w:rPr>
          <w:rFonts w:ascii="Times New Roman" w:hAnsi="Times New Roman" w:cs="Times New Roman"/>
          <w:sz w:val="24"/>
          <w:szCs w:val="24"/>
        </w:rPr>
        <w:t>both gravitate toward a trilemma, the difference here being the substitution of “</w:t>
      </w:r>
      <w:r w:rsidR="00E33ACC" w:rsidRPr="003E342A">
        <w:rPr>
          <w:rFonts w:ascii="Times New Roman" w:hAnsi="Times New Roman" w:cs="Times New Roman"/>
          <w:sz w:val="24"/>
          <w:szCs w:val="24"/>
        </w:rPr>
        <w:t>protection</w:t>
      </w:r>
      <w:r w:rsidR="000904CE" w:rsidRPr="003E342A">
        <w:rPr>
          <w:rFonts w:ascii="Times New Roman" w:hAnsi="Times New Roman" w:cs="Times New Roman"/>
          <w:sz w:val="24"/>
          <w:szCs w:val="24"/>
        </w:rPr>
        <w:t>” for “sustainable development” and “EU integration” for “governance</w:t>
      </w:r>
      <w:r w:rsidR="00225B5D" w:rsidRPr="003E342A">
        <w:rPr>
          <w:rFonts w:ascii="Times New Roman" w:hAnsi="Times New Roman" w:cs="Times New Roman"/>
          <w:sz w:val="24"/>
          <w:szCs w:val="24"/>
        </w:rPr>
        <w:t>.”</w:t>
      </w:r>
      <w:r w:rsidR="00E33ACC" w:rsidRPr="003E342A">
        <w:rPr>
          <w:rFonts w:ascii="Times New Roman" w:hAnsi="Times New Roman" w:cs="Times New Roman"/>
          <w:sz w:val="24"/>
          <w:szCs w:val="24"/>
        </w:rPr>
        <w:t xml:space="preserve"> For the analysis in this paper, Smith’s regulatory trilemma – Protection, </w:t>
      </w:r>
      <w:r w:rsidR="00E33ACC" w:rsidRPr="003E342A">
        <w:rPr>
          <w:rFonts w:ascii="Times New Roman" w:hAnsi="Times New Roman" w:cs="Times New Roman"/>
          <w:sz w:val="24"/>
          <w:szCs w:val="24"/>
        </w:rPr>
        <w:lastRenderedPageBreak/>
        <w:t>Competitiveness, EU Integration – seems to most closely describe the facts at work in EU GMO regulations.</w:t>
      </w:r>
    </w:p>
    <w:p w14:paraId="0EE3F451" w14:textId="5164555F" w:rsidR="000904CE" w:rsidRPr="003E342A" w:rsidRDefault="00E33ACC" w:rsidP="00CE7076">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Further, though, t</w:t>
      </w:r>
      <w:r w:rsidR="000904CE" w:rsidRPr="003E342A">
        <w:rPr>
          <w:rFonts w:ascii="Times New Roman" w:hAnsi="Times New Roman" w:cs="Times New Roman"/>
          <w:sz w:val="24"/>
          <w:szCs w:val="24"/>
        </w:rPr>
        <w:t xml:space="preserve">his study proposes that alongside </w:t>
      </w:r>
      <w:r w:rsidRPr="003E342A">
        <w:rPr>
          <w:rFonts w:ascii="Times New Roman" w:hAnsi="Times New Roman" w:cs="Times New Roman"/>
          <w:sz w:val="24"/>
          <w:szCs w:val="24"/>
        </w:rPr>
        <w:t>the dimensions of the above di- and trilemmas</w:t>
      </w:r>
      <w:r w:rsidR="000904CE" w:rsidRPr="003E342A">
        <w:rPr>
          <w:rFonts w:ascii="Times New Roman" w:hAnsi="Times New Roman" w:cs="Times New Roman"/>
          <w:sz w:val="24"/>
          <w:szCs w:val="24"/>
        </w:rPr>
        <w:t xml:space="preserve">, when public opinion diverges significantly from scientific opinion, there is an entirely different dimension </w:t>
      </w:r>
      <w:r w:rsidRPr="003E342A">
        <w:rPr>
          <w:rFonts w:ascii="Times New Roman" w:hAnsi="Times New Roman" w:cs="Times New Roman"/>
          <w:sz w:val="24"/>
          <w:szCs w:val="24"/>
        </w:rPr>
        <w:t>of concerns</w:t>
      </w:r>
      <w:r w:rsidR="00BF32B7" w:rsidRPr="003E342A">
        <w:rPr>
          <w:rFonts w:ascii="Times New Roman" w:hAnsi="Times New Roman" w:cs="Times New Roman"/>
          <w:sz w:val="24"/>
          <w:szCs w:val="24"/>
        </w:rPr>
        <w:t>, priorities,</w:t>
      </w:r>
      <w:r w:rsidRPr="003E342A">
        <w:rPr>
          <w:rFonts w:ascii="Times New Roman" w:hAnsi="Times New Roman" w:cs="Times New Roman"/>
          <w:sz w:val="24"/>
          <w:szCs w:val="24"/>
        </w:rPr>
        <w:t xml:space="preserve"> and interests</w:t>
      </w:r>
      <w:r w:rsidR="00BF32B7" w:rsidRPr="003E342A">
        <w:rPr>
          <w:rFonts w:ascii="Times New Roman" w:hAnsi="Times New Roman" w:cs="Times New Roman"/>
          <w:sz w:val="24"/>
          <w:szCs w:val="24"/>
        </w:rPr>
        <w:t xml:space="preserve"> that must be balanced</w:t>
      </w:r>
      <w:r w:rsidR="000904CE" w:rsidRPr="003E342A">
        <w:rPr>
          <w:rFonts w:ascii="Times New Roman" w:hAnsi="Times New Roman" w:cs="Times New Roman"/>
          <w:sz w:val="24"/>
          <w:szCs w:val="24"/>
        </w:rPr>
        <w:t xml:space="preserve">: public legitimacy on the one hand and </w:t>
      </w:r>
      <w:r w:rsidR="00B25507">
        <w:rPr>
          <w:rFonts w:ascii="Times New Roman" w:hAnsi="Times New Roman" w:cs="Times New Roman"/>
          <w:sz w:val="24"/>
          <w:szCs w:val="24"/>
        </w:rPr>
        <w:t>scientific and policy expertise</w:t>
      </w:r>
      <w:r w:rsidR="000904CE" w:rsidRPr="003E342A">
        <w:rPr>
          <w:rFonts w:ascii="Times New Roman" w:hAnsi="Times New Roman" w:cs="Times New Roman"/>
          <w:sz w:val="24"/>
          <w:szCs w:val="24"/>
        </w:rPr>
        <w:t xml:space="preserve"> on the other – a </w:t>
      </w:r>
      <w:proofErr w:type="spellStart"/>
      <w:r w:rsidR="00762343">
        <w:rPr>
          <w:rFonts w:ascii="Times New Roman" w:hAnsi="Times New Roman" w:cs="Times New Roman"/>
          <w:sz w:val="24"/>
          <w:szCs w:val="24"/>
        </w:rPr>
        <w:t>Schumpterian</w:t>
      </w:r>
      <w:proofErr w:type="spellEnd"/>
      <w:r w:rsidR="00762343">
        <w:rPr>
          <w:rFonts w:ascii="Times New Roman" w:hAnsi="Times New Roman" w:cs="Times New Roman"/>
          <w:sz w:val="24"/>
          <w:szCs w:val="24"/>
        </w:rPr>
        <w:t xml:space="preserve"> </w:t>
      </w:r>
      <w:r w:rsidR="000904CE" w:rsidRPr="003E342A">
        <w:rPr>
          <w:rFonts w:ascii="Times New Roman" w:hAnsi="Times New Roman" w:cs="Times New Roman"/>
          <w:sz w:val="24"/>
          <w:szCs w:val="24"/>
        </w:rPr>
        <w:t xml:space="preserve">Public Choice dilemma. Under the leadership of Jean-Claude Juncker, the European Commission has been pursuing a package of reforms that </w:t>
      </w:r>
      <w:r w:rsidR="00BF32B7" w:rsidRPr="003E342A">
        <w:rPr>
          <w:rFonts w:ascii="Times New Roman" w:hAnsi="Times New Roman" w:cs="Times New Roman"/>
          <w:sz w:val="24"/>
          <w:szCs w:val="24"/>
        </w:rPr>
        <w:t>make decisive choices in both dimensions of regulatory decisionmaking</w:t>
      </w:r>
      <w:r w:rsidRPr="003E342A">
        <w:rPr>
          <w:rFonts w:ascii="Times New Roman" w:hAnsi="Times New Roman" w:cs="Times New Roman"/>
          <w:sz w:val="24"/>
          <w:szCs w:val="24"/>
        </w:rPr>
        <w:t xml:space="preserve"> – not only strongly pursing public legitimacy over the </w:t>
      </w:r>
      <w:r w:rsidR="00B25507">
        <w:rPr>
          <w:rFonts w:ascii="Times New Roman" w:hAnsi="Times New Roman" w:cs="Times New Roman"/>
          <w:sz w:val="24"/>
          <w:szCs w:val="24"/>
        </w:rPr>
        <w:t>recommendations</w:t>
      </w:r>
      <w:r w:rsidRPr="003E342A">
        <w:rPr>
          <w:rFonts w:ascii="Times New Roman" w:hAnsi="Times New Roman" w:cs="Times New Roman"/>
          <w:sz w:val="24"/>
          <w:szCs w:val="24"/>
        </w:rPr>
        <w:t xml:space="preserve"> of the scientific community, but also purs</w:t>
      </w:r>
      <w:r w:rsidR="00BF32B7" w:rsidRPr="003E342A">
        <w:rPr>
          <w:rFonts w:ascii="Times New Roman" w:hAnsi="Times New Roman" w:cs="Times New Roman"/>
          <w:sz w:val="24"/>
          <w:szCs w:val="24"/>
        </w:rPr>
        <w:t>u</w:t>
      </w:r>
      <w:r w:rsidRPr="003E342A">
        <w:rPr>
          <w:rFonts w:ascii="Times New Roman" w:hAnsi="Times New Roman" w:cs="Times New Roman"/>
          <w:sz w:val="24"/>
          <w:szCs w:val="24"/>
        </w:rPr>
        <w:t xml:space="preserve">ing </w:t>
      </w:r>
      <w:r w:rsidR="00BF32B7" w:rsidRPr="003E342A">
        <w:rPr>
          <w:rFonts w:ascii="Times New Roman" w:hAnsi="Times New Roman" w:cs="Times New Roman"/>
          <w:sz w:val="24"/>
          <w:szCs w:val="24"/>
        </w:rPr>
        <w:t xml:space="preserve">a conception of </w:t>
      </w:r>
      <w:r w:rsidRPr="003E342A">
        <w:rPr>
          <w:rFonts w:ascii="Times New Roman" w:hAnsi="Times New Roman" w:cs="Times New Roman"/>
          <w:sz w:val="24"/>
          <w:szCs w:val="24"/>
        </w:rPr>
        <w:t>environmental protection at the expense of both economic competitiveness and the integrity of the European Union.</w:t>
      </w:r>
      <w:r w:rsidR="00BF32B7" w:rsidRPr="003E342A">
        <w:rPr>
          <w:rFonts w:ascii="Times New Roman" w:hAnsi="Times New Roman" w:cs="Times New Roman"/>
          <w:sz w:val="24"/>
          <w:szCs w:val="24"/>
        </w:rPr>
        <w:t xml:space="preserve"> Though Juncker may be pursuing these reforms out of combination of a genuine concern for the safety of GMOs and genuine </w:t>
      </w:r>
      <w:r w:rsidR="00B25507">
        <w:rPr>
          <w:rFonts w:ascii="Times New Roman" w:hAnsi="Times New Roman" w:cs="Times New Roman"/>
          <w:sz w:val="24"/>
          <w:szCs w:val="24"/>
        </w:rPr>
        <w:t>attempt</w:t>
      </w:r>
      <w:r w:rsidR="00BF32B7" w:rsidRPr="003E342A">
        <w:rPr>
          <w:rFonts w:ascii="Times New Roman" w:hAnsi="Times New Roman" w:cs="Times New Roman"/>
          <w:sz w:val="24"/>
          <w:szCs w:val="24"/>
        </w:rPr>
        <w:t xml:space="preserve"> to respect popular opinion and address the democratic deficit, </w:t>
      </w:r>
      <w:r w:rsidR="00C40488" w:rsidRPr="003E342A">
        <w:rPr>
          <w:rFonts w:ascii="Times New Roman" w:hAnsi="Times New Roman" w:cs="Times New Roman"/>
          <w:sz w:val="24"/>
          <w:szCs w:val="24"/>
        </w:rPr>
        <w:t xml:space="preserve">the potential nobility </w:t>
      </w:r>
      <w:r w:rsidR="00B25507">
        <w:rPr>
          <w:rFonts w:ascii="Times New Roman" w:hAnsi="Times New Roman" w:cs="Times New Roman"/>
          <w:sz w:val="24"/>
          <w:szCs w:val="24"/>
        </w:rPr>
        <w:t xml:space="preserve">and necessity </w:t>
      </w:r>
      <w:r w:rsidR="00C40488" w:rsidRPr="003E342A">
        <w:rPr>
          <w:rFonts w:ascii="Times New Roman" w:hAnsi="Times New Roman" w:cs="Times New Roman"/>
          <w:sz w:val="24"/>
          <w:szCs w:val="24"/>
        </w:rPr>
        <w:t>of these causes does not exempt the reforms from consequences in international trade and investment and international and European law.</w:t>
      </w:r>
      <w:r w:rsidR="000904CE" w:rsidRPr="003E342A">
        <w:rPr>
          <w:rFonts w:ascii="Times New Roman" w:hAnsi="Times New Roman" w:cs="Times New Roman"/>
        </w:rPr>
        <w:br w:type="page"/>
      </w:r>
    </w:p>
    <w:p w14:paraId="66EC94EF" w14:textId="23B4925B" w:rsidR="000904CE" w:rsidRPr="003E342A" w:rsidRDefault="000904CE" w:rsidP="005F50AE">
      <w:pPr>
        <w:pStyle w:val="Title"/>
        <w:jc w:val="center"/>
        <w:rPr>
          <w:rFonts w:cs="Times New Roman"/>
        </w:rPr>
      </w:pPr>
      <w:bookmarkStart w:id="17" w:name="_Toc531878488"/>
      <w:r w:rsidRPr="003E342A">
        <w:rPr>
          <w:rFonts w:cs="Times New Roman"/>
        </w:rPr>
        <w:lastRenderedPageBreak/>
        <w:t>Chapter II:</w:t>
      </w:r>
      <w:r w:rsidR="006D6E05" w:rsidRPr="003E342A">
        <w:rPr>
          <w:rFonts w:cs="Times New Roman"/>
        </w:rPr>
        <w:t xml:space="preserve"> </w:t>
      </w:r>
      <w:r w:rsidRPr="003E342A">
        <w:rPr>
          <w:rFonts w:cs="Times New Roman"/>
        </w:rPr>
        <w:t>Proposed Reforms and Their Discontents</w:t>
      </w:r>
      <w:bookmarkEnd w:id="17"/>
      <w:r w:rsidRPr="003E342A">
        <w:rPr>
          <w:rFonts w:cs="Times New Roman"/>
        </w:rPr>
        <w:br w:type="page"/>
      </w:r>
    </w:p>
    <w:p w14:paraId="1D1A890A" w14:textId="329FC82A" w:rsidR="000904CE" w:rsidRPr="003E342A" w:rsidRDefault="000904CE" w:rsidP="005F50AE">
      <w:pPr>
        <w:pStyle w:val="Heading1"/>
        <w:rPr>
          <w:rFonts w:cs="Times New Roman"/>
        </w:rPr>
      </w:pPr>
      <w:bookmarkStart w:id="18" w:name="_Toc531878489"/>
      <w:r w:rsidRPr="003E342A">
        <w:rPr>
          <w:rFonts w:cs="Times New Roman"/>
        </w:rPr>
        <w:lastRenderedPageBreak/>
        <w:t>The Proposed Reforms</w:t>
      </w:r>
      <w:bookmarkEnd w:id="18"/>
    </w:p>
    <w:p w14:paraId="640E353C" w14:textId="77777777" w:rsidR="005F50AE" w:rsidRPr="003E342A" w:rsidRDefault="005F50AE" w:rsidP="005F50AE">
      <w:pPr>
        <w:rPr>
          <w:rFonts w:ascii="Times New Roman" w:hAnsi="Times New Roman" w:cs="Times New Roman"/>
        </w:rPr>
      </w:pPr>
    </w:p>
    <w:p w14:paraId="1E0813E9" w14:textId="675D1939" w:rsidR="000904CE" w:rsidRPr="003E342A" w:rsidRDefault="000904CE" w:rsidP="000904CE">
      <w:pPr>
        <w:spacing w:line="480" w:lineRule="auto"/>
        <w:ind w:firstLine="720"/>
        <w:contextualSpacing/>
        <w:jc w:val="both"/>
        <w:rPr>
          <w:rFonts w:ascii="Times New Roman" w:hAnsi="Times New Roman" w:cs="Times New Roman"/>
          <w:sz w:val="24"/>
          <w:szCs w:val="24"/>
        </w:rPr>
      </w:pPr>
      <w:r w:rsidRPr="003E342A">
        <w:rPr>
          <w:rFonts w:ascii="Times New Roman" w:hAnsi="Times New Roman" w:cs="Times New Roman"/>
          <w:sz w:val="24"/>
          <w:szCs w:val="24"/>
        </w:rPr>
        <w:t>The Juncker Commission’s attempts to respond to both personal and popular opinions on the nature of Genetically Modified Foods have taken two main forms: first, a proposed law that would have allowed EU Member States to opt of out of allowing Genetically Modified Food products to be sold on their territories, and second, a proposed comitological reform that would allow member states who hold a simple majority, but not a qualified majority</w:t>
      </w:r>
      <w:r w:rsidR="00C25500">
        <w:rPr>
          <w:rFonts w:ascii="Times New Roman" w:hAnsi="Times New Roman" w:cs="Times New Roman"/>
          <w:sz w:val="24"/>
          <w:szCs w:val="24"/>
        </w:rPr>
        <w:t xml:space="preserve"> (55% of voting Member States representing 65% of the EU population)</w:t>
      </w:r>
      <w:r w:rsidRPr="003E342A">
        <w:rPr>
          <w:rFonts w:ascii="Times New Roman" w:hAnsi="Times New Roman" w:cs="Times New Roman"/>
          <w:sz w:val="24"/>
          <w:szCs w:val="24"/>
        </w:rPr>
        <w:t>, to decide whether to approve or reject the authorization of a new GMO</w:t>
      </w:r>
      <w:r w:rsidR="00543A99">
        <w:rPr>
          <w:rFonts w:ascii="Times New Roman" w:hAnsi="Times New Roman" w:cs="Times New Roman"/>
          <w:sz w:val="24"/>
          <w:szCs w:val="24"/>
        </w:rPr>
        <w:t>.</w:t>
      </w:r>
      <w:r w:rsidR="00C25500">
        <w:rPr>
          <w:rStyle w:val="FootnoteReference"/>
          <w:rFonts w:ascii="Times New Roman" w:hAnsi="Times New Roman" w:cs="Times New Roman"/>
          <w:sz w:val="24"/>
          <w:szCs w:val="24"/>
        </w:rPr>
        <w:footnoteReference w:id="77"/>
      </w:r>
      <w:r w:rsidRPr="003E342A">
        <w:rPr>
          <w:rFonts w:ascii="Times New Roman" w:hAnsi="Times New Roman" w:cs="Times New Roman"/>
          <w:sz w:val="24"/>
          <w:szCs w:val="24"/>
        </w:rPr>
        <w:t xml:space="preserve"> Both of these proposed reforms, as shall be seen, </w:t>
      </w:r>
      <w:r w:rsidR="00442D63">
        <w:rPr>
          <w:rFonts w:ascii="Times New Roman" w:hAnsi="Times New Roman" w:cs="Times New Roman"/>
          <w:sz w:val="24"/>
          <w:szCs w:val="24"/>
        </w:rPr>
        <w:t xml:space="preserve">would </w:t>
      </w:r>
      <w:r w:rsidRPr="003E342A">
        <w:rPr>
          <w:rFonts w:ascii="Times New Roman" w:hAnsi="Times New Roman" w:cs="Times New Roman"/>
          <w:sz w:val="24"/>
          <w:szCs w:val="24"/>
        </w:rPr>
        <w:t>have serious negative consequences</w:t>
      </w:r>
      <w:r w:rsidR="00442D63">
        <w:rPr>
          <w:rFonts w:ascii="Times New Roman" w:hAnsi="Times New Roman" w:cs="Times New Roman"/>
          <w:sz w:val="24"/>
          <w:szCs w:val="24"/>
        </w:rPr>
        <w:t xml:space="preserve"> for European institutions and citizens</w:t>
      </w:r>
      <w:r w:rsidRPr="003E342A">
        <w:rPr>
          <w:rFonts w:ascii="Times New Roman" w:hAnsi="Times New Roman" w:cs="Times New Roman"/>
          <w:sz w:val="24"/>
          <w:szCs w:val="24"/>
        </w:rPr>
        <w:t xml:space="preserve">. Further, when combined with recent European moves that weaken the influence of scientists and health experts in determining GMO policy, these moves constitute </w:t>
      </w:r>
      <w:r w:rsidR="00C40488" w:rsidRPr="003E342A">
        <w:rPr>
          <w:rFonts w:ascii="Times New Roman" w:hAnsi="Times New Roman" w:cs="Times New Roman"/>
          <w:sz w:val="24"/>
          <w:szCs w:val="24"/>
        </w:rPr>
        <w:t>a minimization</w:t>
      </w:r>
      <w:r w:rsidRPr="003E342A">
        <w:rPr>
          <w:rFonts w:ascii="Times New Roman" w:hAnsi="Times New Roman" w:cs="Times New Roman"/>
          <w:sz w:val="24"/>
          <w:szCs w:val="24"/>
        </w:rPr>
        <w:t xml:space="preserve"> </w:t>
      </w:r>
      <w:r w:rsidR="00442D63">
        <w:rPr>
          <w:rFonts w:ascii="Times New Roman" w:hAnsi="Times New Roman" w:cs="Times New Roman"/>
          <w:sz w:val="24"/>
          <w:szCs w:val="24"/>
        </w:rPr>
        <w:t xml:space="preserve">of </w:t>
      </w:r>
      <w:r w:rsidRPr="003E342A">
        <w:rPr>
          <w:rFonts w:ascii="Times New Roman" w:hAnsi="Times New Roman" w:cs="Times New Roman"/>
          <w:sz w:val="24"/>
          <w:szCs w:val="24"/>
        </w:rPr>
        <w:t>scien</w:t>
      </w:r>
      <w:r w:rsidR="00C40488" w:rsidRPr="003E342A">
        <w:rPr>
          <w:rFonts w:ascii="Times New Roman" w:hAnsi="Times New Roman" w:cs="Times New Roman"/>
          <w:sz w:val="24"/>
          <w:szCs w:val="24"/>
        </w:rPr>
        <w:t>tific input</w:t>
      </w:r>
      <w:r w:rsidRPr="003E342A">
        <w:rPr>
          <w:rFonts w:ascii="Times New Roman" w:hAnsi="Times New Roman" w:cs="Times New Roman"/>
          <w:sz w:val="24"/>
          <w:szCs w:val="24"/>
        </w:rPr>
        <w:t xml:space="preserve"> within the workings of EU regulatory policy</w:t>
      </w:r>
      <w:r w:rsidR="00C40488" w:rsidRPr="003E342A">
        <w:rPr>
          <w:rFonts w:ascii="Times New Roman" w:hAnsi="Times New Roman" w:cs="Times New Roman"/>
          <w:sz w:val="24"/>
          <w:szCs w:val="24"/>
        </w:rPr>
        <w:t xml:space="preserve"> that </w:t>
      </w:r>
      <w:r w:rsidR="00442D63">
        <w:rPr>
          <w:rFonts w:ascii="Times New Roman" w:hAnsi="Times New Roman" w:cs="Times New Roman"/>
          <w:sz w:val="24"/>
          <w:szCs w:val="24"/>
        </w:rPr>
        <w:t>could have</w:t>
      </w:r>
      <w:r w:rsidR="00C40488" w:rsidRPr="003E342A">
        <w:rPr>
          <w:rFonts w:ascii="Times New Roman" w:hAnsi="Times New Roman" w:cs="Times New Roman"/>
          <w:sz w:val="24"/>
          <w:szCs w:val="24"/>
        </w:rPr>
        <w:t xml:space="preserve"> long-term effects</w:t>
      </w:r>
      <w:r w:rsidRPr="003E342A">
        <w:rPr>
          <w:rFonts w:ascii="Times New Roman" w:hAnsi="Times New Roman" w:cs="Times New Roman"/>
          <w:sz w:val="24"/>
          <w:szCs w:val="24"/>
        </w:rPr>
        <w:t xml:space="preserve">.  </w:t>
      </w:r>
    </w:p>
    <w:p w14:paraId="36F08BDD" w14:textId="4F2C6C14" w:rsidR="000904CE" w:rsidRPr="003E342A" w:rsidRDefault="000904CE" w:rsidP="000904CE">
      <w:pPr>
        <w:spacing w:before="100" w:beforeAutospacing="1" w:after="100" w:afterAutospacing="1" w:line="480" w:lineRule="auto"/>
        <w:contextualSpacing/>
        <w:jc w:val="both"/>
        <w:rPr>
          <w:rFonts w:ascii="Times New Roman" w:eastAsia="Times New Roman" w:hAnsi="Times New Roman" w:cs="Times New Roman"/>
          <w:sz w:val="24"/>
          <w:szCs w:val="24"/>
        </w:rPr>
      </w:pPr>
      <w:r w:rsidRPr="003E342A">
        <w:rPr>
          <w:rFonts w:ascii="Times New Roman" w:hAnsi="Times New Roman" w:cs="Times New Roman"/>
          <w:sz w:val="24"/>
          <w:szCs w:val="24"/>
        </w:rPr>
        <w:tab/>
        <w:t xml:space="preserve">The European Food Safety </w:t>
      </w:r>
      <w:r w:rsidR="00AC048E">
        <w:rPr>
          <w:rFonts w:ascii="Times New Roman" w:hAnsi="Times New Roman" w:cs="Times New Roman"/>
          <w:sz w:val="24"/>
          <w:szCs w:val="24"/>
        </w:rPr>
        <w:t>Authority</w:t>
      </w:r>
      <w:r w:rsidRPr="003E342A">
        <w:rPr>
          <w:rFonts w:ascii="Times New Roman" w:hAnsi="Times New Roman" w:cs="Times New Roman"/>
          <w:sz w:val="24"/>
          <w:szCs w:val="24"/>
        </w:rPr>
        <w:t xml:space="preserve">, for example, states in its self-description that it bases decisions on “science-based advice and clear communication grounded in the most up-to-date scientific information and knowledge,” and in its food law general principles stresses that “food law, and in particular measures relating to food safety must be underpinned by </w:t>
      </w:r>
      <w:r w:rsidRPr="003E342A">
        <w:rPr>
          <w:rFonts w:ascii="Times New Roman" w:hAnsi="Times New Roman" w:cs="Times New Roman"/>
          <w:b/>
          <w:bCs/>
          <w:sz w:val="24"/>
          <w:szCs w:val="24"/>
        </w:rPr>
        <w:t>strong science</w:t>
      </w:r>
      <w:r w:rsidRPr="003E342A">
        <w:rPr>
          <w:rFonts w:ascii="Times New Roman" w:hAnsi="Times New Roman" w:cs="Times New Roman"/>
          <w:sz w:val="24"/>
          <w:szCs w:val="24"/>
        </w:rPr>
        <w:t>,” and further “</w:t>
      </w:r>
      <w:r w:rsidRPr="003E342A">
        <w:rPr>
          <w:rFonts w:ascii="Times New Roman" w:eastAsia="Times New Roman" w:hAnsi="Times New Roman" w:cs="Times New Roman"/>
          <w:b/>
          <w:bCs/>
          <w:sz w:val="24"/>
          <w:szCs w:val="24"/>
        </w:rPr>
        <w:t xml:space="preserve">Risk assessment </w:t>
      </w:r>
      <w:r w:rsidRPr="003E342A">
        <w:rPr>
          <w:rFonts w:ascii="Times New Roman" w:eastAsia="Times New Roman" w:hAnsi="Times New Roman" w:cs="Times New Roman"/>
          <w:sz w:val="24"/>
          <w:szCs w:val="24"/>
        </w:rPr>
        <w:t>must be undertaken in an independent, objective and transparent manner based on the best available science” [emphasis</w:t>
      </w:r>
      <w:r w:rsidR="00F35DB8">
        <w:rPr>
          <w:rFonts w:ascii="Times New Roman" w:eastAsia="Times New Roman" w:hAnsi="Times New Roman" w:cs="Times New Roman"/>
          <w:sz w:val="24"/>
          <w:szCs w:val="24"/>
        </w:rPr>
        <w:t xml:space="preserve"> in</w:t>
      </w:r>
      <w:r w:rsidRPr="003E342A">
        <w:rPr>
          <w:rFonts w:ascii="Times New Roman" w:eastAsia="Times New Roman" w:hAnsi="Times New Roman" w:cs="Times New Roman"/>
          <w:sz w:val="24"/>
          <w:szCs w:val="24"/>
        </w:rPr>
        <w:t xml:space="preserve"> </w:t>
      </w:r>
      <w:r w:rsidR="00F35DB8">
        <w:rPr>
          <w:rFonts w:ascii="Times New Roman" w:eastAsia="Times New Roman" w:hAnsi="Times New Roman" w:cs="Times New Roman"/>
          <w:sz w:val="24"/>
          <w:szCs w:val="24"/>
        </w:rPr>
        <w:t>original</w:t>
      </w:r>
      <w:r w:rsidRPr="003E342A">
        <w:rPr>
          <w:rFonts w:ascii="Times New Roman" w:eastAsia="Times New Roman" w:hAnsi="Times New Roman" w:cs="Times New Roman"/>
          <w:sz w:val="24"/>
          <w:szCs w:val="24"/>
        </w:rPr>
        <w:t>]</w:t>
      </w:r>
      <w:r w:rsidRPr="003E342A">
        <w:rPr>
          <w:rFonts w:ascii="Times New Roman" w:eastAsia="Times New Roman" w:hAnsi="Times New Roman" w:cs="Times New Roman"/>
          <w:b/>
          <w:bCs/>
          <w:sz w:val="24"/>
          <w:szCs w:val="24"/>
        </w:rPr>
        <w:t>.</w:t>
      </w:r>
      <w:r w:rsidRPr="003E342A">
        <w:rPr>
          <w:rStyle w:val="FootnoteReference"/>
          <w:rFonts w:ascii="Times New Roman" w:eastAsia="Times New Roman" w:hAnsi="Times New Roman" w:cs="Times New Roman"/>
          <w:b/>
          <w:bCs/>
          <w:sz w:val="24"/>
          <w:szCs w:val="24"/>
        </w:rPr>
        <w:footnoteReference w:id="78"/>
      </w:r>
      <w:r w:rsidRPr="003E342A">
        <w:rPr>
          <w:rFonts w:ascii="Times New Roman" w:eastAsia="Times New Roman" w:hAnsi="Times New Roman" w:cs="Times New Roman"/>
          <w:sz w:val="24"/>
          <w:szCs w:val="24"/>
        </w:rPr>
        <w:t xml:space="preserve"> However, the role of the EFSA in any inconsistencies is attenuated by the fact that “</w:t>
      </w:r>
      <w:r w:rsidRPr="003E342A">
        <w:rPr>
          <w:rFonts w:ascii="Times New Roman" w:hAnsi="Times New Roman" w:cs="Times New Roman"/>
          <w:sz w:val="24"/>
          <w:szCs w:val="24"/>
        </w:rPr>
        <w:t xml:space="preserve">EFSA does not </w:t>
      </w:r>
      <w:proofErr w:type="spellStart"/>
      <w:r w:rsidRPr="003E342A">
        <w:rPr>
          <w:rFonts w:ascii="Times New Roman" w:hAnsi="Times New Roman" w:cs="Times New Roman"/>
          <w:sz w:val="24"/>
          <w:szCs w:val="24"/>
        </w:rPr>
        <w:t>authorise</w:t>
      </w:r>
      <w:proofErr w:type="spellEnd"/>
      <w:r w:rsidRPr="003E342A">
        <w:rPr>
          <w:rFonts w:ascii="Times New Roman" w:hAnsi="Times New Roman" w:cs="Times New Roman"/>
          <w:sz w:val="24"/>
          <w:szCs w:val="24"/>
        </w:rPr>
        <w:t xml:space="preserve"> GMOs, which </w:t>
      </w:r>
      <w:r w:rsidRPr="003E342A">
        <w:rPr>
          <w:rFonts w:ascii="Times New Roman" w:hAnsi="Times New Roman" w:cs="Times New Roman"/>
          <w:sz w:val="24"/>
          <w:szCs w:val="24"/>
        </w:rPr>
        <w:lastRenderedPageBreak/>
        <w:t>is done by the European Commission and Member States in their role as risk managers. EFSA’s role is strictly limited to giving scientific advice</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79"/>
      </w:r>
    </w:p>
    <w:p w14:paraId="45327C4B" w14:textId="77777777" w:rsidR="000904CE" w:rsidRPr="003E342A" w:rsidRDefault="000904CE" w:rsidP="000904CE">
      <w:pPr>
        <w:spacing w:before="100" w:beforeAutospacing="1" w:after="100" w:afterAutospacing="1" w:line="480" w:lineRule="auto"/>
        <w:contextualSpacing/>
        <w:jc w:val="both"/>
        <w:rPr>
          <w:rFonts w:ascii="Times New Roman" w:eastAsia="Times New Roman" w:hAnsi="Times New Roman" w:cs="Times New Roman"/>
          <w:sz w:val="24"/>
          <w:szCs w:val="24"/>
        </w:rPr>
      </w:pPr>
    </w:p>
    <w:p w14:paraId="3CD72F60" w14:textId="5E65C9C6" w:rsidR="000904CE" w:rsidRPr="003E342A" w:rsidRDefault="000904CE" w:rsidP="005F50AE">
      <w:pPr>
        <w:pStyle w:val="Heading1"/>
        <w:rPr>
          <w:rFonts w:cs="Times New Roman"/>
        </w:rPr>
      </w:pPr>
      <w:bookmarkStart w:id="19" w:name="_Toc531878490"/>
      <w:r w:rsidRPr="003E342A">
        <w:rPr>
          <w:rFonts w:cs="Times New Roman"/>
        </w:rPr>
        <w:t>Comitological Reforms</w:t>
      </w:r>
      <w:bookmarkEnd w:id="19"/>
    </w:p>
    <w:p w14:paraId="4C76FB23" w14:textId="77777777" w:rsidR="005F50AE" w:rsidRPr="003E342A" w:rsidRDefault="005F50AE" w:rsidP="005F50AE">
      <w:pPr>
        <w:rPr>
          <w:rFonts w:ascii="Times New Roman" w:hAnsi="Times New Roman" w:cs="Times New Roman"/>
        </w:rPr>
      </w:pPr>
    </w:p>
    <w:p w14:paraId="26413F75" w14:textId="21EE4B07" w:rsidR="000904CE" w:rsidRPr="003E342A" w:rsidRDefault="000904CE" w:rsidP="000904CE">
      <w:pPr>
        <w:spacing w:line="480" w:lineRule="auto"/>
        <w:ind w:firstLine="720"/>
        <w:jc w:val="both"/>
        <w:rPr>
          <w:rFonts w:ascii="Times New Roman" w:hAnsi="Times New Roman" w:cs="Times New Roman"/>
          <w:color w:val="242021"/>
          <w:sz w:val="24"/>
          <w:szCs w:val="24"/>
        </w:rPr>
      </w:pPr>
      <w:r w:rsidRPr="003E342A">
        <w:rPr>
          <w:rFonts w:ascii="Times New Roman" w:hAnsi="Times New Roman" w:cs="Times New Roman"/>
          <w:sz w:val="24"/>
          <w:szCs w:val="24"/>
        </w:rPr>
        <w:t xml:space="preserve">The primary manifestation of the EU’s attitudes and policy on GMOs is the authorization procedure by which GMOs are allowed or denied entry into cultivation or sale in the European Union. As the EU’s policies have evolved, so too have the rules about how authorization is </w:t>
      </w:r>
      <w:proofErr w:type="gramStart"/>
      <w:r w:rsidRPr="003E342A">
        <w:rPr>
          <w:rFonts w:ascii="Times New Roman" w:hAnsi="Times New Roman" w:cs="Times New Roman"/>
          <w:sz w:val="24"/>
          <w:szCs w:val="24"/>
        </w:rPr>
        <w:t>gained</w:t>
      </w:r>
      <w:proofErr w:type="gramEnd"/>
      <w:r w:rsidRPr="003E342A">
        <w:rPr>
          <w:rFonts w:ascii="Times New Roman" w:hAnsi="Times New Roman" w:cs="Times New Roman"/>
          <w:sz w:val="24"/>
          <w:szCs w:val="24"/>
        </w:rPr>
        <w:t xml:space="preserve"> and which allowances and prohibitions are subject to EU regulatory assent. “</w:t>
      </w:r>
      <w:r w:rsidRPr="003E342A">
        <w:rPr>
          <w:rFonts w:ascii="Times New Roman" w:hAnsi="Times New Roman" w:cs="Times New Roman"/>
          <w:color w:val="242021"/>
          <w:sz w:val="24"/>
          <w:szCs w:val="24"/>
        </w:rPr>
        <w:t xml:space="preserve">According to Directive 90/220/EEC, the authorization of GMOs is decided through comitology – more particularly through a so-called ‘regulatory procedure’ in the (pre-Lisbon) comitology terminology (see </w:t>
      </w:r>
      <w:proofErr w:type="spellStart"/>
      <w:r w:rsidRPr="003E342A">
        <w:rPr>
          <w:rFonts w:ascii="Times New Roman" w:hAnsi="Times New Roman" w:cs="Times New Roman"/>
          <w:color w:val="242021"/>
          <w:sz w:val="24"/>
          <w:szCs w:val="24"/>
        </w:rPr>
        <w:t>Blom</w:t>
      </w:r>
      <w:proofErr w:type="spellEnd"/>
      <w:r w:rsidRPr="003E342A">
        <w:rPr>
          <w:rFonts w:ascii="Times New Roman" w:hAnsi="Times New Roman" w:cs="Times New Roman"/>
          <w:color w:val="242021"/>
          <w:sz w:val="24"/>
          <w:szCs w:val="24"/>
        </w:rPr>
        <w:t>-Hansen, 2011). The Directive indeed delegates the power to decide on individual applications of GMO producers for the authorization of a particular GM crop to the Commission, which must work with Member State representatives gathered in a comitology committee</w:t>
      </w:r>
      <w:r w:rsidR="00225B5D"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80"/>
      </w:r>
      <w:r w:rsidRPr="003E342A">
        <w:rPr>
          <w:rFonts w:ascii="Times New Roman" w:hAnsi="Times New Roman" w:cs="Times New Roman"/>
          <w:sz w:val="24"/>
          <w:szCs w:val="24"/>
        </w:rPr>
        <w:t xml:space="preserve"> To resolve the issue of, as the Juncker </w:t>
      </w:r>
      <w:proofErr w:type="spellStart"/>
      <w:r w:rsidRPr="003E342A">
        <w:rPr>
          <w:rFonts w:ascii="Times New Roman" w:hAnsi="Times New Roman" w:cs="Times New Roman"/>
          <w:sz w:val="24"/>
          <w:szCs w:val="24"/>
        </w:rPr>
        <w:t>Administation</w:t>
      </w:r>
      <w:proofErr w:type="spellEnd"/>
      <w:r w:rsidRPr="003E342A">
        <w:rPr>
          <w:rFonts w:ascii="Times New Roman" w:hAnsi="Times New Roman" w:cs="Times New Roman"/>
          <w:sz w:val="24"/>
          <w:szCs w:val="24"/>
        </w:rPr>
        <w:t xml:space="preserve"> sees i</w:t>
      </w:r>
      <w:r w:rsidR="00543A99">
        <w:rPr>
          <w:rFonts w:ascii="Times New Roman" w:hAnsi="Times New Roman" w:cs="Times New Roman"/>
          <w:sz w:val="24"/>
          <w:szCs w:val="24"/>
        </w:rPr>
        <w:t>t</w:t>
      </w:r>
      <w:r w:rsidRPr="003E342A">
        <w:rPr>
          <w:rFonts w:ascii="Times New Roman" w:hAnsi="Times New Roman" w:cs="Times New Roman"/>
          <w:sz w:val="24"/>
          <w:szCs w:val="24"/>
        </w:rPr>
        <w:t xml:space="preserve">, too many GMOs being authorized over the democratic objections of European consumers, the Commission has proposed a reform to the comitological procedures by which such GMOs are accepted or rejected. </w:t>
      </w:r>
    </w:p>
    <w:p w14:paraId="302C2D38" w14:textId="4104190C"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The EU process for the authorization of a genetically modified organism requires a series of approvals from various levels of EU decision-making bodies. In the EU legal framework, which enshrines the Precautionary Principle as the cornerstone of regulation, the burden of proof lies on safety, not on harm – “every authorization for placing a product on the market must be duly justified, and the main ground on which such a justification can rely is scientific assessment</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w:t>
      </w:r>
      <w:r w:rsidRPr="003E342A">
        <w:rPr>
          <w:rFonts w:ascii="Times New Roman" w:hAnsi="Times New Roman" w:cs="Times New Roman"/>
          <w:sz w:val="24"/>
          <w:szCs w:val="24"/>
        </w:rPr>
        <w:lastRenderedPageBreak/>
        <w:t xml:space="preserve">responsibility for which is delegated to the EFSA. “From a legal point of view, decisions to </w:t>
      </w:r>
      <w:proofErr w:type="spellStart"/>
      <w:r w:rsidRPr="003E342A">
        <w:rPr>
          <w:rFonts w:ascii="Times New Roman" w:hAnsi="Times New Roman" w:cs="Times New Roman"/>
          <w:sz w:val="24"/>
          <w:szCs w:val="24"/>
        </w:rPr>
        <w:t>authorise</w:t>
      </w:r>
      <w:proofErr w:type="spellEnd"/>
      <w:r w:rsidRPr="003E342A">
        <w:rPr>
          <w:rFonts w:ascii="Times New Roman" w:hAnsi="Times New Roman" w:cs="Times New Roman"/>
          <w:sz w:val="24"/>
          <w:szCs w:val="24"/>
        </w:rPr>
        <w:t xml:space="preserve"> GMOs take the form of implementing acts adopted by the Commission</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At multiple stages in the procedure, member states must vote on the acts and reach a qualified majority. “</w:t>
      </w:r>
      <w:r w:rsidR="00BD411F">
        <w:rPr>
          <w:rFonts w:ascii="Times New Roman" w:hAnsi="Times New Roman" w:cs="Times New Roman"/>
          <w:sz w:val="24"/>
          <w:szCs w:val="24"/>
        </w:rPr>
        <w:t>W</w:t>
      </w:r>
      <w:r w:rsidRPr="003E342A">
        <w:rPr>
          <w:rFonts w:ascii="Times New Roman" w:hAnsi="Times New Roman" w:cs="Times New Roman"/>
          <w:sz w:val="24"/>
          <w:szCs w:val="24"/>
        </w:rPr>
        <w:t>hilst the commission therefore plays a decisive role in the authorization process, Member States are also very much involved.” Since the implementation of Regulation EC 1829/2003, “member states have never obtained a qualified majority</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and thus all such deliberations have resulted in “no opinion” – therefore, a lack of authorization. </w:t>
      </w:r>
    </w:p>
    <w:p w14:paraId="29CF7C49" w14:textId="5B5CA6EA" w:rsidR="000904CE" w:rsidRPr="00640E7E" w:rsidRDefault="000904CE" w:rsidP="000904CE">
      <w:pPr>
        <w:pStyle w:val="Quote"/>
        <w:spacing w:line="240" w:lineRule="auto"/>
        <w:jc w:val="both"/>
        <w:rPr>
          <w:rFonts w:ascii="Times New Roman" w:hAnsi="Times New Roman" w:cs="Times New Roman"/>
          <w:color w:val="auto"/>
          <w:sz w:val="24"/>
          <w:szCs w:val="24"/>
        </w:rPr>
      </w:pPr>
      <w:r w:rsidRPr="00640E7E">
        <w:rPr>
          <w:rFonts w:ascii="Times New Roman" w:hAnsi="Times New Roman" w:cs="Times New Roman"/>
          <w:color w:val="auto"/>
          <w:sz w:val="24"/>
          <w:szCs w:val="24"/>
        </w:rPr>
        <w:t>“The 1829/2003 Food and Feed Regulation, which amends the 2001 Directive, provides the Member States with an alternative to restrict GM crops: co-existence measures. As Dobbs (2011, p. 181) argues, these co-existence measures are ‘a crucial provision for the states and the central compromise to encourage the lifting of nation outright bans and the de facto moratorium’. In other words, the 2001 Directive strengthens the conditions to restrict GMOs’ under the safeguard clause and it gives more flexibility to the Member States by granting them the possibility to define ‘appropriate measures’ to achieve a separation between GM and non-GM crops</w:t>
      </w:r>
      <w:r w:rsidR="00543A99">
        <w:rPr>
          <w:rFonts w:ascii="Times New Roman" w:hAnsi="Times New Roman" w:cs="Times New Roman"/>
          <w:color w:val="auto"/>
          <w:sz w:val="24"/>
          <w:szCs w:val="24"/>
        </w:rPr>
        <w:t>.</w:t>
      </w:r>
      <w:r w:rsidRPr="00640E7E">
        <w:rPr>
          <w:rFonts w:ascii="Times New Roman" w:hAnsi="Times New Roman" w:cs="Times New Roman"/>
          <w:color w:val="auto"/>
          <w:sz w:val="24"/>
          <w:szCs w:val="24"/>
        </w:rPr>
        <w:t>”</w:t>
      </w:r>
      <w:r w:rsidR="00543A99">
        <w:rPr>
          <w:rStyle w:val="FootnoteReference"/>
          <w:rFonts w:ascii="Times New Roman" w:hAnsi="Times New Roman" w:cs="Times New Roman"/>
          <w:color w:val="auto"/>
          <w:sz w:val="24"/>
          <w:szCs w:val="24"/>
        </w:rPr>
        <w:footnoteReference w:id="81"/>
      </w:r>
      <w:r w:rsidRPr="00640E7E">
        <w:rPr>
          <w:rFonts w:ascii="Times New Roman" w:hAnsi="Times New Roman" w:cs="Times New Roman"/>
          <w:color w:val="auto"/>
          <w:sz w:val="24"/>
          <w:szCs w:val="24"/>
        </w:rPr>
        <w:t xml:space="preserve"> </w:t>
      </w:r>
    </w:p>
    <w:p w14:paraId="17DFC62D" w14:textId="77777777" w:rsidR="000904CE" w:rsidRPr="003E342A" w:rsidRDefault="000904CE" w:rsidP="000904CE">
      <w:pPr>
        <w:spacing w:line="480" w:lineRule="auto"/>
        <w:jc w:val="both"/>
        <w:rPr>
          <w:rFonts w:ascii="Times New Roman" w:hAnsi="Times New Roman" w:cs="Times New Roman"/>
          <w:color w:val="242021"/>
          <w:sz w:val="24"/>
          <w:szCs w:val="24"/>
        </w:rPr>
      </w:pPr>
      <w:proofErr w:type="gramStart"/>
      <w:r w:rsidRPr="003E342A">
        <w:rPr>
          <w:rFonts w:ascii="Times New Roman" w:hAnsi="Times New Roman" w:cs="Times New Roman"/>
          <w:color w:val="242021"/>
          <w:sz w:val="24"/>
          <w:szCs w:val="24"/>
        </w:rPr>
        <w:t>That is to say, although</w:t>
      </w:r>
      <w:proofErr w:type="gramEnd"/>
      <w:r w:rsidRPr="003E342A">
        <w:rPr>
          <w:rFonts w:ascii="Times New Roman" w:hAnsi="Times New Roman" w:cs="Times New Roman"/>
          <w:color w:val="242021"/>
          <w:sz w:val="24"/>
          <w:szCs w:val="24"/>
        </w:rPr>
        <w:t xml:space="preserve"> comitological rules have not led to member states outright rejecting the approval of GMOs, member states could determine internally what safeguard procedures were necessary to prevent the contamination of non-GM crops by GM pollen, runoff, and seeds. By imposing wide berths around existing non-GM cultivation, for example, countries could effectively impose significant restrictions on cultivation within their territories. </w:t>
      </w:r>
    </w:p>
    <w:p w14:paraId="7EC27506" w14:textId="34E26CEC"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According to the infographic “GMOs: EU decision-making process explained</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a biotech entity wishing to attain authorization for a GM product applies to a member state who then requests a risk assessment from the EFSA.</w:t>
      </w:r>
      <w:r w:rsidR="001A3357">
        <w:rPr>
          <w:rStyle w:val="FootnoteReference"/>
          <w:rFonts w:ascii="Times New Roman" w:hAnsi="Times New Roman" w:cs="Times New Roman"/>
          <w:sz w:val="24"/>
          <w:szCs w:val="24"/>
        </w:rPr>
        <w:footnoteReference w:id="82"/>
      </w:r>
      <w:r w:rsidRPr="003E342A">
        <w:rPr>
          <w:rFonts w:ascii="Times New Roman" w:hAnsi="Times New Roman" w:cs="Times New Roman"/>
          <w:sz w:val="24"/>
          <w:szCs w:val="24"/>
        </w:rPr>
        <w:t xml:space="preserve"> The EFSA then delivers its opinion to the EU commission, which is commented on by the member states experts committee, which can adopt or not adopt </w:t>
      </w:r>
      <w:r w:rsidRPr="003E342A">
        <w:rPr>
          <w:rFonts w:ascii="Times New Roman" w:hAnsi="Times New Roman" w:cs="Times New Roman"/>
          <w:sz w:val="24"/>
          <w:szCs w:val="24"/>
        </w:rPr>
        <w:lastRenderedPageBreak/>
        <w:t>outright. When there is no opinion, the matter is again referred to the EU commission which sends the matter to an appeals committee. The appeals committee can adopt or reject outright, but a decision of “no opinion” leads to direct adoption by the commission.</w:t>
      </w:r>
    </w:p>
    <w:p w14:paraId="05106EBB" w14:textId="41E1CBD1" w:rsidR="000904CE" w:rsidRPr="003E342A" w:rsidRDefault="000904CE" w:rsidP="000904CE">
      <w:pPr>
        <w:spacing w:line="480" w:lineRule="auto"/>
        <w:ind w:firstLine="720"/>
        <w:jc w:val="both"/>
        <w:rPr>
          <w:rFonts w:ascii="Times New Roman" w:hAnsi="Times New Roman" w:cs="Times New Roman"/>
          <w:color w:val="242021"/>
          <w:sz w:val="24"/>
          <w:szCs w:val="24"/>
        </w:rPr>
      </w:pPr>
      <w:r w:rsidRPr="003E342A">
        <w:rPr>
          <w:rFonts w:ascii="Times New Roman" w:hAnsi="Times New Roman" w:cs="Times New Roman"/>
          <w:color w:val="242021"/>
          <w:sz w:val="24"/>
          <w:szCs w:val="24"/>
        </w:rPr>
        <w:t>However – and this is the crux of the comitological issue – the workaround established to placate anti-GMO member states has proven a double-edged sword.  The</w:t>
      </w:r>
      <w:r w:rsidRPr="003E342A">
        <w:rPr>
          <w:rFonts w:ascii="Times New Roman" w:hAnsi="Times New Roman" w:cs="Times New Roman"/>
          <w:sz w:val="24"/>
          <w:szCs w:val="24"/>
        </w:rPr>
        <w:t xml:space="preserve"> Regulation EU No 182/2011 was conceived to grant member states more opportunities to voice concerns on GMO authorization and to create “mechanisms   for   control   by   Member   States   of   the   Commission’s   exercise   of   implementing   powers</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83"/>
      </w:r>
      <w:r w:rsidRPr="003E342A">
        <w:rPr>
          <w:rFonts w:ascii="Times New Roman" w:hAnsi="Times New Roman" w:cs="Times New Roman"/>
          <w:sz w:val="24"/>
          <w:szCs w:val="24"/>
        </w:rPr>
        <w:t xml:space="preserve"> The procedure allows, in situations in which “no opinion” is registered in the comitological proceedings, for the Commission to adopt the draft implementation. However, for products for which authorization is required before entry to market (such as GMOs), “the Charter of Fundamental Rights and the case-law of the Court of Justice, requires the Commission to adopt a decision</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84"/>
      </w:r>
      <w:r w:rsidRPr="003E342A">
        <w:rPr>
          <w:rFonts w:ascii="Times New Roman" w:hAnsi="Times New Roman" w:cs="Times New Roman"/>
          <w:sz w:val="24"/>
          <w:szCs w:val="24"/>
        </w:rPr>
        <w:t xml:space="preserve"> Products cannot, therefore, simply “default” into authorization or non-authorization when the commission reaches a decision of “no opinion”; rather, the Commission is forced by current comitological proceedings to expressly approve the authorization. As </w:t>
      </w:r>
      <w:proofErr w:type="spellStart"/>
      <w:r w:rsidRPr="003E342A">
        <w:rPr>
          <w:rFonts w:ascii="Times New Roman" w:hAnsi="Times New Roman" w:cs="Times New Roman"/>
          <w:sz w:val="24"/>
          <w:szCs w:val="24"/>
        </w:rPr>
        <w:t>Skogstad</w:t>
      </w:r>
      <w:proofErr w:type="spellEnd"/>
      <w:r w:rsidRPr="003E342A">
        <w:rPr>
          <w:rFonts w:ascii="Times New Roman" w:hAnsi="Times New Roman" w:cs="Times New Roman"/>
          <w:sz w:val="24"/>
          <w:szCs w:val="24"/>
        </w:rPr>
        <w:t xml:space="preserve"> puts it, “</w:t>
      </w:r>
      <w:r w:rsidRPr="003E342A">
        <w:rPr>
          <w:rFonts w:ascii="Times New Roman" w:hAnsi="Times New Roman" w:cs="Times New Roman"/>
          <w:color w:val="242021"/>
          <w:sz w:val="24"/>
          <w:szCs w:val="24"/>
        </w:rPr>
        <w:t>if that compromise cannot be found, decision-making rules require the Commission to exercise its delegated powers as a fiduciary and approve the proposal it initiated</w:t>
      </w:r>
      <w:r w:rsidR="00225B5D"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85"/>
      </w:r>
      <w:r w:rsidRPr="003E342A">
        <w:rPr>
          <w:rFonts w:ascii="Times New Roman" w:hAnsi="Times New Roman" w:cs="Times New Roman"/>
          <w:color w:val="242021"/>
          <w:sz w:val="24"/>
          <w:szCs w:val="24"/>
        </w:rPr>
        <w:t xml:space="preserve"> This requirement for the Commission to overtly approve GMO applications when the committee becomes deadlocked is the core of the comitological reform proposal put forth by the Juncker Commission. As stated in President Juncker’s Political </w:t>
      </w:r>
      <w:r w:rsidRPr="003E342A">
        <w:rPr>
          <w:rFonts w:ascii="Times New Roman" w:hAnsi="Times New Roman" w:cs="Times New Roman"/>
          <w:color w:val="242021"/>
          <w:sz w:val="24"/>
          <w:szCs w:val="24"/>
        </w:rPr>
        <w:lastRenderedPageBreak/>
        <w:t xml:space="preserve">Guidelines, “I will make sure that the procedural rules governing the various </w:t>
      </w:r>
      <w:proofErr w:type="spellStart"/>
      <w:r w:rsidRPr="003E342A">
        <w:rPr>
          <w:rFonts w:ascii="Times New Roman" w:hAnsi="Times New Roman" w:cs="Times New Roman"/>
          <w:color w:val="242021"/>
          <w:sz w:val="24"/>
          <w:szCs w:val="24"/>
        </w:rPr>
        <w:t>authorisations</w:t>
      </w:r>
      <w:proofErr w:type="spellEnd"/>
      <w:r w:rsidRPr="003E342A">
        <w:rPr>
          <w:rFonts w:ascii="Times New Roman" w:hAnsi="Times New Roman" w:cs="Times New Roman"/>
          <w:color w:val="242021"/>
          <w:sz w:val="24"/>
          <w:szCs w:val="24"/>
        </w:rPr>
        <w:t xml:space="preserve"> for</w:t>
      </w:r>
      <w:r w:rsidR="00640E7E">
        <w:rPr>
          <w:rFonts w:ascii="Times New Roman" w:hAnsi="Times New Roman" w:cs="Times New Roman"/>
          <w:color w:val="242021"/>
          <w:sz w:val="24"/>
          <w:szCs w:val="24"/>
        </w:rPr>
        <w:t xml:space="preserve"> </w:t>
      </w:r>
      <w:r w:rsidRPr="003E342A">
        <w:rPr>
          <w:rFonts w:ascii="Times New Roman" w:hAnsi="Times New Roman" w:cs="Times New Roman"/>
          <w:color w:val="242021"/>
          <w:sz w:val="24"/>
          <w:szCs w:val="24"/>
        </w:rPr>
        <w:t xml:space="preserve">GMOs are reviewed. I would not want the Commission to be able to take a decision when </w:t>
      </w:r>
      <w:proofErr w:type="gramStart"/>
      <w:r w:rsidRPr="003E342A">
        <w:rPr>
          <w:rFonts w:ascii="Times New Roman" w:hAnsi="Times New Roman" w:cs="Times New Roman"/>
          <w:color w:val="242021"/>
          <w:sz w:val="24"/>
          <w:szCs w:val="24"/>
        </w:rPr>
        <w:t>a majority of</w:t>
      </w:r>
      <w:proofErr w:type="gramEnd"/>
      <w:r w:rsidRPr="003E342A">
        <w:rPr>
          <w:rFonts w:ascii="Times New Roman" w:hAnsi="Times New Roman" w:cs="Times New Roman"/>
          <w:color w:val="242021"/>
          <w:sz w:val="24"/>
          <w:szCs w:val="24"/>
        </w:rPr>
        <w:t xml:space="preserve"> Member States has not encouraged it to do so. In general, let us avoid ideological debates which only sow division”</w:t>
      </w:r>
      <w:r w:rsidRPr="003E342A">
        <w:rPr>
          <w:rStyle w:val="FootnoteReference"/>
          <w:rFonts w:ascii="Times New Roman" w:hAnsi="Times New Roman" w:cs="Times New Roman"/>
          <w:color w:val="242021"/>
          <w:sz w:val="24"/>
          <w:szCs w:val="24"/>
        </w:rPr>
        <w:footnoteReference w:id="86"/>
      </w:r>
      <w:r w:rsidRPr="003E342A">
        <w:rPr>
          <w:rFonts w:ascii="Times New Roman" w:hAnsi="Times New Roman" w:cs="Times New Roman"/>
          <w:color w:val="242021"/>
          <w:sz w:val="24"/>
          <w:szCs w:val="24"/>
        </w:rPr>
        <w:t>.</w:t>
      </w:r>
    </w:p>
    <w:p w14:paraId="62749FAC" w14:textId="1FA4EE91"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color w:val="242021"/>
          <w:sz w:val="24"/>
          <w:szCs w:val="24"/>
        </w:rPr>
        <w:t xml:space="preserve">To complicate matters, the enormous regulatory latitude by which member states could </w:t>
      </w:r>
      <w:r w:rsidRPr="003E342A">
        <w:rPr>
          <w:rFonts w:ascii="Times New Roman" w:hAnsi="Times New Roman" w:cs="Times New Roman"/>
          <w:i/>
          <w:color w:val="242021"/>
          <w:sz w:val="24"/>
          <w:szCs w:val="24"/>
        </w:rPr>
        <w:t>de facto</w:t>
      </w:r>
      <w:r w:rsidRPr="003E342A">
        <w:rPr>
          <w:rFonts w:ascii="Times New Roman" w:hAnsi="Times New Roman" w:cs="Times New Roman"/>
          <w:color w:val="242021"/>
          <w:sz w:val="24"/>
          <w:szCs w:val="24"/>
        </w:rPr>
        <w:t xml:space="preserve"> control the cultivation of GM crops on their territories was given a de jure foundation in 2015, </w:t>
      </w:r>
      <w:r w:rsidRPr="003E342A">
        <w:rPr>
          <w:rFonts w:ascii="Times New Roman" w:hAnsi="Times New Roman" w:cs="Times New Roman"/>
          <w:sz w:val="24"/>
          <w:szCs w:val="24"/>
        </w:rPr>
        <w:t>with the Adoption of Directive (EU) 2015/412. This directive allows member states to opt out of the cultivation of GMOs on their territory given “that such measures are justified on the basis of compelling reasons other than the risk to human or animal health and the environment</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which fall under the purview of the EFSA risk assessment. This system has two notable gaps: </w:t>
      </w:r>
      <w:r w:rsidR="005B512B">
        <w:rPr>
          <w:rFonts w:ascii="Times New Roman" w:hAnsi="Times New Roman" w:cs="Times New Roman"/>
          <w:sz w:val="24"/>
          <w:szCs w:val="24"/>
        </w:rPr>
        <w:t>f</w:t>
      </w:r>
      <w:r w:rsidRPr="003E342A">
        <w:rPr>
          <w:rFonts w:ascii="Times New Roman" w:hAnsi="Times New Roman" w:cs="Times New Roman"/>
          <w:sz w:val="24"/>
          <w:szCs w:val="24"/>
        </w:rPr>
        <w:t xml:space="preserve">irst, this directive works in only one direction: member states can restrict cultivation that the EU </w:t>
      </w:r>
      <w:proofErr w:type="gramStart"/>
      <w:r w:rsidRPr="003E342A">
        <w:rPr>
          <w:rFonts w:ascii="Times New Roman" w:hAnsi="Times New Roman" w:cs="Times New Roman"/>
          <w:sz w:val="24"/>
          <w:szCs w:val="24"/>
        </w:rPr>
        <w:t>authorizes, but</w:t>
      </w:r>
      <w:proofErr w:type="gramEnd"/>
      <w:r w:rsidRPr="003E342A">
        <w:rPr>
          <w:rFonts w:ascii="Times New Roman" w:hAnsi="Times New Roman" w:cs="Times New Roman"/>
          <w:sz w:val="24"/>
          <w:szCs w:val="24"/>
        </w:rPr>
        <w:t xml:space="preserve"> cannot allow cultivation that the EU does not authorize. Second, this directive only applies to cultivation, and not to GMOs introduced into food and feed directly. “The issues raised by Member States who have opposed </w:t>
      </w:r>
      <w:proofErr w:type="spellStart"/>
      <w:r w:rsidRPr="003E342A">
        <w:rPr>
          <w:rFonts w:ascii="Times New Roman" w:hAnsi="Times New Roman" w:cs="Times New Roman"/>
          <w:sz w:val="24"/>
          <w:szCs w:val="24"/>
        </w:rPr>
        <w:t>authorisations</w:t>
      </w:r>
      <w:proofErr w:type="spellEnd"/>
      <w:r w:rsidRPr="003E342A">
        <w:rPr>
          <w:rFonts w:ascii="Times New Roman" w:hAnsi="Times New Roman" w:cs="Times New Roman"/>
          <w:sz w:val="24"/>
          <w:szCs w:val="24"/>
        </w:rPr>
        <w:t xml:space="preserve"> are most often not based on scientific </w:t>
      </w:r>
      <w:proofErr w:type="gramStart"/>
      <w:r w:rsidRPr="003E342A">
        <w:rPr>
          <w:rFonts w:ascii="Times New Roman" w:hAnsi="Times New Roman" w:cs="Times New Roman"/>
          <w:sz w:val="24"/>
          <w:szCs w:val="24"/>
        </w:rPr>
        <w:t>considerations, but</w:t>
      </w:r>
      <w:proofErr w:type="gramEnd"/>
      <w:r w:rsidRPr="003E342A">
        <w:rPr>
          <w:rFonts w:ascii="Times New Roman" w:hAnsi="Times New Roman" w:cs="Times New Roman"/>
          <w:sz w:val="24"/>
          <w:szCs w:val="24"/>
        </w:rPr>
        <w:t xml:space="preserve"> reflect national concerns which do not only relate to issues associated with the safety of GMOs for health or the environment.” </w:t>
      </w:r>
      <w:r w:rsidR="00A50C64">
        <w:rPr>
          <w:rStyle w:val="FootnoteReference"/>
          <w:rFonts w:ascii="Times New Roman" w:hAnsi="Times New Roman" w:cs="Times New Roman"/>
          <w:sz w:val="24"/>
          <w:szCs w:val="24"/>
        </w:rPr>
        <w:footnoteReference w:id="87"/>
      </w:r>
    </w:p>
    <w:p w14:paraId="2F1E7BFA" w14:textId="6ECAC21B" w:rsidR="000904CE" w:rsidRPr="003E342A" w:rsidRDefault="00442D63" w:rsidP="000904C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0904CE" w:rsidRPr="003E342A">
        <w:rPr>
          <w:rFonts w:ascii="Times New Roman" w:hAnsi="Times New Roman" w:cs="Times New Roman"/>
          <w:sz w:val="24"/>
          <w:szCs w:val="24"/>
        </w:rPr>
        <w:t xml:space="preserve">n 2015, the </w:t>
      </w:r>
      <w:r>
        <w:rPr>
          <w:rFonts w:ascii="Times New Roman" w:hAnsi="Times New Roman" w:cs="Times New Roman"/>
          <w:sz w:val="24"/>
          <w:szCs w:val="24"/>
        </w:rPr>
        <w:t>Commission</w:t>
      </w:r>
      <w:r w:rsidR="000904CE" w:rsidRPr="003E342A">
        <w:rPr>
          <w:rFonts w:ascii="Times New Roman" w:hAnsi="Times New Roman" w:cs="Times New Roman"/>
          <w:sz w:val="24"/>
          <w:szCs w:val="24"/>
        </w:rPr>
        <w:t xml:space="preserve"> proposed another regulatory reform that is also considered alongside the comitological reform as part of a joint thrust by the Juncker Commission</w:t>
      </w:r>
      <w:r w:rsidR="00C40488" w:rsidRPr="003E342A">
        <w:rPr>
          <w:rFonts w:ascii="Times New Roman" w:hAnsi="Times New Roman" w:cs="Times New Roman"/>
          <w:sz w:val="24"/>
          <w:szCs w:val="24"/>
        </w:rPr>
        <w:t xml:space="preserve"> to reduce or elimina</w:t>
      </w:r>
      <w:r w:rsidR="0029164C" w:rsidRPr="003E342A">
        <w:rPr>
          <w:rFonts w:ascii="Times New Roman" w:hAnsi="Times New Roman" w:cs="Times New Roman"/>
          <w:sz w:val="24"/>
          <w:szCs w:val="24"/>
        </w:rPr>
        <w:t>te</w:t>
      </w:r>
      <w:r w:rsidR="00C40488" w:rsidRPr="003E342A">
        <w:rPr>
          <w:rFonts w:ascii="Times New Roman" w:hAnsi="Times New Roman" w:cs="Times New Roman"/>
          <w:sz w:val="24"/>
          <w:szCs w:val="24"/>
        </w:rPr>
        <w:t xml:space="preserve"> the authorization of GMOs in the EU</w:t>
      </w:r>
      <w:r w:rsidR="000904CE" w:rsidRPr="003E342A">
        <w:rPr>
          <w:rFonts w:ascii="Times New Roman" w:hAnsi="Times New Roman" w:cs="Times New Roman"/>
          <w:sz w:val="24"/>
          <w:szCs w:val="24"/>
        </w:rPr>
        <w:t xml:space="preserve">. In line with the goals of the Better Regulation initiative, the Commission submitted proposed legislation to the EU Parliament </w:t>
      </w:r>
      <w:r w:rsidR="00C40488" w:rsidRPr="003E342A">
        <w:rPr>
          <w:rFonts w:ascii="Times New Roman" w:hAnsi="Times New Roman" w:cs="Times New Roman"/>
          <w:sz w:val="24"/>
          <w:szCs w:val="24"/>
        </w:rPr>
        <w:t>“</w:t>
      </w:r>
      <w:r w:rsidR="00C40488" w:rsidRPr="003E342A">
        <w:rPr>
          <w:rStyle w:val="Strong"/>
          <w:rFonts w:ascii="Times New Roman" w:hAnsi="Times New Roman" w:cs="Times New Roman"/>
          <w:b w:val="0"/>
          <w:sz w:val="24"/>
          <w:szCs w:val="24"/>
        </w:rPr>
        <w:t>t</w:t>
      </w:r>
      <w:r w:rsidR="000904CE" w:rsidRPr="003E342A">
        <w:rPr>
          <w:rStyle w:val="Strong"/>
          <w:rFonts w:ascii="Times New Roman" w:hAnsi="Times New Roman" w:cs="Times New Roman"/>
          <w:b w:val="0"/>
          <w:sz w:val="24"/>
          <w:szCs w:val="24"/>
        </w:rPr>
        <w:t>o restrict or prohibit the use of genetically modified food and feed on their territory</w:t>
      </w:r>
      <w:r w:rsidR="00225B5D" w:rsidRPr="003E342A">
        <w:rPr>
          <w:rStyle w:val="Strong"/>
          <w:rFonts w:ascii="Times New Roman" w:hAnsi="Times New Roman" w:cs="Times New Roman"/>
          <w:b w:val="0"/>
          <w:sz w:val="24"/>
          <w:szCs w:val="24"/>
        </w:rPr>
        <w:t>,”</w:t>
      </w:r>
      <w:r w:rsidR="000904CE" w:rsidRPr="003E342A">
        <w:rPr>
          <w:rFonts w:ascii="Times New Roman" w:hAnsi="Times New Roman" w:cs="Times New Roman"/>
          <w:sz w:val="24"/>
          <w:szCs w:val="24"/>
        </w:rPr>
        <w:t xml:space="preserve"> “even though these crops </w:t>
      </w:r>
      <w:r w:rsidR="000904CE" w:rsidRPr="003E342A">
        <w:rPr>
          <w:rFonts w:ascii="Times New Roman" w:hAnsi="Times New Roman" w:cs="Times New Roman"/>
          <w:sz w:val="24"/>
          <w:szCs w:val="24"/>
        </w:rPr>
        <w:lastRenderedPageBreak/>
        <w:t>were approved at the EU level following a rigorous scientific assessment</w:t>
      </w:r>
      <w:r w:rsidR="00225B5D" w:rsidRPr="003E342A">
        <w:rPr>
          <w:rFonts w:ascii="Times New Roman" w:hAnsi="Times New Roman" w:cs="Times New Roman"/>
          <w:sz w:val="24"/>
          <w:szCs w:val="24"/>
        </w:rPr>
        <w:t>.”</w:t>
      </w:r>
      <w:r w:rsidR="000904CE" w:rsidRPr="003E342A">
        <w:rPr>
          <w:rStyle w:val="FootnoteReference"/>
          <w:rFonts w:ascii="Times New Roman" w:hAnsi="Times New Roman" w:cs="Times New Roman"/>
          <w:sz w:val="24"/>
          <w:szCs w:val="24"/>
        </w:rPr>
        <w:footnoteReference w:id="88"/>
      </w:r>
      <w:r w:rsidR="000904CE" w:rsidRPr="003E342A">
        <w:rPr>
          <w:rFonts w:ascii="Times New Roman" w:hAnsi="Times New Roman" w:cs="Times New Roman"/>
          <w:sz w:val="24"/>
          <w:szCs w:val="24"/>
        </w:rPr>
        <w:t xml:space="preserve"> In the September 2015 State of the Union, President Juncker stated that “European  problems  require  European  solutions, national  problems  require  national  solutions.  In respect  of  this  principle,  and  because  citizens' concerns about Genetically Modified Organisms may   vary   greatly   among   Member   States,   the Commission  has  proposed  to  return  the  power  to restrict  or  prohibit  the  use  Genetically  Modified food and feed to national authorities</w:t>
      </w:r>
      <w:r w:rsidR="00225B5D" w:rsidRPr="003E342A">
        <w:rPr>
          <w:rFonts w:ascii="Times New Roman" w:hAnsi="Times New Roman" w:cs="Times New Roman"/>
          <w:sz w:val="24"/>
          <w:szCs w:val="24"/>
        </w:rPr>
        <w:t>.”</w:t>
      </w:r>
      <w:r w:rsidR="000904CE" w:rsidRPr="003E342A">
        <w:rPr>
          <w:rStyle w:val="FootnoteReference"/>
          <w:rFonts w:ascii="Times New Roman" w:hAnsi="Times New Roman" w:cs="Times New Roman"/>
          <w:sz w:val="24"/>
          <w:szCs w:val="24"/>
        </w:rPr>
        <w:footnoteReference w:id="89"/>
      </w:r>
      <w:r w:rsidR="000904CE" w:rsidRPr="003E342A">
        <w:rPr>
          <w:rFonts w:ascii="Times New Roman" w:hAnsi="Times New Roman" w:cs="Times New Roman"/>
          <w:sz w:val="24"/>
          <w:szCs w:val="24"/>
        </w:rPr>
        <w:t xml:space="preserve"> </w:t>
      </w:r>
      <w:r w:rsidR="0029164C" w:rsidRPr="003E342A">
        <w:rPr>
          <w:rFonts w:ascii="Times New Roman" w:hAnsi="Times New Roman" w:cs="Times New Roman"/>
          <w:sz w:val="24"/>
          <w:szCs w:val="24"/>
        </w:rPr>
        <w:t xml:space="preserve">This statement evidences a line of thinking in the Juncker administration that is placing high emphasis on the need to improve the democratic legitimacy of European regulatory processes in order to address a democratic deficit. However, the result demonstrates some of the unintended consequences of such a prioritization. </w:t>
      </w:r>
      <w:r w:rsidR="000904CE" w:rsidRPr="003E342A">
        <w:rPr>
          <w:rFonts w:ascii="Times New Roman" w:hAnsi="Times New Roman" w:cs="Times New Roman"/>
          <w:sz w:val="24"/>
          <w:szCs w:val="24"/>
        </w:rPr>
        <w:t xml:space="preserve">In the weeks leading up to the Parliament’s October vote on the proposal, </w:t>
      </w:r>
      <w:r w:rsidR="00C40488" w:rsidRPr="003E342A">
        <w:rPr>
          <w:rFonts w:ascii="Times New Roman" w:hAnsi="Times New Roman" w:cs="Times New Roman"/>
          <w:sz w:val="24"/>
          <w:szCs w:val="24"/>
        </w:rPr>
        <w:t>nineteen</w:t>
      </w:r>
      <w:r w:rsidR="000904CE" w:rsidRPr="003E342A">
        <w:rPr>
          <w:rFonts w:ascii="Times New Roman" w:hAnsi="Times New Roman" w:cs="Times New Roman"/>
          <w:sz w:val="24"/>
          <w:szCs w:val="24"/>
        </w:rPr>
        <w:t xml:space="preserve"> European countries submitted requests for the proposed opt-outs, allowing them to roll back common market obligations to treat all EU products equally, and to instead prevent the import or commercialization of GMOs.</w:t>
      </w:r>
      <w:r w:rsidR="000904CE" w:rsidRPr="003E342A">
        <w:rPr>
          <w:rStyle w:val="FootnoteReference"/>
          <w:rFonts w:ascii="Times New Roman" w:hAnsi="Times New Roman" w:cs="Times New Roman"/>
          <w:sz w:val="24"/>
          <w:szCs w:val="24"/>
        </w:rPr>
        <w:footnoteReference w:id="90"/>
      </w:r>
      <w:r w:rsidR="000904CE" w:rsidRPr="003E342A">
        <w:rPr>
          <w:rFonts w:ascii="Times New Roman" w:hAnsi="Times New Roman" w:cs="Times New Roman"/>
          <w:sz w:val="24"/>
          <w:szCs w:val="24"/>
        </w:rPr>
        <w:t xml:space="preserve"> In many of these cases, a political rather than a scientific motivation was overt: “without a trace of embarrassment, a spokeswoman for Nicola Sturgeon, the leader of the Scottish National Party, admitted that the first minister’s science adviser had not been consulted because the decision [to opt out and prevent GMO cultivation] ‘wasn’t based on </w:t>
      </w:r>
      <w:r w:rsidR="000904CE" w:rsidRPr="003E342A">
        <w:rPr>
          <w:rFonts w:ascii="Times New Roman" w:hAnsi="Times New Roman" w:cs="Times New Roman"/>
          <w:sz w:val="24"/>
          <w:szCs w:val="24"/>
        </w:rPr>
        <w:lastRenderedPageBreak/>
        <w:t>scientific evidence.’ Instead, the priority was to protect the ‘clean green image’ of the country’s produce, according to the secretary for rural affairs, food and environment</w:t>
      </w:r>
      <w:r w:rsidR="00225B5D" w:rsidRPr="003E342A">
        <w:rPr>
          <w:rFonts w:ascii="Times New Roman" w:hAnsi="Times New Roman" w:cs="Times New Roman"/>
          <w:sz w:val="24"/>
          <w:szCs w:val="24"/>
        </w:rPr>
        <w:t>.”</w:t>
      </w:r>
      <w:r w:rsidR="000904CE" w:rsidRPr="003E342A">
        <w:rPr>
          <w:rStyle w:val="FootnoteReference"/>
          <w:rFonts w:ascii="Times New Roman" w:hAnsi="Times New Roman" w:cs="Times New Roman"/>
          <w:sz w:val="24"/>
          <w:szCs w:val="24"/>
        </w:rPr>
        <w:footnoteReference w:id="91"/>
      </w:r>
    </w:p>
    <w:p w14:paraId="3F86EE47" w14:textId="67819EF3" w:rsidR="000904CE" w:rsidRPr="003E342A" w:rsidRDefault="000904CE" w:rsidP="000904CE">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The Juncker </w:t>
      </w:r>
      <w:r w:rsidR="00A94A73">
        <w:rPr>
          <w:rFonts w:ascii="Times New Roman" w:hAnsi="Times New Roman" w:cs="Times New Roman"/>
          <w:sz w:val="24"/>
          <w:szCs w:val="24"/>
        </w:rPr>
        <w:t>Commission</w:t>
      </w:r>
      <w:r w:rsidRPr="003E342A">
        <w:rPr>
          <w:rFonts w:ascii="Times New Roman" w:hAnsi="Times New Roman" w:cs="Times New Roman"/>
          <w:sz w:val="24"/>
          <w:szCs w:val="24"/>
        </w:rPr>
        <w:t xml:space="preserve"> argued that this proposed reform was the logical extension of the decision allowing the prevention of cultivation. “The Commission suggested that this proposal should be modelled on another EU law, on GMOs intended for cultivation, which entered into force in early April 2015. This allows member states to ban the cultivation of EU-approved GMOs on their territory</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w:t>
      </w:r>
      <w:r w:rsidRPr="003E342A">
        <w:rPr>
          <w:rStyle w:val="FootnoteReference"/>
          <w:rFonts w:ascii="Times New Roman" w:hAnsi="Times New Roman" w:cs="Times New Roman"/>
          <w:sz w:val="24"/>
          <w:szCs w:val="24"/>
        </w:rPr>
        <w:footnoteReference w:id="92"/>
      </w:r>
      <w:r w:rsidR="00C40488" w:rsidRPr="003E342A">
        <w:rPr>
          <w:rFonts w:ascii="Times New Roman" w:hAnsi="Times New Roman" w:cs="Times New Roman"/>
          <w:sz w:val="24"/>
          <w:szCs w:val="24"/>
        </w:rPr>
        <w:t xml:space="preserve"> </w:t>
      </w:r>
      <w:r w:rsidRPr="003E342A">
        <w:rPr>
          <w:rFonts w:ascii="Times New Roman" w:hAnsi="Times New Roman" w:cs="Times New Roman"/>
          <w:sz w:val="24"/>
          <w:szCs w:val="24"/>
        </w:rPr>
        <w:t xml:space="preserve">The EU Parliament, however, did not consent to the proposed measures. Rather, “A large majority in European Parliament has voted to reject a European Commission proposal that would enable member states to opt out of EU </w:t>
      </w:r>
      <w:proofErr w:type="spellStart"/>
      <w:r w:rsidRPr="003E342A">
        <w:rPr>
          <w:rFonts w:ascii="Times New Roman" w:hAnsi="Times New Roman" w:cs="Times New Roman"/>
          <w:sz w:val="24"/>
          <w:szCs w:val="24"/>
        </w:rPr>
        <w:t>authorisations</w:t>
      </w:r>
      <w:proofErr w:type="spellEnd"/>
      <w:r w:rsidRPr="003E342A">
        <w:rPr>
          <w:rFonts w:ascii="Times New Roman" w:hAnsi="Times New Roman" w:cs="Times New Roman"/>
          <w:sz w:val="24"/>
          <w:szCs w:val="24"/>
        </w:rPr>
        <w:t xml:space="preserve"> for genetically modified food,” with one MEP having “never seen so much consensus</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93"/>
      </w:r>
      <w:r w:rsidRPr="003E342A">
        <w:rPr>
          <w:rFonts w:ascii="Times New Roman" w:hAnsi="Times New Roman" w:cs="Times New Roman"/>
          <w:sz w:val="24"/>
          <w:szCs w:val="24"/>
        </w:rPr>
        <w:t xml:space="preserve"> In a different situation, this struggle over GMO policy would be run-of-the-mill political disagreement between the EU Commission and EU Parliament. However, given that it represents a fundamental debate between the scientific community and the EU commission, with the Commission going so far as to abolish a science advisor position based on personal political differences of opinion on the matter, this proposed and failed reform legislation forms part of a larger pattern of anti-GMO proposals that threaten the efficacy of EU institutions and call into question the “sound science” upon which EU regulatory decisionmaking is nominally based.</w:t>
      </w:r>
    </w:p>
    <w:p w14:paraId="7DDA16EE" w14:textId="29CBDA61" w:rsidR="000904CE" w:rsidRPr="003E342A" w:rsidRDefault="000904CE" w:rsidP="00CE7076">
      <w:pPr>
        <w:pStyle w:val="Heading1"/>
        <w:rPr>
          <w:rFonts w:cs="Times New Roman"/>
        </w:rPr>
      </w:pPr>
      <w:bookmarkStart w:id="25" w:name="_Toc531878491"/>
      <w:r w:rsidRPr="003E342A">
        <w:rPr>
          <w:rFonts w:cs="Times New Roman"/>
        </w:rPr>
        <w:t>2017 – The Venting of Frustrations</w:t>
      </w:r>
      <w:bookmarkEnd w:id="25"/>
    </w:p>
    <w:p w14:paraId="09B79254" w14:textId="77777777" w:rsidR="005F50AE" w:rsidRPr="003E342A" w:rsidRDefault="005F50AE" w:rsidP="005F50AE">
      <w:pPr>
        <w:rPr>
          <w:rFonts w:ascii="Times New Roman" w:hAnsi="Times New Roman" w:cs="Times New Roman"/>
        </w:rPr>
      </w:pPr>
    </w:p>
    <w:p w14:paraId="0A0F6949" w14:textId="77777777" w:rsidR="005F50AE" w:rsidRPr="003E342A" w:rsidRDefault="000904CE" w:rsidP="005F50AE">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lastRenderedPageBreak/>
        <w:t xml:space="preserve">Several events in rapid-fire succession in early 2017 serve to demonstrate </w:t>
      </w:r>
      <w:r w:rsidR="00C40488" w:rsidRPr="003E342A">
        <w:rPr>
          <w:rFonts w:ascii="Times New Roman" w:hAnsi="Times New Roman" w:cs="Times New Roman"/>
          <w:sz w:val="24"/>
          <w:szCs w:val="24"/>
        </w:rPr>
        <w:t xml:space="preserve">the growing frustrations of the Juncker Commission and like-minded Commissioners about the institutional and comitological inability to </w:t>
      </w:r>
      <w:r w:rsidR="00252262" w:rsidRPr="003E342A">
        <w:rPr>
          <w:rFonts w:ascii="Times New Roman" w:hAnsi="Times New Roman" w:cs="Times New Roman"/>
          <w:sz w:val="24"/>
          <w:szCs w:val="24"/>
        </w:rPr>
        <w:t xml:space="preserve">more tightly regulate </w:t>
      </w:r>
      <w:proofErr w:type="gramStart"/>
      <w:r w:rsidR="00252262" w:rsidRPr="003E342A">
        <w:rPr>
          <w:rFonts w:ascii="Times New Roman" w:hAnsi="Times New Roman" w:cs="Times New Roman"/>
          <w:sz w:val="24"/>
          <w:szCs w:val="24"/>
        </w:rPr>
        <w:t>GMOs</w:t>
      </w:r>
      <w:r w:rsidR="00A90177" w:rsidRPr="003E342A">
        <w:rPr>
          <w:rFonts w:ascii="Times New Roman" w:hAnsi="Times New Roman" w:cs="Times New Roman"/>
          <w:sz w:val="24"/>
          <w:szCs w:val="24"/>
        </w:rPr>
        <w:t>, and</w:t>
      </w:r>
      <w:proofErr w:type="gramEnd"/>
      <w:r w:rsidR="00A90177" w:rsidRPr="003E342A">
        <w:rPr>
          <w:rFonts w:ascii="Times New Roman" w:hAnsi="Times New Roman" w:cs="Times New Roman"/>
          <w:sz w:val="24"/>
          <w:szCs w:val="24"/>
        </w:rPr>
        <w:t xml:space="preserve"> serve as a further background for the push to resolve the resulting institutional tensions. The frustrations resulted in the Juncker Commission promulgating a new comitological reform proposal in late 2017 in explicit response to the comitological difficulties illustrated below.</w:t>
      </w:r>
    </w:p>
    <w:p w14:paraId="21C98D3F" w14:textId="4C3C6BF9" w:rsidR="00CE7076" w:rsidRPr="003E342A" w:rsidRDefault="00CE7076" w:rsidP="00CE7076">
      <w:pPr>
        <w:spacing w:line="480" w:lineRule="auto"/>
        <w:jc w:val="both"/>
        <w:rPr>
          <w:rFonts w:ascii="Times New Roman" w:hAnsi="Times New Roman" w:cs="Times New Roman"/>
          <w:sz w:val="24"/>
          <w:szCs w:val="24"/>
        </w:rPr>
      </w:pPr>
    </w:p>
    <w:p w14:paraId="4507113D" w14:textId="15D200E2" w:rsidR="00CE7076" w:rsidRPr="003E342A" w:rsidRDefault="00CE7076" w:rsidP="00CE7076">
      <w:pPr>
        <w:pStyle w:val="Heading2"/>
        <w:rPr>
          <w:rFonts w:cs="Times New Roman"/>
        </w:rPr>
      </w:pPr>
      <w:r w:rsidRPr="003E342A">
        <w:rPr>
          <w:rFonts w:cs="Times New Roman"/>
        </w:rPr>
        <w:t>27 January 2017 Committee Meeting</w:t>
      </w:r>
    </w:p>
    <w:p w14:paraId="0C75CD6D" w14:textId="77777777" w:rsidR="00CE7076" w:rsidRPr="003E342A" w:rsidRDefault="00CE7076" w:rsidP="00CE7076">
      <w:pPr>
        <w:rPr>
          <w:rFonts w:ascii="Times New Roman" w:hAnsi="Times New Roman" w:cs="Times New Roman"/>
        </w:rPr>
      </w:pPr>
    </w:p>
    <w:p w14:paraId="03BA2C12" w14:textId="4FA9A530" w:rsidR="000904CE" w:rsidRPr="003E342A" w:rsidRDefault="000904CE" w:rsidP="005F50A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In the 27 January 2017 meeting of the EU Commission Standing Committee on Plants, Animals, Food and Feed (PAFF), Committee on Genetically Modified Food and Feed and Environmental Risk, the Committee voted “no opinion” on the authorization of</w:t>
      </w:r>
      <w:r w:rsidR="00A94A73">
        <w:rPr>
          <w:rFonts w:ascii="Times New Roman" w:hAnsi="Times New Roman" w:cs="Times New Roman"/>
          <w:sz w:val="24"/>
          <w:szCs w:val="24"/>
        </w:rPr>
        <w:t xml:space="preserve"> two strains of GMO Maize:</w:t>
      </w:r>
      <w:r w:rsidRPr="003E342A">
        <w:rPr>
          <w:rFonts w:ascii="Times New Roman" w:hAnsi="Times New Roman" w:cs="Times New Roman"/>
          <w:sz w:val="24"/>
          <w:szCs w:val="24"/>
        </w:rPr>
        <w:t xml:space="preserve"> Bt11 (SYN-BTØ11-1), Bt11 × 59122 × MIR604 × 1507 × GA21, and 1507 (DAS-Ø15Ø7-1). The exact vote totals of these committee meetings are not released publicly (a point specifically targeted for reform by the Juncker administration’s proposed reform package). Member states can voluntarily lodge individual opinions, however, and on both cases the representative from Sweden lodged a written statement, arguing that “</w:t>
      </w:r>
      <w:proofErr w:type="spellStart"/>
      <w:r w:rsidRPr="003E342A">
        <w:rPr>
          <w:rFonts w:ascii="Times New Roman" w:hAnsi="Times New Roman" w:cs="Times New Roman"/>
          <w:iCs/>
          <w:color w:val="000000"/>
          <w:sz w:val="24"/>
          <w:szCs w:val="24"/>
        </w:rPr>
        <w:t>glufosinate</w:t>
      </w:r>
      <w:proofErr w:type="spellEnd"/>
      <w:r w:rsidRPr="003E342A">
        <w:rPr>
          <w:rFonts w:ascii="Times New Roman" w:hAnsi="Times New Roman" w:cs="Times New Roman"/>
          <w:iCs/>
          <w:color w:val="000000"/>
          <w:sz w:val="24"/>
          <w:szCs w:val="24"/>
        </w:rPr>
        <w:t xml:space="preserve"> ammonium [the pesticide against which the GM traits in both crops provide protections] is a pesticide so dangerous that Sweden must vote NO in order to continue to work towards a non-toxic environment in the EU.”</w:t>
      </w:r>
      <w:r w:rsidRPr="003E342A">
        <w:rPr>
          <w:rStyle w:val="FootnoteReference"/>
          <w:rFonts w:ascii="Times New Roman" w:hAnsi="Times New Roman" w:cs="Times New Roman"/>
          <w:sz w:val="24"/>
          <w:szCs w:val="24"/>
        </w:rPr>
        <w:footnoteReference w:id="94"/>
      </w:r>
      <w:r w:rsidRPr="003E342A">
        <w:rPr>
          <w:rFonts w:ascii="Times New Roman" w:hAnsi="Times New Roman" w:cs="Times New Roman"/>
          <w:sz w:val="24"/>
          <w:szCs w:val="24"/>
        </w:rPr>
        <w:t xml:space="preserve"> </w:t>
      </w:r>
      <w:r w:rsidRPr="003E342A">
        <w:rPr>
          <w:rFonts w:ascii="Times New Roman" w:hAnsi="Times New Roman" w:cs="Times New Roman"/>
          <w:bCs/>
          <w:iCs/>
          <w:color w:val="000000"/>
          <w:sz w:val="24"/>
          <w:szCs w:val="24"/>
        </w:rPr>
        <w:t xml:space="preserve">The Czech Republic took a less uniform standpoint on the proposals, having abstained on </w:t>
      </w:r>
      <w:r w:rsidRPr="003E342A">
        <w:rPr>
          <w:rFonts w:ascii="Times New Roman" w:hAnsi="Times New Roman" w:cs="Times New Roman"/>
          <w:bCs/>
          <w:iCs/>
          <w:color w:val="000000"/>
          <w:sz w:val="24"/>
          <w:szCs w:val="24"/>
        </w:rPr>
        <w:lastRenderedPageBreak/>
        <w:t>the votes of Bt11 and 1507 but agreeing to the approval of another GM product up for approval at the same meeting: “</w:t>
      </w:r>
      <w:r w:rsidRPr="003E342A">
        <w:rPr>
          <w:rFonts w:ascii="Times New Roman" w:hAnsi="Times New Roman" w:cs="Times New Roman"/>
          <w:i/>
          <w:iCs/>
          <w:color w:val="000000"/>
          <w:sz w:val="24"/>
          <w:szCs w:val="24"/>
        </w:rPr>
        <w:t>Regarding the voting of the Czech Republic … the positions differed due to lack of consensus among the Competent Authorities at this stage.</w:t>
      </w:r>
      <w:r w:rsidRPr="003E342A">
        <w:rPr>
          <w:rFonts w:ascii="Times New Roman" w:hAnsi="Times New Roman" w:cs="Times New Roman"/>
          <w:sz w:val="24"/>
          <w:szCs w:val="24"/>
        </w:rPr>
        <w:t xml:space="preserve"> </w:t>
      </w:r>
      <w:proofErr w:type="gramStart"/>
      <w:r w:rsidRPr="003E342A">
        <w:rPr>
          <w:rFonts w:ascii="Times New Roman" w:hAnsi="Times New Roman" w:cs="Times New Roman"/>
          <w:i/>
          <w:iCs/>
          <w:color w:val="000000"/>
          <w:sz w:val="24"/>
          <w:szCs w:val="24"/>
        </w:rPr>
        <w:t>Therefore</w:t>
      </w:r>
      <w:proofErr w:type="gramEnd"/>
      <w:r w:rsidRPr="003E342A">
        <w:rPr>
          <w:rFonts w:ascii="Times New Roman" w:hAnsi="Times New Roman" w:cs="Times New Roman"/>
          <w:i/>
          <w:iCs/>
          <w:color w:val="000000"/>
          <w:sz w:val="24"/>
          <w:szCs w:val="24"/>
        </w:rPr>
        <w:t xml:space="preserve"> the Czech Republic voted in </w:t>
      </w:r>
      <w:proofErr w:type="spellStart"/>
      <w:r w:rsidRPr="003E342A">
        <w:rPr>
          <w:rFonts w:ascii="Times New Roman" w:hAnsi="Times New Roman" w:cs="Times New Roman"/>
          <w:i/>
          <w:iCs/>
          <w:color w:val="000000"/>
          <w:sz w:val="24"/>
          <w:szCs w:val="24"/>
        </w:rPr>
        <w:t>favour</w:t>
      </w:r>
      <w:proofErr w:type="spellEnd"/>
      <w:r w:rsidRPr="003E342A">
        <w:rPr>
          <w:rFonts w:ascii="Times New Roman" w:hAnsi="Times New Roman" w:cs="Times New Roman"/>
          <w:i/>
          <w:iCs/>
          <w:color w:val="000000"/>
          <w:sz w:val="24"/>
          <w:szCs w:val="24"/>
        </w:rPr>
        <w:t xml:space="preserve"> in the case of MON810 (under Regulation 1829/2003) and abstained as regards GM </w:t>
      </w:r>
      <w:proofErr w:type="spellStart"/>
      <w:r w:rsidRPr="003E342A">
        <w:rPr>
          <w:rFonts w:ascii="Times New Roman" w:hAnsi="Times New Roman" w:cs="Times New Roman"/>
          <w:i/>
          <w:iCs/>
          <w:color w:val="000000"/>
          <w:sz w:val="24"/>
          <w:szCs w:val="24"/>
        </w:rPr>
        <w:t>maizes</w:t>
      </w:r>
      <w:proofErr w:type="spellEnd"/>
      <w:r w:rsidRPr="003E342A">
        <w:rPr>
          <w:rFonts w:ascii="Times New Roman" w:hAnsi="Times New Roman" w:cs="Times New Roman"/>
          <w:i/>
          <w:iCs/>
          <w:color w:val="000000"/>
          <w:sz w:val="24"/>
          <w:szCs w:val="24"/>
        </w:rPr>
        <w:t xml:space="preserve"> 1507 and Bt11 (under Directive 2001/18/EC)</w:t>
      </w:r>
      <w:r w:rsidR="00F1522F">
        <w:rPr>
          <w:rFonts w:ascii="Times New Roman" w:hAnsi="Times New Roman" w:cs="Times New Roman"/>
          <w:i/>
          <w:iCs/>
          <w:color w:val="000000"/>
          <w:sz w:val="24"/>
          <w:szCs w:val="24"/>
        </w:rPr>
        <w:t>.</w:t>
      </w:r>
      <w:r w:rsidRPr="003E342A">
        <w:rPr>
          <w:rFonts w:ascii="Times New Roman" w:hAnsi="Times New Roman" w:cs="Times New Roman"/>
          <w:i/>
          <w:iCs/>
          <w:color w:val="000000"/>
          <w:sz w:val="24"/>
          <w:szCs w:val="24"/>
        </w:rPr>
        <w:t>”</w:t>
      </w:r>
      <w:r w:rsidR="00252262" w:rsidRPr="003E342A">
        <w:rPr>
          <w:rStyle w:val="FootnoteReference"/>
          <w:rFonts w:ascii="Times New Roman" w:hAnsi="Times New Roman" w:cs="Times New Roman"/>
          <w:i/>
          <w:iCs/>
          <w:color w:val="000000"/>
          <w:sz w:val="24"/>
          <w:szCs w:val="24"/>
        </w:rPr>
        <w:footnoteReference w:id="95"/>
      </w:r>
    </w:p>
    <w:p w14:paraId="161D6DE1" w14:textId="1A88290E" w:rsidR="008C28B2" w:rsidRDefault="008C28B2" w:rsidP="005F50AE">
      <w:pPr>
        <w:pStyle w:val="Heading2"/>
        <w:rPr>
          <w:rFonts w:cs="Times New Roman"/>
        </w:rPr>
      </w:pPr>
    </w:p>
    <w:p w14:paraId="4A758BFC" w14:textId="77777777" w:rsidR="008C28B2" w:rsidRDefault="008C28B2" w:rsidP="005F50AE">
      <w:pPr>
        <w:pStyle w:val="Heading2"/>
        <w:rPr>
          <w:rFonts w:cs="Times New Roman"/>
        </w:rPr>
      </w:pPr>
    </w:p>
    <w:p w14:paraId="6AC5B864" w14:textId="020D11EE" w:rsidR="000904CE" w:rsidRPr="003E342A" w:rsidRDefault="000904CE" w:rsidP="005F50AE">
      <w:pPr>
        <w:pStyle w:val="Heading2"/>
        <w:rPr>
          <w:rFonts w:cs="Times New Roman"/>
        </w:rPr>
      </w:pPr>
      <w:r w:rsidRPr="003E342A">
        <w:rPr>
          <w:rFonts w:cs="Times New Roman"/>
        </w:rPr>
        <w:t>Comitology Reform Proposal</w:t>
      </w:r>
    </w:p>
    <w:p w14:paraId="5CCC63DB" w14:textId="77777777" w:rsidR="005F50AE" w:rsidRPr="003E342A" w:rsidRDefault="005F50AE" w:rsidP="005F50AE">
      <w:pPr>
        <w:rPr>
          <w:rFonts w:ascii="Times New Roman" w:hAnsi="Times New Roman" w:cs="Times New Roman"/>
        </w:rPr>
      </w:pPr>
    </w:p>
    <w:p w14:paraId="447F95FC" w14:textId="5177FC4B" w:rsidR="000904CE" w:rsidRPr="003E342A" w:rsidRDefault="000904CE" w:rsidP="00CE7076">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On 14 February 2017, barely 2 weeks after the above votes, the EU Commission proposed a Comitology Procedural Reform. In this proposal, the </w:t>
      </w:r>
      <w:r w:rsidR="00A94A73">
        <w:rPr>
          <w:rFonts w:ascii="Times New Roman" w:hAnsi="Times New Roman" w:cs="Times New Roman"/>
          <w:sz w:val="24"/>
          <w:szCs w:val="24"/>
        </w:rPr>
        <w:t>C</w:t>
      </w:r>
      <w:r w:rsidRPr="003E342A">
        <w:rPr>
          <w:rFonts w:ascii="Times New Roman" w:hAnsi="Times New Roman" w:cs="Times New Roman"/>
          <w:sz w:val="24"/>
          <w:szCs w:val="24"/>
        </w:rPr>
        <w:t xml:space="preserve">ommission specifically criticized the inability to prevent GMO authorizations with a simple majority: “In specific policy areas, such as GMO </w:t>
      </w:r>
      <w:proofErr w:type="spellStart"/>
      <w:r w:rsidRPr="003E342A">
        <w:rPr>
          <w:rFonts w:ascii="Times New Roman" w:hAnsi="Times New Roman" w:cs="Times New Roman"/>
          <w:sz w:val="24"/>
          <w:szCs w:val="24"/>
        </w:rPr>
        <w:t>authorisations</w:t>
      </w:r>
      <w:proofErr w:type="spellEnd"/>
      <w:r w:rsidRPr="003E342A">
        <w:rPr>
          <w:rFonts w:ascii="Times New Roman" w:hAnsi="Times New Roman" w:cs="Times New Roman"/>
          <w:sz w:val="24"/>
          <w:szCs w:val="24"/>
        </w:rPr>
        <w:t>, or if a simple majority of Member States is against the draft act, the Commission cannot go ahead with adoption when the Committee reaches a 'no opinion' situation</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96"/>
      </w:r>
      <w:r w:rsidR="0029164C" w:rsidRPr="003E342A">
        <w:rPr>
          <w:rFonts w:ascii="Times New Roman" w:hAnsi="Times New Roman" w:cs="Times New Roman"/>
          <w:sz w:val="24"/>
          <w:szCs w:val="24"/>
        </w:rPr>
        <w:t xml:space="preserve"> </w:t>
      </w:r>
      <w:r w:rsidRPr="003E342A">
        <w:rPr>
          <w:rFonts w:ascii="Times New Roman" w:hAnsi="Times New Roman" w:cs="Times New Roman"/>
          <w:sz w:val="24"/>
          <w:szCs w:val="24"/>
        </w:rPr>
        <w:t xml:space="preserve">This contrasts with the line from the </w:t>
      </w:r>
      <w:r w:rsidR="0029164C" w:rsidRPr="003E342A">
        <w:rPr>
          <w:rFonts w:ascii="Times New Roman" w:hAnsi="Times New Roman" w:cs="Times New Roman"/>
          <w:sz w:val="24"/>
          <w:szCs w:val="24"/>
        </w:rPr>
        <w:t xml:space="preserve">same </w:t>
      </w:r>
      <w:r w:rsidRPr="003E342A">
        <w:rPr>
          <w:rFonts w:ascii="Times New Roman" w:hAnsi="Times New Roman" w:cs="Times New Roman"/>
          <w:sz w:val="24"/>
          <w:szCs w:val="24"/>
        </w:rPr>
        <w:t>statement that “</w:t>
      </w:r>
      <w:r w:rsidRPr="003E342A">
        <w:rPr>
          <w:rStyle w:val="fontstyle01"/>
          <w:rFonts w:ascii="Times New Roman" w:hAnsi="Times New Roman" w:cs="Times New Roman"/>
          <w:sz w:val="24"/>
          <w:szCs w:val="24"/>
        </w:rPr>
        <w:t>The overall system works very well and should be maintained”</w:t>
      </w:r>
      <w:r w:rsidR="00A90177" w:rsidRPr="003E342A">
        <w:rPr>
          <w:rStyle w:val="fontstyle01"/>
          <w:rFonts w:ascii="Times New Roman" w:hAnsi="Times New Roman" w:cs="Times New Roman"/>
          <w:sz w:val="24"/>
          <w:szCs w:val="24"/>
        </w:rPr>
        <w:t xml:space="preserve"> – if the system is generally working well, is the hitch of GMO regulation sufficient to merit changing the otherwise well-functioning system?</w:t>
      </w:r>
      <w:r w:rsidRPr="003E342A">
        <w:rPr>
          <w:rStyle w:val="fontstyle01"/>
          <w:rFonts w:ascii="Times New Roman" w:hAnsi="Times New Roman" w:cs="Times New Roman"/>
          <w:sz w:val="24"/>
          <w:szCs w:val="24"/>
        </w:rPr>
        <w:t xml:space="preserve"> Rather, </w:t>
      </w:r>
      <w:r w:rsidR="00A90177" w:rsidRPr="003E342A">
        <w:rPr>
          <w:rStyle w:val="fontstyle01"/>
          <w:rFonts w:ascii="Times New Roman" w:hAnsi="Times New Roman" w:cs="Times New Roman"/>
          <w:sz w:val="24"/>
          <w:szCs w:val="24"/>
        </w:rPr>
        <w:t xml:space="preserve">possibly, </w:t>
      </w:r>
      <w:r w:rsidRPr="003E342A">
        <w:rPr>
          <w:rStyle w:val="fontstyle01"/>
          <w:rFonts w:ascii="Times New Roman" w:hAnsi="Times New Roman" w:cs="Times New Roman"/>
          <w:sz w:val="24"/>
          <w:szCs w:val="24"/>
        </w:rPr>
        <w:t xml:space="preserve">this proposal cuts directly to the issue of GMOs as the perennial bugbear of the Juncker Commission; Jean-Claude Juncker has quite clearly intended to enact similar reforms for at least two years: </w:t>
      </w:r>
      <w:r w:rsidRPr="003E342A">
        <w:rPr>
          <w:rFonts w:ascii="Times New Roman" w:hAnsi="Times New Roman" w:cs="Times New Roman"/>
          <w:sz w:val="24"/>
          <w:szCs w:val="24"/>
        </w:rPr>
        <w:t>“</w:t>
      </w:r>
      <w:r w:rsidRPr="003E342A">
        <w:rPr>
          <w:rFonts w:ascii="Times New Roman" w:hAnsi="Times New Roman" w:cs="Times New Roman"/>
          <w:color w:val="000000"/>
          <w:sz w:val="24"/>
          <w:szCs w:val="24"/>
        </w:rPr>
        <w:t xml:space="preserve">As President Juncker said in his State of the Union address in 2016, </w:t>
      </w:r>
      <w:r w:rsidRPr="003E342A">
        <w:rPr>
          <w:rFonts w:ascii="Times New Roman" w:hAnsi="Times New Roman" w:cs="Times New Roman"/>
          <w:i/>
          <w:iCs/>
          <w:color w:val="000000"/>
          <w:sz w:val="24"/>
          <w:szCs w:val="24"/>
        </w:rPr>
        <w:t xml:space="preserve">"It is not right that when EU countries cannot decide among themselves whether or not to ban the use of glyphosate in herbicides, the Commission is forced by Parliament and Council to take a decision. </w:t>
      </w:r>
      <w:proofErr w:type="gramStart"/>
      <w:r w:rsidRPr="003E342A">
        <w:rPr>
          <w:rFonts w:ascii="Times New Roman" w:hAnsi="Times New Roman" w:cs="Times New Roman"/>
          <w:i/>
          <w:iCs/>
          <w:color w:val="000000"/>
          <w:sz w:val="24"/>
          <w:szCs w:val="24"/>
        </w:rPr>
        <w:lastRenderedPageBreak/>
        <w:t>So</w:t>
      </w:r>
      <w:proofErr w:type="gramEnd"/>
      <w:r w:rsidRPr="003E342A">
        <w:rPr>
          <w:rFonts w:ascii="Times New Roman" w:hAnsi="Times New Roman" w:cs="Times New Roman"/>
          <w:i/>
          <w:iCs/>
          <w:color w:val="000000"/>
          <w:sz w:val="24"/>
          <w:szCs w:val="24"/>
        </w:rPr>
        <w:t xml:space="preserve"> we will change those rules.</w:t>
      </w:r>
      <w:r w:rsidR="003D362E" w:rsidRPr="003E342A">
        <w:rPr>
          <w:rFonts w:ascii="Times New Roman" w:hAnsi="Times New Roman" w:cs="Times New Roman"/>
          <w:i/>
          <w:iCs/>
          <w:color w:val="000000"/>
          <w:sz w:val="24"/>
          <w:szCs w:val="24"/>
        </w:rPr>
        <w:t xml:space="preserve">” </w:t>
      </w:r>
      <w:r w:rsidR="003D362E" w:rsidRPr="003E342A">
        <w:rPr>
          <w:rFonts w:ascii="Times New Roman" w:hAnsi="Times New Roman" w:cs="Times New Roman"/>
          <w:iCs/>
          <w:color w:val="000000"/>
          <w:sz w:val="24"/>
          <w:szCs w:val="24"/>
        </w:rPr>
        <w:t xml:space="preserve">Once more, this statement evidences a high degree of emphasis placed on subsidiarity, devolution, and increasing the perceptions of democratic legitimacy of regulatory decisionmaking, </w:t>
      </w:r>
      <w:proofErr w:type="gramStart"/>
      <w:r w:rsidR="003D362E" w:rsidRPr="003E342A">
        <w:rPr>
          <w:rFonts w:ascii="Times New Roman" w:hAnsi="Times New Roman" w:cs="Times New Roman"/>
          <w:iCs/>
          <w:color w:val="000000"/>
          <w:sz w:val="24"/>
          <w:szCs w:val="24"/>
        </w:rPr>
        <w:t>in an attempt to</w:t>
      </w:r>
      <w:proofErr w:type="gramEnd"/>
      <w:r w:rsidR="003D362E" w:rsidRPr="003E342A">
        <w:rPr>
          <w:rFonts w:ascii="Times New Roman" w:hAnsi="Times New Roman" w:cs="Times New Roman"/>
          <w:iCs/>
          <w:color w:val="000000"/>
          <w:sz w:val="24"/>
          <w:szCs w:val="24"/>
        </w:rPr>
        <w:t xml:space="preserve"> address the democratic deficit.</w:t>
      </w:r>
    </w:p>
    <w:p w14:paraId="6DA9B1A5" w14:textId="6814901B" w:rsidR="000904CE" w:rsidRPr="003E342A" w:rsidRDefault="000904CE" w:rsidP="000904CE">
      <w:pPr>
        <w:spacing w:line="480" w:lineRule="auto"/>
        <w:ind w:firstLine="720"/>
        <w:jc w:val="both"/>
        <w:rPr>
          <w:rFonts w:ascii="Times New Roman" w:hAnsi="Times New Roman" w:cs="Times New Roman"/>
          <w:iCs/>
          <w:color w:val="000000"/>
          <w:sz w:val="24"/>
          <w:szCs w:val="24"/>
        </w:rPr>
      </w:pPr>
      <w:r w:rsidRPr="003E342A">
        <w:rPr>
          <w:rFonts w:ascii="Times New Roman" w:hAnsi="Times New Roman" w:cs="Times New Roman"/>
          <w:iCs/>
          <w:color w:val="000000"/>
          <w:sz w:val="24"/>
          <w:szCs w:val="24"/>
        </w:rPr>
        <w:t>The exact nature of the proposed reforms merits further elaboration. This is not a case, like in the US, where a product is considered safe “by default</w:t>
      </w:r>
      <w:r w:rsidR="00225B5D" w:rsidRPr="003E342A">
        <w:rPr>
          <w:rFonts w:ascii="Times New Roman" w:hAnsi="Times New Roman" w:cs="Times New Roman"/>
          <w:iCs/>
          <w:color w:val="000000"/>
          <w:sz w:val="24"/>
          <w:szCs w:val="24"/>
        </w:rPr>
        <w:t>.”</w:t>
      </w:r>
      <w:r w:rsidRPr="003E342A">
        <w:rPr>
          <w:rFonts w:ascii="Times New Roman" w:hAnsi="Times New Roman" w:cs="Times New Roman"/>
          <w:iCs/>
          <w:color w:val="000000"/>
          <w:sz w:val="24"/>
          <w:szCs w:val="24"/>
        </w:rPr>
        <w:t xml:space="preserve"> </w:t>
      </w:r>
      <w:r w:rsidR="00A94A73">
        <w:rPr>
          <w:rFonts w:ascii="Times New Roman" w:hAnsi="Times New Roman" w:cs="Times New Roman"/>
          <w:iCs/>
          <w:color w:val="000000"/>
          <w:sz w:val="24"/>
          <w:szCs w:val="24"/>
        </w:rPr>
        <w:t>Currently,</w:t>
      </w:r>
      <w:r w:rsidRPr="003E342A">
        <w:rPr>
          <w:rFonts w:ascii="Times New Roman" w:hAnsi="Times New Roman" w:cs="Times New Roman"/>
          <w:iCs/>
          <w:color w:val="000000"/>
          <w:sz w:val="24"/>
          <w:szCs w:val="24"/>
        </w:rPr>
        <w:t xml:space="preserve"> in a ‘no opinion’ scenario, there is still one very significant hurdle that proposed GMOs must face: the EFSA safety report. As it stands, in the case where member states cannot come to an agreement under the current comitology rules, the decision is not to default to approval – the decision is instead devolved to the findings of the EFSA. This may be a system</w:t>
      </w:r>
      <w:r w:rsidR="00442D63">
        <w:rPr>
          <w:rFonts w:ascii="Times New Roman" w:hAnsi="Times New Roman" w:cs="Times New Roman"/>
          <w:iCs/>
          <w:color w:val="000000"/>
          <w:sz w:val="24"/>
          <w:szCs w:val="24"/>
        </w:rPr>
        <w:t xml:space="preserve"> of primarily political institutions</w:t>
      </w:r>
      <w:r w:rsidRPr="003E342A">
        <w:rPr>
          <w:rFonts w:ascii="Times New Roman" w:hAnsi="Times New Roman" w:cs="Times New Roman"/>
          <w:iCs/>
          <w:color w:val="000000"/>
          <w:sz w:val="24"/>
          <w:szCs w:val="24"/>
        </w:rPr>
        <w:t xml:space="preserve">, but </w:t>
      </w:r>
      <w:r w:rsidR="00442D63">
        <w:rPr>
          <w:rFonts w:ascii="Times New Roman" w:hAnsi="Times New Roman" w:cs="Times New Roman"/>
          <w:iCs/>
          <w:color w:val="000000"/>
          <w:sz w:val="24"/>
          <w:szCs w:val="24"/>
        </w:rPr>
        <w:t xml:space="preserve">one which </w:t>
      </w:r>
      <w:proofErr w:type="gramStart"/>
      <w:r w:rsidR="00442D63">
        <w:rPr>
          <w:rFonts w:ascii="Times New Roman" w:hAnsi="Times New Roman" w:cs="Times New Roman"/>
          <w:iCs/>
          <w:color w:val="000000"/>
          <w:sz w:val="24"/>
          <w:szCs w:val="24"/>
        </w:rPr>
        <w:t>defaults</w:t>
      </w:r>
      <w:proofErr w:type="gramEnd"/>
      <w:r w:rsidR="00442D63">
        <w:rPr>
          <w:rFonts w:ascii="Times New Roman" w:hAnsi="Times New Roman" w:cs="Times New Roman"/>
          <w:iCs/>
          <w:color w:val="000000"/>
          <w:sz w:val="24"/>
          <w:szCs w:val="24"/>
        </w:rPr>
        <w:t xml:space="preserve"> </w:t>
      </w:r>
      <w:r w:rsidRPr="003E342A">
        <w:rPr>
          <w:rFonts w:ascii="Times New Roman" w:hAnsi="Times New Roman" w:cs="Times New Roman"/>
          <w:iCs/>
          <w:color w:val="000000"/>
          <w:sz w:val="24"/>
          <w:szCs w:val="24"/>
        </w:rPr>
        <w:t xml:space="preserve">to technocratic one when a qualified majority cannot be reached and the </w:t>
      </w:r>
      <w:r w:rsidR="00442D63">
        <w:rPr>
          <w:rFonts w:ascii="Times New Roman" w:hAnsi="Times New Roman" w:cs="Times New Roman"/>
          <w:iCs/>
          <w:color w:val="000000"/>
          <w:sz w:val="24"/>
          <w:szCs w:val="24"/>
        </w:rPr>
        <w:t>mechanisms of political decision ar</w:t>
      </w:r>
      <w:r w:rsidRPr="003E342A">
        <w:rPr>
          <w:rFonts w:ascii="Times New Roman" w:hAnsi="Times New Roman" w:cs="Times New Roman"/>
          <w:iCs/>
          <w:color w:val="000000"/>
          <w:sz w:val="24"/>
          <w:szCs w:val="24"/>
        </w:rPr>
        <w:t>e stuck.</w:t>
      </w:r>
    </w:p>
    <w:p w14:paraId="221103A0" w14:textId="4BC7A7FA" w:rsidR="000904CE" w:rsidRPr="003E342A" w:rsidRDefault="000904CE" w:rsidP="000904CE">
      <w:pPr>
        <w:spacing w:line="480" w:lineRule="auto"/>
        <w:jc w:val="both"/>
        <w:rPr>
          <w:rFonts w:ascii="Times New Roman" w:hAnsi="Times New Roman" w:cs="Times New Roman"/>
          <w:iCs/>
          <w:color w:val="000000"/>
          <w:sz w:val="24"/>
          <w:szCs w:val="24"/>
        </w:rPr>
      </w:pPr>
      <w:r w:rsidRPr="003E342A">
        <w:rPr>
          <w:rFonts w:ascii="Times New Roman" w:hAnsi="Times New Roman" w:cs="Times New Roman"/>
          <w:iCs/>
          <w:color w:val="000000"/>
          <w:sz w:val="24"/>
          <w:szCs w:val="24"/>
        </w:rPr>
        <w:t>The administration wishes to reform comitological procedures along the following lines</w:t>
      </w:r>
      <w:r w:rsidR="0029164C" w:rsidRPr="003E342A">
        <w:rPr>
          <w:rStyle w:val="FootnoteReference"/>
          <w:rFonts w:ascii="Times New Roman" w:hAnsi="Times New Roman" w:cs="Times New Roman"/>
          <w:iCs/>
          <w:color w:val="000000"/>
          <w:sz w:val="24"/>
          <w:szCs w:val="24"/>
        </w:rPr>
        <w:footnoteReference w:id="97"/>
      </w:r>
      <w:r w:rsidRPr="003E342A">
        <w:rPr>
          <w:rFonts w:ascii="Times New Roman" w:hAnsi="Times New Roman" w:cs="Times New Roman"/>
          <w:iCs/>
          <w:color w:val="000000"/>
          <w:sz w:val="24"/>
          <w:szCs w:val="24"/>
        </w:rPr>
        <w:t>:</w:t>
      </w:r>
    </w:p>
    <w:p w14:paraId="01C4CE32" w14:textId="77777777" w:rsidR="000904CE" w:rsidRPr="003E342A" w:rsidRDefault="000904CE" w:rsidP="000904CE">
      <w:pPr>
        <w:pStyle w:val="ListParagraph"/>
        <w:numPr>
          <w:ilvl w:val="0"/>
          <w:numId w:val="2"/>
        </w:numPr>
        <w:spacing w:after="0" w:line="240" w:lineRule="auto"/>
        <w:jc w:val="both"/>
        <w:rPr>
          <w:rFonts w:ascii="Times New Roman" w:hAnsi="Times New Roman" w:cs="Times New Roman"/>
          <w:color w:val="000000"/>
          <w:sz w:val="24"/>
          <w:szCs w:val="24"/>
        </w:rPr>
      </w:pPr>
      <w:r w:rsidRPr="003E342A">
        <w:rPr>
          <w:rFonts w:ascii="Times New Roman" w:hAnsi="Times New Roman" w:cs="Times New Roman"/>
          <w:b/>
          <w:bCs/>
          <w:color w:val="000000"/>
          <w:sz w:val="24"/>
          <w:szCs w:val="24"/>
        </w:rPr>
        <w:t xml:space="preserve">changing the voting rules </w:t>
      </w:r>
      <w:r w:rsidRPr="003E342A">
        <w:rPr>
          <w:rFonts w:ascii="Times New Roman" w:hAnsi="Times New Roman" w:cs="Times New Roman"/>
          <w:color w:val="000000"/>
          <w:sz w:val="24"/>
          <w:szCs w:val="24"/>
        </w:rPr>
        <w:t xml:space="preserve">in the Appeal Committee, so that only votes in </w:t>
      </w:r>
      <w:proofErr w:type="spellStart"/>
      <w:r w:rsidRPr="003E342A">
        <w:rPr>
          <w:rFonts w:ascii="Times New Roman" w:hAnsi="Times New Roman" w:cs="Times New Roman"/>
          <w:color w:val="000000"/>
          <w:sz w:val="24"/>
          <w:szCs w:val="24"/>
        </w:rPr>
        <w:t>favour</w:t>
      </w:r>
      <w:proofErr w:type="spellEnd"/>
      <w:r w:rsidRPr="003E342A">
        <w:rPr>
          <w:rFonts w:ascii="Times New Roman" w:hAnsi="Times New Roman" w:cs="Times New Roman"/>
          <w:color w:val="000000"/>
          <w:sz w:val="24"/>
          <w:szCs w:val="24"/>
        </w:rPr>
        <w:t xml:space="preserve"> or against an act are </w:t>
      </w:r>
      <w:proofErr w:type="gramStart"/>
      <w:r w:rsidRPr="003E342A">
        <w:rPr>
          <w:rFonts w:ascii="Times New Roman" w:hAnsi="Times New Roman" w:cs="Times New Roman"/>
          <w:color w:val="000000"/>
          <w:sz w:val="24"/>
          <w:szCs w:val="24"/>
        </w:rPr>
        <w:t>taken into account</w:t>
      </w:r>
      <w:proofErr w:type="gramEnd"/>
      <w:r w:rsidRPr="003E342A">
        <w:rPr>
          <w:rFonts w:ascii="Times New Roman" w:hAnsi="Times New Roman" w:cs="Times New Roman"/>
          <w:color w:val="000000"/>
          <w:sz w:val="24"/>
          <w:szCs w:val="24"/>
        </w:rPr>
        <w:t xml:space="preserve"> [i.e. not counting </w:t>
      </w:r>
      <w:proofErr w:type="spellStart"/>
      <w:r w:rsidRPr="003E342A">
        <w:rPr>
          <w:rFonts w:ascii="Times New Roman" w:hAnsi="Times New Roman" w:cs="Times New Roman"/>
          <w:color w:val="000000"/>
          <w:sz w:val="24"/>
          <w:szCs w:val="24"/>
        </w:rPr>
        <w:t>absentions</w:t>
      </w:r>
      <w:proofErr w:type="spellEnd"/>
      <w:r w:rsidRPr="003E342A">
        <w:rPr>
          <w:rFonts w:ascii="Times New Roman" w:hAnsi="Times New Roman" w:cs="Times New Roman"/>
          <w:color w:val="000000"/>
          <w:sz w:val="24"/>
          <w:szCs w:val="24"/>
        </w:rPr>
        <w:t>].</w:t>
      </w:r>
    </w:p>
    <w:p w14:paraId="7627090F" w14:textId="77777777" w:rsidR="000904CE" w:rsidRPr="003E342A" w:rsidRDefault="000904CE" w:rsidP="000904CE">
      <w:pPr>
        <w:pStyle w:val="ListParagraph"/>
        <w:numPr>
          <w:ilvl w:val="0"/>
          <w:numId w:val="2"/>
        </w:numPr>
        <w:spacing w:after="0" w:line="240" w:lineRule="auto"/>
        <w:jc w:val="both"/>
        <w:rPr>
          <w:rFonts w:ascii="Times New Roman" w:hAnsi="Times New Roman" w:cs="Times New Roman"/>
          <w:b/>
          <w:bCs/>
          <w:color w:val="000000"/>
          <w:sz w:val="24"/>
          <w:szCs w:val="24"/>
        </w:rPr>
      </w:pPr>
      <w:r w:rsidRPr="003E342A">
        <w:rPr>
          <w:rFonts w:ascii="Times New Roman" w:hAnsi="Times New Roman" w:cs="Times New Roman"/>
          <w:b/>
          <w:bCs/>
          <w:color w:val="000000"/>
          <w:sz w:val="24"/>
          <w:szCs w:val="24"/>
        </w:rPr>
        <w:t xml:space="preserve">involving national Ministers </w:t>
      </w:r>
      <w:r w:rsidRPr="003E342A">
        <w:rPr>
          <w:rFonts w:ascii="Times New Roman" w:hAnsi="Times New Roman" w:cs="Times New Roman"/>
          <w:color w:val="000000"/>
          <w:sz w:val="24"/>
          <w:szCs w:val="24"/>
        </w:rPr>
        <w:t xml:space="preserve">by allowing the Commission to make a second referral to the Appeal Committee at Ministerial level if national experts do not take a position … this will ensure that sensitive decisions are discussed at the appropriate political level; </w:t>
      </w:r>
    </w:p>
    <w:p w14:paraId="52938DCB" w14:textId="77777777" w:rsidR="000904CE" w:rsidRPr="003E342A" w:rsidRDefault="000904CE" w:rsidP="000904CE">
      <w:pPr>
        <w:pStyle w:val="ListParagraph"/>
        <w:numPr>
          <w:ilvl w:val="0"/>
          <w:numId w:val="2"/>
        </w:numPr>
        <w:spacing w:after="0" w:line="240" w:lineRule="auto"/>
        <w:jc w:val="both"/>
        <w:rPr>
          <w:rFonts w:ascii="Times New Roman" w:hAnsi="Times New Roman" w:cs="Times New Roman"/>
          <w:color w:val="000000"/>
          <w:sz w:val="24"/>
          <w:szCs w:val="24"/>
        </w:rPr>
      </w:pPr>
      <w:r w:rsidRPr="003E342A">
        <w:rPr>
          <w:rFonts w:ascii="Times New Roman" w:hAnsi="Times New Roman" w:cs="Times New Roman"/>
          <w:b/>
          <w:bCs/>
          <w:color w:val="000000"/>
          <w:sz w:val="24"/>
          <w:szCs w:val="24"/>
        </w:rPr>
        <w:t xml:space="preserve">increasing voting transparency </w:t>
      </w:r>
      <w:r w:rsidRPr="003E342A">
        <w:rPr>
          <w:rFonts w:ascii="Times New Roman" w:hAnsi="Times New Roman" w:cs="Times New Roman"/>
          <w:color w:val="000000"/>
          <w:sz w:val="24"/>
          <w:szCs w:val="24"/>
        </w:rPr>
        <w:t xml:space="preserve">at the Appeal Committee level by making public the votes of Member State representatives; </w:t>
      </w:r>
    </w:p>
    <w:p w14:paraId="01B39392" w14:textId="77777777" w:rsidR="000904CE" w:rsidRPr="003E342A" w:rsidRDefault="000904CE" w:rsidP="000904CE">
      <w:pPr>
        <w:pStyle w:val="ListParagraph"/>
        <w:numPr>
          <w:ilvl w:val="0"/>
          <w:numId w:val="2"/>
        </w:numPr>
        <w:spacing w:after="0" w:line="240" w:lineRule="auto"/>
        <w:jc w:val="both"/>
        <w:rPr>
          <w:rFonts w:ascii="Times New Roman" w:hAnsi="Times New Roman" w:cs="Times New Roman"/>
          <w:iCs/>
          <w:color w:val="000000"/>
          <w:sz w:val="24"/>
          <w:szCs w:val="24"/>
        </w:rPr>
      </w:pPr>
      <w:r w:rsidRPr="003E342A">
        <w:rPr>
          <w:rFonts w:ascii="Times New Roman" w:hAnsi="Times New Roman" w:cs="Times New Roman"/>
          <w:b/>
          <w:bCs/>
          <w:color w:val="000000"/>
          <w:sz w:val="24"/>
          <w:szCs w:val="24"/>
        </w:rPr>
        <w:t xml:space="preserve">ensuring political input </w:t>
      </w:r>
      <w:r w:rsidRPr="003E342A">
        <w:rPr>
          <w:rFonts w:ascii="Times New Roman" w:hAnsi="Times New Roman" w:cs="Times New Roman"/>
          <w:color w:val="000000"/>
          <w:sz w:val="24"/>
          <w:szCs w:val="24"/>
        </w:rPr>
        <w:t>by enabling the Commission to refer the matter to the Council of Ministers for an Opinion if the Appeal Committee is unable to take a position.</w:t>
      </w:r>
    </w:p>
    <w:p w14:paraId="7060C738" w14:textId="77777777" w:rsidR="0029164C" w:rsidRPr="003E342A" w:rsidRDefault="0029164C" w:rsidP="000904CE">
      <w:pPr>
        <w:spacing w:line="480" w:lineRule="auto"/>
        <w:ind w:firstLine="720"/>
        <w:jc w:val="both"/>
        <w:rPr>
          <w:rFonts w:ascii="Times New Roman" w:hAnsi="Times New Roman" w:cs="Times New Roman"/>
          <w:iCs/>
          <w:color w:val="000000" w:themeColor="text1"/>
          <w:sz w:val="24"/>
          <w:szCs w:val="24"/>
        </w:rPr>
      </w:pPr>
    </w:p>
    <w:p w14:paraId="6130EDF3" w14:textId="0350FA07" w:rsidR="000904CE" w:rsidRPr="003E342A" w:rsidRDefault="000904CE" w:rsidP="000904CE">
      <w:pPr>
        <w:spacing w:line="480" w:lineRule="auto"/>
        <w:ind w:firstLine="720"/>
        <w:jc w:val="both"/>
        <w:rPr>
          <w:rFonts w:ascii="Times New Roman" w:hAnsi="Times New Roman" w:cs="Times New Roman"/>
          <w:color w:val="000000" w:themeColor="text1"/>
          <w:sz w:val="24"/>
          <w:szCs w:val="24"/>
        </w:rPr>
      </w:pPr>
      <w:r w:rsidRPr="003E342A">
        <w:rPr>
          <w:rFonts w:ascii="Times New Roman" w:hAnsi="Times New Roman" w:cs="Times New Roman"/>
          <w:iCs/>
          <w:color w:val="000000" w:themeColor="text1"/>
          <w:sz w:val="24"/>
          <w:szCs w:val="24"/>
        </w:rPr>
        <w:t>The proposal drew vociferous responses from many different groups, not only partisans of the GMO debate. The Biotechnology Innovation Organization, an industry trade group, naturally claimed that the “EU’s Anti-Science Comitology Reform Threatens Innovation” and that even the current procedure “</w:t>
      </w:r>
      <w:r w:rsidRPr="003E342A">
        <w:rPr>
          <w:rFonts w:ascii="Times New Roman" w:hAnsi="Times New Roman" w:cs="Times New Roman"/>
          <w:color w:val="000000" w:themeColor="text1"/>
          <w:sz w:val="24"/>
          <w:szCs w:val="24"/>
          <w:shd w:val="clear" w:color="auto" w:fill="FFFFFF"/>
        </w:rPr>
        <w:t xml:space="preserve">allows politics to undermine the risk assessment function of the European Food </w:t>
      </w:r>
      <w:r w:rsidRPr="003E342A">
        <w:rPr>
          <w:rFonts w:ascii="Times New Roman" w:hAnsi="Times New Roman" w:cs="Times New Roman"/>
          <w:color w:val="000000" w:themeColor="text1"/>
          <w:sz w:val="24"/>
          <w:szCs w:val="24"/>
          <w:shd w:val="clear" w:color="auto" w:fill="FFFFFF"/>
        </w:rPr>
        <w:lastRenderedPageBreak/>
        <w:t>Safety Authority”</w:t>
      </w:r>
      <w:r w:rsidRPr="003E342A">
        <w:rPr>
          <w:rStyle w:val="FootnoteReference"/>
          <w:rFonts w:ascii="Times New Roman" w:hAnsi="Times New Roman" w:cs="Times New Roman"/>
          <w:color w:val="000000" w:themeColor="text1"/>
          <w:sz w:val="24"/>
          <w:szCs w:val="24"/>
          <w:shd w:val="clear" w:color="auto" w:fill="FFFFFF"/>
        </w:rPr>
        <w:footnoteReference w:id="98"/>
      </w:r>
      <w:r w:rsidRPr="003E342A">
        <w:rPr>
          <w:rFonts w:ascii="Times New Roman" w:hAnsi="Times New Roman" w:cs="Times New Roman"/>
          <w:color w:val="000000" w:themeColor="text1"/>
          <w:sz w:val="24"/>
          <w:szCs w:val="24"/>
          <w:shd w:val="clear" w:color="auto" w:fill="FFFFFF"/>
        </w:rPr>
        <w:t xml:space="preserve">. </w:t>
      </w:r>
      <w:proofErr w:type="spellStart"/>
      <w:r w:rsidRPr="003E342A">
        <w:rPr>
          <w:rFonts w:ascii="Times New Roman" w:hAnsi="Times New Roman" w:cs="Times New Roman"/>
          <w:color w:val="000000" w:themeColor="text1"/>
          <w:sz w:val="24"/>
          <w:szCs w:val="24"/>
          <w:shd w:val="clear" w:color="auto" w:fill="FFFFFF"/>
        </w:rPr>
        <w:t>Euractiv</w:t>
      </w:r>
      <w:proofErr w:type="spellEnd"/>
      <w:r w:rsidRPr="003E342A">
        <w:rPr>
          <w:rFonts w:ascii="Times New Roman" w:hAnsi="Times New Roman" w:cs="Times New Roman"/>
          <w:color w:val="000000" w:themeColor="text1"/>
          <w:sz w:val="24"/>
          <w:szCs w:val="24"/>
          <w:shd w:val="clear" w:color="auto" w:fill="FFFFFF"/>
        </w:rPr>
        <w:t>, an organization in favor of increased European integration, took a very different tack and criticized the move on the grounds that it weakened centralized EU decisionmaking authority, noting that the reform “</w:t>
      </w:r>
      <w:r w:rsidRPr="003E342A">
        <w:rPr>
          <w:rFonts w:ascii="Times New Roman" w:hAnsi="Times New Roman" w:cs="Times New Roman"/>
          <w:color w:val="000000" w:themeColor="text1"/>
          <w:sz w:val="24"/>
          <w:szCs w:val="24"/>
        </w:rPr>
        <w:t>attempts to return to the pre-Lisbon Treaty system, without getting there…it is doomed to failure before any talks have begun”</w:t>
      </w:r>
      <w:r w:rsidRPr="003E342A">
        <w:rPr>
          <w:rStyle w:val="FootnoteReference"/>
          <w:rFonts w:ascii="Times New Roman" w:hAnsi="Times New Roman" w:cs="Times New Roman"/>
          <w:color w:val="000000" w:themeColor="text1"/>
          <w:sz w:val="24"/>
          <w:szCs w:val="24"/>
        </w:rPr>
        <w:footnoteReference w:id="99"/>
      </w:r>
      <w:r w:rsidRPr="003E342A">
        <w:rPr>
          <w:rFonts w:ascii="Times New Roman" w:hAnsi="Times New Roman" w:cs="Times New Roman"/>
          <w:color w:val="000000" w:themeColor="text1"/>
          <w:sz w:val="24"/>
          <w:szCs w:val="24"/>
        </w:rPr>
        <w:t xml:space="preserve"> </w:t>
      </w:r>
      <w:r w:rsidR="008E4132">
        <w:rPr>
          <w:rFonts w:ascii="Times New Roman" w:hAnsi="Times New Roman" w:cs="Times New Roman"/>
          <w:iCs/>
          <w:color w:val="000000"/>
          <w:sz w:val="24"/>
          <w:szCs w:val="24"/>
        </w:rPr>
        <w:t>As of this writing</w:t>
      </w:r>
      <w:r w:rsidRPr="003E342A">
        <w:rPr>
          <w:rFonts w:ascii="Times New Roman" w:hAnsi="Times New Roman" w:cs="Times New Roman"/>
          <w:iCs/>
          <w:color w:val="000000"/>
          <w:sz w:val="24"/>
          <w:szCs w:val="24"/>
        </w:rPr>
        <w:t>, no movement has been made on this proposed reform measure.</w:t>
      </w:r>
    </w:p>
    <w:p w14:paraId="2D258009" w14:textId="77777777" w:rsidR="000904CE" w:rsidRPr="003E342A" w:rsidRDefault="000904CE" w:rsidP="000904CE">
      <w:pPr>
        <w:spacing w:line="480" w:lineRule="auto"/>
        <w:jc w:val="both"/>
        <w:rPr>
          <w:rFonts w:ascii="Times New Roman" w:hAnsi="Times New Roman" w:cs="Times New Roman"/>
          <w:iCs/>
          <w:color w:val="000000"/>
          <w:sz w:val="24"/>
          <w:szCs w:val="24"/>
        </w:rPr>
      </w:pPr>
    </w:p>
    <w:p w14:paraId="12ADB44F" w14:textId="1F0AD6CE" w:rsidR="000904CE" w:rsidRPr="003E342A" w:rsidRDefault="000904CE" w:rsidP="005F50AE">
      <w:pPr>
        <w:pStyle w:val="Heading2"/>
        <w:rPr>
          <w:rFonts w:cs="Times New Roman"/>
        </w:rPr>
      </w:pPr>
      <w:r w:rsidRPr="003E342A">
        <w:rPr>
          <w:rFonts w:cs="Times New Roman"/>
        </w:rPr>
        <w:t>27 March 2017 Appeals Committee Meeting</w:t>
      </w:r>
    </w:p>
    <w:p w14:paraId="65FBAA8B" w14:textId="77777777" w:rsidR="005F50AE" w:rsidRPr="003E342A" w:rsidRDefault="005F50AE" w:rsidP="005F50AE">
      <w:pPr>
        <w:rPr>
          <w:rFonts w:ascii="Times New Roman" w:hAnsi="Times New Roman" w:cs="Times New Roman"/>
        </w:rPr>
      </w:pPr>
    </w:p>
    <w:p w14:paraId="2CEB08C7" w14:textId="2CDC5C5E" w:rsidR="000904CE" w:rsidRPr="003E342A" w:rsidRDefault="000904CE" w:rsidP="00CE7076">
      <w:pPr>
        <w:pStyle w:val="NoSpacing"/>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On 27 March, the Appeal Committee of the Genetically Modified Food an</w:t>
      </w:r>
      <w:r w:rsidR="00CD6EE7" w:rsidRPr="003E342A">
        <w:rPr>
          <w:rFonts w:ascii="Times New Roman" w:hAnsi="Times New Roman" w:cs="Times New Roman"/>
          <w:sz w:val="24"/>
          <w:szCs w:val="24"/>
        </w:rPr>
        <w:t>d</w:t>
      </w:r>
      <w:r w:rsidRPr="003E342A">
        <w:rPr>
          <w:rFonts w:ascii="Times New Roman" w:hAnsi="Times New Roman" w:cs="Times New Roman"/>
          <w:sz w:val="24"/>
          <w:szCs w:val="24"/>
        </w:rPr>
        <w:t xml:space="preserve"> Feed Regulatory Committee met in </w:t>
      </w:r>
      <w:r w:rsidR="00CD6EE7" w:rsidRPr="003E342A">
        <w:rPr>
          <w:rFonts w:ascii="Times New Roman" w:hAnsi="Times New Roman" w:cs="Times New Roman"/>
          <w:sz w:val="24"/>
          <w:szCs w:val="24"/>
        </w:rPr>
        <w:t>B</w:t>
      </w:r>
      <w:r w:rsidRPr="003E342A">
        <w:rPr>
          <w:rFonts w:ascii="Times New Roman" w:hAnsi="Times New Roman" w:cs="Times New Roman"/>
          <w:sz w:val="24"/>
          <w:szCs w:val="24"/>
        </w:rPr>
        <w:t>russels to discuss the “no opinion” decision reached by the Committee in January.</w:t>
      </w:r>
      <w:r w:rsidR="00CD6EE7" w:rsidRPr="003E342A">
        <w:rPr>
          <w:rStyle w:val="FootnoteReference"/>
          <w:rFonts w:ascii="Times New Roman" w:hAnsi="Times New Roman" w:cs="Times New Roman"/>
          <w:sz w:val="24"/>
          <w:szCs w:val="24"/>
        </w:rPr>
        <w:footnoteReference w:id="100"/>
      </w:r>
      <w:r w:rsidRPr="003E342A">
        <w:rPr>
          <w:rFonts w:ascii="Times New Roman" w:hAnsi="Times New Roman" w:cs="Times New Roman"/>
          <w:sz w:val="24"/>
          <w:szCs w:val="24"/>
        </w:rPr>
        <w:t xml:space="preserve"> The reasons given for negative votes or abstentions were broadly similar for the two crops but with some notable differences</w:t>
      </w:r>
      <w:r w:rsidR="005F50AE" w:rsidRPr="003E342A">
        <w:rPr>
          <w:rFonts w:ascii="Times New Roman" w:hAnsi="Times New Roman" w:cs="Times New Roman"/>
          <w:sz w:val="24"/>
          <w:szCs w:val="24"/>
        </w:rPr>
        <w:t>:</w:t>
      </w:r>
    </w:p>
    <w:tbl>
      <w:tblPr>
        <w:tblStyle w:val="TableGrid"/>
        <w:tblW w:w="9132"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0"/>
        <w:gridCol w:w="762"/>
        <w:gridCol w:w="4230"/>
      </w:tblGrid>
      <w:tr w:rsidR="000904CE" w:rsidRPr="003E342A" w14:paraId="2F284874" w14:textId="77777777" w:rsidTr="00826611">
        <w:tc>
          <w:tcPr>
            <w:tcW w:w="4140" w:type="dxa"/>
            <w:tcBorders>
              <w:top w:val="nil"/>
              <w:left w:val="nil"/>
              <w:bottom w:val="single" w:sz="4" w:space="0" w:color="auto"/>
              <w:right w:val="nil"/>
            </w:tcBorders>
            <w:hideMark/>
          </w:tcPr>
          <w:p w14:paraId="0C589E65" w14:textId="77777777" w:rsidR="000904CE" w:rsidRPr="003E342A" w:rsidRDefault="000904CE" w:rsidP="009F2161">
            <w:pPr>
              <w:rPr>
                <w:rFonts w:ascii="Times New Roman" w:hAnsi="Times New Roman" w:cs="Times New Roman"/>
                <w:b/>
                <w:bCs/>
                <w:sz w:val="24"/>
                <w:szCs w:val="24"/>
              </w:rPr>
            </w:pPr>
            <w:r w:rsidRPr="003E342A">
              <w:rPr>
                <w:rFonts w:ascii="Times New Roman" w:hAnsi="Times New Roman" w:cs="Times New Roman"/>
                <w:b/>
                <w:bCs/>
                <w:sz w:val="24"/>
                <w:szCs w:val="24"/>
              </w:rPr>
              <w:t>Reasons for negative vote or abstention for the authorization of Bt11</w:t>
            </w:r>
          </w:p>
        </w:tc>
        <w:tc>
          <w:tcPr>
            <w:tcW w:w="762" w:type="dxa"/>
          </w:tcPr>
          <w:p w14:paraId="3EC14276" w14:textId="77777777" w:rsidR="000904CE" w:rsidRPr="003E342A" w:rsidRDefault="000904CE" w:rsidP="00826611">
            <w:pPr>
              <w:jc w:val="both"/>
              <w:rPr>
                <w:rFonts w:ascii="Times New Roman" w:hAnsi="Times New Roman" w:cs="Times New Roman"/>
                <w:b/>
                <w:bCs/>
                <w:sz w:val="24"/>
                <w:szCs w:val="24"/>
              </w:rPr>
            </w:pPr>
          </w:p>
        </w:tc>
        <w:tc>
          <w:tcPr>
            <w:tcW w:w="4230" w:type="dxa"/>
            <w:tcBorders>
              <w:top w:val="nil"/>
              <w:left w:val="nil"/>
              <w:bottom w:val="single" w:sz="4" w:space="0" w:color="auto"/>
              <w:right w:val="nil"/>
            </w:tcBorders>
            <w:hideMark/>
          </w:tcPr>
          <w:p w14:paraId="171F846F" w14:textId="77777777" w:rsidR="000904CE" w:rsidRPr="003E342A" w:rsidRDefault="000904CE" w:rsidP="009F2161">
            <w:pPr>
              <w:rPr>
                <w:rFonts w:ascii="Times New Roman" w:hAnsi="Times New Roman" w:cs="Times New Roman"/>
                <w:b/>
                <w:bCs/>
                <w:sz w:val="24"/>
                <w:szCs w:val="24"/>
              </w:rPr>
            </w:pPr>
            <w:r w:rsidRPr="003E342A">
              <w:rPr>
                <w:rFonts w:ascii="Times New Roman" w:hAnsi="Times New Roman" w:cs="Times New Roman"/>
                <w:b/>
                <w:bCs/>
                <w:sz w:val="24"/>
                <w:szCs w:val="24"/>
              </w:rPr>
              <w:t>Reasons for negative vote or abstention for the authorization of 1507</w:t>
            </w:r>
          </w:p>
        </w:tc>
      </w:tr>
      <w:tr w:rsidR="000904CE" w:rsidRPr="003E342A" w14:paraId="7FC0912A" w14:textId="77777777" w:rsidTr="00826611">
        <w:tc>
          <w:tcPr>
            <w:tcW w:w="4140" w:type="dxa"/>
            <w:tcBorders>
              <w:top w:val="single" w:sz="4" w:space="0" w:color="auto"/>
              <w:left w:val="nil"/>
              <w:bottom w:val="nil"/>
              <w:right w:val="nil"/>
            </w:tcBorders>
            <w:hideMark/>
          </w:tcPr>
          <w:p w14:paraId="37705179"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No agreed national position</w:t>
            </w:r>
          </w:p>
          <w:p w14:paraId="6AF265CC"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Negative public opinion</w:t>
            </w:r>
          </w:p>
          <w:p w14:paraId="703830F4"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 xml:space="preserve">Political reasons </w:t>
            </w:r>
          </w:p>
          <w:p w14:paraId="36BAE592"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Risk of harm to the national agri-food industry</w:t>
            </w:r>
          </w:p>
          <w:p w14:paraId="3B05DF4A"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 xml:space="preserve">Lack of comprehensive data on long-term potential impact of GMOs </w:t>
            </w:r>
          </w:p>
          <w:p w14:paraId="6B53FE22"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Precautionary principle</w:t>
            </w:r>
          </w:p>
          <w:p w14:paraId="10495FE8"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Uncertainties in risk assessment</w:t>
            </w:r>
          </w:p>
          <w:p w14:paraId="69F0FD01"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t>Safety concerns for the environment</w:t>
            </w:r>
          </w:p>
          <w:p w14:paraId="5D26F244" w14:textId="77777777" w:rsidR="000904CE" w:rsidRPr="003E342A" w:rsidRDefault="000904CE" w:rsidP="000904CE">
            <w:pPr>
              <w:pStyle w:val="ListParagraph"/>
              <w:numPr>
                <w:ilvl w:val="0"/>
                <w:numId w:val="3"/>
              </w:numPr>
              <w:spacing w:after="0" w:line="240" w:lineRule="auto"/>
              <w:ind w:left="343" w:hanging="270"/>
              <w:jc w:val="both"/>
              <w:rPr>
                <w:rFonts w:ascii="Times New Roman" w:hAnsi="Times New Roman" w:cs="Times New Roman"/>
                <w:sz w:val="24"/>
                <w:szCs w:val="24"/>
              </w:rPr>
            </w:pPr>
            <w:r w:rsidRPr="003E342A">
              <w:rPr>
                <w:rFonts w:ascii="Times New Roman" w:hAnsi="Times New Roman" w:cs="Times New Roman"/>
                <w:sz w:val="24"/>
                <w:szCs w:val="24"/>
              </w:rPr>
              <w:lastRenderedPageBreak/>
              <w:t xml:space="preserve">Potential risks for the environment and health due to tolerance of maize Bt11 to </w:t>
            </w:r>
            <w:proofErr w:type="spellStart"/>
            <w:r w:rsidRPr="003E342A">
              <w:rPr>
                <w:rFonts w:ascii="Times New Roman" w:hAnsi="Times New Roman" w:cs="Times New Roman"/>
                <w:sz w:val="24"/>
                <w:szCs w:val="24"/>
              </w:rPr>
              <w:t>glufosinate</w:t>
            </w:r>
            <w:proofErr w:type="spellEnd"/>
            <w:r w:rsidRPr="003E342A">
              <w:rPr>
                <w:rFonts w:ascii="Times New Roman" w:hAnsi="Times New Roman" w:cs="Times New Roman"/>
                <w:sz w:val="24"/>
                <w:szCs w:val="24"/>
              </w:rPr>
              <w:t xml:space="preserve"> ammonium</w:t>
            </w:r>
          </w:p>
          <w:p w14:paraId="3A2911EA" w14:textId="77777777" w:rsidR="000904CE" w:rsidRPr="003E342A" w:rsidRDefault="000904CE" w:rsidP="00826611">
            <w:pPr>
              <w:pStyle w:val="ListParagraph"/>
              <w:spacing w:after="0" w:line="240" w:lineRule="auto"/>
              <w:ind w:left="343"/>
              <w:jc w:val="both"/>
              <w:rPr>
                <w:rFonts w:ascii="Times New Roman" w:hAnsi="Times New Roman" w:cs="Times New Roman"/>
                <w:sz w:val="24"/>
                <w:szCs w:val="24"/>
              </w:rPr>
            </w:pPr>
          </w:p>
        </w:tc>
        <w:tc>
          <w:tcPr>
            <w:tcW w:w="762" w:type="dxa"/>
          </w:tcPr>
          <w:p w14:paraId="54A11779" w14:textId="77777777" w:rsidR="000904CE" w:rsidRPr="003E342A" w:rsidRDefault="000904CE" w:rsidP="00826611">
            <w:pPr>
              <w:pStyle w:val="ListParagraph"/>
              <w:tabs>
                <w:tab w:val="left" w:pos="2868"/>
              </w:tabs>
              <w:spacing w:after="0" w:line="240" w:lineRule="auto"/>
              <w:ind w:left="344"/>
              <w:jc w:val="both"/>
              <w:rPr>
                <w:rFonts w:ascii="Times New Roman" w:hAnsi="Times New Roman" w:cs="Times New Roman"/>
                <w:sz w:val="24"/>
                <w:szCs w:val="24"/>
              </w:rPr>
            </w:pPr>
          </w:p>
        </w:tc>
        <w:tc>
          <w:tcPr>
            <w:tcW w:w="4230" w:type="dxa"/>
            <w:tcBorders>
              <w:top w:val="single" w:sz="4" w:space="0" w:color="auto"/>
              <w:left w:val="nil"/>
              <w:bottom w:val="nil"/>
              <w:right w:val="nil"/>
            </w:tcBorders>
            <w:hideMark/>
          </w:tcPr>
          <w:p w14:paraId="430E5227"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No agreed national position</w:t>
            </w:r>
          </w:p>
          <w:p w14:paraId="177269CD"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Negative public opinion</w:t>
            </w:r>
          </w:p>
          <w:p w14:paraId="1B51A9D4"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Political reasons</w:t>
            </w:r>
          </w:p>
          <w:p w14:paraId="26ECE104"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Risk of harm to the national agri-food industry</w:t>
            </w:r>
          </w:p>
          <w:p w14:paraId="6881165D"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Lack of comprehensive data on long-term potential impact of GMOs</w:t>
            </w:r>
          </w:p>
          <w:p w14:paraId="3B43EBAA"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Precautionary principle</w:t>
            </w:r>
          </w:p>
          <w:p w14:paraId="37B4B898"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 xml:space="preserve">Risk assessment deemed not </w:t>
            </w:r>
            <w:proofErr w:type="gramStart"/>
            <w:r w:rsidRPr="003E342A">
              <w:rPr>
                <w:rFonts w:ascii="Times New Roman" w:hAnsi="Times New Roman" w:cs="Times New Roman"/>
                <w:sz w:val="24"/>
                <w:szCs w:val="24"/>
              </w:rPr>
              <w:t>sufficient</w:t>
            </w:r>
            <w:proofErr w:type="gramEnd"/>
          </w:p>
          <w:p w14:paraId="2B1A5EE9"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 xml:space="preserve">National GM-free strategy </w:t>
            </w:r>
          </w:p>
          <w:p w14:paraId="2DB7D342"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EFSA minority opinion</w:t>
            </w:r>
          </w:p>
          <w:p w14:paraId="003050D0" w14:textId="77777777" w:rsidR="000904CE" w:rsidRPr="003E342A" w:rsidRDefault="000904CE" w:rsidP="000904CE">
            <w:pPr>
              <w:pStyle w:val="ListParagraph"/>
              <w:numPr>
                <w:ilvl w:val="0"/>
                <w:numId w:val="4"/>
              </w:numPr>
              <w:tabs>
                <w:tab w:val="left" w:pos="2868"/>
              </w:tabs>
              <w:spacing w:after="0" w:line="240" w:lineRule="auto"/>
              <w:ind w:left="344" w:hanging="270"/>
              <w:jc w:val="both"/>
              <w:rPr>
                <w:rFonts w:ascii="Times New Roman" w:hAnsi="Times New Roman" w:cs="Times New Roman"/>
                <w:iCs/>
                <w:color w:val="000000"/>
                <w:sz w:val="24"/>
                <w:szCs w:val="24"/>
              </w:rPr>
            </w:pPr>
            <w:r w:rsidRPr="003E342A">
              <w:rPr>
                <w:rFonts w:ascii="Times New Roman" w:hAnsi="Times New Roman" w:cs="Times New Roman"/>
                <w:sz w:val="24"/>
                <w:szCs w:val="24"/>
              </w:rPr>
              <w:t>Lack of long-term feeding studies</w:t>
            </w:r>
          </w:p>
          <w:p w14:paraId="5898FA20" w14:textId="77777777" w:rsidR="000904CE" w:rsidRPr="003E342A" w:rsidRDefault="000904CE" w:rsidP="00826611">
            <w:pPr>
              <w:pStyle w:val="ListParagraph"/>
              <w:tabs>
                <w:tab w:val="left" w:pos="2868"/>
              </w:tabs>
              <w:spacing w:after="0" w:line="240" w:lineRule="auto"/>
              <w:ind w:left="344"/>
              <w:jc w:val="both"/>
              <w:rPr>
                <w:rFonts w:ascii="Times New Roman" w:hAnsi="Times New Roman" w:cs="Times New Roman"/>
                <w:iCs/>
                <w:color w:val="000000"/>
                <w:sz w:val="24"/>
                <w:szCs w:val="24"/>
              </w:rPr>
            </w:pPr>
          </w:p>
        </w:tc>
      </w:tr>
    </w:tbl>
    <w:p w14:paraId="2EB33C65" w14:textId="77777777" w:rsidR="005F50AE" w:rsidRPr="003E342A" w:rsidRDefault="005F50AE" w:rsidP="000904CE">
      <w:pPr>
        <w:spacing w:line="480" w:lineRule="auto"/>
        <w:jc w:val="both"/>
        <w:rPr>
          <w:rFonts w:ascii="Times New Roman" w:hAnsi="Times New Roman" w:cs="Times New Roman"/>
          <w:sz w:val="24"/>
          <w:szCs w:val="24"/>
        </w:rPr>
      </w:pPr>
    </w:p>
    <w:p w14:paraId="198DE3EF" w14:textId="34E0CA07" w:rsidR="000904CE" w:rsidRPr="003E342A" w:rsidRDefault="000904CE" w:rsidP="000904CE">
      <w:pPr>
        <w:spacing w:line="480" w:lineRule="auto"/>
        <w:jc w:val="both"/>
        <w:rPr>
          <w:rFonts w:ascii="Times New Roman" w:hAnsi="Times New Roman" w:cs="Times New Roman"/>
          <w:sz w:val="24"/>
          <w:szCs w:val="24"/>
        </w:rPr>
      </w:pPr>
      <w:proofErr w:type="gramStart"/>
      <w:r w:rsidRPr="003E342A">
        <w:rPr>
          <w:rFonts w:ascii="Times New Roman" w:hAnsi="Times New Roman" w:cs="Times New Roman"/>
          <w:sz w:val="24"/>
          <w:szCs w:val="24"/>
        </w:rPr>
        <w:t>Again</w:t>
      </w:r>
      <w:proofErr w:type="gramEnd"/>
      <w:r w:rsidRPr="003E342A">
        <w:rPr>
          <w:rFonts w:ascii="Times New Roman" w:hAnsi="Times New Roman" w:cs="Times New Roman"/>
          <w:sz w:val="24"/>
          <w:szCs w:val="24"/>
        </w:rPr>
        <w:t xml:space="preserve"> for both votes, the representative from Sweden chose to lodge individual statements, once again nearly identical to each other and nearly identical to the statements in the original committee meeting:</w:t>
      </w:r>
    </w:p>
    <w:p w14:paraId="736DFC0C" w14:textId="77777777" w:rsidR="000904CE" w:rsidRPr="003E342A" w:rsidRDefault="000904CE" w:rsidP="000904CE">
      <w:pPr>
        <w:ind w:left="720" w:right="576"/>
        <w:jc w:val="both"/>
        <w:rPr>
          <w:rFonts w:ascii="Times New Roman" w:hAnsi="Times New Roman" w:cs="Times New Roman"/>
          <w:sz w:val="24"/>
          <w:szCs w:val="24"/>
        </w:rPr>
      </w:pPr>
      <w:r w:rsidRPr="003E342A">
        <w:rPr>
          <w:rFonts w:ascii="Times New Roman" w:hAnsi="Times New Roman" w:cs="Times New Roman"/>
          <w:sz w:val="24"/>
          <w:szCs w:val="24"/>
        </w:rPr>
        <w:t xml:space="preserve">“The Swedish government is of the view that </w:t>
      </w:r>
      <w:proofErr w:type="gramStart"/>
      <w:r w:rsidRPr="003E342A">
        <w:rPr>
          <w:rFonts w:ascii="Times New Roman" w:hAnsi="Times New Roman" w:cs="Times New Roman"/>
          <w:sz w:val="24"/>
          <w:szCs w:val="24"/>
        </w:rPr>
        <w:t>an</w:t>
      </w:r>
      <w:proofErr w:type="gramEnd"/>
      <w:r w:rsidRPr="003E342A">
        <w:rPr>
          <w:rFonts w:ascii="Times New Roman" w:hAnsi="Times New Roman" w:cs="Times New Roman"/>
          <w:sz w:val="24"/>
          <w:szCs w:val="24"/>
        </w:rPr>
        <w:t xml:space="preserve"> holistic approach to the use of the substance is important. The political assessment is that </w:t>
      </w:r>
      <w:proofErr w:type="spellStart"/>
      <w:r w:rsidRPr="003E342A">
        <w:rPr>
          <w:rFonts w:ascii="Times New Roman" w:hAnsi="Times New Roman" w:cs="Times New Roman"/>
          <w:sz w:val="24"/>
          <w:szCs w:val="24"/>
        </w:rPr>
        <w:t>glufosinate</w:t>
      </w:r>
      <w:proofErr w:type="spellEnd"/>
      <w:r w:rsidRPr="003E342A">
        <w:rPr>
          <w:rFonts w:ascii="Times New Roman" w:hAnsi="Times New Roman" w:cs="Times New Roman"/>
          <w:sz w:val="24"/>
          <w:szCs w:val="24"/>
        </w:rPr>
        <w:t xml:space="preserve">-ammonium is such a toxic pesticide that a NO-vote is warranted in order to contribute to </w:t>
      </w:r>
      <w:proofErr w:type="gramStart"/>
      <w:r w:rsidRPr="003E342A">
        <w:rPr>
          <w:rFonts w:ascii="Times New Roman" w:hAnsi="Times New Roman" w:cs="Times New Roman"/>
          <w:sz w:val="24"/>
          <w:szCs w:val="24"/>
        </w:rPr>
        <w:t>an</w:t>
      </w:r>
      <w:proofErr w:type="gramEnd"/>
      <w:r w:rsidRPr="003E342A">
        <w:rPr>
          <w:rFonts w:ascii="Times New Roman" w:hAnsi="Times New Roman" w:cs="Times New Roman"/>
          <w:sz w:val="24"/>
          <w:szCs w:val="24"/>
        </w:rPr>
        <w:t xml:space="preserve"> Union strategy for a non-toxic environment in the European Union.”</w:t>
      </w:r>
    </w:p>
    <w:p w14:paraId="5D6B495A" w14:textId="77777777" w:rsidR="000904CE" w:rsidRPr="003E342A" w:rsidRDefault="000904CE" w:rsidP="000904CE">
      <w:pPr>
        <w:spacing w:line="480" w:lineRule="auto"/>
        <w:jc w:val="both"/>
        <w:rPr>
          <w:rFonts w:ascii="Times New Roman" w:hAnsi="Times New Roman" w:cs="Times New Roman"/>
          <w:sz w:val="24"/>
          <w:szCs w:val="24"/>
        </w:rPr>
      </w:pPr>
    </w:p>
    <w:p w14:paraId="77E9D83C" w14:textId="4BD3124A" w:rsidR="000904CE" w:rsidRPr="003E342A" w:rsidRDefault="000904CE" w:rsidP="000904CE">
      <w:pPr>
        <w:pStyle w:val="NoSpacing"/>
        <w:spacing w:line="480" w:lineRule="auto"/>
        <w:jc w:val="both"/>
        <w:rPr>
          <w:rFonts w:ascii="Times New Roman" w:hAnsi="Times New Roman" w:cs="Times New Roman"/>
          <w:color w:val="000000"/>
          <w:sz w:val="24"/>
          <w:szCs w:val="24"/>
        </w:rPr>
      </w:pPr>
      <w:r w:rsidRPr="003E342A">
        <w:rPr>
          <w:rFonts w:ascii="Times New Roman" w:hAnsi="Times New Roman" w:cs="Times New Roman"/>
          <w:sz w:val="24"/>
          <w:szCs w:val="24"/>
        </w:rPr>
        <w:t>The breakdown of votes was perhaps as predictable as it was inevitable. On both the Bt11 and 1507 strains of genetically modified maize, the appeals committee once again reached the result of “no opinion</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w:t>
      </w:r>
      <w:r w:rsidRPr="003E342A">
        <w:rPr>
          <w:rFonts w:ascii="Times New Roman" w:hAnsi="Times New Roman" w:cs="Times New Roman"/>
          <w:color w:val="000000"/>
          <w:sz w:val="24"/>
          <w:szCs w:val="24"/>
        </w:rPr>
        <w:t>Groups opposed to GMOs expressed unhappiness at the results of the meeting. "When he was elected, Commission President Juncker promised more democratic decision-making. This vote leaves no doubt that approving these GMO crops would break that promise,”</w:t>
      </w:r>
      <w:r w:rsidR="009F2161" w:rsidRPr="003E342A">
        <w:rPr>
          <w:rFonts w:ascii="Times New Roman" w:hAnsi="Times New Roman" w:cs="Times New Roman"/>
          <w:color w:val="000000"/>
          <w:sz w:val="24"/>
          <w:szCs w:val="24"/>
        </w:rPr>
        <w:t xml:space="preserve"> and “</w:t>
      </w:r>
      <w:r w:rsidRPr="003E342A">
        <w:rPr>
          <w:rFonts w:ascii="Times New Roman" w:hAnsi="Times New Roman" w:cs="Times New Roman"/>
          <w:color w:val="000000"/>
          <w:sz w:val="24"/>
          <w:szCs w:val="24"/>
        </w:rPr>
        <w:t>A majority of governments, parliamentarians and Europeans oppose them, and two thirds of European countries ban GMO cultivation on their lands</w:t>
      </w:r>
      <w:r w:rsidR="00225B5D" w:rsidRPr="003E342A">
        <w:rPr>
          <w:rFonts w:ascii="Times New Roman" w:hAnsi="Times New Roman" w:cs="Times New Roman"/>
          <w:color w:val="000000"/>
          <w:sz w:val="24"/>
          <w:szCs w:val="24"/>
        </w:rPr>
        <w:t>.”</w:t>
      </w:r>
      <w:r w:rsidRPr="003E342A">
        <w:rPr>
          <w:rStyle w:val="FootnoteReference"/>
          <w:rFonts w:ascii="Times New Roman" w:hAnsi="Times New Roman" w:cs="Times New Roman"/>
          <w:color w:val="000000"/>
          <w:sz w:val="24"/>
          <w:szCs w:val="24"/>
        </w:rPr>
        <w:footnoteReference w:id="101"/>
      </w:r>
    </w:p>
    <w:p w14:paraId="61196E21" w14:textId="77777777" w:rsidR="000904CE" w:rsidRPr="003E342A" w:rsidRDefault="000904CE" w:rsidP="000904CE">
      <w:pPr>
        <w:spacing w:line="480" w:lineRule="auto"/>
        <w:ind w:firstLine="720"/>
        <w:jc w:val="both"/>
        <w:rPr>
          <w:rFonts w:ascii="Times New Roman" w:hAnsi="Times New Roman" w:cs="Times New Roman"/>
          <w:b/>
          <w:bCs/>
          <w:iCs/>
          <w:color w:val="000000"/>
          <w:sz w:val="24"/>
          <w:szCs w:val="24"/>
        </w:rPr>
      </w:pPr>
    </w:p>
    <w:p w14:paraId="27A2DD67" w14:textId="3C74318A" w:rsidR="000904CE" w:rsidRPr="003E342A" w:rsidRDefault="000904CE" w:rsidP="00CD6EE7">
      <w:pPr>
        <w:pStyle w:val="Heading2"/>
        <w:rPr>
          <w:rFonts w:cs="Times New Roman"/>
        </w:rPr>
      </w:pPr>
      <w:r w:rsidRPr="003E342A">
        <w:rPr>
          <w:rFonts w:cs="Times New Roman"/>
        </w:rPr>
        <w:t>July Approval Announcement</w:t>
      </w:r>
    </w:p>
    <w:p w14:paraId="33920545" w14:textId="77777777" w:rsidR="00CD6EE7" w:rsidRPr="003E342A" w:rsidRDefault="00CD6EE7" w:rsidP="00CD6EE7">
      <w:pPr>
        <w:rPr>
          <w:rFonts w:ascii="Times New Roman" w:hAnsi="Times New Roman" w:cs="Times New Roman"/>
        </w:rPr>
      </w:pPr>
    </w:p>
    <w:p w14:paraId="2E148419" w14:textId="4A64298D" w:rsidR="000904CE" w:rsidRPr="003E342A" w:rsidRDefault="000904CE" w:rsidP="00CE7076">
      <w:pPr>
        <w:spacing w:line="480" w:lineRule="auto"/>
        <w:ind w:firstLine="720"/>
        <w:jc w:val="both"/>
        <w:rPr>
          <w:rStyle w:val="fontstyle01"/>
          <w:rFonts w:ascii="Times New Roman" w:hAnsi="Times New Roman" w:cs="Times New Roman"/>
          <w:sz w:val="24"/>
          <w:szCs w:val="24"/>
        </w:rPr>
      </w:pPr>
      <w:r w:rsidRPr="003E342A">
        <w:rPr>
          <w:rFonts w:ascii="Times New Roman" w:hAnsi="Times New Roman" w:cs="Times New Roman"/>
          <w:sz w:val="24"/>
          <w:szCs w:val="24"/>
        </w:rPr>
        <w:t>The European Commission regularly releases news briefings detailing significant activities throughout the day. Two announcements in 2017 refer to the approval processes of the GMOs in question. On 4 July 2017, the commission announced the approval of “</w:t>
      </w:r>
      <w:r w:rsidRPr="003E342A">
        <w:rPr>
          <w:rStyle w:val="fontstyle01"/>
          <w:rFonts w:ascii="Times New Roman" w:hAnsi="Times New Roman" w:cs="Times New Roman"/>
          <w:sz w:val="24"/>
          <w:szCs w:val="24"/>
        </w:rPr>
        <w:t xml:space="preserve">maize Bt11 × 59122 × MIR604 × 1507 × GA21” and “maize DAS-40278-9”; the announcement stated, in relatively </w:t>
      </w:r>
      <w:r w:rsidRPr="003E342A">
        <w:rPr>
          <w:rStyle w:val="fontstyle01"/>
          <w:rFonts w:ascii="Times New Roman" w:hAnsi="Times New Roman" w:cs="Times New Roman"/>
          <w:sz w:val="24"/>
          <w:szCs w:val="24"/>
        </w:rPr>
        <w:lastRenderedPageBreak/>
        <w:t>simple terms, that “These GMOs had received "no opinion" votes from the Member</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States in both the Standing and Appeal Committees and the Commission adopted the pending</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decisions</w:t>
      </w:r>
      <w:r w:rsidR="00225B5D" w:rsidRPr="003E342A">
        <w:rPr>
          <w:rStyle w:val="fontstyle01"/>
          <w:rFonts w:ascii="Times New Roman" w:hAnsi="Times New Roman" w:cs="Times New Roman"/>
          <w:sz w:val="24"/>
          <w:szCs w:val="24"/>
        </w:rPr>
        <w:t>.”</w:t>
      </w:r>
      <w:r w:rsidRPr="003E342A">
        <w:rPr>
          <w:rStyle w:val="FootnoteReference"/>
          <w:rFonts w:ascii="Times New Roman" w:hAnsi="Times New Roman" w:cs="Times New Roman"/>
          <w:color w:val="000000"/>
          <w:sz w:val="24"/>
          <w:szCs w:val="24"/>
        </w:rPr>
        <w:footnoteReference w:id="102"/>
      </w:r>
      <w:r w:rsidRPr="003E342A">
        <w:rPr>
          <w:rStyle w:val="fontstyle01"/>
          <w:rFonts w:ascii="Times New Roman" w:hAnsi="Times New Roman" w:cs="Times New Roman"/>
          <w:sz w:val="24"/>
          <w:szCs w:val="24"/>
        </w:rPr>
        <w:t xml:space="preserve"> This announcement is of little note on its own. Of significance, however, is the change that transpired between the 4 July announcement and the release on </w:t>
      </w:r>
      <w:r w:rsidRPr="003E342A">
        <w:rPr>
          <w:rFonts w:ascii="Times New Roman" w:hAnsi="Times New Roman" w:cs="Times New Roman"/>
          <w:sz w:val="24"/>
          <w:szCs w:val="24"/>
        </w:rPr>
        <w:t>22 December 2017 announcing the “renewal of maize 1507” among some others. “</w:t>
      </w:r>
      <w:r w:rsidRPr="003E342A">
        <w:rPr>
          <w:rStyle w:val="fontstyle01"/>
          <w:rFonts w:ascii="Times New Roman" w:hAnsi="Times New Roman" w:cs="Times New Roman"/>
          <w:sz w:val="24"/>
          <w:szCs w:val="24"/>
        </w:rPr>
        <w:t>These GMOs had received "no opinion" votes from the</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 xml:space="preserve">Member States both in the Standing and the Appeal Committees and the Commission therefore </w:t>
      </w:r>
      <w:r w:rsidRPr="003E342A">
        <w:rPr>
          <w:rStyle w:val="fontstyle01"/>
          <w:rFonts w:ascii="Times New Roman" w:hAnsi="Times New Roman" w:cs="Times New Roman"/>
          <w:b/>
          <w:sz w:val="24"/>
          <w:szCs w:val="24"/>
        </w:rPr>
        <w:t>had to</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adopt the pending decisions” (emphasis added).</w:t>
      </w:r>
      <w:r w:rsidRPr="003E342A">
        <w:rPr>
          <w:rStyle w:val="FootnoteReference"/>
          <w:rFonts w:ascii="Times New Roman" w:hAnsi="Times New Roman" w:cs="Times New Roman"/>
          <w:color w:val="000000"/>
          <w:sz w:val="24"/>
          <w:szCs w:val="24"/>
        </w:rPr>
        <w:footnoteReference w:id="103"/>
      </w:r>
      <w:r w:rsidRPr="003E342A">
        <w:rPr>
          <w:rStyle w:val="fontstyle01"/>
          <w:rFonts w:ascii="Times New Roman" w:hAnsi="Times New Roman" w:cs="Times New Roman"/>
          <w:sz w:val="24"/>
          <w:szCs w:val="24"/>
        </w:rPr>
        <w:t xml:space="preserve"> While the phrase “had to” may not be forceful in itself, when paired with the ongoing context of Jean Claude Juncker’s personal and professional frustrations with the EU comitology process and the inability to stop the approval of GMOs, </w:t>
      </w:r>
      <w:r w:rsidR="000B43A6" w:rsidRPr="003E342A">
        <w:rPr>
          <w:rStyle w:val="fontstyle01"/>
          <w:rFonts w:ascii="Times New Roman" w:hAnsi="Times New Roman" w:cs="Times New Roman"/>
          <w:sz w:val="24"/>
          <w:szCs w:val="24"/>
        </w:rPr>
        <w:t>to</w:t>
      </w:r>
      <w:r w:rsidRPr="003E342A">
        <w:rPr>
          <w:rStyle w:val="fontstyle01"/>
          <w:rFonts w:ascii="Times New Roman" w:hAnsi="Times New Roman" w:cs="Times New Roman"/>
          <w:sz w:val="24"/>
          <w:szCs w:val="24"/>
        </w:rPr>
        <w:t xml:space="preserve"> which Mr. Juncker </w:t>
      </w:r>
      <w:r w:rsidR="000B43A6" w:rsidRPr="003E342A">
        <w:rPr>
          <w:rStyle w:val="fontstyle01"/>
          <w:rFonts w:ascii="Times New Roman" w:hAnsi="Times New Roman" w:cs="Times New Roman"/>
          <w:sz w:val="24"/>
          <w:szCs w:val="24"/>
        </w:rPr>
        <w:t>has a longstanding record of opposition</w:t>
      </w:r>
      <w:r w:rsidRPr="003E342A">
        <w:rPr>
          <w:rStyle w:val="fontstyle01"/>
          <w:rFonts w:ascii="Times New Roman" w:hAnsi="Times New Roman" w:cs="Times New Roman"/>
          <w:sz w:val="24"/>
          <w:szCs w:val="24"/>
        </w:rPr>
        <w:t>,</w:t>
      </w:r>
      <w:r w:rsidR="000B43A6" w:rsidRPr="003E342A">
        <w:rPr>
          <w:rStyle w:val="FootnoteReference"/>
          <w:rFonts w:ascii="Times New Roman" w:hAnsi="Times New Roman" w:cs="Times New Roman"/>
          <w:color w:val="000000"/>
          <w:sz w:val="24"/>
          <w:szCs w:val="24"/>
        </w:rPr>
        <w:footnoteReference w:id="104"/>
      </w:r>
      <w:r w:rsidRPr="003E342A">
        <w:rPr>
          <w:rStyle w:val="fontstyle01"/>
          <w:rFonts w:ascii="Times New Roman" w:hAnsi="Times New Roman" w:cs="Times New Roman"/>
          <w:sz w:val="24"/>
          <w:szCs w:val="24"/>
        </w:rPr>
        <w:t xml:space="preserve"> and when also contrasted with the typically dry bureaucratic nature of these announcements, the phrase is telling of growing impatience and a willingness to distance the mentality of the Commission from the comitological rules that force its hand on this issue. In a quiet room, small sounds can be large disruptions.</w:t>
      </w:r>
    </w:p>
    <w:p w14:paraId="1FFA84EF" w14:textId="17346F0B" w:rsidR="009F2161" w:rsidRPr="003E342A" w:rsidRDefault="009F2161" w:rsidP="00CE7076">
      <w:pPr>
        <w:spacing w:line="480" w:lineRule="auto"/>
        <w:ind w:firstLine="720"/>
        <w:jc w:val="both"/>
        <w:rPr>
          <w:rFonts w:ascii="Times New Roman" w:hAnsi="Times New Roman" w:cs="Times New Roman"/>
          <w:color w:val="000000"/>
          <w:sz w:val="24"/>
          <w:szCs w:val="24"/>
        </w:rPr>
      </w:pPr>
      <w:r w:rsidRPr="003E342A">
        <w:rPr>
          <w:rFonts w:ascii="Times New Roman" w:hAnsi="Times New Roman" w:cs="Times New Roman"/>
          <w:color w:val="000000"/>
          <w:sz w:val="24"/>
          <w:szCs w:val="24"/>
        </w:rPr>
        <w:t xml:space="preserve">The above two chapters detail the nature of the proposed reforms and the regulatory structure and history into which they would be implemented. </w:t>
      </w:r>
      <w:r w:rsidR="00487E45" w:rsidRPr="003E342A">
        <w:rPr>
          <w:rFonts w:ascii="Times New Roman" w:hAnsi="Times New Roman" w:cs="Times New Roman"/>
          <w:color w:val="000000"/>
          <w:sz w:val="24"/>
          <w:szCs w:val="24"/>
        </w:rPr>
        <w:t xml:space="preserve">However, despite having been proposed beginning in 2015, they have still not gained </w:t>
      </w:r>
      <w:proofErr w:type="gramStart"/>
      <w:r w:rsidR="00487E45" w:rsidRPr="003E342A">
        <w:rPr>
          <w:rFonts w:ascii="Times New Roman" w:hAnsi="Times New Roman" w:cs="Times New Roman"/>
          <w:color w:val="000000"/>
          <w:sz w:val="24"/>
          <w:szCs w:val="24"/>
        </w:rPr>
        <w:t>sufficient</w:t>
      </w:r>
      <w:proofErr w:type="gramEnd"/>
      <w:r w:rsidR="00487E45" w:rsidRPr="003E342A">
        <w:rPr>
          <w:rFonts w:ascii="Times New Roman" w:hAnsi="Times New Roman" w:cs="Times New Roman"/>
          <w:color w:val="000000"/>
          <w:sz w:val="24"/>
          <w:szCs w:val="24"/>
        </w:rPr>
        <w:t xml:space="preserve"> support for passage. The follow sections will detail the arguments in favor of their passage as well as those against.</w:t>
      </w:r>
    </w:p>
    <w:p w14:paraId="641C7817" w14:textId="77777777" w:rsidR="000904CE" w:rsidRPr="003E342A" w:rsidRDefault="000904CE" w:rsidP="000904CE">
      <w:pPr>
        <w:spacing w:line="480" w:lineRule="auto"/>
        <w:jc w:val="both"/>
        <w:rPr>
          <w:rFonts w:ascii="Times New Roman" w:hAnsi="Times New Roman" w:cs="Times New Roman"/>
          <w:iCs/>
          <w:color w:val="000000"/>
          <w:sz w:val="24"/>
          <w:szCs w:val="24"/>
        </w:rPr>
      </w:pPr>
    </w:p>
    <w:p w14:paraId="3337EF5C" w14:textId="77777777" w:rsidR="000904CE" w:rsidRPr="003E342A" w:rsidRDefault="000904CE" w:rsidP="000904CE">
      <w:pPr>
        <w:rPr>
          <w:rFonts w:ascii="Times New Roman" w:hAnsi="Times New Roman" w:cs="Times New Roman"/>
        </w:rPr>
      </w:pPr>
    </w:p>
    <w:p w14:paraId="40797CFF" w14:textId="668C0787" w:rsidR="000904CE" w:rsidRPr="003E342A" w:rsidRDefault="000904CE">
      <w:pPr>
        <w:rPr>
          <w:rFonts w:ascii="Times New Roman" w:hAnsi="Times New Roman" w:cs="Times New Roman"/>
        </w:rPr>
      </w:pPr>
    </w:p>
    <w:p w14:paraId="255CEE7B" w14:textId="27D861F6" w:rsidR="000904CE" w:rsidRPr="003E342A" w:rsidRDefault="000904CE" w:rsidP="00CE7076">
      <w:pPr>
        <w:pStyle w:val="Title"/>
        <w:jc w:val="center"/>
        <w:rPr>
          <w:rFonts w:cs="Times New Roman"/>
        </w:rPr>
      </w:pPr>
      <w:bookmarkStart w:id="28" w:name="_Toc531878492"/>
      <w:r w:rsidRPr="003E342A">
        <w:rPr>
          <w:rFonts w:cs="Times New Roman"/>
        </w:rPr>
        <w:lastRenderedPageBreak/>
        <w:t xml:space="preserve">Chapter III: </w:t>
      </w:r>
      <w:r w:rsidR="006D6E05" w:rsidRPr="003E342A">
        <w:rPr>
          <w:rFonts w:cs="Times New Roman"/>
        </w:rPr>
        <w:t xml:space="preserve"> </w:t>
      </w:r>
      <w:r w:rsidRPr="003E342A">
        <w:rPr>
          <w:rFonts w:cs="Times New Roman"/>
        </w:rPr>
        <w:t>Democratic Legitimacy and the Need for Reform</w:t>
      </w:r>
      <w:bookmarkEnd w:id="28"/>
      <w:r w:rsidRPr="003E342A">
        <w:rPr>
          <w:rFonts w:cs="Times New Roman"/>
        </w:rPr>
        <w:br w:type="page"/>
      </w:r>
    </w:p>
    <w:p w14:paraId="7935A9EA" w14:textId="60520BB5" w:rsidR="000904CE" w:rsidRPr="003E342A" w:rsidRDefault="000904CE" w:rsidP="00CE7076">
      <w:pPr>
        <w:pStyle w:val="Heading1"/>
        <w:rPr>
          <w:rFonts w:cs="Times New Roman"/>
        </w:rPr>
      </w:pPr>
      <w:bookmarkStart w:id="29" w:name="_Toc531878493"/>
      <w:r w:rsidRPr="003E342A">
        <w:rPr>
          <w:rFonts w:cs="Times New Roman"/>
        </w:rPr>
        <w:lastRenderedPageBreak/>
        <w:t>The Democratic Deficit</w:t>
      </w:r>
      <w:bookmarkEnd w:id="29"/>
    </w:p>
    <w:p w14:paraId="589FC2BB" w14:textId="77777777" w:rsidR="00CE7076" w:rsidRPr="003E342A" w:rsidRDefault="00CE7076" w:rsidP="00CE7076">
      <w:pPr>
        <w:rPr>
          <w:rFonts w:ascii="Times New Roman" w:hAnsi="Times New Roman" w:cs="Times New Roman"/>
        </w:rPr>
      </w:pPr>
    </w:p>
    <w:p w14:paraId="1AC46FEB" w14:textId="16C9B859"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The single most pressing argument for the institution of the comitological reforms and a subsequent decentralization of European policy on GMO regulation is that doing so would help alleviate the so-called “</w:t>
      </w:r>
      <w:r w:rsidR="003B4601" w:rsidRPr="003E342A">
        <w:rPr>
          <w:rFonts w:ascii="Times New Roman" w:hAnsi="Times New Roman" w:cs="Times New Roman"/>
          <w:sz w:val="24"/>
          <w:szCs w:val="24"/>
        </w:rPr>
        <w:t>D</w:t>
      </w:r>
      <w:r w:rsidRPr="003E342A">
        <w:rPr>
          <w:rFonts w:ascii="Times New Roman" w:hAnsi="Times New Roman" w:cs="Times New Roman"/>
          <w:sz w:val="24"/>
          <w:szCs w:val="24"/>
        </w:rPr>
        <w:t xml:space="preserve">emocratic </w:t>
      </w:r>
      <w:r w:rsidR="003B4601" w:rsidRPr="003E342A">
        <w:rPr>
          <w:rFonts w:ascii="Times New Roman" w:hAnsi="Times New Roman" w:cs="Times New Roman"/>
          <w:sz w:val="24"/>
          <w:szCs w:val="24"/>
        </w:rPr>
        <w:t>D</w:t>
      </w:r>
      <w:r w:rsidRPr="003E342A">
        <w:rPr>
          <w:rFonts w:ascii="Times New Roman" w:hAnsi="Times New Roman" w:cs="Times New Roman"/>
          <w:sz w:val="24"/>
          <w:szCs w:val="24"/>
        </w:rPr>
        <w:t>eficit” that has plagued Europe since before the inception of the European Union. Though there is, as Jensen (2009) notes in a literature review of the subject, a great deal of heterogeneity about the nature of or existence of Europe’s democratic deficit (depending on conflicting definitions of both “democratic” and “legitimacy”), ultimately “the European Union (EU) is widely believed to harbor a democratic deficit” of some kind.</w:t>
      </w:r>
      <w:r w:rsidRPr="003E342A">
        <w:rPr>
          <w:rStyle w:val="FootnoteReference"/>
          <w:rFonts w:ascii="Times New Roman" w:hAnsi="Times New Roman" w:cs="Times New Roman"/>
          <w:sz w:val="24"/>
          <w:szCs w:val="24"/>
        </w:rPr>
        <w:footnoteReference w:id="105"/>
      </w:r>
      <w:r w:rsidRPr="003E342A">
        <w:rPr>
          <w:rFonts w:ascii="Times New Roman" w:hAnsi="Times New Roman" w:cs="Times New Roman"/>
          <w:sz w:val="24"/>
          <w:szCs w:val="24"/>
        </w:rPr>
        <w:t xml:space="preserve"> The general idea of the deficit is that European institutions are largely devoid of democratic legitimacy, implemented by agreements among heads of state and hidden behind several layers of bureaucratic abstraction from the daily practices of the civic and political life of the average European; many EU decisions are made by unelected ministers or representatives.</w:t>
      </w:r>
    </w:p>
    <w:p w14:paraId="53B1E88D" w14:textId="6B07CC6A" w:rsidR="004C480E" w:rsidRPr="003E342A" w:rsidRDefault="004C480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An additional layer to the concept of the democratic deficit is the idea that the deficit grows the farther an institution gets from direct popular input or control – thus the unelected EU Commission and its regulatory agencies exhibit a greater democratic deficit than the directly elected EU Parliament or the national governments of Member States. One avenue of response to the idea of the democratic deficit is “subsidiarity” – the principle in which rules should be propagated at the lowest level at which they can be effective.</w:t>
      </w:r>
      <w:r w:rsidR="00BD1832" w:rsidRPr="003E342A">
        <w:rPr>
          <w:rStyle w:val="FootnoteReference"/>
          <w:rFonts w:ascii="Times New Roman" w:hAnsi="Times New Roman" w:cs="Times New Roman"/>
          <w:sz w:val="24"/>
          <w:szCs w:val="24"/>
        </w:rPr>
        <w:footnoteReference w:id="106"/>
      </w:r>
      <w:r w:rsidRPr="003E342A">
        <w:rPr>
          <w:rFonts w:ascii="Times New Roman" w:hAnsi="Times New Roman" w:cs="Times New Roman"/>
          <w:sz w:val="24"/>
          <w:szCs w:val="24"/>
        </w:rPr>
        <w:t xml:space="preserve"> For example, if a regulation can </w:t>
      </w:r>
      <w:r w:rsidRPr="003E342A">
        <w:rPr>
          <w:rFonts w:ascii="Times New Roman" w:hAnsi="Times New Roman" w:cs="Times New Roman"/>
          <w:sz w:val="24"/>
          <w:szCs w:val="24"/>
        </w:rPr>
        <w:lastRenderedPageBreak/>
        <w:t>be adequately administered at the level of Member States, it should be so, and not unnecessarily appropriated to a higher, less democratic, EU authority.</w:t>
      </w:r>
    </w:p>
    <w:p w14:paraId="7D065239" w14:textId="4CF1835A"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In recent years, to the institutional tinder of the democratic deficit was added the gasoline of cultural populism. In the lead up to the 2016 Brexit vote, British Foreign Secretary and prominent “leave” proponent Michael Gove declared that the British people were “tired of experts</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a position that echoes the phrasing of William Easterly’s </w:t>
      </w:r>
      <w:proofErr w:type="gramStart"/>
      <w:r w:rsidRPr="003E342A">
        <w:rPr>
          <w:rFonts w:ascii="Times New Roman" w:hAnsi="Times New Roman" w:cs="Times New Roman"/>
          <w:sz w:val="24"/>
          <w:szCs w:val="24"/>
          <w:u w:val="single"/>
        </w:rPr>
        <w:t>The</w:t>
      </w:r>
      <w:proofErr w:type="gramEnd"/>
      <w:r w:rsidRPr="003E342A">
        <w:rPr>
          <w:rFonts w:ascii="Times New Roman" w:hAnsi="Times New Roman" w:cs="Times New Roman"/>
          <w:sz w:val="24"/>
          <w:szCs w:val="24"/>
          <w:u w:val="single"/>
        </w:rPr>
        <w:t xml:space="preserve"> Tyranny of Experts</w:t>
      </w:r>
      <w:r w:rsidRPr="003E342A">
        <w:rPr>
          <w:rFonts w:ascii="Times New Roman" w:hAnsi="Times New Roman" w:cs="Times New Roman"/>
          <w:sz w:val="24"/>
          <w:szCs w:val="24"/>
        </w:rPr>
        <w:t>. Though writing about economic development in impoverished countries rather than in Western Europe, Easterly nonetheless provides a concise formulation of the problem with the “technocratic illusion”</w:t>
      </w:r>
      <w:r w:rsidRPr="003E342A">
        <w:rPr>
          <w:rStyle w:val="FootnoteReference"/>
          <w:rFonts w:ascii="Times New Roman" w:hAnsi="Times New Roman" w:cs="Times New Roman"/>
          <w:sz w:val="24"/>
          <w:szCs w:val="24"/>
        </w:rPr>
        <w:t xml:space="preserve"> </w:t>
      </w:r>
      <w:r w:rsidRPr="003E342A">
        <w:rPr>
          <w:rStyle w:val="FootnoteReference"/>
          <w:rFonts w:ascii="Times New Roman" w:hAnsi="Times New Roman" w:cs="Times New Roman"/>
          <w:sz w:val="24"/>
          <w:szCs w:val="24"/>
        </w:rPr>
        <w:footnoteReference w:id="107"/>
      </w:r>
      <w:r w:rsidRPr="003E342A">
        <w:rPr>
          <w:rFonts w:ascii="Times New Roman" w:hAnsi="Times New Roman" w:cs="Times New Roman"/>
          <w:sz w:val="24"/>
          <w:szCs w:val="24"/>
        </w:rPr>
        <w:t xml:space="preserve">: </w:t>
      </w:r>
    </w:p>
    <w:p w14:paraId="768D5C53" w14:textId="77777777" w:rsidR="000904CE" w:rsidRPr="003E342A" w:rsidRDefault="000904CE" w:rsidP="000904CE">
      <w:pPr>
        <w:ind w:left="720" w:right="720"/>
        <w:jc w:val="both"/>
        <w:rPr>
          <w:rFonts w:ascii="Times New Roman" w:hAnsi="Times New Roman" w:cs="Times New Roman"/>
          <w:sz w:val="24"/>
          <w:szCs w:val="24"/>
        </w:rPr>
      </w:pPr>
      <w:r w:rsidRPr="003E342A">
        <w:rPr>
          <w:rFonts w:ascii="Times New Roman" w:hAnsi="Times New Roman" w:cs="Times New Roman"/>
          <w:sz w:val="24"/>
          <w:szCs w:val="24"/>
        </w:rPr>
        <w:t xml:space="preserve">By this technocratic illusion, the technical experts unintentionally confer new powers and legitimacy on the state as the entity that will implement the technical solutions. The economists who advocate the technocratic approach have a terrible naïveté about power—that as restraints on power are loosened or even removed, that same power will remain benevolent of its own accord. </w:t>
      </w:r>
    </w:p>
    <w:p w14:paraId="281BD3AA" w14:textId="77777777" w:rsidR="000904CE" w:rsidRPr="003E342A" w:rsidRDefault="000904CE" w:rsidP="000904CE">
      <w:pPr>
        <w:ind w:left="720" w:right="720"/>
        <w:jc w:val="both"/>
        <w:rPr>
          <w:rFonts w:ascii="Times New Roman" w:hAnsi="Times New Roman" w:cs="Times New Roman"/>
          <w:sz w:val="24"/>
          <w:szCs w:val="24"/>
        </w:rPr>
      </w:pPr>
    </w:p>
    <w:p w14:paraId="4E93EFCE" w14:textId="3EE9A25E" w:rsidR="000904CE" w:rsidRPr="003E342A" w:rsidRDefault="000904CE" w:rsidP="00DB3C22">
      <w:pPr>
        <w:autoSpaceDE w:val="0"/>
        <w:autoSpaceDN w:val="0"/>
        <w:adjustRightInd w:val="0"/>
        <w:spacing w:line="480" w:lineRule="auto"/>
        <w:jc w:val="both"/>
        <w:rPr>
          <w:rFonts w:ascii="Times New Roman" w:eastAsiaTheme="minorEastAsia" w:hAnsi="Times New Roman" w:cs="Times New Roman"/>
          <w:lang w:eastAsia="zh-CN"/>
        </w:rPr>
      </w:pPr>
      <w:r w:rsidRPr="003E342A">
        <w:rPr>
          <w:rFonts w:ascii="Times New Roman" w:hAnsi="Times New Roman" w:cs="Times New Roman"/>
          <w:sz w:val="24"/>
          <w:szCs w:val="24"/>
        </w:rPr>
        <w:t xml:space="preserve">Easterly’s formulation articulates </w:t>
      </w:r>
      <w:r w:rsidR="00836542">
        <w:rPr>
          <w:rFonts w:ascii="Times New Roman" w:hAnsi="Times New Roman" w:cs="Times New Roman"/>
          <w:sz w:val="24"/>
          <w:szCs w:val="24"/>
        </w:rPr>
        <w:t>a view a</w:t>
      </w:r>
      <w:r w:rsidRPr="003E342A">
        <w:rPr>
          <w:rFonts w:ascii="Times New Roman" w:hAnsi="Times New Roman" w:cs="Times New Roman"/>
          <w:sz w:val="24"/>
          <w:szCs w:val="24"/>
        </w:rPr>
        <w:t>bout expertise in a way that can be seen to have implications for Europe’s democratic deficit: if power is zero-sum, then giving power over to the experts, bureaucrats, and regulators (“expert cultures</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to use Habermas’s term) means taking that power away from the average European citizen (living in the non-expertized “life world”).</w:t>
      </w:r>
      <w:r w:rsidRPr="003E342A">
        <w:rPr>
          <w:rStyle w:val="FootnoteReference"/>
          <w:rFonts w:ascii="Times New Roman" w:hAnsi="Times New Roman" w:cs="Times New Roman"/>
          <w:sz w:val="24"/>
          <w:szCs w:val="24"/>
        </w:rPr>
        <w:footnoteReference w:id="108"/>
      </w:r>
      <w:r w:rsidRPr="003E342A">
        <w:rPr>
          <w:rFonts w:ascii="Times New Roman" w:hAnsi="Times New Roman" w:cs="Times New Roman"/>
          <w:sz w:val="24"/>
          <w:szCs w:val="24"/>
        </w:rPr>
        <w:t xml:space="preserve"> </w:t>
      </w:r>
      <w:r w:rsidR="005608D3" w:rsidRPr="003E342A">
        <w:rPr>
          <w:rFonts w:ascii="Times New Roman" w:hAnsi="Times New Roman" w:cs="Times New Roman"/>
          <w:sz w:val="24"/>
          <w:szCs w:val="24"/>
        </w:rPr>
        <w:t xml:space="preserve">This technocratic perspective, and opposition to </w:t>
      </w:r>
      <w:r w:rsidR="00836542">
        <w:rPr>
          <w:rFonts w:ascii="Times New Roman" w:hAnsi="Times New Roman" w:cs="Times New Roman"/>
          <w:sz w:val="24"/>
          <w:szCs w:val="24"/>
        </w:rPr>
        <w:t>it</w:t>
      </w:r>
      <w:r w:rsidR="005608D3" w:rsidRPr="003E342A">
        <w:rPr>
          <w:rFonts w:ascii="Times New Roman" w:hAnsi="Times New Roman" w:cs="Times New Roman"/>
          <w:sz w:val="24"/>
          <w:szCs w:val="24"/>
        </w:rPr>
        <w:t xml:space="preserve">, were evidenced during the most frenetic period of the refugee crisis, when a </w:t>
      </w:r>
      <w:r w:rsidR="002D17A8" w:rsidRPr="003E342A">
        <w:rPr>
          <w:rFonts w:ascii="Times New Roman" w:hAnsi="Times New Roman" w:cs="Times New Roman"/>
          <w:sz w:val="24"/>
          <w:szCs w:val="24"/>
        </w:rPr>
        <w:t xml:space="preserve">highly formulaic </w:t>
      </w:r>
      <w:r w:rsidR="005608D3" w:rsidRPr="003E342A">
        <w:rPr>
          <w:rFonts w:ascii="Times New Roman" w:hAnsi="Times New Roman" w:cs="Times New Roman"/>
          <w:sz w:val="24"/>
          <w:szCs w:val="24"/>
        </w:rPr>
        <w:t xml:space="preserve">Commission plan for refugee resettlement quotas </w:t>
      </w:r>
      <w:r w:rsidR="002D17A8" w:rsidRPr="003E342A">
        <w:rPr>
          <w:rFonts w:ascii="Times New Roman" w:hAnsi="Times New Roman" w:cs="Times New Roman"/>
          <w:sz w:val="24"/>
          <w:szCs w:val="24"/>
        </w:rPr>
        <w:t>(even incorporating formulas based on things like GDP and population) sparked populist ire for the fact that they seemed to ignore social, cultural, and political particularities of would-be host countries</w:t>
      </w:r>
      <w:r w:rsidR="00DB3C22" w:rsidRPr="003E342A">
        <w:rPr>
          <w:rFonts w:ascii="Times New Roman" w:hAnsi="Times New Roman" w:cs="Times New Roman"/>
          <w:sz w:val="24"/>
          <w:szCs w:val="24"/>
        </w:rPr>
        <w:t xml:space="preserve"> </w:t>
      </w:r>
      <w:r w:rsidR="00DB3C22" w:rsidRPr="003E342A">
        <w:rPr>
          <w:rFonts w:ascii="Times New Roman" w:hAnsi="Times New Roman" w:cs="Times New Roman"/>
          <w:sz w:val="24"/>
          <w:szCs w:val="24"/>
        </w:rPr>
        <w:lastRenderedPageBreak/>
        <w:t>– “</w:t>
      </w:r>
      <w:r w:rsidR="00DB3C22" w:rsidRPr="003E342A">
        <w:rPr>
          <w:rFonts w:ascii="Times New Roman" w:eastAsiaTheme="minorEastAsia" w:hAnsi="Times New Roman" w:cs="Times New Roman"/>
          <w:sz w:val="24"/>
          <w:szCs w:val="24"/>
          <w:lang w:eastAsia="zh-CN"/>
        </w:rPr>
        <w:t>The EU has shown itself to be limited in the face of a crisis [the refugee crisis] that revolves around identity concerns more than economic issues</w:t>
      </w:r>
      <w:r w:rsidR="00225B5D" w:rsidRPr="003E342A">
        <w:rPr>
          <w:rFonts w:ascii="Times New Roman" w:eastAsiaTheme="minorEastAsia" w:hAnsi="Times New Roman" w:cs="Times New Roman"/>
          <w:sz w:val="24"/>
          <w:szCs w:val="24"/>
          <w:lang w:eastAsia="zh-CN"/>
        </w:rPr>
        <w:t>.”</w:t>
      </w:r>
      <w:r w:rsidR="002D17A8" w:rsidRPr="003E342A">
        <w:rPr>
          <w:rStyle w:val="FootnoteReference"/>
          <w:rFonts w:ascii="Times New Roman" w:hAnsi="Times New Roman" w:cs="Times New Roman"/>
          <w:sz w:val="24"/>
          <w:szCs w:val="24"/>
        </w:rPr>
        <w:footnoteReference w:id="109"/>
      </w:r>
      <w:r w:rsidR="005608D3" w:rsidRPr="003E342A">
        <w:rPr>
          <w:rFonts w:ascii="Times New Roman" w:hAnsi="Times New Roman" w:cs="Times New Roman"/>
          <w:sz w:val="24"/>
          <w:szCs w:val="24"/>
        </w:rPr>
        <w:t xml:space="preserve"> </w:t>
      </w:r>
      <w:r w:rsidRPr="003E342A">
        <w:rPr>
          <w:rFonts w:ascii="Times New Roman" w:hAnsi="Times New Roman" w:cs="Times New Roman"/>
          <w:sz w:val="24"/>
          <w:szCs w:val="24"/>
        </w:rPr>
        <w:t>These ideas, all together, effectively contributed to a majority of referendum voters opting to leave the EU.</w:t>
      </w:r>
      <w:r w:rsidRPr="003E342A">
        <w:rPr>
          <w:rStyle w:val="FootnoteReference"/>
          <w:rFonts w:ascii="Times New Roman" w:hAnsi="Times New Roman" w:cs="Times New Roman"/>
          <w:sz w:val="24"/>
          <w:szCs w:val="24"/>
        </w:rPr>
        <w:footnoteReference w:id="110"/>
      </w:r>
      <w:r w:rsidRPr="003E342A">
        <w:rPr>
          <w:rStyle w:val="FootnoteReference"/>
          <w:rFonts w:ascii="Times New Roman" w:hAnsi="Times New Roman" w:cs="Times New Roman"/>
          <w:sz w:val="24"/>
          <w:szCs w:val="24"/>
        </w:rPr>
        <w:t xml:space="preserve"> </w:t>
      </w:r>
      <w:r w:rsidRPr="003E342A">
        <w:rPr>
          <w:rFonts w:ascii="Times New Roman" w:hAnsi="Times New Roman" w:cs="Times New Roman"/>
          <w:sz w:val="24"/>
          <w:szCs w:val="24"/>
        </w:rPr>
        <w:t xml:space="preserve">One need hardly look further for proof that such anti-expert and anti-EU sentiments, left unaddressed, pose an existential threat to the integrity of the European Union. </w:t>
      </w:r>
      <w:r w:rsidR="00836542" w:rsidRPr="003E342A">
        <w:rPr>
          <w:rFonts w:ascii="Times New Roman" w:hAnsi="Times New Roman" w:cs="Times New Roman"/>
          <w:sz w:val="24"/>
          <w:szCs w:val="24"/>
        </w:rPr>
        <w:t>It cannot be taken for granted, however, that questions of food and GMO policy necessarily translate into an issue of EU legitimacy</w:t>
      </w:r>
      <w:r w:rsidR="00836542">
        <w:rPr>
          <w:rFonts w:ascii="Times New Roman" w:hAnsi="Times New Roman" w:cs="Times New Roman"/>
          <w:sz w:val="24"/>
          <w:szCs w:val="24"/>
        </w:rPr>
        <w:t>. What, exactly, is the connection between the two?</w:t>
      </w:r>
    </w:p>
    <w:p w14:paraId="3592B3C0" w14:textId="4DC7C3CD" w:rsidR="000904CE" w:rsidRPr="003E342A" w:rsidRDefault="000904CE" w:rsidP="00CE7076">
      <w:pPr>
        <w:pStyle w:val="Heading1"/>
        <w:rPr>
          <w:rFonts w:cs="Times New Roman"/>
        </w:rPr>
      </w:pPr>
      <w:bookmarkStart w:id="30" w:name="_Toc531878494"/>
      <w:r w:rsidRPr="003E342A">
        <w:rPr>
          <w:rFonts w:cs="Times New Roman"/>
        </w:rPr>
        <w:t>GMOs and the Legitimacy Crisis</w:t>
      </w:r>
      <w:bookmarkEnd w:id="30"/>
    </w:p>
    <w:p w14:paraId="509E68E7" w14:textId="77777777" w:rsidR="00CE7076" w:rsidRPr="003E342A" w:rsidRDefault="00CE7076" w:rsidP="00CE7076">
      <w:pPr>
        <w:rPr>
          <w:rFonts w:ascii="Times New Roman" w:hAnsi="Times New Roman" w:cs="Times New Roman"/>
        </w:rPr>
      </w:pPr>
    </w:p>
    <w:p w14:paraId="58068B64" w14:textId="6201537F" w:rsidR="000904CE" w:rsidRPr="003E342A" w:rsidRDefault="00836542" w:rsidP="000904C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0904CE" w:rsidRPr="003E342A">
        <w:rPr>
          <w:rFonts w:ascii="Times New Roman" w:hAnsi="Times New Roman" w:cs="Times New Roman"/>
          <w:sz w:val="24"/>
          <w:szCs w:val="24"/>
        </w:rPr>
        <w:t xml:space="preserve"> large body of historical data sets the precedent that there is a strong relationship between </w:t>
      </w:r>
      <w:r>
        <w:rPr>
          <w:rFonts w:ascii="Times New Roman" w:hAnsi="Times New Roman" w:cs="Times New Roman"/>
          <w:sz w:val="24"/>
          <w:szCs w:val="24"/>
        </w:rPr>
        <w:t>the GMO issue and legitimacy</w:t>
      </w:r>
      <w:r w:rsidR="000904CE" w:rsidRPr="003E342A">
        <w:rPr>
          <w:rFonts w:ascii="Times New Roman" w:hAnsi="Times New Roman" w:cs="Times New Roman"/>
          <w:sz w:val="24"/>
          <w:szCs w:val="24"/>
        </w:rPr>
        <w:t>. First, a similar situation has arisen before, when “</w:t>
      </w:r>
      <w:r w:rsidR="000904CE" w:rsidRPr="003E342A">
        <w:rPr>
          <w:rFonts w:ascii="Times New Roman" w:hAnsi="Times New Roman" w:cs="Times New Roman"/>
          <w:color w:val="242021"/>
          <w:sz w:val="24"/>
          <w:szCs w:val="24"/>
        </w:rPr>
        <w:t>by the late 1990s the EU GMO regulatory framework had lost legitimacy</w:t>
      </w:r>
      <w:r w:rsidR="00225B5D" w:rsidRPr="003E342A">
        <w:rPr>
          <w:rFonts w:ascii="Times New Roman" w:hAnsi="Times New Roman" w:cs="Times New Roman"/>
          <w:color w:val="242021"/>
          <w:sz w:val="24"/>
          <w:szCs w:val="24"/>
        </w:rPr>
        <w:t>.”</w:t>
      </w:r>
      <w:r w:rsidR="000904CE" w:rsidRPr="003E342A">
        <w:rPr>
          <w:rStyle w:val="FootnoteReference"/>
          <w:rFonts w:ascii="Times New Roman" w:hAnsi="Times New Roman" w:cs="Times New Roman"/>
          <w:color w:val="242021"/>
          <w:sz w:val="24"/>
          <w:szCs w:val="24"/>
        </w:rPr>
        <w:footnoteReference w:id="111"/>
      </w:r>
      <w:r w:rsidR="000904CE" w:rsidRPr="003E342A">
        <w:rPr>
          <w:rFonts w:ascii="Times New Roman" w:hAnsi="Times New Roman" w:cs="Times New Roman"/>
          <w:color w:val="242021"/>
          <w:sz w:val="24"/>
          <w:szCs w:val="24"/>
        </w:rPr>
        <w:t xml:space="preserve"> </w:t>
      </w:r>
      <w:r w:rsidR="000904CE" w:rsidRPr="003E342A">
        <w:rPr>
          <w:rFonts w:ascii="Times New Roman" w:hAnsi="Times New Roman" w:cs="Times New Roman"/>
          <w:sz w:val="24"/>
          <w:szCs w:val="24"/>
        </w:rPr>
        <w:t xml:space="preserve">At that time, </w:t>
      </w:r>
      <w:r w:rsidR="000904CE" w:rsidRPr="003E342A">
        <w:rPr>
          <w:rFonts w:ascii="Times New Roman" w:hAnsi="Times New Roman" w:cs="Times New Roman"/>
          <w:color w:val="131413"/>
          <w:sz w:val="24"/>
          <w:szCs w:val="24"/>
        </w:rPr>
        <w:t xml:space="preserve"> “the prevailing diagnosis in European policy circles was that the level of public trust in both food safety and food safety institutions had seriously declined and that institutional frameworks needed improving in order to restore public trust and social legitimacy</w:t>
      </w:r>
      <w:r w:rsidR="00225B5D" w:rsidRPr="003E342A">
        <w:rPr>
          <w:rFonts w:ascii="Times New Roman" w:hAnsi="Times New Roman" w:cs="Times New Roman"/>
          <w:color w:val="131413"/>
          <w:sz w:val="24"/>
          <w:szCs w:val="24"/>
        </w:rPr>
        <w:t>.”</w:t>
      </w:r>
      <w:r w:rsidR="000904CE" w:rsidRPr="003E342A">
        <w:rPr>
          <w:rStyle w:val="FootnoteReference"/>
          <w:rFonts w:ascii="Times New Roman" w:hAnsi="Times New Roman" w:cs="Times New Roman"/>
          <w:color w:val="131413"/>
          <w:sz w:val="24"/>
          <w:szCs w:val="24"/>
        </w:rPr>
        <w:footnoteReference w:id="112"/>
      </w:r>
      <w:r w:rsidR="000904CE" w:rsidRPr="003E342A">
        <w:rPr>
          <w:rFonts w:ascii="Times New Roman" w:hAnsi="Times New Roman" w:cs="Times New Roman"/>
          <w:color w:val="131413"/>
          <w:sz w:val="24"/>
          <w:szCs w:val="24"/>
        </w:rPr>
        <w:t xml:space="preserve"> The response was that “at the level of the European Union  and also in a number of EU-Member States food safety institutions were subjected to review and reform</w:t>
      </w:r>
      <w:r w:rsidR="00225B5D" w:rsidRPr="003E342A">
        <w:rPr>
          <w:rFonts w:ascii="Times New Roman" w:hAnsi="Times New Roman" w:cs="Times New Roman"/>
          <w:sz w:val="24"/>
          <w:szCs w:val="24"/>
        </w:rPr>
        <w:t>.”</w:t>
      </w:r>
      <w:r w:rsidR="000904CE" w:rsidRPr="003E342A">
        <w:rPr>
          <w:rStyle w:val="FootnoteReference"/>
          <w:rFonts w:ascii="Times New Roman" w:hAnsi="Times New Roman" w:cs="Times New Roman"/>
          <w:sz w:val="24"/>
          <w:szCs w:val="24"/>
        </w:rPr>
        <w:footnoteReference w:id="113"/>
      </w:r>
      <w:r w:rsidR="000904CE" w:rsidRPr="003E342A">
        <w:rPr>
          <w:rFonts w:ascii="Times New Roman" w:hAnsi="Times New Roman" w:cs="Times New Roman"/>
          <w:sz w:val="24"/>
          <w:szCs w:val="24"/>
        </w:rPr>
        <w:t xml:space="preserve"> These reforms, in total, moved substantially away from the technocratic, expert-</w:t>
      </w:r>
      <w:r w:rsidR="000904CE" w:rsidRPr="003E342A">
        <w:rPr>
          <w:rFonts w:ascii="Times New Roman" w:hAnsi="Times New Roman" w:cs="Times New Roman"/>
          <w:sz w:val="24"/>
          <w:szCs w:val="24"/>
        </w:rPr>
        <w:lastRenderedPageBreak/>
        <w:t>driven manner of regulatory decisionmaking to a more open model in which greater emphasis was given to legitimacy of process, appearance, and democratic legitimacy. During the 2000 European Parliament debate on EU directives for the handling of End-of-Life Vehicles, M</w:t>
      </w:r>
      <w:r>
        <w:rPr>
          <w:rFonts w:ascii="Times New Roman" w:hAnsi="Times New Roman" w:cs="Times New Roman"/>
          <w:sz w:val="24"/>
          <w:szCs w:val="24"/>
        </w:rPr>
        <w:t>E</w:t>
      </w:r>
      <w:r w:rsidR="000904CE" w:rsidRPr="003E342A">
        <w:rPr>
          <w:rFonts w:ascii="Times New Roman" w:hAnsi="Times New Roman" w:cs="Times New Roman"/>
          <w:sz w:val="24"/>
          <w:szCs w:val="24"/>
        </w:rPr>
        <w:t>Ps were happy to directly link inaction on the environmental matter to a loss of legitimacy for the body: several members “made the case that the EP’s reputation and rule as a protector of the environment was at stake</w:t>
      </w:r>
      <w:r w:rsidR="00225B5D" w:rsidRPr="003E342A">
        <w:rPr>
          <w:rFonts w:ascii="Times New Roman" w:hAnsi="Times New Roman" w:cs="Times New Roman"/>
          <w:sz w:val="24"/>
          <w:szCs w:val="24"/>
        </w:rPr>
        <w:t>.”</w:t>
      </w:r>
      <w:r w:rsidR="000904CE" w:rsidRPr="003E342A">
        <w:rPr>
          <w:rStyle w:val="FootnoteReference"/>
          <w:rFonts w:ascii="Times New Roman" w:hAnsi="Times New Roman" w:cs="Times New Roman"/>
          <w:sz w:val="24"/>
          <w:szCs w:val="24"/>
        </w:rPr>
        <w:footnoteReference w:id="114"/>
      </w:r>
      <w:r w:rsidR="000904CE" w:rsidRPr="003E342A">
        <w:rPr>
          <w:rFonts w:ascii="Times New Roman" w:hAnsi="Times New Roman" w:cs="Times New Roman"/>
          <w:sz w:val="24"/>
          <w:szCs w:val="24"/>
        </w:rPr>
        <w:t xml:space="preserve"> </w:t>
      </w:r>
    </w:p>
    <w:p w14:paraId="0E1E4F7A" w14:textId="112FC02D"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Further, </w:t>
      </w:r>
      <w:proofErr w:type="spellStart"/>
      <w:r w:rsidRPr="003E342A">
        <w:rPr>
          <w:rFonts w:ascii="Times New Roman" w:hAnsi="Times New Roman" w:cs="Times New Roman"/>
          <w:sz w:val="24"/>
          <w:szCs w:val="24"/>
        </w:rPr>
        <w:t>Kurzer</w:t>
      </w:r>
      <w:proofErr w:type="spellEnd"/>
      <w:r w:rsidRPr="003E342A">
        <w:rPr>
          <w:rFonts w:ascii="Times New Roman" w:hAnsi="Times New Roman" w:cs="Times New Roman"/>
          <w:sz w:val="24"/>
          <w:szCs w:val="24"/>
        </w:rPr>
        <w:t xml:space="preserve"> and Cooper demonstrate the direct relation between the GMO problem and the democratic deficit, concluding that movement on GMOs demonstrates that in some regards the democratic deficit is not insurmountable to collective European civil society action, but in other regards “comitology operates without significant input from citizens and thereby exemplifies the lack of popular representation and participation at the EU level</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15"/>
      </w:r>
    </w:p>
    <w:p w14:paraId="3BDBAE1F" w14:textId="5E601410" w:rsidR="000904CE" w:rsidRPr="003E342A" w:rsidRDefault="000904CE" w:rsidP="000904CE">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Finally, and most directly, are the arguments of Jean-Claude Juncker himself. When, in the 2015 Plenary Meeting on GMOs of the European Parliament, Commission President Juncker proposed the comitological reforms, he stated plainly the connection to the legitimacy of the EU: “This situation creates tensions. It is highly </w:t>
      </w:r>
      <w:r w:rsidRPr="003E342A">
        <w:rPr>
          <w:rStyle w:val="Strong"/>
          <w:rFonts w:ascii="Times New Roman" w:hAnsi="Times New Roman" w:cs="Times New Roman"/>
          <w:sz w:val="24"/>
          <w:szCs w:val="24"/>
        </w:rPr>
        <w:t>unsatisfactory</w:t>
      </w:r>
      <w:r w:rsidRPr="003E342A">
        <w:rPr>
          <w:rFonts w:ascii="Times New Roman" w:hAnsi="Times New Roman" w:cs="Times New Roman"/>
          <w:sz w:val="24"/>
          <w:szCs w:val="24"/>
        </w:rPr>
        <w:t xml:space="preserve"> as it contributes to a climate of distrust against the European Union and its Institutions” </w:t>
      </w:r>
      <w:r w:rsidR="00E611DA">
        <w:rPr>
          <w:rFonts w:ascii="Times New Roman" w:hAnsi="Times New Roman" w:cs="Times New Roman"/>
          <w:sz w:val="24"/>
          <w:szCs w:val="24"/>
        </w:rPr>
        <w:t>[</w:t>
      </w:r>
      <w:r w:rsidRPr="003E342A">
        <w:rPr>
          <w:rFonts w:ascii="Times New Roman" w:hAnsi="Times New Roman" w:cs="Times New Roman"/>
          <w:sz w:val="24"/>
          <w:szCs w:val="24"/>
        </w:rPr>
        <w:t>bolding in original text</w:t>
      </w:r>
      <w:r w:rsidR="00E611DA">
        <w:rPr>
          <w:rFonts w:ascii="Times New Roman" w:hAnsi="Times New Roman" w:cs="Times New Roman"/>
          <w:sz w:val="24"/>
          <w:szCs w:val="24"/>
        </w:rPr>
        <w:t>]</w:t>
      </w:r>
      <w:r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16"/>
      </w:r>
    </w:p>
    <w:p w14:paraId="75B3BAF1" w14:textId="090BFA79"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To say, however, that the democratic deficit must be alleviated and therefore the comitological reforms must be enacted </w:t>
      </w:r>
      <w:r w:rsidR="00174D96" w:rsidRPr="003E342A">
        <w:rPr>
          <w:rFonts w:ascii="Times New Roman" w:hAnsi="Times New Roman" w:cs="Times New Roman"/>
          <w:sz w:val="24"/>
          <w:szCs w:val="24"/>
        </w:rPr>
        <w:t>would be a</w:t>
      </w:r>
      <w:r w:rsidRPr="003E342A">
        <w:rPr>
          <w:rFonts w:ascii="Times New Roman" w:hAnsi="Times New Roman" w:cs="Times New Roman"/>
          <w:sz w:val="24"/>
          <w:szCs w:val="24"/>
        </w:rPr>
        <w:t xml:space="preserve"> leap in logic </w:t>
      </w:r>
      <w:r w:rsidR="009842FF" w:rsidRPr="003E342A">
        <w:rPr>
          <w:rFonts w:ascii="Times New Roman" w:hAnsi="Times New Roman" w:cs="Times New Roman"/>
          <w:sz w:val="24"/>
          <w:szCs w:val="24"/>
        </w:rPr>
        <w:t>without first establishing a key point</w:t>
      </w:r>
      <w:r w:rsidRPr="003E342A">
        <w:rPr>
          <w:rFonts w:ascii="Times New Roman" w:hAnsi="Times New Roman" w:cs="Times New Roman"/>
          <w:sz w:val="24"/>
          <w:szCs w:val="24"/>
        </w:rPr>
        <w:t xml:space="preserve">: why and how will these comitological reforms help assuage the democratic deficit? To answer that question, </w:t>
      </w:r>
      <w:r w:rsidR="00094987" w:rsidRPr="003E342A">
        <w:rPr>
          <w:rFonts w:ascii="Times New Roman" w:hAnsi="Times New Roman" w:cs="Times New Roman"/>
          <w:sz w:val="24"/>
          <w:szCs w:val="24"/>
        </w:rPr>
        <w:t>Jürgen</w:t>
      </w:r>
      <w:r w:rsidRPr="003E342A">
        <w:rPr>
          <w:rFonts w:ascii="Times New Roman" w:hAnsi="Times New Roman" w:cs="Times New Roman"/>
          <w:sz w:val="24"/>
          <w:szCs w:val="24"/>
        </w:rPr>
        <w:t xml:space="preserve"> Habermas provides a regulatory philosophical framework that helps </w:t>
      </w:r>
      <w:r w:rsidRPr="003E342A">
        <w:rPr>
          <w:rFonts w:ascii="Times New Roman" w:hAnsi="Times New Roman" w:cs="Times New Roman"/>
          <w:sz w:val="24"/>
          <w:szCs w:val="24"/>
        </w:rPr>
        <w:lastRenderedPageBreak/>
        <w:t>to make sense of this issue, providing a strong argument that democratic reforms of regulatory procedure may be both useful and necessary for alleviating the Democratic Deficit.</w:t>
      </w:r>
    </w:p>
    <w:p w14:paraId="0B17AE09" w14:textId="77777777" w:rsidR="000904CE" w:rsidRPr="003E342A" w:rsidRDefault="000904CE" w:rsidP="000904CE">
      <w:pPr>
        <w:spacing w:line="480" w:lineRule="auto"/>
        <w:jc w:val="both"/>
        <w:rPr>
          <w:rFonts w:ascii="Times New Roman" w:hAnsi="Times New Roman" w:cs="Times New Roman"/>
          <w:sz w:val="24"/>
          <w:szCs w:val="24"/>
        </w:rPr>
      </w:pPr>
    </w:p>
    <w:p w14:paraId="267C33C3" w14:textId="77777777" w:rsidR="000904CE" w:rsidRPr="003E342A" w:rsidRDefault="000904CE" w:rsidP="000904CE">
      <w:pPr>
        <w:spacing w:line="480" w:lineRule="auto"/>
        <w:jc w:val="both"/>
        <w:rPr>
          <w:rFonts w:ascii="Times New Roman" w:hAnsi="Times New Roman" w:cs="Times New Roman"/>
          <w:b/>
          <w:bCs/>
          <w:sz w:val="24"/>
          <w:szCs w:val="24"/>
        </w:rPr>
      </w:pPr>
      <w:r w:rsidRPr="003E342A">
        <w:rPr>
          <w:rFonts w:ascii="Times New Roman" w:hAnsi="Times New Roman" w:cs="Times New Roman"/>
          <w:b/>
          <w:bCs/>
          <w:sz w:val="24"/>
          <w:szCs w:val="24"/>
        </w:rPr>
        <w:t>Habermas’s Regulatory Frameworks</w:t>
      </w:r>
    </w:p>
    <w:p w14:paraId="05DA84ED" w14:textId="018917C2" w:rsidR="000904CE" w:rsidRPr="003E342A" w:rsidRDefault="00094987" w:rsidP="000904CE">
      <w:pPr>
        <w:pStyle w:val="Standard"/>
        <w:spacing w:line="480" w:lineRule="auto"/>
        <w:ind w:firstLine="720"/>
        <w:jc w:val="both"/>
        <w:rPr>
          <w:rFonts w:ascii="Times New Roman" w:hAnsi="Times New Roman" w:cs="Times New Roman"/>
        </w:rPr>
      </w:pPr>
      <w:r w:rsidRPr="003E342A">
        <w:rPr>
          <w:rFonts w:ascii="Times New Roman" w:hAnsi="Times New Roman" w:cs="Times New Roman"/>
        </w:rPr>
        <w:t>Jürgen</w:t>
      </w:r>
      <w:r w:rsidR="000904CE" w:rsidRPr="003E342A">
        <w:rPr>
          <w:rFonts w:ascii="Times New Roman" w:hAnsi="Times New Roman" w:cs="Times New Roman"/>
        </w:rPr>
        <w:t xml:space="preserve"> Habermas has, for decades, propounded a path that the European Union would need to follow in order to secure legitimacy in the eyes of the European populace. He summarizes the “political orientations that would have to stand at the beginning of the path leading to a democratically legitimized decision on the future of Europe”:</w:t>
      </w:r>
    </w:p>
    <w:p w14:paraId="2B2A3DB5" w14:textId="77777777" w:rsidR="000904CE" w:rsidRPr="003E342A" w:rsidRDefault="000904CE" w:rsidP="000904CE">
      <w:pPr>
        <w:pStyle w:val="Standard"/>
        <w:numPr>
          <w:ilvl w:val="0"/>
          <w:numId w:val="5"/>
        </w:numPr>
        <w:jc w:val="both"/>
        <w:rPr>
          <w:rFonts w:ascii="Times New Roman" w:hAnsi="Times New Roman" w:cs="Times New Roman"/>
        </w:rPr>
      </w:pPr>
      <w:r w:rsidRPr="003E342A">
        <w:rPr>
          <w:rFonts w:ascii="Times New Roman" w:hAnsi="Times New Roman" w:cs="Times New Roman"/>
        </w:rPr>
        <w:t>The deepening of the monetary union into a political union</w:t>
      </w:r>
    </w:p>
    <w:p w14:paraId="0E8E18C8" w14:textId="77777777" w:rsidR="000904CE" w:rsidRPr="003E342A" w:rsidRDefault="000904CE" w:rsidP="000904CE">
      <w:pPr>
        <w:pStyle w:val="Standard"/>
        <w:numPr>
          <w:ilvl w:val="0"/>
          <w:numId w:val="5"/>
        </w:numPr>
        <w:jc w:val="both"/>
        <w:rPr>
          <w:rFonts w:ascii="Times New Roman" w:hAnsi="Times New Roman" w:cs="Times New Roman"/>
        </w:rPr>
      </w:pPr>
      <w:r w:rsidRPr="003E342A">
        <w:rPr>
          <w:rFonts w:ascii="Times New Roman" w:hAnsi="Times New Roman" w:cs="Times New Roman"/>
        </w:rPr>
        <w:t>The joining of “fiscal, budgetary, and economic policy”</w:t>
      </w:r>
    </w:p>
    <w:p w14:paraId="7C5963D4" w14:textId="7BD5BCC1" w:rsidR="000904CE" w:rsidRPr="003E342A" w:rsidRDefault="000904CE" w:rsidP="000904CE">
      <w:pPr>
        <w:pStyle w:val="Standard"/>
        <w:numPr>
          <w:ilvl w:val="0"/>
          <w:numId w:val="5"/>
        </w:numPr>
        <w:jc w:val="both"/>
        <w:rPr>
          <w:rFonts w:ascii="Times New Roman" w:hAnsi="Times New Roman" w:cs="Times New Roman"/>
        </w:rPr>
      </w:pPr>
      <w:r w:rsidRPr="003E342A">
        <w:rPr>
          <w:rFonts w:ascii="Times New Roman" w:hAnsi="Times New Roman" w:cs="Times New Roman"/>
        </w:rPr>
        <w:t>The lessening of the “legitimacy deficit” of “all international organization founded on treaties between states</w:t>
      </w:r>
      <w:r w:rsidR="00225B5D" w:rsidRPr="003E342A">
        <w:rPr>
          <w:rFonts w:ascii="Times New Roman" w:hAnsi="Times New Roman" w:cs="Times New Roman"/>
        </w:rPr>
        <w:t>.”</w:t>
      </w:r>
      <w:r w:rsidRPr="003E342A">
        <w:rPr>
          <w:rFonts w:ascii="Times New Roman" w:hAnsi="Times New Roman" w:cs="Times New Roman"/>
        </w:rPr>
        <w:t xml:space="preserve"> This crisis of legitimacy is “exacerbated further by the fact that the negotiations are conducted out of the public eye</w:t>
      </w:r>
      <w:r w:rsidR="00225B5D" w:rsidRPr="003E342A">
        <w:rPr>
          <w:rFonts w:ascii="Times New Roman" w:hAnsi="Times New Roman" w:cs="Times New Roman"/>
        </w:rPr>
        <w:t>.”</w:t>
      </w:r>
      <w:r w:rsidRPr="003E342A">
        <w:rPr>
          <w:rStyle w:val="FootnoteReference"/>
          <w:rFonts w:ascii="Times New Roman" w:hAnsi="Times New Roman" w:cs="Times New Roman"/>
        </w:rPr>
        <w:footnoteReference w:id="117"/>
      </w:r>
    </w:p>
    <w:p w14:paraId="1D359E29" w14:textId="4E4000BC" w:rsidR="000904CE" w:rsidRPr="003E342A" w:rsidRDefault="000904CE" w:rsidP="00F86E0D">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Habermas warns, “the only way that they [EU Member States] can maintain their social welfare model of society and the diversity of their national state cultures is through concerted action</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18"/>
      </w:r>
      <w:r w:rsidRPr="003E342A">
        <w:rPr>
          <w:rFonts w:ascii="Times New Roman" w:hAnsi="Times New Roman" w:cs="Times New Roman"/>
          <w:sz w:val="24"/>
          <w:szCs w:val="24"/>
        </w:rPr>
        <w:t xml:space="preserve"> Since these steps were promulgated in 2013, the crisis of European legitimacy, and thus the need for the implementation of these steps, has only deepened.</w:t>
      </w:r>
      <w:r w:rsidRPr="003E342A">
        <w:rPr>
          <w:rStyle w:val="FootnoteReference"/>
          <w:rFonts w:ascii="Times New Roman" w:hAnsi="Times New Roman" w:cs="Times New Roman"/>
          <w:sz w:val="24"/>
          <w:szCs w:val="24"/>
        </w:rPr>
        <w:footnoteReference w:id="119"/>
      </w:r>
      <w:r w:rsidRPr="003E342A">
        <w:rPr>
          <w:rFonts w:ascii="Times New Roman" w:hAnsi="Times New Roman" w:cs="Times New Roman"/>
          <w:sz w:val="24"/>
          <w:szCs w:val="24"/>
        </w:rPr>
        <w:t xml:space="preserve"> Habermas notes that “What currently unite European citizens are the Eurosceptical mindsets that have become more pronounced in all of the member countries during the crisis</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w:t>
      </w:r>
      <w:r w:rsidR="00F86E0D" w:rsidRPr="003E342A">
        <w:rPr>
          <w:rFonts w:ascii="Times New Roman" w:hAnsi="Times New Roman" w:cs="Times New Roman"/>
          <w:sz w:val="24"/>
          <w:szCs w:val="24"/>
        </w:rPr>
        <w:t xml:space="preserve">To illuminate the European Union’s regulatory trajectory, </w:t>
      </w:r>
      <w:r w:rsidRPr="003E342A">
        <w:rPr>
          <w:rFonts w:ascii="Times New Roman" w:hAnsi="Times New Roman" w:cs="Times New Roman"/>
          <w:sz w:val="24"/>
          <w:szCs w:val="24"/>
        </w:rPr>
        <w:t xml:space="preserve">Habermas provides a useful typology of different regulatory frameworks, thus laying </w:t>
      </w:r>
      <w:r w:rsidRPr="003E342A">
        <w:rPr>
          <w:rFonts w:ascii="Times New Roman" w:hAnsi="Times New Roman" w:cs="Times New Roman"/>
          <w:sz w:val="24"/>
          <w:szCs w:val="24"/>
        </w:rPr>
        <w:lastRenderedPageBreak/>
        <w:t xml:space="preserve">out a well-defined path towards legitimate comitology that the Juncker administration, whether intentionally or not, is already trying to walk. </w:t>
      </w:r>
    </w:p>
    <w:p w14:paraId="0AB9B452" w14:textId="1C479345" w:rsidR="000904CE" w:rsidRPr="003E342A" w:rsidRDefault="000904CE" w:rsidP="00CE7076">
      <w:pPr>
        <w:pStyle w:val="Heading2"/>
        <w:rPr>
          <w:rFonts w:cs="Times New Roman"/>
        </w:rPr>
      </w:pPr>
      <w:r w:rsidRPr="003E342A">
        <w:rPr>
          <w:rFonts w:cs="Times New Roman"/>
        </w:rPr>
        <w:t>Deliberative Frameworks</w:t>
      </w:r>
    </w:p>
    <w:p w14:paraId="7AB442F2" w14:textId="77777777" w:rsidR="00CE7076" w:rsidRPr="003E342A" w:rsidRDefault="00CE7076" w:rsidP="00CE7076">
      <w:pPr>
        <w:rPr>
          <w:rFonts w:ascii="Times New Roman" w:hAnsi="Times New Roman" w:cs="Times New Roman"/>
        </w:rPr>
      </w:pPr>
    </w:p>
    <w:p w14:paraId="114756EE" w14:textId="35B41FA6"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There are several frameworks for understanding the nature and impact of technology assessments, and regulatory policies more broadly. In </w:t>
      </w:r>
      <w:r w:rsidR="00057B5C" w:rsidRPr="003E342A">
        <w:rPr>
          <w:rFonts w:ascii="Times New Roman" w:hAnsi="Times New Roman" w:cs="Times New Roman"/>
          <w:sz w:val="24"/>
          <w:szCs w:val="24"/>
        </w:rPr>
        <w:t xml:space="preserve">his 1969 </w:t>
      </w:r>
      <w:r w:rsidRPr="003E342A">
        <w:rPr>
          <w:rFonts w:ascii="Times New Roman" w:hAnsi="Times New Roman" w:cs="Times New Roman"/>
          <w:sz w:val="24"/>
          <w:szCs w:val="24"/>
          <w:u w:val="single"/>
        </w:rPr>
        <w:t>Toward a Rational Society: Student Protest, Science, and Politics</w:t>
      </w:r>
      <w:r w:rsidRPr="003E342A">
        <w:rPr>
          <w:rFonts w:ascii="Times New Roman" w:hAnsi="Times New Roman" w:cs="Times New Roman"/>
          <w:color w:val="242021"/>
          <w:sz w:val="24"/>
          <w:szCs w:val="24"/>
        </w:rPr>
        <w:t>,</w:t>
      </w:r>
      <w:r w:rsidRPr="003E342A">
        <w:rPr>
          <w:rFonts w:ascii="Times New Roman" w:hAnsi="Times New Roman" w:cs="Times New Roman"/>
          <w:sz w:val="24"/>
          <w:szCs w:val="24"/>
        </w:rPr>
        <w:t xml:space="preserve"> Habermas created a typology of regulatory regimes.</w:t>
      </w:r>
      <w:r w:rsidRPr="003E342A">
        <w:rPr>
          <w:rStyle w:val="FootnoteReference"/>
          <w:rFonts w:ascii="Times New Roman" w:hAnsi="Times New Roman" w:cs="Times New Roman"/>
          <w:sz w:val="24"/>
          <w:szCs w:val="24"/>
        </w:rPr>
        <w:footnoteReference w:id="120"/>
      </w:r>
      <w:r w:rsidRPr="003E342A">
        <w:rPr>
          <w:rFonts w:ascii="Times New Roman" w:hAnsi="Times New Roman" w:cs="Times New Roman"/>
          <w:sz w:val="24"/>
          <w:szCs w:val="24"/>
        </w:rPr>
        <w:t xml:space="preserve"> The two dominant models, according to Habermas, </w:t>
      </w:r>
      <w:proofErr w:type="spellStart"/>
      <w:r w:rsidRPr="003E342A">
        <w:rPr>
          <w:rFonts w:ascii="Times New Roman" w:hAnsi="Times New Roman" w:cs="Times New Roman"/>
          <w:sz w:val="24"/>
          <w:szCs w:val="24"/>
        </w:rPr>
        <w:t>Decisionistic</w:t>
      </w:r>
      <w:proofErr w:type="spellEnd"/>
      <w:r w:rsidRPr="003E342A">
        <w:rPr>
          <w:rFonts w:ascii="Times New Roman" w:hAnsi="Times New Roman" w:cs="Times New Roman"/>
          <w:sz w:val="24"/>
          <w:szCs w:val="24"/>
        </w:rPr>
        <w:t xml:space="preserve"> and Technocratic, represent dominant forms found throughout the EU and in various regulatory bodies, but are broadly incompatible models. </w:t>
      </w:r>
    </w:p>
    <w:p w14:paraId="1E038674" w14:textId="60399C67" w:rsidR="00A20079" w:rsidRPr="003E342A" w:rsidRDefault="000904CE" w:rsidP="00CE7076">
      <w:pPr>
        <w:spacing w:line="480" w:lineRule="auto"/>
        <w:ind w:firstLine="720"/>
        <w:jc w:val="both"/>
        <w:rPr>
          <w:rStyle w:val="fontstyle01"/>
          <w:rFonts w:ascii="Times New Roman" w:hAnsi="Times New Roman" w:cs="Times New Roman"/>
          <w:sz w:val="24"/>
          <w:szCs w:val="24"/>
        </w:rPr>
      </w:pPr>
      <w:r w:rsidRPr="003E342A">
        <w:rPr>
          <w:rFonts w:ascii="Times New Roman" w:hAnsi="Times New Roman" w:cs="Times New Roman"/>
          <w:sz w:val="24"/>
          <w:szCs w:val="24"/>
        </w:rPr>
        <w:t>The technocratic model is one “</w:t>
      </w:r>
      <w:r w:rsidRPr="003E342A">
        <w:rPr>
          <w:rFonts w:ascii="Times New Roman" w:hAnsi="Times New Roman" w:cs="Times New Roman"/>
          <w:color w:val="131413"/>
          <w:sz w:val="24"/>
          <w:szCs w:val="24"/>
        </w:rPr>
        <w:t>wherein objective science is seen to directly inform policy making”</w:t>
      </w:r>
      <w:r w:rsidRPr="003E342A">
        <w:rPr>
          <w:rStyle w:val="FootnoteReference"/>
          <w:rFonts w:ascii="Times New Roman" w:hAnsi="Times New Roman" w:cs="Times New Roman"/>
          <w:color w:val="131413"/>
          <w:sz w:val="24"/>
          <w:szCs w:val="24"/>
        </w:rPr>
        <w:footnoteReference w:id="121"/>
      </w:r>
      <w:r w:rsidRPr="003E342A">
        <w:rPr>
          <w:rFonts w:ascii="Times New Roman" w:hAnsi="Times New Roman" w:cs="Times New Roman"/>
          <w:color w:val="131413"/>
          <w:sz w:val="24"/>
          <w:szCs w:val="24"/>
        </w:rPr>
        <w:t>,</w:t>
      </w:r>
      <w:r w:rsidRPr="003E342A">
        <w:rPr>
          <w:rFonts w:ascii="Times New Roman" w:hAnsi="Times New Roman" w:cs="Times New Roman"/>
          <w:sz w:val="24"/>
          <w:szCs w:val="24"/>
        </w:rPr>
        <w:t xml:space="preserve"> and assumes a general social gravitation towards empirical truth and sees regulation as merely a process of factfinding. “</w:t>
      </w:r>
      <w:r w:rsidRPr="003E342A">
        <w:rPr>
          <w:rStyle w:val="fontstyle01"/>
          <w:rFonts w:ascii="Times New Roman" w:hAnsi="Times New Roman" w:cs="Times New Roman"/>
          <w:sz w:val="24"/>
          <w:szCs w:val="24"/>
        </w:rPr>
        <w:t>In</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technocracy, science becomes the dominant institution, because science is believed to</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identify the ‘one best way’</w:t>
      </w:r>
      <w:r w:rsidR="00225B5D" w:rsidRPr="003E342A">
        <w:rPr>
          <w:rStyle w:val="fontstyle01"/>
          <w:rFonts w:ascii="Times New Roman" w:hAnsi="Times New Roman" w:cs="Times New Roman"/>
          <w:sz w:val="24"/>
          <w:szCs w:val="24"/>
        </w:rPr>
        <w:t>.”</w:t>
      </w:r>
      <w:r w:rsidRPr="003E342A">
        <w:rPr>
          <w:rStyle w:val="FootnoteReference"/>
          <w:rFonts w:ascii="Times New Roman" w:hAnsi="Times New Roman" w:cs="Times New Roman"/>
          <w:color w:val="000000"/>
          <w:sz w:val="24"/>
          <w:szCs w:val="24"/>
        </w:rPr>
        <w:footnoteReference w:id="122"/>
      </w:r>
      <w:r w:rsidRPr="003E342A">
        <w:rPr>
          <w:rStyle w:val="fontstyle01"/>
          <w:rFonts w:ascii="Times New Roman" w:hAnsi="Times New Roman" w:cs="Times New Roman"/>
          <w:sz w:val="24"/>
          <w:szCs w:val="24"/>
        </w:rPr>
        <w:t xml:space="preserve"> Habermas critiques this model for its undemocratic nature: “the reduction of political power to rational administration can be conceived here only at the expense of democracy itself</w:t>
      </w:r>
      <w:r w:rsidR="00225B5D" w:rsidRPr="003E342A">
        <w:rPr>
          <w:rStyle w:val="fontstyle01"/>
          <w:rFonts w:ascii="Times New Roman" w:hAnsi="Times New Roman" w:cs="Times New Roman"/>
          <w:sz w:val="24"/>
          <w:szCs w:val="24"/>
        </w:rPr>
        <w:t>.”</w:t>
      </w:r>
      <w:r w:rsidRPr="003E342A">
        <w:rPr>
          <w:rStyle w:val="FootnoteReference"/>
          <w:rFonts w:ascii="Times New Roman" w:hAnsi="Times New Roman" w:cs="Times New Roman"/>
          <w:color w:val="000000"/>
          <w:sz w:val="24"/>
          <w:szCs w:val="24"/>
        </w:rPr>
        <w:footnoteReference w:id="123"/>
      </w:r>
      <w:r w:rsidRPr="003E342A">
        <w:rPr>
          <w:rFonts w:ascii="Times New Roman" w:hAnsi="Times New Roman" w:cs="Times New Roman"/>
          <w:sz w:val="24"/>
          <w:szCs w:val="24"/>
        </w:rPr>
        <w:t xml:space="preserve"> He contrasts it with the </w:t>
      </w:r>
      <w:proofErr w:type="spellStart"/>
      <w:r w:rsidRPr="003E342A">
        <w:rPr>
          <w:rFonts w:ascii="Times New Roman" w:hAnsi="Times New Roman" w:cs="Times New Roman"/>
          <w:sz w:val="24"/>
          <w:szCs w:val="24"/>
        </w:rPr>
        <w:t>decisionistic</w:t>
      </w:r>
      <w:proofErr w:type="spellEnd"/>
      <w:r w:rsidRPr="003E342A">
        <w:rPr>
          <w:rFonts w:ascii="Times New Roman" w:hAnsi="Times New Roman" w:cs="Times New Roman"/>
          <w:sz w:val="24"/>
          <w:szCs w:val="24"/>
        </w:rPr>
        <w:t xml:space="preserve"> model which places emphasis on the chiefly sociopolitical choices that regulators must make based on policy goals. </w:t>
      </w:r>
      <w:r w:rsidRPr="003E342A">
        <w:rPr>
          <w:rStyle w:val="fontstyle01"/>
          <w:rFonts w:ascii="Times New Roman" w:hAnsi="Times New Roman" w:cs="Times New Roman"/>
          <w:sz w:val="24"/>
          <w:szCs w:val="24"/>
        </w:rPr>
        <w:t xml:space="preserve">Owing some of its initial formulation to German law scholar Carl Schmitt (who developed </w:t>
      </w:r>
      <w:proofErr w:type="spellStart"/>
      <w:r w:rsidRPr="003E342A">
        <w:rPr>
          <w:rStyle w:val="fontstyle01"/>
          <w:rFonts w:ascii="Times New Roman" w:hAnsi="Times New Roman" w:cs="Times New Roman"/>
          <w:sz w:val="24"/>
          <w:szCs w:val="24"/>
        </w:rPr>
        <w:t>decisionistic</w:t>
      </w:r>
      <w:proofErr w:type="spellEnd"/>
      <w:r w:rsidRPr="003E342A">
        <w:rPr>
          <w:rStyle w:val="fontstyle01"/>
          <w:rFonts w:ascii="Times New Roman" w:hAnsi="Times New Roman" w:cs="Times New Roman"/>
          <w:sz w:val="24"/>
          <w:szCs w:val="24"/>
        </w:rPr>
        <w:t xml:space="preserve"> theory)</w:t>
      </w:r>
      <w:r w:rsidRPr="003E342A">
        <w:rPr>
          <w:rStyle w:val="FootnoteReference"/>
          <w:rFonts w:ascii="Times New Roman" w:hAnsi="Times New Roman" w:cs="Times New Roman"/>
          <w:color w:val="000000"/>
          <w:sz w:val="24"/>
          <w:szCs w:val="24"/>
        </w:rPr>
        <w:footnoteReference w:id="124"/>
      </w:r>
      <w:r w:rsidRPr="003E342A">
        <w:rPr>
          <w:rStyle w:val="fontstyle01"/>
          <w:rFonts w:ascii="Times New Roman" w:hAnsi="Times New Roman" w:cs="Times New Roman"/>
          <w:sz w:val="24"/>
          <w:szCs w:val="24"/>
        </w:rPr>
        <w:t>, modern decisionism emphasizes the perceptions of legitimacy of decisions, rather than any empirically optimal content of the decisions themselves.</w:t>
      </w:r>
    </w:p>
    <w:p w14:paraId="26770667" w14:textId="77777777" w:rsidR="00CE7076" w:rsidRPr="003E342A" w:rsidRDefault="00CE7076" w:rsidP="00CE7076">
      <w:pPr>
        <w:keepNext/>
        <w:rPr>
          <w:rFonts w:ascii="Times New Roman" w:hAnsi="Times New Roman" w:cs="Times New Roman"/>
        </w:rPr>
      </w:pPr>
      <w:r w:rsidRPr="003E342A">
        <w:rPr>
          <w:rFonts w:ascii="Times New Roman" w:hAnsi="Times New Roman" w:cs="Times New Roman"/>
          <w:noProof/>
        </w:rPr>
        <w:lastRenderedPageBreak/>
        <w:drawing>
          <wp:inline distT="0" distB="0" distL="0" distR="0" wp14:anchorId="64234FA1" wp14:editId="0466DB04">
            <wp:extent cx="5394960" cy="8331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94960" cy="833120"/>
                    </a:xfrm>
                    <a:prstGeom prst="rect">
                      <a:avLst/>
                    </a:prstGeom>
                  </pic:spPr>
                </pic:pic>
              </a:graphicData>
            </a:graphic>
          </wp:inline>
        </w:drawing>
      </w:r>
    </w:p>
    <w:p w14:paraId="3D5A1CAD" w14:textId="10A6D69C" w:rsidR="00A20079" w:rsidRPr="003E342A" w:rsidRDefault="00CE7076" w:rsidP="00CE7076">
      <w:pPr>
        <w:pStyle w:val="Caption"/>
        <w:rPr>
          <w:rFonts w:ascii="Times New Roman" w:hAnsi="Times New Roman" w:cs="Times New Roman"/>
          <w:color w:val="000000" w:themeColor="text1"/>
          <w:sz w:val="24"/>
          <w:szCs w:val="24"/>
        </w:rPr>
      </w:pPr>
      <w:r w:rsidRPr="003E342A">
        <w:rPr>
          <w:rFonts w:ascii="Times New Roman" w:hAnsi="Times New Roman" w:cs="Times New Roman"/>
          <w:color w:val="000000" w:themeColor="text1"/>
          <w:sz w:val="24"/>
          <w:szCs w:val="24"/>
        </w:rPr>
        <w:t xml:space="preserve">Figure </w:t>
      </w:r>
      <w:r w:rsidRPr="003E342A">
        <w:rPr>
          <w:rFonts w:ascii="Times New Roman" w:hAnsi="Times New Roman" w:cs="Times New Roman"/>
          <w:color w:val="000000" w:themeColor="text1"/>
          <w:sz w:val="24"/>
          <w:szCs w:val="24"/>
        </w:rPr>
        <w:fldChar w:fldCharType="begin"/>
      </w:r>
      <w:r w:rsidRPr="003E342A">
        <w:rPr>
          <w:rFonts w:ascii="Times New Roman" w:hAnsi="Times New Roman" w:cs="Times New Roman"/>
          <w:color w:val="000000" w:themeColor="text1"/>
          <w:sz w:val="24"/>
          <w:szCs w:val="24"/>
        </w:rPr>
        <w:instrText xml:space="preserve"> SEQ Figure \* ARABIC </w:instrText>
      </w:r>
      <w:r w:rsidRPr="003E342A">
        <w:rPr>
          <w:rFonts w:ascii="Times New Roman" w:hAnsi="Times New Roman" w:cs="Times New Roman"/>
          <w:color w:val="000000" w:themeColor="text1"/>
          <w:sz w:val="24"/>
          <w:szCs w:val="24"/>
        </w:rPr>
        <w:fldChar w:fldCharType="separate"/>
      </w:r>
      <w:r w:rsidR="00AD63C9">
        <w:rPr>
          <w:rFonts w:ascii="Times New Roman" w:hAnsi="Times New Roman" w:cs="Times New Roman"/>
          <w:noProof/>
          <w:color w:val="000000" w:themeColor="text1"/>
          <w:sz w:val="24"/>
          <w:szCs w:val="24"/>
        </w:rPr>
        <w:t>2</w:t>
      </w:r>
      <w:r w:rsidRPr="003E342A">
        <w:rPr>
          <w:rFonts w:ascii="Times New Roman" w:hAnsi="Times New Roman" w:cs="Times New Roman"/>
          <w:color w:val="000000" w:themeColor="text1"/>
          <w:sz w:val="24"/>
          <w:szCs w:val="24"/>
        </w:rPr>
        <w:fldChar w:fldCharType="end"/>
      </w:r>
      <w:r w:rsidRPr="003E342A">
        <w:rPr>
          <w:rFonts w:ascii="Times New Roman" w:hAnsi="Times New Roman" w:cs="Times New Roman"/>
          <w:color w:val="000000" w:themeColor="text1"/>
          <w:sz w:val="24"/>
          <w:szCs w:val="24"/>
        </w:rPr>
        <w:t xml:space="preserve"> – The Technocratic Model (Dryer and </w:t>
      </w:r>
      <w:proofErr w:type="spellStart"/>
      <w:r w:rsidRPr="003E342A">
        <w:rPr>
          <w:rFonts w:ascii="Times New Roman" w:hAnsi="Times New Roman" w:cs="Times New Roman"/>
          <w:color w:val="000000" w:themeColor="text1"/>
          <w:sz w:val="24"/>
          <w:szCs w:val="24"/>
        </w:rPr>
        <w:t>Renn</w:t>
      </w:r>
      <w:proofErr w:type="spellEnd"/>
      <w:r w:rsidRPr="003E342A">
        <w:rPr>
          <w:rFonts w:ascii="Times New Roman" w:hAnsi="Times New Roman" w:cs="Times New Roman"/>
          <w:color w:val="000000" w:themeColor="text1"/>
          <w:sz w:val="24"/>
          <w:szCs w:val="24"/>
        </w:rPr>
        <w:t>, p. 30, from Millstone et al. 2004)</w:t>
      </w:r>
    </w:p>
    <w:p w14:paraId="4EFC07E5" w14:textId="77777777" w:rsidR="00A20079" w:rsidRPr="003E342A" w:rsidRDefault="00A20079" w:rsidP="00A20079">
      <w:pPr>
        <w:rPr>
          <w:rFonts w:ascii="Times New Roman" w:hAnsi="Times New Roman" w:cs="Times New Roman"/>
        </w:rPr>
      </w:pPr>
    </w:p>
    <w:p w14:paraId="0968007F" w14:textId="77777777" w:rsidR="00CE7076" w:rsidRPr="003E342A" w:rsidRDefault="00CE7076" w:rsidP="00CE7076">
      <w:pPr>
        <w:keepNext/>
        <w:rPr>
          <w:rFonts w:ascii="Times New Roman" w:hAnsi="Times New Roman" w:cs="Times New Roman"/>
        </w:rPr>
      </w:pPr>
      <w:r w:rsidRPr="003E342A">
        <w:rPr>
          <w:rFonts w:ascii="Times New Roman" w:hAnsi="Times New Roman" w:cs="Times New Roman"/>
          <w:noProof/>
        </w:rPr>
        <w:drawing>
          <wp:inline distT="0" distB="0" distL="0" distR="0" wp14:anchorId="2EF387F3" wp14:editId="4876BEBE">
            <wp:extent cx="5394960" cy="18719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94960" cy="1871980"/>
                    </a:xfrm>
                    <a:prstGeom prst="rect">
                      <a:avLst/>
                    </a:prstGeom>
                  </pic:spPr>
                </pic:pic>
              </a:graphicData>
            </a:graphic>
          </wp:inline>
        </w:drawing>
      </w:r>
    </w:p>
    <w:p w14:paraId="18650DD5" w14:textId="0794CFD2" w:rsidR="00A20079" w:rsidRPr="003E342A" w:rsidRDefault="00CE7076" w:rsidP="00CE7076">
      <w:pPr>
        <w:pStyle w:val="Caption"/>
        <w:rPr>
          <w:rFonts w:ascii="Times New Roman" w:hAnsi="Times New Roman" w:cs="Times New Roman"/>
          <w:color w:val="000000" w:themeColor="text1"/>
          <w:sz w:val="24"/>
          <w:szCs w:val="24"/>
        </w:rPr>
      </w:pPr>
      <w:r w:rsidRPr="003E342A">
        <w:rPr>
          <w:rFonts w:ascii="Times New Roman" w:hAnsi="Times New Roman" w:cs="Times New Roman"/>
          <w:color w:val="000000" w:themeColor="text1"/>
          <w:sz w:val="24"/>
          <w:szCs w:val="24"/>
        </w:rPr>
        <w:t xml:space="preserve">Figure </w:t>
      </w:r>
      <w:r w:rsidRPr="003E342A">
        <w:rPr>
          <w:rFonts w:ascii="Times New Roman" w:hAnsi="Times New Roman" w:cs="Times New Roman"/>
          <w:color w:val="000000" w:themeColor="text1"/>
          <w:sz w:val="24"/>
          <w:szCs w:val="24"/>
        </w:rPr>
        <w:fldChar w:fldCharType="begin"/>
      </w:r>
      <w:r w:rsidRPr="003E342A">
        <w:rPr>
          <w:rFonts w:ascii="Times New Roman" w:hAnsi="Times New Roman" w:cs="Times New Roman"/>
          <w:color w:val="000000" w:themeColor="text1"/>
          <w:sz w:val="24"/>
          <w:szCs w:val="24"/>
        </w:rPr>
        <w:instrText xml:space="preserve"> SEQ Figure \* ARABIC </w:instrText>
      </w:r>
      <w:r w:rsidRPr="003E342A">
        <w:rPr>
          <w:rFonts w:ascii="Times New Roman" w:hAnsi="Times New Roman" w:cs="Times New Roman"/>
          <w:color w:val="000000" w:themeColor="text1"/>
          <w:sz w:val="24"/>
          <w:szCs w:val="24"/>
        </w:rPr>
        <w:fldChar w:fldCharType="separate"/>
      </w:r>
      <w:r w:rsidR="00AD63C9">
        <w:rPr>
          <w:rFonts w:ascii="Times New Roman" w:hAnsi="Times New Roman" w:cs="Times New Roman"/>
          <w:noProof/>
          <w:color w:val="000000" w:themeColor="text1"/>
          <w:sz w:val="24"/>
          <w:szCs w:val="24"/>
        </w:rPr>
        <w:t>3</w:t>
      </w:r>
      <w:r w:rsidRPr="003E342A">
        <w:rPr>
          <w:rFonts w:ascii="Times New Roman" w:hAnsi="Times New Roman" w:cs="Times New Roman"/>
          <w:color w:val="000000" w:themeColor="text1"/>
          <w:sz w:val="24"/>
          <w:szCs w:val="24"/>
        </w:rPr>
        <w:fldChar w:fldCharType="end"/>
      </w:r>
      <w:r w:rsidRPr="003E342A">
        <w:rPr>
          <w:rFonts w:ascii="Times New Roman" w:hAnsi="Times New Roman" w:cs="Times New Roman"/>
          <w:color w:val="000000" w:themeColor="text1"/>
          <w:sz w:val="24"/>
          <w:szCs w:val="24"/>
        </w:rPr>
        <w:t xml:space="preserve">: The </w:t>
      </w:r>
      <w:proofErr w:type="spellStart"/>
      <w:r w:rsidRPr="003E342A">
        <w:rPr>
          <w:rFonts w:ascii="Times New Roman" w:hAnsi="Times New Roman" w:cs="Times New Roman"/>
          <w:color w:val="000000" w:themeColor="text1"/>
          <w:sz w:val="24"/>
          <w:szCs w:val="24"/>
        </w:rPr>
        <w:t>Decisionistic</w:t>
      </w:r>
      <w:proofErr w:type="spellEnd"/>
      <w:r w:rsidRPr="003E342A">
        <w:rPr>
          <w:rFonts w:ascii="Times New Roman" w:hAnsi="Times New Roman" w:cs="Times New Roman"/>
          <w:color w:val="000000" w:themeColor="text1"/>
          <w:sz w:val="24"/>
          <w:szCs w:val="24"/>
        </w:rPr>
        <w:t xml:space="preserve"> Model (Dryer and </w:t>
      </w:r>
      <w:proofErr w:type="spellStart"/>
      <w:r w:rsidRPr="003E342A">
        <w:rPr>
          <w:rFonts w:ascii="Times New Roman" w:hAnsi="Times New Roman" w:cs="Times New Roman"/>
          <w:color w:val="000000" w:themeColor="text1"/>
          <w:sz w:val="24"/>
          <w:szCs w:val="24"/>
        </w:rPr>
        <w:t>Renn</w:t>
      </w:r>
      <w:proofErr w:type="spellEnd"/>
      <w:r w:rsidRPr="003E342A">
        <w:rPr>
          <w:rFonts w:ascii="Times New Roman" w:hAnsi="Times New Roman" w:cs="Times New Roman"/>
          <w:color w:val="000000" w:themeColor="text1"/>
          <w:sz w:val="24"/>
          <w:szCs w:val="24"/>
        </w:rPr>
        <w:t>, p. 30, from Millstone et al. 2004)</w:t>
      </w:r>
    </w:p>
    <w:p w14:paraId="77D06CC2" w14:textId="2C92A94E" w:rsidR="00A20079" w:rsidRPr="003E342A" w:rsidRDefault="00A20079" w:rsidP="00A20079">
      <w:pPr>
        <w:rPr>
          <w:rFonts w:ascii="Times New Roman" w:hAnsi="Times New Roman" w:cs="Times New Roman"/>
        </w:rPr>
      </w:pPr>
    </w:p>
    <w:p w14:paraId="11E93A27" w14:textId="77777777" w:rsidR="00A20079" w:rsidRPr="003E342A" w:rsidRDefault="00A20079" w:rsidP="00A20079">
      <w:pPr>
        <w:rPr>
          <w:rFonts w:ascii="Times New Roman" w:hAnsi="Times New Roman" w:cs="Times New Roman"/>
        </w:rPr>
      </w:pPr>
    </w:p>
    <w:p w14:paraId="04780606" w14:textId="56723C4F" w:rsidR="000904CE" w:rsidRPr="003E342A" w:rsidRDefault="000904CE" w:rsidP="00CE7076">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To elaborate, “i</w:t>
      </w:r>
      <w:r w:rsidRPr="003E342A">
        <w:rPr>
          <w:rStyle w:val="fontstyle01"/>
          <w:rFonts w:ascii="Times New Roman" w:hAnsi="Times New Roman" w:cs="Times New Roman"/>
          <w:sz w:val="24"/>
          <w:szCs w:val="24"/>
        </w:rPr>
        <w:t xml:space="preserve">n the </w:t>
      </w:r>
      <w:proofErr w:type="spellStart"/>
      <w:r w:rsidRPr="003E342A">
        <w:rPr>
          <w:rStyle w:val="fontstyle01"/>
          <w:rFonts w:ascii="Times New Roman" w:hAnsi="Times New Roman" w:cs="Times New Roman"/>
          <w:sz w:val="24"/>
          <w:szCs w:val="24"/>
        </w:rPr>
        <w:t>decisionistic</w:t>
      </w:r>
      <w:proofErr w:type="spellEnd"/>
      <w:r w:rsidRPr="003E342A">
        <w:rPr>
          <w:rStyle w:val="fontstyle01"/>
          <w:rFonts w:ascii="Times New Roman" w:hAnsi="Times New Roman" w:cs="Times New Roman"/>
          <w:sz w:val="24"/>
          <w:szCs w:val="24"/>
        </w:rPr>
        <w:t xml:space="preserve"> model, politics defines values and</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goals, and science should deliver instrumental knowledge to achieve the goals</w:t>
      </w:r>
      <w:r w:rsidR="00225B5D" w:rsidRPr="003E342A">
        <w:rPr>
          <w:rStyle w:val="fontstyle01"/>
          <w:rFonts w:ascii="Times New Roman" w:hAnsi="Times New Roman" w:cs="Times New Roman"/>
          <w:sz w:val="24"/>
          <w:szCs w:val="24"/>
        </w:rPr>
        <w:t>.”</w:t>
      </w:r>
      <w:r w:rsidRPr="003E342A">
        <w:rPr>
          <w:rStyle w:val="FootnoteReference"/>
          <w:rFonts w:ascii="Times New Roman" w:hAnsi="Times New Roman" w:cs="Times New Roman"/>
          <w:color w:val="000000"/>
          <w:sz w:val="24"/>
          <w:szCs w:val="24"/>
        </w:rPr>
        <w:footnoteReference w:id="125"/>
      </w:r>
      <w:r w:rsidRPr="003E342A">
        <w:rPr>
          <w:rStyle w:val="fontstyle01"/>
          <w:rFonts w:ascii="Times New Roman" w:hAnsi="Times New Roman" w:cs="Times New Roman"/>
          <w:sz w:val="24"/>
          <w:szCs w:val="24"/>
        </w:rPr>
        <w:t xml:space="preserve">  Dreyer and </w:t>
      </w:r>
      <w:proofErr w:type="spellStart"/>
      <w:r w:rsidRPr="003E342A">
        <w:rPr>
          <w:rStyle w:val="fontstyle01"/>
          <w:rFonts w:ascii="Times New Roman" w:hAnsi="Times New Roman" w:cs="Times New Roman"/>
          <w:sz w:val="24"/>
          <w:szCs w:val="24"/>
        </w:rPr>
        <w:t>Renn</w:t>
      </w:r>
      <w:proofErr w:type="spellEnd"/>
      <w:r w:rsidRPr="003E342A">
        <w:rPr>
          <w:rStyle w:val="fontstyle01"/>
          <w:rFonts w:ascii="Times New Roman" w:hAnsi="Times New Roman" w:cs="Times New Roman"/>
          <w:sz w:val="24"/>
          <w:szCs w:val="24"/>
        </w:rPr>
        <w:t xml:space="preserve"> describe the </w:t>
      </w:r>
      <w:proofErr w:type="spellStart"/>
      <w:r w:rsidRPr="003E342A">
        <w:rPr>
          <w:rStyle w:val="fontstyle01"/>
          <w:rFonts w:ascii="Times New Roman" w:hAnsi="Times New Roman" w:cs="Times New Roman"/>
          <w:sz w:val="24"/>
          <w:szCs w:val="24"/>
        </w:rPr>
        <w:t>decisionistic</w:t>
      </w:r>
      <w:proofErr w:type="spellEnd"/>
      <w:r w:rsidRPr="003E342A">
        <w:rPr>
          <w:rStyle w:val="fontstyle01"/>
          <w:rFonts w:ascii="Times New Roman" w:hAnsi="Times New Roman" w:cs="Times New Roman"/>
          <w:sz w:val="24"/>
          <w:szCs w:val="24"/>
        </w:rPr>
        <w:t xml:space="preserve"> model as “less naïve” than the technocratic model in that it “</w:t>
      </w:r>
      <w:proofErr w:type="spellStart"/>
      <w:r w:rsidRPr="003E342A">
        <w:rPr>
          <w:rFonts w:ascii="Times New Roman" w:hAnsi="Times New Roman" w:cs="Times New Roman"/>
          <w:color w:val="131413"/>
          <w:sz w:val="24"/>
          <w:szCs w:val="24"/>
        </w:rPr>
        <w:t>recognised</w:t>
      </w:r>
      <w:proofErr w:type="spellEnd"/>
      <w:r w:rsidRPr="003E342A">
        <w:rPr>
          <w:rFonts w:ascii="Times New Roman" w:hAnsi="Times New Roman" w:cs="Times New Roman"/>
          <w:color w:val="131413"/>
          <w:sz w:val="24"/>
          <w:szCs w:val="24"/>
        </w:rPr>
        <w:t xml:space="preserve"> that policy making required inputs other than science in order to inform decisions, and that other legitimate factors (such as those relating to socio-political and economic objectives) needed to be taken into account in addressing risks</w:t>
      </w:r>
      <w:r w:rsidR="00225B5D" w:rsidRPr="003E342A">
        <w:rPr>
          <w:rFonts w:ascii="Times New Roman" w:hAnsi="Times New Roman" w:cs="Times New Roman"/>
          <w:color w:val="131413"/>
          <w:sz w:val="24"/>
          <w:szCs w:val="24"/>
        </w:rPr>
        <w:t>.”</w:t>
      </w:r>
      <w:r w:rsidRPr="003E342A">
        <w:rPr>
          <w:rFonts w:ascii="Times New Roman" w:hAnsi="Times New Roman" w:cs="Times New Roman"/>
          <w:color w:val="131413"/>
          <w:sz w:val="24"/>
          <w:szCs w:val="24"/>
        </w:rPr>
        <w:t xml:space="preserve"> However, by Habermas’s own typology, “the </w:t>
      </w:r>
      <w:proofErr w:type="spellStart"/>
      <w:r w:rsidRPr="003E342A">
        <w:rPr>
          <w:rFonts w:ascii="Times New Roman" w:hAnsi="Times New Roman" w:cs="Times New Roman"/>
          <w:color w:val="131413"/>
          <w:sz w:val="24"/>
          <w:szCs w:val="24"/>
        </w:rPr>
        <w:t>decisionistic</w:t>
      </w:r>
      <w:proofErr w:type="spellEnd"/>
      <w:r w:rsidRPr="003E342A">
        <w:rPr>
          <w:rFonts w:ascii="Times New Roman" w:hAnsi="Times New Roman" w:cs="Times New Roman"/>
          <w:color w:val="131413"/>
          <w:sz w:val="24"/>
          <w:szCs w:val="24"/>
        </w:rPr>
        <w:t xml:space="preserve"> model, however much it approximates the actual procedures of </w:t>
      </w:r>
      <w:proofErr w:type="spellStart"/>
      <w:r w:rsidRPr="003E342A">
        <w:rPr>
          <w:rFonts w:ascii="Times New Roman" w:hAnsi="Times New Roman" w:cs="Times New Roman"/>
          <w:color w:val="131413"/>
          <w:sz w:val="24"/>
          <w:szCs w:val="24"/>
        </w:rPr>
        <w:t>scien</w:t>
      </w:r>
      <w:proofErr w:type="spellEnd"/>
      <w:r w:rsidRPr="003E342A">
        <w:rPr>
          <w:rFonts w:ascii="Times New Roman" w:hAnsi="Times New Roman" w:cs="Times New Roman"/>
          <w:color w:val="131413"/>
          <w:sz w:val="24"/>
          <w:szCs w:val="24"/>
        </w:rPr>
        <w:t>​</w:t>
      </w:r>
      <w:proofErr w:type="spellStart"/>
      <w:r w:rsidRPr="003E342A">
        <w:rPr>
          <w:rFonts w:ascii="Times New Roman" w:hAnsi="Times New Roman" w:cs="Times New Roman"/>
          <w:color w:val="131413"/>
          <w:sz w:val="24"/>
          <w:szCs w:val="24"/>
        </w:rPr>
        <w:t>tized</w:t>
      </w:r>
      <w:proofErr w:type="spellEnd"/>
      <w:r w:rsidRPr="003E342A">
        <w:rPr>
          <w:rFonts w:ascii="Times New Roman" w:hAnsi="Times New Roman" w:cs="Times New Roman"/>
          <w:color w:val="131413"/>
          <w:sz w:val="24"/>
          <w:szCs w:val="24"/>
        </w:rPr>
        <w:t xml:space="preserve"> politics, is inadequate according to its own theoretical claims</w:t>
      </w:r>
      <w:r w:rsidR="00225B5D" w:rsidRPr="003E342A">
        <w:rPr>
          <w:rFonts w:ascii="Times New Roman" w:hAnsi="Times New Roman" w:cs="Times New Roman"/>
          <w:color w:val="131413"/>
          <w:sz w:val="24"/>
          <w:szCs w:val="24"/>
        </w:rPr>
        <w:t>,”</w:t>
      </w:r>
      <w:r w:rsidRPr="003E342A">
        <w:rPr>
          <w:rFonts w:ascii="Times New Roman" w:hAnsi="Times New Roman" w:cs="Times New Roman"/>
          <w:color w:val="131413"/>
          <w:sz w:val="24"/>
          <w:szCs w:val="24"/>
        </w:rPr>
        <w:t xml:space="preserve"> i.e. that publicly legitimized decisions will ultimately deliver the greatest public good. Habermas elaborates on the critique in that as modern societies are not direct democracies, ultimately “decisions themselves, according to the </w:t>
      </w:r>
      <w:proofErr w:type="spellStart"/>
      <w:r w:rsidRPr="003E342A">
        <w:rPr>
          <w:rFonts w:ascii="Times New Roman" w:hAnsi="Times New Roman" w:cs="Times New Roman"/>
          <w:color w:val="131413"/>
          <w:sz w:val="24"/>
          <w:szCs w:val="24"/>
        </w:rPr>
        <w:t>decisionistic</w:t>
      </w:r>
      <w:proofErr w:type="spellEnd"/>
      <w:r w:rsidRPr="003E342A">
        <w:rPr>
          <w:rFonts w:ascii="Times New Roman" w:hAnsi="Times New Roman" w:cs="Times New Roman"/>
          <w:color w:val="131413"/>
          <w:sz w:val="24"/>
          <w:szCs w:val="24"/>
        </w:rPr>
        <w:t xml:space="preserve"> view, must remain </w:t>
      </w:r>
      <w:r w:rsidRPr="003E342A">
        <w:rPr>
          <w:rFonts w:ascii="Times New Roman" w:hAnsi="Times New Roman" w:cs="Times New Roman"/>
          <w:color w:val="131413"/>
          <w:sz w:val="24"/>
          <w:szCs w:val="24"/>
        </w:rPr>
        <w:lastRenderedPageBreak/>
        <w:t>basically beyond public discussion” and that “democratic choice takes the form of acclamation” of elected officials “rather than public discussion” of the actual decisions at hand.</w:t>
      </w:r>
      <w:r w:rsidRPr="003E342A">
        <w:rPr>
          <w:rStyle w:val="FootnoteReference"/>
          <w:rFonts w:ascii="Times New Roman" w:hAnsi="Times New Roman" w:cs="Times New Roman"/>
          <w:color w:val="131413"/>
          <w:sz w:val="24"/>
          <w:szCs w:val="24"/>
        </w:rPr>
        <w:footnoteReference w:id="126"/>
      </w:r>
      <w:r w:rsidRPr="003E342A">
        <w:rPr>
          <w:rFonts w:ascii="Times New Roman" w:hAnsi="Times New Roman" w:cs="Times New Roman"/>
          <w:color w:val="131413"/>
          <w:sz w:val="24"/>
          <w:szCs w:val="24"/>
        </w:rPr>
        <w:t xml:space="preserve"> As Habermas elaborates, “</w:t>
      </w:r>
      <w:r w:rsidRPr="003E342A">
        <w:rPr>
          <w:rStyle w:val="italic"/>
          <w:rFonts w:ascii="Times New Roman" w:hAnsi="Times New Roman" w:cs="Times New Roman"/>
          <w:iCs/>
          <w:sz w:val="24"/>
          <w:szCs w:val="24"/>
        </w:rPr>
        <w:t>everything feared by Carl Schmitt in fact happened:</w:t>
      </w:r>
      <w:r w:rsidRPr="003E342A">
        <w:rPr>
          <w:rFonts w:ascii="Times New Roman" w:hAnsi="Times New Roman" w:cs="Times New Roman"/>
          <w:color w:val="000000"/>
          <w:sz w:val="24"/>
          <w:szCs w:val="24"/>
        </w:rPr>
        <w:t xml:space="preserve"> </w:t>
      </w:r>
      <w:r w:rsidRPr="003E342A">
        <w:rPr>
          <w:rStyle w:val="italic"/>
          <w:rFonts w:ascii="Times New Roman" w:hAnsi="Times New Roman" w:cs="Times New Roman"/>
          <w:iCs/>
          <w:sz w:val="24"/>
          <w:szCs w:val="24"/>
        </w:rPr>
        <w:t>the sovereign power of the king has been dissolved, disembodied, and</w:t>
      </w:r>
      <w:r w:rsidRPr="003E342A">
        <w:rPr>
          <w:rFonts w:ascii="Times New Roman" w:hAnsi="Times New Roman" w:cs="Times New Roman"/>
          <w:color w:val="000000"/>
          <w:sz w:val="24"/>
          <w:szCs w:val="24"/>
        </w:rPr>
        <w:t xml:space="preserve"> </w:t>
      </w:r>
      <w:r w:rsidRPr="003E342A">
        <w:rPr>
          <w:rStyle w:val="italic"/>
          <w:rFonts w:ascii="Times New Roman" w:hAnsi="Times New Roman" w:cs="Times New Roman"/>
          <w:iCs/>
          <w:sz w:val="24"/>
          <w:szCs w:val="24"/>
        </w:rPr>
        <w:t>dispersed in the communication flows of civil society, and it has at the</w:t>
      </w:r>
      <w:r w:rsidRPr="003E342A">
        <w:rPr>
          <w:rFonts w:ascii="Times New Roman" w:hAnsi="Times New Roman" w:cs="Times New Roman"/>
          <w:color w:val="000000"/>
          <w:sz w:val="24"/>
          <w:szCs w:val="24"/>
        </w:rPr>
        <w:t xml:space="preserve"> </w:t>
      </w:r>
      <w:r w:rsidRPr="003E342A">
        <w:rPr>
          <w:rStyle w:val="italic"/>
          <w:rFonts w:ascii="Times New Roman" w:hAnsi="Times New Roman" w:cs="Times New Roman"/>
          <w:iCs/>
          <w:sz w:val="24"/>
          <w:szCs w:val="24"/>
        </w:rPr>
        <w:t>same time assumed the shape of procedures, be it for general elections</w:t>
      </w:r>
      <w:r w:rsidRPr="003E342A">
        <w:rPr>
          <w:rFonts w:ascii="Times New Roman" w:hAnsi="Times New Roman" w:cs="Times New Roman"/>
          <w:color w:val="000000"/>
          <w:sz w:val="24"/>
          <w:szCs w:val="24"/>
        </w:rPr>
        <w:t xml:space="preserve"> </w:t>
      </w:r>
      <w:r w:rsidRPr="003E342A">
        <w:rPr>
          <w:rStyle w:val="italic"/>
          <w:rFonts w:ascii="Times New Roman" w:hAnsi="Times New Roman" w:cs="Times New Roman"/>
          <w:iCs/>
          <w:sz w:val="24"/>
          <w:szCs w:val="24"/>
        </w:rPr>
        <w:t>or the numerous deliberations and decisions of various political bodies</w:t>
      </w:r>
      <w:r w:rsidR="00225B5D" w:rsidRPr="003E342A">
        <w:rPr>
          <w:rStyle w:val="italic"/>
          <w:rFonts w:ascii="Times New Roman" w:hAnsi="Times New Roman" w:cs="Times New Roman"/>
          <w:iCs/>
          <w:sz w:val="24"/>
          <w:szCs w:val="24"/>
        </w:rPr>
        <w:t>.”</w:t>
      </w:r>
      <w:r w:rsidRPr="003E342A">
        <w:rPr>
          <w:rStyle w:val="FootnoteReference"/>
          <w:rFonts w:ascii="Times New Roman" w:hAnsi="Times New Roman" w:cs="Times New Roman"/>
          <w:iCs/>
          <w:color w:val="000000"/>
          <w:sz w:val="24"/>
          <w:szCs w:val="24"/>
        </w:rPr>
        <w:footnoteReference w:id="127"/>
      </w:r>
      <w:r w:rsidRPr="003E342A">
        <w:rPr>
          <w:rFonts w:ascii="Times New Roman" w:hAnsi="Times New Roman" w:cs="Times New Roman"/>
          <w:sz w:val="24"/>
          <w:szCs w:val="24"/>
        </w:rPr>
        <w:t xml:space="preserve"> </w:t>
      </w:r>
    </w:p>
    <w:p w14:paraId="0B8BDA2B" w14:textId="1C9F2F09"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Nevertheless, the appearance of public input and democratic legitimacy matters. Increasingly, policymakers </w:t>
      </w:r>
      <w:r w:rsidRPr="003E342A">
        <w:rPr>
          <w:rFonts w:ascii="Times New Roman" w:hAnsi="Times New Roman" w:cs="Times New Roman"/>
          <w:color w:val="000000"/>
          <w:sz w:val="24"/>
          <w:szCs w:val="24"/>
        </w:rPr>
        <w:t xml:space="preserve">“have </w:t>
      </w:r>
      <w:proofErr w:type="spellStart"/>
      <w:r w:rsidRPr="003E342A">
        <w:rPr>
          <w:rFonts w:ascii="Times New Roman" w:hAnsi="Times New Roman" w:cs="Times New Roman"/>
          <w:color w:val="000000"/>
          <w:sz w:val="24"/>
          <w:szCs w:val="24"/>
        </w:rPr>
        <w:t>recognised</w:t>
      </w:r>
      <w:proofErr w:type="spellEnd"/>
      <w:r w:rsidRPr="003E342A">
        <w:rPr>
          <w:rFonts w:ascii="Times New Roman" w:hAnsi="Times New Roman" w:cs="Times New Roman"/>
          <w:color w:val="000000"/>
          <w:sz w:val="24"/>
          <w:szCs w:val="24"/>
        </w:rPr>
        <w:t xml:space="preserve"> the potential value of deliberation to a healthy democratic society. Two</w:t>
      </w:r>
      <w:r w:rsidR="003B4601" w:rsidRPr="003E342A">
        <w:rPr>
          <w:rFonts w:ascii="Times New Roman" w:hAnsi="Times New Roman" w:cs="Times New Roman"/>
          <w:color w:val="000000"/>
          <w:sz w:val="24"/>
          <w:szCs w:val="24"/>
        </w:rPr>
        <w:t>-</w:t>
      </w:r>
      <w:r w:rsidRPr="003E342A">
        <w:rPr>
          <w:rFonts w:ascii="Times New Roman" w:hAnsi="Times New Roman" w:cs="Times New Roman"/>
          <w:color w:val="000000"/>
          <w:sz w:val="24"/>
          <w:szCs w:val="24"/>
        </w:rPr>
        <w:t xml:space="preserve">way collaborative engagement in its various forms is considered by some in academic and policy circles to be a kind of ‘gold standard’ for decision-making (Felt and </w:t>
      </w:r>
      <w:proofErr w:type="spellStart"/>
      <w:r w:rsidRPr="003E342A">
        <w:rPr>
          <w:rFonts w:ascii="Times New Roman" w:hAnsi="Times New Roman" w:cs="Times New Roman"/>
          <w:color w:val="000000"/>
          <w:sz w:val="24"/>
          <w:szCs w:val="24"/>
        </w:rPr>
        <w:t>Fochler</w:t>
      </w:r>
      <w:proofErr w:type="spellEnd"/>
      <w:r w:rsidRPr="003E342A">
        <w:rPr>
          <w:rFonts w:ascii="Times New Roman" w:hAnsi="Times New Roman" w:cs="Times New Roman"/>
          <w:color w:val="000000"/>
          <w:sz w:val="24"/>
          <w:szCs w:val="24"/>
        </w:rPr>
        <w:t xml:space="preserve"> 2008); and this has led to a number of key actors within these academic and policy circles to champion the cause of public engagement as an inherently good or fair thing to practice.”</w:t>
      </w:r>
      <w:r w:rsidRPr="003E342A">
        <w:rPr>
          <w:rStyle w:val="FootnoteReference"/>
          <w:rFonts w:ascii="Times New Roman" w:hAnsi="Times New Roman" w:cs="Times New Roman"/>
          <w:color w:val="000000"/>
          <w:sz w:val="24"/>
          <w:szCs w:val="24"/>
        </w:rPr>
        <w:footnoteReference w:id="128"/>
      </w:r>
      <w:r w:rsidRPr="003E342A">
        <w:rPr>
          <w:rFonts w:ascii="Times New Roman" w:hAnsi="Times New Roman" w:cs="Times New Roman"/>
          <w:color w:val="000000"/>
          <w:sz w:val="24"/>
          <w:szCs w:val="24"/>
        </w:rPr>
        <w:t xml:space="preserve"> </w:t>
      </w:r>
      <w:r w:rsidRPr="003E342A">
        <w:rPr>
          <w:rFonts w:ascii="Times New Roman" w:hAnsi="Times New Roman" w:cs="Times New Roman"/>
          <w:sz w:val="24"/>
          <w:szCs w:val="24"/>
        </w:rPr>
        <w:t xml:space="preserve">Habermas also takes a very different, perhaps consequentialist, tack against Gove’s and Easterly’s tyranny of the “Expert” in </w:t>
      </w:r>
      <w:r w:rsidRPr="003E342A">
        <w:rPr>
          <w:rFonts w:ascii="Times New Roman" w:hAnsi="Times New Roman" w:cs="Times New Roman"/>
          <w:sz w:val="24"/>
          <w:szCs w:val="24"/>
          <w:u w:val="single"/>
        </w:rPr>
        <w:t>Toward A Rational Society</w:t>
      </w:r>
      <w:r w:rsidRPr="003E342A">
        <w:rPr>
          <w:rFonts w:ascii="Times New Roman" w:hAnsi="Times New Roman" w:cs="Times New Roman"/>
          <w:sz w:val="24"/>
          <w:szCs w:val="24"/>
        </w:rPr>
        <w:t xml:space="preserve">, arguing that </w:t>
      </w:r>
      <w:r w:rsidR="00057B5C" w:rsidRPr="003E342A">
        <w:rPr>
          <w:rFonts w:ascii="Times New Roman" w:hAnsi="Times New Roman" w:cs="Times New Roman"/>
          <w:sz w:val="24"/>
          <w:szCs w:val="24"/>
        </w:rPr>
        <w:t>“</w:t>
      </w:r>
      <w:r w:rsidRPr="003E342A">
        <w:rPr>
          <w:rFonts w:ascii="Times New Roman" w:hAnsi="Times New Roman" w:cs="Times New Roman"/>
          <w:sz w:val="24"/>
          <w:szCs w:val="24"/>
        </w:rPr>
        <w:t>expert-driven positivism was used by military-industrial groups as a cloak to limit public debate and reserve decisions to an agenda which they dominated under the guise of technocracy” – another strong argument in favor of the democratization of these regulatory procedures.</w:t>
      </w:r>
    </w:p>
    <w:p w14:paraId="0F3D49C3" w14:textId="286C1A6D" w:rsidR="000904CE" w:rsidRPr="003E342A" w:rsidRDefault="00555AF0" w:rsidP="000904CE">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Habermas, then, although critiquing Decisionism as having the potential for </w:t>
      </w:r>
      <w:proofErr w:type="spellStart"/>
      <w:r w:rsidRPr="003E342A">
        <w:rPr>
          <w:rFonts w:ascii="Times New Roman" w:hAnsi="Times New Roman" w:cs="Times New Roman"/>
          <w:sz w:val="24"/>
          <w:szCs w:val="24"/>
        </w:rPr>
        <w:t>vapidness</w:t>
      </w:r>
      <w:proofErr w:type="spellEnd"/>
      <w:r w:rsidRPr="003E342A">
        <w:rPr>
          <w:rFonts w:ascii="Times New Roman" w:hAnsi="Times New Roman" w:cs="Times New Roman"/>
          <w:sz w:val="24"/>
          <w:szCs w:val="24"/>
        </w:rPr>
        <w:t xml:space="preserve">, nonetheless would seem to prefer it to the </w:t>
      </w:r>
      <w:r w:rsidR="00CC0E31" w:rsidRPr="003E342A">
        <w:rPr>
          <w:rFonts w:ascii="Times New Roman" w:hAnsi="Times New Roman" w:cs="Times New Roman"/>
          <w:sz w:val="24"/>
          <w:szCs w:val="24"/>
        </w:rPr>
        <w:t xml:space="preserve">harmful potentials of elitist technocracy, and his preference for increased European integration encompasses support for increased public </w:t>
      </w:r>
      <w:r w:rsidR="00CC0E31" w:rsidRPr="003E342A">
        <w:rPr>
          <w:rFonts w:ascii="Times New Roman" w:hAnsi="Times New Roman" w:cs="Times New Roman"/>
          <w:sz w:val="24"/>
          <w:szCs w:val="24"/>
        </w:rPr>
        <w:lastRenderedPageBreak/>
        <w:t xml:space="preserve">participation and buy-in, which would most likely initially arise through </w:t>
      </w:r>
      <w:proofErr w:type="spellStart"/>
      <w:r w:rsidR="00CC0E31" w:rsidRPr="003E342A">
        <w:rPr>
          <w:rFonts w:ascii="Times New Roman" w:hAnsi="Times New Roman" w:cs="Times New Roman"/>
          <w:sz w:val="24"/>
          <w:szCs w:val="24"/>
        </w:rPr>
        <w:t>decisionistic</w:t>
      </w:r>
      <w:proofErr w:type="spellEnd"/>
      <w:r w:rsidR="00CC0E31" w:rsidRPr="003E342A">
        <w:rPr>
          <w:rFonts w:ascii="Times New Roman" w:hAnsi="Times New Roman" w:cs="Times New Roman"/>
          <w:sz w:val="24"/>
          <w:szCs w:val="24"/>
        </w:rPr>
        <w:t xml:space="preserve"> mechanisms</w:t>
      </w:r>
      <w:r w:rsidR="001B3F68" w:rsidRPr="003E342A">
        <w:rPr>
          <w:rFonts w:ascii="Times New Roman" w:hAnsi="Times New Roman" w:cs="Times New Roman"/>
          <w:sz w:val="24"/>
          <w:szCs w:val="24"/>
        </w:rPr>
        <w:t xml:space="preserve"> – Habermas stresses the importance of </w:t>
      </w:r>
      <w:r w:rsidR="00E02D89" w:rsidRPr="003E342A">
        <w:rPr>
          <w:rFonts w:ascii="Times New Roman" w:hAnsi="Times New Roman" w:cs="Times New Roman"/>
          <w:sz w:val="24"/>
          <w:szCs w:val="24"/>
        </w:rPr>
        <w:t xml:space="preserve">democratic norms and a </w:t>
      </w:r>
      <w:r w:rsidR="001B3F68" w:rsidRPr="003E342A">
        <w:rPr>
          <w:rFonts w:ascii="Times New Roman" w:hAnsi="Times New Roman" w:cs="Times New Roman"/>
          <w:sz w:val="24"/>
          <w:szCs w:val="24"/>
        </w:rPr>
        <w:t xml:space="preserve">unified </w:t>
      </w:r>
      <w:r w:rsidR="001B3F68" w:rsidRPr="003E342A">
        <w:rPr>
          <w:rFonts w:ascii="Times New Roman" w:hAnsi="Times New Roman" w:cs="Times New Roman"/>
          <w:i/>
          <w:sz w:val="24"/>
          <w:szCs w:val="24"/>
        </w:rPr>
        <w:t>demos</w:t>
      </w:r>
      <w:r w:rsidR="001B3F68" w:rsidRPr="003E342A">
        <w:rPr>
          <w:rFonts w:ascii="Times New Roman" w:hAnsi="Times New Roman" w:cs="Times New Roman"/>
          <w:sz w:val="24"/>
          <w:szCs w:val="24"/>
        </w:rPr>
        <w:t xml:space="preserve"> capable participating in the shared political project</w:t>
      </w:r>
      <w:r w:rsidR="00E02D89" w:rsidRPr="003E342A">
        <w:rPr>
          <w:rFonts w:ascii="Times New Roman" w:hAnsi="Times New Roman" w:cs="Times New Roman"/>
          <w:sz w:val="24"/>
          <w:szCs w:val="24"/>
        </w:rPr>
        <w:t>.</w:t>
      </w:r>
      <w:r w:rsidR="001B3F68" w:rsidRPr="003E342A">
        <w:rPr>
          <w:rStyle w:val="FootnoteReference"/>
          <w:rFonts w:ascii="Times New Roman" w:hAnsi="Times New Roman" w:cs="Times New Roman"/>
          <w:sz w:val="24"/>
          <w:szCs w:val="24"/>
        </w:rPr>
        <w:footnoteReference w:id="129"/>
      </w:r>
      <w:r w:rsidR="00CC0E31" w:rsidRPr="003E342A">
        <w:rPr>
          <w:rFonts w:ascii="Times New Roman" w:hAnsi="Times New Roman" w:cs="Times New Roman"/>
          <w:sz w:val="24"/>
          <w:szCs w:val="24"/>
        </w:rPr>
        <w:t xml:space="preserve"> </w:t>
      </w:r>
      <w:r w:rsidRPr="003E342A">
        <w:rPr>
          <w:rFonts w:ascii="Times New Roman" w:hAnsi="Times New Roman" w:cs="Times New Roman"/>
          <w:sz w:val="24"/>
          <w:szCs w:val="24"/>
        </w:rPr>
        <w:t>Though Habermas proposes some of his own regulatory models (discussed in the conclusion), the dichotomy between technocracy and decisionism remains a primary axis upon which EU regulatory philosophy has moved in recent years.</w:t>
      </w:r>
    </w:p>
    <w:p w14:paraId="3D740334" w14:textId="77777777" w:rsidR="00BB754B" w:rsidRPr="003E342A" w:rsidRDefault="00BB754B" w:rsidP="000904CE">
      <w:pPr>
        <w:spacing w:line="480" w:lineRule="auto"/>
        <w:jc w:val="both"/>
        <w:rPr>
          <w:rFonts w:ascii="Times New Roman" w:hAnsi="Times New Roman" w:cs="Times New Roman"/>
          <w:b/>
          <w:sz w:val="24"/>
          <w:szCs w:val="24"/>
        </w:rPr>
      </w:pPr>
    </w:p>
    <w:p w14:paraId="61FCC3F7" w14:textId="274C8416" w:rsidR="000904CE" w:rsidRPr="003E342A" w:rsidRDefault="000904CE" w:rsidP="000904CE">
      <w:pPr>
        <w:spacing w:line="480" w:lineRule="auto"/>
        <w:jc w:val="both"/>
        <w:rPr>
          <w:rFonts w:ascii="Times New Roman" w:hAnsi="Times New Roman" w:cs="Times New Roman"/>
          <w:b/>
          <w:sz w:val="24"/>
          <w:szCs w:val="24"/>
        </w:rPr>
      </w:pPr>
      <w:r w:rsidRPr="003E342A">
        <w:rPr>
          <w:rFonts w:ascii="Times New Roman" w:hAnsi="Times New Roman" w:cs="Times New Roman"/>
          <w:b/>
          <w:sz w:val="24"/>
          <w:szCs w:val="24"/>
        </w:rPr>
        <w:t>The EU’s Regulatory Trajectory</w:t>
      </w:r>
    </w:p>
    <w:p w14:paraId="38F6B2FF" w14:textId="210D4859"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When the EU began reforming its food safety laws in the 1990s to give greater emphasis to outward appearance and legitimacy, this move bore the hallmarks of a </w:t>
      </w:r>
      <w:proofErr w:type="spellStart"/>
      <w:r w:rsidR="003B4601" w:rsidRPr="003E342A">
        <w:rPr>
          <w:rFonts w:ascii="Times New Roman" w:hAnsi="Times New Roman" w:cs="Times New Roman"/>
          <w:sz w:val="24"/>
          <w:szCs w:val="24"/>
        </w:rPr>
        <w:t>d</w:t>
      </w:r>
      <w:r w:rsidRPr="003E342A">
        <w:rPr>
          <w:rFonts w:ascii="Times New Roman" w:hAnsi="Times New Roman" w:cs="Times New Roman"/>
          <w:sz w:val="24"/>
          <w:szCs w:val="24"/>
        </w:rPr>
        <w:t>ecisionistic</w:t>
      </w:r>
      <w:proofErr w:type="spellEnd"/>
      <w:r w:rsidRPr="003E342A">
        <w:rPr>
          <w:rFonts w:ascii="Times New Roman" w:hAnsi="Times New Roman" w:cs="Times New Roman"/>
          <w:sz w:val="24"/>
          <w:szCs w:val="24"/>
        </w:rPr>
        <w:t xml:space="preserve"> model vis-à-vis the </w:t>
      </w:r>
      <w:r w:rsidR="004040BB" w:rsidRPr="003E342A">
        <w:rPr>
          <w:rFonts w:ascii="Times New Roman" w:hAnsi="Times New Roman" w:cs="Times New Roman"/>
          <w:sz w:val="24"/>
          <w:szCs w:val="24"/>
        </w:rPr>
        <w:t>t</w:t>
      </w:r>
      <w:r w:rsidRPr="003E342A">
        <w:rPr>
          <w:rFonts w:ascii="Times New Roman" w:hAnsi="Times New Roman" w:cs="Times New Roman"/>
          <w:sz w:val="24"/>
          <w:szCs w:val="24"/>
        </w:rPr>
        <w:t>echnocratic one.</w:t>
      </w:r>
    </w:p>
    <w:p w14:paraId="6B3DB96D" w14:textId="2649B928" w:rsidR="000904CE" w:rsidRPr="003E342A" w:rsidRDefault="000904CE" w:rsidP="000904CE">
      <w:pPr>
        <w:spacing w:line="480" w:lineRule="auto"/>
        <w:ind w:firstLine="720"/>
        <w:jc w:val="both"/>
        <w:rPr>
          <w:rFonts w:ascii="Times New Roman" w:eastAsia="Times New Roman" w:hAnsi="Times New Roman" w:cs="Times New Roman"/>
          <w:sz w:val="24"/>
          <w:szCs w:val="24"/>
        </w:rPr>
      </w:pPr>
      <w:r w:rsidRPr="003E342A">
        <w:rPr>
          <w:rFonts w:ascii="Times New Roman" w:eastAsia="Times New Roman" w:hAnsi="Times New Roman" w:cs="Times New Roman"/>
          <w:sz w:val="24"/>
          <w:szCs w:val="24"/>
        </w:rPr>
        <w:t xml:space="preserve">Following the logic of principal-agent dynamics, the European Union and related institutions, though conceived to further the interests of individual member states, are entities with a vested interest in their own survival. From its inception until the early 2000s, the European Commission adeptly crafted and used supranational scientific institutions to expand its remit and cultivate a European network of scientists who could form part of a so-called “constituency for Europe” and thus further the public legitimacy of EU institutions. Having supported the growth of supranational scientific unification for the purposes of both its own political legitimacy and the furthering of European integration and economic competitiveness, however, has not impeded the EU, or specifically the European Commission, from withdrawing support from the scientific community when politically expedient. Institutions such as Participatory Technology Assessment and the EU’s particular interpretations of the Precautionary Principle, as well as funding requirements mandating immediate public applicability of scientific advances – all of which have </w:t>
      </w:r>
      <w:r w:rsidRPr="003E342A">
        <w:rPr>
          <w:rFonts w:ascii="Times New Roman" w:eastAsia="Times New Roman" w:hAnsi="Times New Roman" w:cs="Times New Roman"/>
          <w:sz w:val="24"/>
          <w:szCs w:val="24"/>
        </w:rPr>
        <w:lastRenderedPageBreak/>
        <w:t>come over the critiques of the scientific community -  put in place substantial social and political barriers to European scientific advances.</w:t>
      </w:r>
      <w:r w:rsidRPr="003E342A">
        <w:rPr>
          <w:rStyle w:val="FootnoteReference"/>
          <w:rFonts w:ascii="Times New Roman" w:eastAsia="Times New Roman" w:hAnsi="Times New Roman" w:cs="Times New Roman"/>
          <w:sz w:val="24"/>
          <w:szCs w:val="24"/>
        </w:rPr>
        <w:footnoteReference w:id="130"/>
      </w:r>
      <w:r w:rsidRPr="003E342A">
        <w:rPr>
          <w:rFonts w:ascii="Times New Roman" w:eastAsia="Times New Roman" w:hAnsi="Times New Roman" w:cs="Times New Roman"/>
          <w:sz w:val="24"/>
          <w:szCs w:val="24"/>
        </w:rPr>
        <w:t xml:space="preserve"> </w:t>
      </w:r>
      <w:proofErr w:type="spellStart"/>
      <w:r w:rsidRPr="003E342A">
        <w:rPr>
          <w:rFonts w:ascii="Times New Roman" w:hAnsi="Times New Roman" w:cs="Times New Roman"/>
          <w:color w:val="242021"/>
          <w:sz w:val="24"/>
          <w:szCs w:val="24"/>
        </w:rPr>
        <w:t>Skogstad</w:t>
      </w:r>
      <w:proofErr w:type="spellEnd"/>
      <w:r w:rsidRPr="003E342A">
        <w:rPr>
          <w:rFonts w:ascii="Times New Roman" w:hAnsi="Times New Roman" w:cs="Times New Roman"/>
          <w:color w:val="242021"/>
          <w:sz w:val="24"/>
          <w:szCs w:val="24"/>
        </w:rPr>
        <w:t xml:space="preserve"> argues that the EU regulatory regime lost legitimacy in the late 1990s – since that time, EU policy makers have increasingly taken on a precautionary political culture necessary to repair that legitimacy. </w:t>
      </w:r>
      <w:proofErr w:type="spellStart"/>
      <w:r w:rsidRPr="003E342A">
        <w:rPr>
          <w:rFonts w:ascii="Times New Roman" w:hAnsi="Times New Roman" w:cs="Times New Roman"/>
          <w:color w:val="242021"/>
          <w:sz w:val="24"/>
          <w:szCs w:val="24"/>
        </w:rPr>
        <w:t>Skogstad</w:t>
      </w:r>
      <w:proofErr w:type="spellEnd"/>
      <w:r w:rsidRPr="003E342A">
        <w:rPr>
          <w:rFonts w:ascii="Times New Roman" w:hAnsi="Times New Roman" w:cs="Times New Roman"/>
          <w:color w:val="242021"/>
          <w:sz w:val="24"/>
          <w:szCs w:val="24"/>
        </w:rPr>
        <w:t xml:space="preserve"> elaborates, however, noting that the “EU regulatory regime incorporated elements of both the precautionary and scientific rationality political cultures in an effort to respond to internal and external accountability standards</w:t>
      </w:r>
      <w:r w:rsidR="00225B5D" w:rsidRPr="003E342A">
        <w:rPr>
          <w:rFonts w:ascii="Times New Roman" w:hAnsi="Times New Roman" w:cs="Times New Roman"/>
          <w:color w:val="242021"/>
          <w:sz w:val="24"/>
          <w:szCs w:val="24"/>
        </w:rPr>
        <w:t>.”</w:t>
      </w:r>
      <w:r w:rsidRPr="003E342A">
        <w:rPr>
          <w:rStyle w:val="FootnoteReference"/>
          <w:rFonts w:ascii="Times New Roman" w:hAnsi="Times New Roman" w:cs="Times New Roman"/>
          <w:color w:val="242021"/>
          <w:sz w:val="24"/>
          <w:szCs w:val="24"/>
        </w:rPr>
        <w:footnoteReference w:id="131"/>
      </w:r>
      <w:r w:rsidRPr="003E342A">
        <w:rPr>
          <w:rFonts w:ascii="Times New Roman" w:eastAsia="Times New Roman" w:hAnsi="Times New Roman" w:cs="Times New Roman"/>
          <w:sz w:val="24"/>
          <w:szCs w:val="24"/>
        </w:rPr>
        <w:t xml:space="preserve"> As the Juncker Commission mentions in its 2015 Better Regulations pronouncement, the EU is fundamentally a political entity that must make choices based first and foremost on their political consequences, and thus cannot be expected to rest beholden to scientific consensus when it is not politically expedient to do so. Furthermore, the EU’s democratic deficit provides even stronger impetus to build political capital and public goodwill. The issue of genetically modified organisms is one that has attracted great antipathy from members of Europe’s ecologically- and health-minded constituents, and as a result, heeding the calls for dismissal of Anne Glover, abolition of the post of Commission Science Advisor, and devolution of GMO policy to member state governments represents a clear way to demonstrate both “input” and “output” legitimacy of the EU as a democratic institution; in addition, any act of regulatory devolution holds the possibility of currying favor with </w:t>
      </w:r>
      <w:proofErr w:type="spellStart"/>
      <w:r w:rsidRPr="003E342A">
        <w:rPr>
          <w:rFonts w:ascii="Times New Roman" w:eastAsia="Times New Roman" w:hAnsi="Times New Roman" w:cs="Times New Roman"/>
          <w:sz w:val="24"/>
          <w:szCs w:val="24"/>
        </w:rPr>
        <w:t>Euroskeptics</w:t>
      </w:r>
      <w:proofErr w:type="spellEnd"/>
      <w:r w:rsidRPr="003E342A">
        <w:rPr>
          <w:rFonts w:ascii="Times New Roman" w:eastAsia="Times New Roman" w:hAnsi="Times New Roman" w:cs="Times New Roman"/>
          <w:sz w:val="24"/>
          <w:szCs w:val="24"/>
        </w:rPr>
        <w:t xml:space="preserve"> as well. </w:t>
      </w:r>
    </w:p>
    <w:p w14:paraId="39FF6DCE" w14:textId="044675CC"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Whereas the primary EU regulatory framework was </w:t>
      </w:r>
      <w:r w:rsidR="004E633F">
        <w:rPr>
          <w:rFonts w:ascii="Times New Roman" w:hAnsi="Times New Roman" w:cs="Times New Roman"/>
          <w:sz w:val="24"/>
          <w:szCs w:val="24"/>
        </w:rPr>
        <w:t>t</w:t>
      </w:r>
      <w:r w:rsidRPr="003E342A">
        <w:rPr>
          <w:rFonts w:ascii="Times New Roman" w:hAnsi="Times New Roman" w:cs="Times New Roman"/>
          <w:sz w:val="24"/>
          <w:szCs w:val="24"/>
        </w:rPr>
        <w:t xml:space="preserve">echnocratic before the 1990s groundswell of public demands for regulatory participation, the EU responded by moving along the spectrum from </w:t>
      </w:r>
      <w:r w:rsidR="005F3548">
        <w:rPr>
          <w:rFonts w:ascii="Times New Roman" w:hAnsi="Times New Roman" w:cs="Times New Roman"/>
          <w:sz w:val="24"/>
          <w:szCs w:val="24"/>
        </w:rPr>
        <w:t>t</w:t>
      </w:r>
      <w:r w:rsidRPr="003E342A">
        <w:rPr>
          <w:rFonts w:ascii="Times New Roman" w:hAnsi="Times New Roman" w:cs="Times New Roman"/>
          <w:sz w:val="24"/>
          <w:szCs w:val="24"/>
        </w:rPr>
        <w:t xml:space="preserve">echnocratic in the direction of </w:t>
      </w:r>
      <w:proofErr w:type="spellStart"/>
      <w:r w:rsidR="005F3548">
        <w:rPr>
          <w:rFonts w:ascii="Times New Roman" w:hAnsi="Times New Roman" w:cs="Times New Roman"/>
          <w:sz w:val="24"/>
          <w:szCs w:val="24"/>
        </w:rPr>
        <w:t>d</w:t>
      </w:r>
      <w:r w:rsidRPr="003E342A">
        <w:rPr>
          <w:rFonts w:ascii="Times New Roman" w:hAnsi="Times New Roman" w:cs="Times New Roman"/>
          <w:sz w:val="24"/>
          <w:szCs w:val="24"/>
        </w:rPr>
        <w:t>ecisionistic</w:t>
      </w:r>
      <w:proofErr w:type="spellEnd"/>
      <w:r w:rsidRPr="003E342A">
        <w:rPr>
          <w:rFonts w:ascii="Times New Roman" w:hAnsi="Times New Roman" w:cs="Times New Roman"/>
          <w:sz w:val="24"/>
          <w:szCs w:val="24"/>
        </w:rPr>
        <w:t xml:space="preserve">, arriving in the Barroso administration at something perhaps resembling a </w:t>
      </w:r>
      <w:proofErr w:type="spellStart"/>
      <w:r w:rsidRPr="003E342A">
        <w:rPr>
          <w:rFonts w:ascii="Times New Roman" w:hAnsi="Times New Roman" w:cs="Times New Roman"/>
          <w:sz w:val="24"/>
          <w:szCs w:val="24"/>
        </w:rPr>
        <w:t>Habermasian</w:t>
      </w:r>
      <w:proofErr w:type="spellEnd"/>
      <w:r w:rsidRPr="003E342A">
        <w:rPr>
          <w:rFonts w:ascii="Times New Roman" w:hAnsi="Times New Roman" w:cs="Times New Roman"/>
          <w:sz w:val="24"/>
          <w:szCs w:val="24"/>
        </w:rPr>
        <w:t xml:space="preserve"> </w:t>
      </w:r>
      <w:r w:rsidR="005F3548">
        <w:rPr>
          <w:rFonts w:ascii="Times New Roman" w:hAnsi="Times New Roman" w:cs="Times New Roman"/>
          <w:sz w:val="24"/>
          <w:szCs w:val="24"/>
        </w:rPr>
        <w:t>p</w:t>
      </w:r>
      <w:r w:rsidRPr="003E342A">
        <w:rPr>
          <w:rFonts w:ascii="Times New Roman" w:hAnsi="Times New Roman" w:cs="Times New Roman"/>
          <w:sz w:val="24"/>
          <w:szCs w:val="24"/>
        </w:rPr>
        <w:t>ragmatist regime</w:t>
      </w:r>
      <w:r w:rsidR="005F3548">
        <w:rPr>
          <w:rFonts w:ascii="Times New Roman" w:hAnsi="Times New Roman" w:cs="Times New Roman"/>
          <w:sz w:val="24"/>
          <w:szCs w:val="24"/>
        </w:rPr>
        <w:t xml:space="preserve">, a hybrid </w:t>
      </w:r>
      <w:r w:rsidR="005F3548">
        <w:rPr>
          <w:rFonts w:ascii="Times New Roman" w:hAnsi="Times New Roman" w:cs="Times New Roman"/>
          <w:sz w:val="24"/>
          <w:szCs w:val="24"/>
        </w:rPr>
        <w:lastRenderedPageBreak/>
        <w:t xml:space="preserve">structure </w:t>
      </w:r>
      <w:r w:rsidRPr="003E342A">
        <w:rPr>
          <w:rFonts w:ascii="Times New Roman" w:hAnsi="Times New Roman" w:cs="Times New Roman"/>
          <w:sz w:val="24"/>
          <w:szCs w:val="24"/>
        </w:rPr>
        <w:t xml:space="preserve">in which public input was valued alongside scientific input as evidenced by the presence of Anne Glover as Science Advisor to the EU commissioner. </w:t>
      </w:r>
    </w:p>
    <w:p w14:paraId="6472CD24" w14:textId="0AA9B7CF"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Why has the Juncker administration engaged in this shift towards a politicization of its regulatory endeavors – a shift that </w:t>
      </w:r>
      <w:proofErr w:type="gramStart"/>
      <w:r w:rsidRPr="003E342A">
        <w:rPr>
          <w:rFonts w:ascii="Times New Roman" w:hAnsi="Times New Roman" w:cs="Times New Roman"/>
          <w:sz w:val="24"/>
          <w:szCs w:val="24"/>
        </w:rPr>
        <w:t>by definition represents</w:t>
      </w:r>
      <w:proofErr w:type="gramEnd"/>
      <w:r w:rsidRPr="003E342A">
        <w:rPr>
          <w:rFonts w:ascii="Times New Roman" w:hAnsi="Times New Roman" w:cs="Times New Roman"/>
          <w:sz w:val="24"/>
          <w:szCs w:val="24"/>
        </w:rPr>
        <w:t xml:space="preserve"> and </w:t>
      </w:r>
      <w:r w:rsidR="00E02D89" w:rsidRPr="003E342A">
        <w:rPr>
          <w:rFonts w:ascii="Times New Roman" w:hAnsi="Times New Roman" w:cs="Times New Roman"/>
          <w:sz w:val="24"/>
          <w:szCs w:val="24"/>
        </w:rPr>
        <w:t>move away</w:t>
      </w:r>
      <w:r w:rsidRPr="003E342A">
        <w:rPr>
          <w:rFonts w:ascii="Times New Roman" w:hAnsi="Times New Roman" w:cs="Times New Roman"/>
          <w:sz w:val="24"/>
          <w:szCs w:val="24"/>
        </w:rPr>
        <w:t xml:space="preserve"> of a policy that is nominally “science based” in its regulation of health and safety concerns? Why did Jean Claude Juncker dismiss his science advisor for what many observers contend is based primarily on her opinions relating to GMOs?</w:t>
      </w:r>
    </w:p>
    <w:p w14:paraId="04553EB1" w14:textId="6CD43AB8" w:rsidR="00AA60D2" w:rsidRPr="003E342A" w:rsidRDefault="00AA60D2" w:rsidP="00AA60D2">
      <w:pPr>
        <w:pStyle w:val="Standard"/>
        <w:spacing w:line="480" w:lineRule="auto"/>
        <w:ind w:firstLine="720"/>
        <w:jc w:val="both"/>
        <w:rPr>
          <w:rFonts w:ascii="Times New Roman" w:hAnsi="Times New Roman" w:cs="Times New Roman"/>
        </w:rPr>
      </w:pPr>
      <w:r>
        <w:rPr>
          <w:rFonts w:ascii="Times New Roman" w:hAnsi="Times New Roman" w:cs="Times New Roman"/>
        </w:rPr>
        <w:t>T</w:t>
      </w:r>
      <w:r w:rsidRPr="003E342A">
        <w:rPr>
          <w:rFonts w:ascii="Times New Roman" w:hAnsi="Times New Roman" w:cs="Times New Roman"/>
        </w:rPr>
        <w:t xml:space="preserve">hough expert and public consensus may have been divergent since the beginnings of the European Union, this divergence has only recently </w:t>
      </w:r>
      <w:r>
        <w:rPr>
          <w:rFonts w:ascii="Times New Roman" w:hAnsi="Times New Roman" w:cs="Times New Roman"/>
        </w:rPr>
        <w:t>come to the fore in the discourse of European policymakers</w:t>
      </w:r>
      <w:r w:rsidRPr="003E342A">
        <w:rPr>
          <w:rFonts w:ascii="Times New Roman" w:hAnsi="Times New Roman" w:cs="Times New Roman"/>
        </w:rPr>
        <w:t xml:space="preserve">. As Habermas himself states, “the European Union owes its existence to the efforts of political elites who were able to count on the passive consent of their </w:t>
      </w:r>
      <w:proofErr w:type="gramStart"/>
      <w:r w:rsidRPr="003E342A">
        <w:rPr>
          <w:rFonts w:ascii="Times New Roman" w:hAnsi="Times New Roman" w:cs="Times New Roman"/>
        </w:rPr>
        <w:t>more or less indifferent</w:t>
      </w:r>
      <w:proofErr w:type="gramEnd"/>
      <w:r w:rsidRPr="003E342A">
        <w:rPr>
          <w:rFonts w:ascii="Times New Roman" w:hAnsi="Times New Roman" w:cs="Times New Roman"/>
        </w:rPr>
        <w:t xml:space="preserve"> populations as long as the peoples could regard the Union as being also in their economic interests, all things considered. The Union legitimized itself in the eyes of its citizens primarily through the results it produced rather than by fulfilling the citizens’ political will</w:t>
      </w:r>
      <w:r>
        <w:rPr>
          <w:rFonts w:ascii="Times New Roman" w:hAnsi="Times New Roman" w:cs="Times New Roman"/>
        </w:rPr>
        <w:t>.</w:t>
      </w:r>
      <w:r w:rsidRPr="003E342A">
        <w:rPr>
          <w:rFonts w:ascii="Times New Roman" w:hAnsi="Times New Roman" w:cs="Times New Roman"/>
        </w:rPr>
        <w:t>”</w:t>
      </w:r>
      <w:r w:rsidRPr="003E342A">
        <w:rPr>
          <w:rStyle w:val="FootnoteReference"/>
          <w:rFonts w:ascii="Times New Roman" w:hAnsi="Times New Roman" w:cs="Times New Roman"/>
        </w:rPr>
        <w:footnoteReference w:id="132"/>
      </w:r>
      <w:r w:rsidRPr="003E342A">
        <w:rPr>
          <w:rFonts w:ascii="Times New Roman" w:hAnsi="Times New Roman" w:cs="Times New Roman"/>
        </w:rPr>
        <w:t xml:space="preserve"> As the low-hanging fruit of European integration came to be exhausted, however, as the Agent escaped the strict and limited desires of the Principals, and as the “constituency for Europe” became large and diverse enough that it began to sprout divisions and differences of opinion, the needs for greater political and social input into the European Union naturally grew. There arose a “a gulf … between the citizens’ opinion- and will-formation and the policies actually pursued</w:t>
      </w:r>
      <w:r>
        <w:rPr>
          <w:rFonts w:ascii="Times New Roman" w:hAnsi="Times New Roman" w:cs="Times New Roman"/>
        </w:rPr>
        <w:t>.</w:t>
      </w:r>
      <w:r w:rsidRPr="003E342A">
        <w:rPr>
          <w:rFonts w:ascii="Times New Roman" w:hAnsi="Times New Roman" w:cs="Times New Roman"/>
        </w:rPr>
        <w:t>”</w:t>
      </w:r>
      <w:r w:rsidRPr="003E342A">
        <w:rPr>
          <w:rStyle w:val="FootnoteReference"/>
          <w:rFonts w:ascii="Times New Roman" w:hAnsi="Times New Roman" w:cs="Times New Roman"/>
        </w:rPr>
        <w:footnoteReference w:id="133"/>
      </w:r>
      <w:r>
        <w:rPr>
          <w:rFonts w:ascii="Times New Roman" w:hAnsi="Times New Roman" w:cs="Times New Roman"/>
        </w:rPr>
        <w:t xml:space="preserve"> This was visible even over the tenure of President Juncker: whereas his earlier addresses and positions called for greater </w:t>
      </w:r>
      <w:r>
        <w:rPr>
          <w:rFonts w:ascii="Times New Roman" w:hAnsi="Times New Roman" w:cs="Times New Roman"/>
        </w:rPr>
        <w:lastRenderedPageBreak/>
        <w:t>institutionalization and “more Europe,” subsequent speeches have recognized the need to respond to dissent and difference of opinion on major policy areas.</w:t>
      </w:r>
      <w:r w:rsidR="00FC3E5B">
        <w:rPr>
          <w:rStyle w:val="FootnoteReference"/>
          <w:rFonts w:ascii="Times New Roman" w:hAnsi="Times New Roman" w:cs="Times New Roman"/>
        </w:rPr>
        <w:footnoteReference w:id="134"/>
      </w:r>
    </w:p>
    <w:p w14:paraId="7475F583" w14:textId="77777777" w:rsidR="00E02D89" w:rsidRPr="003E342A" w:rsidRDefault="00E02D89"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I</w:t>
      </w:r>
      <w:r w:rsidR="000904CE" w:rsidRPr="003E342A">
        <w:rPr>
          <w:rFonts w:ascii="Times New Roman" w:hAnsi="Times New Roman" w:cs="Times New Roman"/>
          <w:sz w:val="24"/>
          <w:szCs w:val="24"/>
        </w:rPr>
        <w:t>n its quest for democratic legitimacy and the need to respond to societal pressures and the concerted efforts of political actors, the European Commission has increasingly turned to regulatory structures that include more egalitarian,</w:t>
      </w:r>
      <w:r w:rsidRPr="003E342A">
        <w:rPr>
          <w:rFonts w:ascii="Times New Roman" w:hAnsi="Times New Roman" w:cs="Times New Roman"/>
          <w:sz w:val="24"/>
          <w:szCs w:val="24"/>
        </w:rPr>
        <w:t xml:space="preserve"> democratic</w:t>
      </w:r>
      <w:r w:rsidR="000904CE" w:rsidRPr="003E342A">
        <w:rPr>
          <w:rFonts w:ascii="Times New Roman" w:hAnsi="Times New Roman" w:cs="Times New Roman"/>
          <w:sz w:val="24"/>
          <w:szCs w:val="24"/>
        </w:rPr>
        <w:t xml:space="preserve"> non-expert participation.  </w:t>
      </w:r>
      <w:r w:rsidRPr="003E342A">
        <w:rPr>
          <w:rFonts w:ascii="Times New Roman" w:hAnsi="Times New Roman" w:cs="Times New Roman"/>
          <w:sz w:val="24"/>
          <w:szCs w:val="24"/>
        </w:rPr>
        <w:t xml:space="preserve">A primary example, the Participatory Technology Assessments mentioned in Chapter I, demonstrate the trend. Proponents of the practice cite the general benefits derived from more inclusive evaluation processes, and the fact that a wider panel of stakeholders can present wider perspectives on possible outcomes and externalities of new technologies. Further, the democratic deficit and declining legitimacy in the EU is on the minds of policymakers; the EU therefore has embraced need for more egalitarian participatory democracy. </w:t>
      </w:r>
    </w:p>
    <w:p w14:paraId="2334DB23" w14:textId="3C1CC500" w:rsidR="000904CE" w:rsidRPr="003E342A" w:rsidRDefault="000904CE" w:rsidP="000904CE">
      <w:pPr>
        <w:spacing w:line="480" w:lineRule="auto"/>
        <w:ind w:firstLine="720"/>
        <w:jc w:val="both"/>
        <w:rPr>
          <w:rFonts w:ascii="Times New Roman" w:hAnsi="Times New Roman" w:cs="Times New Roman"/>
          <w:iCs/>
          <w:color w:val="000000"/>
          <w:sz w:val="24"/>
          <w:szCs w:val="24"/>
        </w:rPr>
      </w:pPr>
      <w:r w:rsidRPr="003E342A">
        <w:rPr>
          <w:rFonts w:ascii="Times New Roman" w:hAnsi="Times New Roman" w:cs="Times New Roman"/>
          <w:sz w:val="24"/>
          <w:szCs w:val="24"/>
        </w:rPr>
        <w:t xml:space="preserve">The trends and debates over the structure and ideology behind GMO regulation came to a head in 2017 with the authorization process of two varieties of GM Maize. The EU Commission’s inability to halt the authorization of these GMOs has resulted in several overt demonstrations of frustration, and has led to the Commission to put forward a comitology reform proposal that would </w:t>
      </w:r>
      <w:r w:rsidRPr="003E342A">
        <w:rPr>
          <w:rFonts w:ascii="Times New Roman" w:hAnsi="Times New Roman" w:cs="Times New Roman"/>
          <w:iCs/>
          <w:color w:val="000000"/>
          <w:sz w:val="24"/>
          <w:szCs w:val="24"/>
        </w:rPr>
        <w:t xml:space="preserve">be, in short, to shift comitology procedure towards a more </w:t>
      </w:r>
      <w:proofErr w:type="spellStart"/>
      <w:r w:rsidRPr="003E342A">
        <w:rPr>
          <w:rFonts w:ascii="Times New Roman" w:hAnsi="Times New Roman" w:cs="Times New Roman"/>
          <w:iCs/>
          <w:color w:val="000000"/>
          <w:sz w:val="24"/>
          <w:szCs w:val="24"/>
        </w:rPr>
        <w:t>Decisionistic</w:t>
      </w:r>
      <w:proofErr w:type="spellEnd"/>
      <w:r w:rsidRPr="003E342A">
        <w:rPr>
          <w:rFonts w:ascii="Times New Roman" w:hAnsi="Times New Roman" w:cs="Times New Roman"/>
          <w:iCs/>
          <w:color w:val="000000"/>
          <w:sz w:val="24"/>
          <w:szCs w:val="24"/>
        </w:rPr>
        <w:t xml:space="preserve"> regulatory model, one in which “decisions are discussed at the appropriate political level” and that is capable of “ensuring political input</w:t>
      </w:r>
      <w:r w:rsidR="00225B5D" w:rsidRPr="003E342A">
        <w:rPr>
          <w:rFonts w:ascii="Times New Roman" w:hAnsi="Times New Roman" w:cs="Times New Roman"/>
          <w:iCs/>
          <w:color w:val="000000"/>
          <w:sz w:val="24"/>
          <w:szCs w:val="24"/>
        </w:rPr>
        <w:t>.”</w:t>
      </w:r>
      <w:r w:rsidRPr="003E342A">
        <w:rPr>
          <w:rFonts w:ascii="Times New Roman" w:hAnsi="Times New Roman" w:cs="Times New Roman"/>
          <w:iCs/>
          <w:color w:val="000000"/>
          <w:sz w:val="24"/>
          <w:szCs w:val="24"/>
        </w:rPr>
        <w:t xml:space="preserve"> As critiqued by Habermas, this </w:t>
      </w:r>
      <w:proofErr w:type="spellStart"/>
      <w:r w:rsidRPr="003E342A">
        <w:rPr>
          <w:rFonts w:ascii="Times New Roman" w:hAnsi="Times New Roman" w:cs="Times New Roman"/>
          <w:iCs/>
          <w:color w:val="000000"/>
          <w:sz w:val="24"/>
          <w:szCs w:val="24"/>
        </w:rPr>
        <w:t>Decisionistic</w:t>
      </w:r>
      <w:proofErr w:type="spellEnd"/>
      <w:r w:rsidRPr="003E342A">
        <w:rPr>
          <w:rFonts w:ascii="Times New Roman" w:hAnsi="Times New Roman" w:cs="Times New Roman"/>
          <w:iCs/>
          <w:color w:val="000000"/>
          <w:sz w:val="24"/>
          <w:szCs w:val="24"/>
        </w:rPr>
        <w:t xml:space="preserve"> move does little to gain any further public involvement in the decisionmaking process; rather, it merely opens the decisions to slightly </w:t>
      </w:r>
      <w:r w:rsidRPr="003E342A">
        <w:rPr>
          <w:rFonts w:ascii="Times New Roman" w:hAnsi="Times New Roman" w:cs="Times New Roman"/>
          <w:iCs/>
          <w:color w:val="000000"/>
          <w:sz w:val="24"/>
          <w:szCs w:val="24"/>
        </w:rPr>
        <w:lastRenderedPageBreak/>
        <w:t>greater public scrutiny and public “acclamation”</w:t>
      </w:r>
      <w:r w:rsidR="00174D96" w:rsidRPr="003E342A">
        <w:rPr>
          <w:rFonts w:ascii="Times New Roman" w:hAnsi="Times New Roman" w:cs="Times New Roman"/>
          <w:iCs/>
          <w:color w:val="000000"/>
          <w:sz w:val="24"/>
          <w:szCs w:val="24"/>
        </w:rPr>
        <w:t>; that is, citizens only feel that they are given a more active voice in the discussions since broader interest groups are involved, when in fact it may merely be the case that a greater variety of experts is involved and contact between decisionmaking and the “life-world” remains minimal</w:t>
      </w:r>
      <w:r w:rsidRPr="003E342A">
        <w:rPr>
          <w:rFonts w:ascii="Times New Roman" w:hAnsi="Times New Roman" w:cs="Times New Roman"/>
          <w:iCs/>
          <w:color w:val="000000"/>
          <w:sz w:val="24"/>
          <w:szCs w:val="24"/>
        </w:rPr>
        <w:t xml:space="preserve">. </w:t>
      </w:r>
    </w:p>
    <w:p w14:paraId="37991A5C" w14:textId="5DFB14AE" w:rsidR="00AA60D2" w:rsidRPr="003E342A" w:rsidRDefault="000904CE" w:rsidP="00AA60D2">
      <w:pPr>
        <w:pStyle w:val="Standard"/>
        <w:spacing w:line="480" w:lineRule="auto"/>
        <w:ind w:firstLine="720"/>
        <w:jc w:val="both"/>
        <w:rPr>
          <w:rFonts w:ascii="Times New Roman" w:hAnsi="Times New Roman" w:cs="Times New Roman"/>
        </w:rPr>
      </w:pPr>
      <w:r w:rsidRPr="003E342A">
        <w:rPr>
          <w:rFonts w:ascii="Times New Roman" w:hAnsi="Times New Roman" w:cs="Times New Roman"/>
          <w:iCs/>
          <w:color w:val="000000"/>
        </w:rPr>
        <w:t xml:space="preserve">However, the </w:t>
      </w:r>
      <w:r w:rsidR="004040BB" w:rsidRPr="003E342A">
        <w:rPr>
          <w:rFonts w:ascii="Times New Roman" w:hAnsi="Times New Roman" w:cs="Times New Roman"/>
          <w:iCs/>
          <w:color w:val="000000"/>
        </w:rPr>
        <w:t>consequences of</w:t>
      </w:r>
      <w:r w:rsidRPr="003E342A">
        <w:rPr>
          <w:rFonts w:ascii="Times New Roman" w:hAnsi="Times New Roman" w:cs="Times New Roman"/>
          <w:iCs/>
          <w:color w:val="000000"/>
        </w:rPr>
        <w:t xml:space="preserve"> this regulatory trajectory run far deeper. Indeed, they cut to the heart of several ongoing dilemmas in regulatory policymaking, and threaten the integrity, competitiveness, and scientific legitimacy of the European Union.</w:t>
      </w:r>
      <w:r w:rsidR="00AA60D2">
        <w:rPr>
          <w:rFonts w:ascii="Times New Roman" w:hAnsi="Times New Roman" w:cs="Times New Roman"/>
          <w:iCs/>
          <w:color w:val="000000"/>
        </w:rPr>
        <w:t xml:space="preserve"> </w:t>
      </w:r>
    </w:p>
    <w:p w14:paraId="3DC78743" w14:textId="264B7375" w:rsidR="000904CE" w:rsidRPr="003E342A" w:rsidRDefault="000904CE" w:rsidP="000904CE">
      <w:pPr>
        <w:spacing w:line="480" w:lineRule="auto"/>
        <w:ind w:firstLine="720"/>
        <w:jc w:val="both"/>
        <w:rPr>
          <w:rFonts w:ascii="Times New Roman" w:hAnsi="Times New Roman" w:cs="Times New Roman"/>
          <w:iCs/>
          <w:color w:val="000000"/>
          <w:sz w:val="24"/>
          <w:szCs w:val="24"/>
        </w:rPr>
      </w:pPr>
    </w:p>
    <w:p w14:paraId="2A9CDC00" w14:textId="77777777" w:rsidR="000904CE" w:rsidRPr="003E342A" w:rsidRDefault="000904CE" w:rsidP="000904CE">
      <w:pPr>
        <w:spacing w:line="480" w:lineRule="auto"/>
        <w:ind w:firstLine="720"/>
        <w:jc w:val="both"/>
        <w:rPr>
          <w:rFonts w:ascii="Times New Roman" w:hAnsi="Times New Roman" w:cs="Times New Roman"/>
          <w:sz w:val="24"/>
          <w:szCs w:val="24"/>
        </w:rPr>
      </w:pPr>
    </w:p>
    <w:p w14:paraId="5EB0AA7D" w14:textId="77777777" w:rsidR="000904CE" w:rsidRPr="003E342A" w:rsidRDefault="000904CE" w:rsidP="000904CE">
      <w:pPr>
        <w:spacing w:line="480" w:lineRule="auto"/>
        <w:jc w:val="both"/>
        <w:rPr>
          <w:rFonts w:ascii="Times New Roman" w:hAnsi="Times New Roman" w:cs="Times New Roman"/>
          <w:sz w:val="24"/>
          <w:szCs w:val="24"/>
        </w:rPr>
      </w:pPr>
    </w:p>
    <w:p w14:paraId="3A8969FB" w14:textId="77777777" w:rsidR="000904CE" w:rsidRPr="003E342A" w:rsidRDefault="000904CE" w:rsidP="000904CE">
      <w:pPr>
        <w:spacing w:line="480" w:lineRule="auto"/>
        <w:jc w:val="both"/>
        <w:rPr>
          <w:rFonts w:ascii="Times New Roman" w:hAnsi="Times New Roman" w:cs="Times New Roman"/>
          <w:sz w:val="24"/>
          <w:szCs w:val="24"/>
        </w:rPr>
      </w:pPr>
    </w:p>
    <w:p w14:paraId="44B3A397" w14:textId="77777777" w:rsidR="000904CE" w:rsidRPr="003E342A" w:rsidRDefault="000904CE" w:rsidP="000904CE">
      <w:pPr>
        <w:spacing w:line="480" w:lineRule="auto"/>
        <w:jc w:val="both"/>
        <w:rPr>
          <w:rFonts w:ascii="Times New Roman" w:hAnsi="Times New Roman" w:cs="Times New Roman"/>
          <w:sz w:val="24"/>
          <w:szCs w:val="24"/>
        </w:rPr>
      </w:pPr>
    </w:p>
    <w:p w14:paraId="3A97B6CA" w14:textId="77777777" w:rsidR="000904CE" w:rsidRPr="003E342A" w:rsidRDefault="000904CE" w:rsidP="000904CE">
      <w:pPr>
        <w:spacing w:line="480" w:lineRule="auto"/>
        <w:jc w:val="both"/>
        <w:rPr>
          <w:rFonts w:ascii="Times New Roman" w:hAnsi="Times New Roman" w:cs="Times New Roman"/>
          <w:sz w:val="24"/>
          <w:szCs w:val="24"/>
        </w:rPr>
      </w:pPr>
    </w:p>
    <w:p w14:paraId="694C428A" w14:textId="77777777" w:rsidR="000904CE" w:rsidRPr="003E342A" w:rsidRDefault="000904CE" w:rsidP="000904CE">
      <w:pPr>
        <w:spacing w:line="480" w:lineRule="auto"/>
        <w:jc w:val="both"/>
        <w:rPr>
          <w:rFonts w:ascii="Times New Roman" w:hAnsi="Times New Roman" w:cs="Times New Roman"/>
          <w:sz w:val="24"/>
          <w:szCs w:val="24"/>
        </w:rPr>
      </w:pPr>
    </w:p>
    <w:p w14:paraId="6F58DB72" w14:textId="330298FE" w:rsidR="000904CE" w:rsidRPr="003E342A" w:rsidRDefault="000904CE">
      <w:pPr>
        <w:rPr>
          <w:rFonts w:ascii="Times New Roman" w:hAnsi="Times New Roman" w:cs="Times New Roman"/>
        </w:rPr>
      </w:pPr>
      <w:r w:rsidRPr="003E342A">
        <w:rPr>
          <w:rFonts w:ascii="Times New Roman" w:hAnsi="Times New Roman" w:cs="Times New Roman"/>
        </w:rPr>
        <w:br w:type="page"/>
      </w:r>
    </w:p>
    <w:p w14:paraId="6E789243" w14:textId="445227A8" w:rsidR="000904CE" w:rsidRPr="003E342A" w:rsidRDefault="000904CE" w:rsidP="006D6E05">
      <w:pPr>
        <w:pStyle w:val="Title"/>
        <w:jc w:val="center"/>
        <w:rPr>
          <w:rFonts w:cs="Times New Roman"/>
        </w:rPr>
      </w:pPr>
      <w:bookmarkStart w:id="32" w:name="_Toc531878495"/>
      <w:r w:rsidRPr="003E342A">
        <w:rPr>
          <w:rFonts w:cs="Times New Roman"/>
        </w:rPr>
        <w:lastRenderedPageBreak/>
        <w:t>Chapter IV:</w:t>
      </w:r>
      <w:r w:rsidR="006D6E05" w:rsidRPr="003E342A">
        <w:rPr>
          <w:rFonts w:cs="Times New Roman"/>
        </w:rPr>
        <w:t xml:space="preserve"> </w:t>
      </w:r>
      <w:r w:rsidRPr="003E342A">
        <w:rPr>
          <w:rFonts w:cs="Times New Roman"/>
        </w:rPr>
        <w:t>The Dilemmas of Reform</w:t>
      </w:r>
      <w:bookmarkEnd w:id="32"/>
    </w:p>
    <w:p w14:paraId="2290185E" w14:textId="77777777" w:rsidR="000904CE" w:rsidRPr="003E342A" w:rsidRDefault="000904CE" w:rsidP="000904CE">
      <w:pPr>
        <w:rPr>
          <w:rFonts w:ascii="Times New Roman" w:hAnsi="Times New Roman" w:cs="Times New Roman"/>
          <w:b/>
          <w:sz w:val="24"/>
          <w:szCs w:val="24"/>
        </w:rPr>
      </w:pPr>
      <w:r w:rsidRPr="003E342A">
        <w:rPr>
          <w:rFonts w:ascii="Times New Roman" w:hAnsi="Times New Roman" w:cs="Times New Roman"/>
          <w:b/>
          <w:sz w:val="24"/>
          <w:szCs w:val="24"/>
        </w:rPr>
        <w:br w:type="page"/>
      </w:r>
    </w:p>
    <w:p w14:paraId="0A5C0871" w14:textId="7E59DAFB" w:rsidR="000904CE" w:rsidRPr="003E342A" w:rsidRDefault="000904CE" w:rsidP="00CE7076">
      <w:pPr>
        <w:pStyle w:val="Heading1"/>
        <w:rPr>
          <w:rFonts w:cs="Times New Roman"/>
        </w:rPr>
      </w:pPr>
      <w:bookmarkStart w:id="33" w:name="_Toc531878496"/>
      <w:r w:rsidRPr="003E342A">
        <w:rPr>
          <w:rFonts w:cs="Times New Roman"/>
        </w:rPr>
        <w:lastRenderedPageBreak/>
        <w:t>Two Dimensions of Dilemmas</w:t>
      </w:r>
      <w:bookmarkEnd w:id="33"/>
    </w:p>
    <w:p w14:paraId="629763E9" w14:textId="77777777" w:rsidR="00CE7076" w:rsidRPr="003E342A" w:rsidRDefault="00CE7076" w:rsidP="00CE7076">
      <w:pPr>
        <w:rPr>
          <w:rFonts w:ascii="Times New Roman" w:hAnsi="Times New Roman" w:cs="Times New Roman"/>
        </w:rPr>
      </w:pPr>
    </w:p>
    <w:p w14:paraId="07BC8968" w14:textId="1EFD1060" w:rsidR="000904CE" w:rsidRPr="003E342A" w:rsidRDefault="00E304F4" w:rsidP="008C28B2">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The Juncker Commission’s goals of protecting European health and responding to popular opinion may be substantive and valid reasons for implementing reforms</w:t>
      </w:r>
      <w:r w:rsidR="000904CE" w:rsidRPr="003E342A">
        <w:rPr>
          <w:rFonts w:ascii="Times New Roman" w:hAnsi="Times New Roman" w:cs="Times New Roman"/>
          <w:sz w:val="24"/>
          <w:szCs w:val="24"/>
        </w:rPr>
        <w:t>.</w:t>
      </w:r>
      <w:r w:rsidRPr="003E342A">
        <w:rPr>
          <w:rFonts w:ascii="Times New Roman" w:hAnsi="Times New Roman" w:cs="Times New Roman"/>
          <w:sz w:val="24"/>
          <w:szCs w:val="24"/>
        </w:rPr>
        <w:t xml:space="preserve"> However, as with many public policy choices, there are tradeoffs that must be accounted for, and the Juncker Commission may be underestimating the negative externalities that are likely to result from the proposed GMO regulatory proposals.</w:t>
      </w:r>
      <w:r w:rsidR="000904CE" w:rsidRPr="003E342A">
        <w:rPr>
          <w:rFonts w:ascii="Times New Roman" w:hAnsi="Times New Roman" w:cs="Times New Roman"/>
          <w:sz w:val="24"/>
          <w:szCs w:val="24"/>
        </w:rPr>
        <w:t xml:space="preserve"> The “Regulator</w:t>
      </w:r>
      <w:r w:rsidR="00F93685" w:rsidRPr="003E342A">
        <w:rPr>
          <w:rFonts w:ascii="Times New Roman" w:hAnsi="Times New Roman" w:cs="Times New Roman"/>
          <w:sz w:val="24"/>
          <w:szCs w:val="24"/>
        </w:rPr>
        <w:t>’s</w:t>
      </w:r>
      <w:r w:rsidR="000904CE" w:rsidRPr="003E342A">
        <w:rPr>
          <w:rFonts w:ascii="Times New Roman" w:hAnsi="Times New Roman" w:cs="Times New Roman"/>
          <w:sz w:val="24"/>
          <w:szCs w:val="24"/>
        </w:rPr>
        <w:t xml:space="preserve"> dilemma” proposed by </w:t>
      </w:r>
      <w:proofErr w:type="spellStart"/>
      <w:r w:rsidR="000904CE" w:rsidRPr="003E342A">
        <w:rPr>
          <w:rFonts w:ascii="Times New Roman" w:hAnsi="Times New Roman" w:cs="Times New Roman"/>
          <w:sz w:val="24"/>
          <w:szCs w:val="24"/>
        </w:rPr>
        <w:t>Kapstein</w:t>
      </w:r>
      <w:proofErr w:type="spellEnd"/>
      <w:r w:rsidR="000904CE" w:rsidRPr="003E342A">
        <w:rPr>
          <w:rFonts w:ascii="Times New Roman" w:hAnsi="Times New Roman" w:cs="Times New Roman"/>
          <w:sz w:val="24"/>
          <w:szCs w:val="24"/>
        </w:rPr>
        <w:t xml:space="preserve"> </w:t>
      </w:r>
      <w:r w:rsidRPr="003E342A">
        <w:rPr>
          <w:rFonts w:ascii="Times New Roman" w:hAnsi="Times New Roman" w:cs="Times New Roman"/>
          <w:sz w:val="24"/>
          <w:szCs w:val="24"/>
        </w:rPr>
        <w:t>refers to</w:t>
      </w:r>
      <w:r w:rsidR="000904CE" w:rsidRPr="003E342A">
        <w:rPr>
          <w:rFonts w:ascii="Times New Roman" w:hAnsi="Times New Roman" w:cs="Times New Roman"/>
          <w:sz w:val="24"/>
          <w:szCs w:val="24"/>
        </w:rPr>
        <w:t xml:space="preserve"> the tradeoff that exists between competitiveness on the one hand and safety on the other. “Public officials have been forced to make tradeoffs between domestic regulation on the one hand and international competitiveness on the other;”</w:t>
      </w:r>
      <w:r w:rsidR="000904CE" w:rsidRPr="003E342A">
        <w:rPr>
          <w:rStyle w:val="FootnoteAnchor"/>
          <w:rFonts w:ascii="Times New Roman" w:hAnsi="Times New Roman" w:cs="Times New Roman"/>
          <w:sz w:val="24"/>
          <w:szCs w:val="24"/>
        </w:rPr>
        <w:footnoteReference w:id="135"/>
      </w:r>
      <w:r w:rsidR="000904CE" w:rsidRPr="003E342A">
        <w:rPr>
          <w:rFonts w:ascii="Times New Roman" w:hAnsi="Times New Roman" w:cs="Times New Roman"/>
          <w:sz w:val="24"/>
          <w:szCs w:val="24"/>
        </w:rPr>
        <w:t xml:space="preserve"> that is to say, cutting regulatory corners, allowing pollution, and lowering the testing standards of new products can allow companies to maintain lower costs and be more competitive internationally. The different solutions to this dilemma have led to highly divergent regulatory outcomes in the United States and the European Union, for example, with the US by and large opting for a more economically motivated equilibrium, and the EU a more safety-oriented one; “over the last fifteen years, the EU has enacted a number of health, safety and environmental regulations which are more restrictive than their American counterparts,” much to the consternation of both parties regarding bilateral trade and regulation.</w:t>
      </w:r>
      <w:r w:rsidR="000904CE" w:rsidRPr="003E342A">
        <w:rPr>
          <w:rStyle w:val="FootnoteReference"/>
          <w:rFonts w:ascii="Times New Roman" w:hAnsi="Times New Roman" w:cs="Times New Roman"/>
          <w:sz w:val="24"/>
          <w:szCs w:val="24"/>
        </w:rPr>
        <w:footnoteReference w:id="136"/>
      </w:r>
    </w:p>
    <w:p w14:paraId="66F010A7" w14:textId="6E916FA1"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This regulatory dilemma has not always been a source of great international disagreement; “the successful negotiation of a common standard of adequacy of capital by the G-10 countries was due to the development of consensual knowledge regarding systemic risks, combined with decisive leadership…international coordination reflected the interplay of knowledge and power</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However, for the past several decades the EU has been moving toward more restrictive regulatory </w:t>
      </w:r>
      <w:r w:rsidRPr="003E342A">
        <w:rPr>
          <w:rFonts w:ascii="Times New Roman" w:hAnsi="Times New Roman" w:cs="Times New Roman"/>
          <w:sz w:val="24"/>
          <w:szCs w:val="24"/>
        </w:rPr>
        <w:lastRenderedPageBreak/>
        <w:t xml:space="preserve">frameworks relative to the United States. To explain this difference in regulatory trajectories and the resulting conflicts of interest of different parties, Smith emphasizes the critical role of court decisions and industry access to regulatory mechanisms, and </w:t>
      </w:r>
      <w:r w:rsidR="00442D63">
        <w:rPr>
          <w:rFonts w:ascii="Times New Roman" w:hAnsi="Times New Roman" w:cs="Times New Roman"/>
          <w:sz w:val="24"/>
          <w:szCs w:val="24"/>
        </w:rPr>
        <w:t xml:space="preserve">in </w:t>
      </w:r>
      <w:r w:rsidRPr="003E342A">
        <w:rPr>
          <w:rFonts w:ascii="Times New Roman" w:hAnsi="Times New Roman" w:cs="Times New Roman"/>
          <w:sz w:val="24"/>
          <w:szCs w:val="24"/>
        </w:rPr>
        <w:t>addition expands the regulatory dilemma into a “regulatory trilemma” in the EU context in which EU Integration, Economic Competitiveness, and Environmental/Health outcomes represent three points of the trilemma – regulators cannot fully pursue all three at once”</w:t>
      </w:r>
      <w:r w:rsidRPr="003E342A">
        <w:rPr>
          <w:rStyle w:val="FootnoteReference"/>
          <w:rFonts w:ascii="Times New Roman" w:hAnsi="Times New Roman" w:cs="Times New Roman"/>
          <w:sz w:val="24"/>
          <w:szCs w:val="24"/>
        </w:rPr>
        <w:footnoteReference w:id="137"/>
      </w:r>
      <w:r w:rsidRPr="003E342A">
        <w:rPr>
          <w:rFonts w:ascii="Times New Roman" w:hAnsi="Times New Roman" w:cs="Times New Roman"/>
          <w:sz w:val="24"/>
          <w:szCs w:val="24"/>
        </w:rPr>
        <w:t>.</w:t>
      </w:r>
    </w:p>
    <w:p w14:paraId="22BBC783" w14:textId="0BD1D9D8"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In the following section, several examples will illustrate the ways in which this regulatory trilemma applies to the current case of GMO regulations; specifically the Juncker Commission’s plans to move regulation in the direction of greater health and safety-inspired restrictions would come at the cost of both EU integration (threatening the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and external economic competitiveness (embroiling the EU in a new round of WTO disputes and deterring biotechnology progress). </w:t>
      </w:r>
    </w:p>
    <w:p w14:paraId="18E1B533" w14:textId="6D6A00A6"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Moreover, the following examples will illustrate that alongside the regulator’s dilemma or trilemma, when public opinion diverges significantly from scientific opinion, there is an entirely different dimension at work: that between public legitimacy on the one hand and scientific legitimacy on the other. In pursuing this regulatory course, the Juncker Commission is willing to sacrifice scientific input and the advice of the scientific community for the sake of political legitimacy – a classic example of a Schumpeterian Public Choice dilemma that illustrates the hot button conflict between technocracy and democracy.</w:t>
      </w:r>
    </w:p>
    <w:p w14:paraId="052FC071" w14:textId="47989D61" w:rsidR="00CE7076" w:rsidRPr="003E342A" w:rsidRDefault="00CE7076" w:rsidP="00CE7076">
      <w:pPr>
        <w:pStyle w:val="Heading1"/>
        <w:rPr>
          <w:rFonts w:cs="Times New Roman"/>
        </w:rPr>
      </w:pPr>
      <w:bookmarkStart w:id="34" w:name="_Toc531878497"/>
      <w:r w:rsidRPr="003E342A">
        <w:rPr>
          <w:rFonts w:cs="Times New Roman"/>
        </w:rPr>
        <w:t xml:space="preserve">European Integration: </w:t>
      </w:r>
      <w:r w:rsidR="00A504EB" w:rsidRPr="003E342A">
        <w:rPr>
          <w:rFonts w:cs="Times New Roman"/>
        </w:rPr>
        <w:t xml:space="preserve">The </w:t>
      </w:r>
      <w:r w:rsidR="00271AE9">
        <w:rPr>
          <w:rFonts w:cs="Times New Roman"/>
        </w:rPr>
        <w:t>Single Market</w:t>
      </w:r>
      <w:bookmarkEnd w:id="34"/>
    </w:p>
    <w:p w14:paraId="6BD301DF" w14:textId="77777777" w:rsidR="00CE7076" w:rsidRPr="003E342A" w:rsidRDefault="00CE7076" w:rsidP="00CE7076">
      <w:pPr>
        <w:rPr>
          <w:rFonts w:ascii="Times New Roman" w:hAnsi="Times New Roman" w:cs="Times New Roman"/>
        </w:rPr>
      </w:pPr>
    </w:p>
    <w:p w14:paraId="1EA6F1CB" w14:textId="7E781EF4" w:rsidR="003B6B2C" w:rsidRPr="003E342A" w:rsidRDefault="000904CE" w:rsidP="0028581B">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One corner of the Regulator’s Trilemma is the drive for EU integration; the Juncker Commission’s proposals would devalue that goal for the sake of more tightly regulating GMOs. </w:t>
      </w:r>
      <w:r w:rsidR="00752431" w:rsidRPr="003E342A">
        <w:rPr>
          <w:rFonts w:ascii="Times New Roman" w:hAnsi="Times New Roman" w:cs="Times New Roman"/>
          <w:sz w:val="24"/>
          <w:szCs w:val="24"/>
        </w:rPr>
        <w:lastRenderedPageBreak/>
        <w:t>Although</w:t>
      </w:r>
      <w:r w:rsidRPr="003E342A">
        <w:rPr>
          <w:rFonts w:ascii="Times New Roman" w:hAnsi="Times New Roman" w:cs="Times New Roman"/>
          <w:sz w:val="24"/>
          <w:szCs w:val="24"/>
        </w:rPr>
        <w:t xml:space="preserve"> “</w:t>
      </w:r>
      <w:r w:rsidR="00752431" w:rsidRPr="003E342A">
        <w:rPr>
          <w:rFonts w:ascii="Times New Roman" w:hAnsi="Times New Roman" w:cs="Times New Roman"/>
          <w:sz w:val="24"/>
          <w:szCs w:val="24"/>
        </w:rPr>
        <w:t>t</w:t>
      </w:r>
      <w:r w:rsidRPr="003E342A">
        <w:rPr>
          <w:rFonts w:ascii="Times New Roman" w:hAnsi="Times New Roman" w:cs="Times New Roman"/>
          <w:sz w:val="24"/>
          <w:szCs w:val="24"/>
        </w:rPr>
        <w:t>he Commission suggested that this proposal should be modelled on another EU law, on GMOs intended for cultivation, which entered into force in early April 2015</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such a parallel is </w:t>
      </w:r>
      <w:r w:rsidR="00E304F4" w:rsidRPr="003E342A">
        <w:rPr>
          <w:rFonts w:ascii="Times New Roman" w:hAnsi="Times New Roman" w:cs="Times New Roman"/>
          <w:sz w:val="24"/>
          <w:szCs w:val="24"/>
        </w:rPr>
        <w:t>spurious</w:t>
      </w:r>
      <w:r w:rsidRPr="003E342A">
        <w:rPr>
          <w:rFonts w:ascii="Times New Roman" w:hAnsi="Times New Roman" w:cs="Times New Roman"/>
          <w:sz w:val="24"/>
          <w:szCs w:val="24"/>
        </w:rPr>
        <w:t>, for the two processes are substantially different: cultivation takes place entirely within the territory of one country</w:t>
      </w:r>
      <w:r w:rsidR="00752431" w:rsidRPr="003E342A">
        <w:rPr>
          <w:rFonts w:ascii="Times New Roman" w:hAnsi="Times New Roman" w:cs="Times New Roman"/>
          <w:sz w:val="24"/>
          <w:szCs w:val="24"/>
        </w:rPr>
        <w:t>, and physical territory cannot blend into a multinational institution.</w:t>
      </w:r>
      <w:r w:rsidR="00752431" w:rsidRPr="003E342A">
        <w:rPr>
          <w:rStyle w:val="FootnoteReference"/>
          <w:rFonts w:ascii="Times New Roman" w:hAnsi="Times New Roman" w:cs="Times New Roman"/>
          <w:sz w:val="24"/>
          <w:szCs w:val="24"/>
        </w:rPr>
        <w:t xml:space="preserve"> </w:t>
      </w:r>
      <w:r w:rsidR="00752431" w:rsidRPr="003E342A">
        <w:rPr>
          <w:rStyle w:val="FootnoteReference"/>
          <w:rFonts w:ascii="Times New Roman" w:hAnsi="Times New Roman" w:cs="Times New Roman"/>
          <w:sz w:val="24"/>
          <w:szCs w:val="24"/>
        </w:rPr>
        <w:footnoteReference w:id="138"/>
      </w:r>
      <w:r w:rsidRPr="003E342A">
        <w:rPr>
          <w:rFonts w:ascii="Times New Roman" w:hAnsi="Times New Roman" w:cs="Times New Roman"/>
          <w:sz w:val="24"/>
          <w:szCs w:val="24"/>
        </w:rPr>
        <w:t xml:space="preserve"> </w:t>
      </w:r>
      <w:r w:rsidR="00752431" w:rsidRPr="003E342A">
        <w:rPr>
          <w:rFonts w:ascii="Times New Roman" w:hAnsi="Times New Roman" w:cs="Times New Roman"/>
          <w:sz w:val="24"/>
          <w:szCs w:val="24"/>
        </w:rPr>
        <w:t xml:space="preserve">The </w:t>
      </w:r>
      <w:r w:rsidR="00271AE9">
        <w:rPr>
          <w:rFonts w:ascii="Times New Roman" w:hAnsi="Times New Roman" w:cs="Times New Roman"/>
          <w:sz w:val="24"/>
          <w:szCs w:val="24"/>
        </w:rPr>
        <w:t>Single Market</w:t>
      </w:r>
      <w:r w:rsidR="00752431" w:rsidRPr="003E342A">
        <w:rPr>
          <w:rFonts w:ascii="Times New Roman" w:hAnsi="Times New Roman" w:cs="Times New Roman"/>
          <w:sz w:val="24"/>
          <w:szCs w:val="24"/>
        </w:rPr>
        <w:t>, however, is a multinational institution at the very core of European Union policy</w:t>
      </w:r>
      <w:r w:rsidRPr="003E342A">
        <w:rPr>
          <w:rFonts w:ascii="Times New Roman" w:hAnsi="Times New Roman" w:cs="Times New Roman"/>
          <w:sz w:val="24"/>
          <w:szCs w:val="24"/>
        </w:rPr>
        <w:t xml:space="preserve">. The 1978 European Court of Justice case </w:t>
      </w:r>
      <w:proofErr w:type="spellStart"/>
      <w:r w:rsidRPr="003E342A">
        <w:rPr>
          <w:rFonts w:ascii="Times New Roman" w:hAnsi="Times New Roman" w:cs="Times New Roman"/>
          <w:i/>
          <w:sz w:val="24"/>
          <w:szCs w:val="24"/>
        </w:rPr>
        <w:t>Rewe</w:t>
      </w:r>
      <w:proofErr w:type="spellEnd"/>
      <w:r w:rsidRPr="003E342A">
        <w:rPr>
          <w:rFonts w:ascii="Times New Roman" w:hAnsi="Times New Roman" w:cs="Times New Roman"/>
          <w:i/>
          <w:sz w:val="24"/>
          <w:szCs w:val="24"/>
        </w:rPr>
        <w:t xml:space="preserve"> </w:t>
      </w:r>
      <w:proofErr w:type="spellStart"/>
      <w:r w:rsidRPr="003E342A">
        <w:rPr>
          <w:rFonts w:ascii="Times New Roman" w:hAnsi="Times New Roman" w:cs="Times New Roman"/>
          <w:i/>
          <w:sz w:val="24"/>
          <w:szCs w:val="24"/>
        </w:rPr>
        <w:t>Zentral</w:t>
      </w:r>
      <w:proofErr w:type="spellEnd"/>
      <w:r w:rsidRPr="003E342A">
        <w:rPr>
          <w:rFonts w:ascii="Times New Roman" w:hAnsi="Times New Roman" w:cs="Times New Roman"/>
          <w:i/>
          <w:sz w:val="24"/>
          <w:szCs w:val="24"/>
        </w:rPr>
        <w:t xml:space="preserve"> AG vs. </w:t>
      </w:r>
      <w:proofErr w:type="spellStart"/>
      <w:r w:rsidRPr="003E342A">
        <w:rPr>
          <w:rFonts w:ascii="Times New Roman" w:eastAsia="Times New Roman" w:hAnsi="Times New Roman" w:cs="Times New Roman"/>
          <w:i/>
          <w:sz w:val="24"/>
          <w:szCs w:val="24"/>
        </w:rPr>
        <w:t>Bundesmonopolverwaltun</w:t>
      </w:r>
      <w:proofErr w:type="spellEnd"/>
      <w:r w:rsidRPr="003E342A">
        <w:rPr>
          <w:rFonts w:ascii="Times New Roman" w:eastAsia="Times New Roman" w:hAnsi="Times New Roman" w:cs="Times New Roman"/>
          <w:i/>
          <w:sz w:val="24"/>
          <w:szCs w:val="24"/>
        </w:rPr>
        <w:t xml:space="preserve"> </w:t>
      </w:r>
      <w:proofErr w:type="spellStart"/>
      <w:r w:rsidRPr="003E342A">
        <w:rPr>
          <w:rFonts w:ascii="Times New Roman" w:eastAsia="Times New Roman" w:hAnsi="Times New Roman" w:cs="Times New Roman"/>
          <w:i/>
          <w:sz w:val="24"/>
          <w:szCs w:val="24"/>
        </w:rPr>
        <w:t>für</w:t>
      </w:r>
      <w:proofErr w:type="spellEnd"/>
      <w:r w:rsidRPr="003E342A">
        <w:rPr>
          <w:rFonts w:ascii="Times New Roman" w:eastAsia="Times New Roman" w:hAnsi="Times New Roman" w:cs="Times New Roman"/>
          <w:i/>
          <w:sz w:val="24"/>
          <w:szCs w:val="24"/>
        </w:rPr>
        <w:t xml:space="preserve"> </w:t>
      </w:r>
      <w:proofErr w:type="spellStart"/>
      <w:r w:rsidRPr="003E342A">
        <w:rPr>
          <w:rFonts w:ascii="Times New Roman" w:eastAsia="Times New Roman" w:hAnsi="Times New Roman" w:cs="Times New Roman"/>
          <w:i/>
          <w:sz w:val="24"/>
          <w:szCs w:val="24"/>
        </w:rPr>
        <w:t>Branntwein</w:t>
      </w:r>
      <w:proofErr w:type="spellEnd"/>
      <w:r w:rsidRPr="003E342A">
        <w:rPr>
          <w:rFonts w:ascii="Times New Roman" w:eastAsia="Times New Roman" w:hAnsi="Times New Roman" w:cs="Times New Roman"/>
          <w:sz w:val="24"/>
          <w:szCs w:val="24"/>
        </w:rPr>
        <w:t xml:space="preserve">, more popularly known as the </w:t>
      </w:r>
      <w:r w:rsidRPr="003E342A">
        <w:rPr>
          <w:rFonts w:ascii="Times New Roman" w:hAnsi="Times New Roman" w:cs="Times New Roman"/>
          <w:sz w:val="24"/>
          <w:szCs w:val="24"/>
        </w:rPr>
        <w:t>“Cassis de Dijon” case, established that any national laws that “</w:t>
      </w:r>
      <w:r w:rsidRPr="003E342A">
        <w:rPr>
          <w:rStyle w:val="fontstyle01"/>
          <w:rFonts w:ascii="Times New Roman" w:hAnsi="Times New Roman" w:cs="Times New Roman"/>
          <w:sz w:val="24"/>
          <w:szCs w:val="24"/>
        </w:rPr>
        <w:t>have effects</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equivalent to those of quantitative</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restrictions” are in violation of the EEC Treaty “as they directly affect</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the establishment or functioning of the</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common market</w:t>
      </w:r>
      <w:r w:rsidR="00225B5D" w:rsidRPr="003E342A">
        <w:rPr>
          <w:rStyle w:val="fontstyle01"/>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39"/>
      </w:r>
      <w:r w:rsidRPr="003E342A">
        <w:rPr>
          <w:rFonts w:ascii="Times New Roman" w:hAnsi="Times New Roman" w:cs="Times New Roman"/>
          <w:sz w:val="24"/>
          <w:szCs w:val="24"/>
        </w:rPr>
        <w:t xml:space="preserve"> As the European Parliament news release noted following the 2015 vote, “</w:t>
      </w:r>
      <w:r w:rsidRPr="003E342A">
        <w:rPr>
          <w:rFonts w:ascii="Times New Roman" w:eastAsia="Times New Roman" w:hAnsi="Times New Roman" w:cs="Times New Roman"/>
          <w:sz w:val="24"/>
          <w:szCs w:val="24"/>
          <w:lang w:eastAsia="zh-CN" w:bidi="he-IL"/>
        </w:rPr>
        <w:t>whereas cultivation necessarily takes place on a member state’s territory, GMO trade crosses borders, which means that a national “sales and use” ban could be difficult or impossible to enforce without reintroducing border checks on imports</w:t>
      </w:r>
      <w:r w:rsidR="00225B5D" w:rsidRPr="003E342A">
        <w:rPr>
          <w:rFonts w:ascii="Times New Roman" w:eastAsia="Times New Roman" w:hAnsi="Times New Roman" w:cs="Times New Roman"/>
          <w:sz w:val="24"/>
          <w:szCs w:val="24"/>
          <w:lang w:eastAsia="zh-CN" w:bidi="he-IL"/>
        </w:rPr>
        <w:t>.”</w:t>
      </w:r>
      <w:r w:rsidRPr="003E342A">
        <w:rPr>
          <w:rStyle w:val="FootnoteReference"/>
          <w:rFonts w:ascii="Times New Roman" w:eastAsia="Times New Roman" w:hAnsi="Times New Roman" w:cs="Times New Roman"/>
          <w:sz w:val="24"/>
          <w:szCs w:val="24"/>
          <w:lang w:eastAsia="zh-CN" w:bidi="he-IL"/>
        </w:rPr>
        <w:footnoteReference w:id="140"/>
      </w:r>
      <w:r w:rsidRPr="003E342A">
        <w:rPr>
          <w:rFonts w:ascii="Times New Roman" w:eastAsia="Times New Roman" w:hAnsi="Times New Roman" w:cs="Times New Roman"/>
          <w:sz w:val="24"/>
          <w:szCs w:val="24"/>
          <w:lang w:eastAsia="zh-CN" w:bidi="he-IL"/>
        </w:rPr>
        <w:t xml:space="preserve"> </w:t>
      </w:r>
      <w:r w:rsidRPr="003E342A">
        <w:rPr>
          <w:rFonts w:ascii="Times New Roman" w:hAnsi="Times New Roman" w:cs="Times New Roman"/>
          <w:sz w:val="24"/>
          <w:szCs w:val="24"/>
        </w:rPr>
        <w:t xml:space="preserve">Parliament Rapporteur Giovanni La Via recapitulated the nature of the vote: “Today’s vote gave a clear signal to the European Commission. This proposal could turn on its head what has been achieved with the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and the customs union</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41"/>
      </w:r>
      <w:r w:rsidRPr="003E342A">
        <w:rPr>
          <w:rFonts w:ascii="Times New Roman" w:hAnsi="Times New Roman" w:cs="Times New Roman"/>
          <w:sz w:val="24"/>
          <w:szCs w:val="24"/>
        </w:rPr>
        <w:t xml:space="preserve"> </w:t>
      </w:r>
      <w:r w:rsidR="003B6B2C">
        <w:rPr>
          <w:rFonts w:ascii="Times New Roman" w:hAnsi="Times New Roman" w:cs="Times New Roman"/>
          <w:sz w:val="24"/>
          <w:szCs w:val="24"/>
        </w:rPr>
        <w:t>Although it is worth considering that there are currently opt-outs on health and safety grounds</w:t>
      </w:r>
      <w:r w:rsidR="009928F3">
        <w:rPr>
          <w:rFonts w:ascii="Times New Roman" w:hAnsi="Times New Roman" w:cs="Times New Roman"/>
          <w:sz w:val="24"/>
          <w:szCs w:val="24"/>
        </w:rPr>
        <w:t xml:space="preserve"> in the European Union, it is worth considering that </w:t>
      </w:r>
      <w:r w:rsidR="002C3B9B">
        <w:rPr>
          <w:rFonts w:ascii="Times New Roman" w:hAnsi="Times New Roman" w:cs="Times New Roman"/>
          <w:sz w:val="24"/>
          <w:szCs w:val="24"/>
        </w:rPr>
        <w:t>such</w:t>
      </w:r>
      <w:r w:rsidR="009928F3">
        <w:rPr>
          <w:rFonts w:ascii="Times New Roman" w:hAnsi="Times New Roman" w:cs="Times New Roman"/>
          <w:sz w:val="24"/>
          <w:szCs w:val="24"/>
        </w:rPr>
        <w:t xml:space="preserve"> health and safety</w:t>
      </w:r>
      <w:r w:rsidR="002C3B9B">
        <w:rPr>
          <w:rFonts w:ascii="Times New Roman" w:hAnsi="Times New Roman" w:cs="Times New Roman"/>
          <w:sz w:val="24"/>
          <w:szCs w:val="24"/>
        </w:rPr>
        <w:t xml:space="preserve"> exceptions</w:t>
      </w:r>
      <w:r w:rsidR="009928F3">
        <w:rPr>
          <w:rFonts w:ascii="Times New Roman" w:hAnsi="Times New Roman" w:cs="Times New Roman"/>
          <w:sz w:val="24"/>
          <w:szCs w:val="24"/>
        </w:rPr>
        <w:t xml:space="preserve"> constitute </w:t>
      </w:r>
      <w:r w:rsidR="002C3B9B">
        <w:rPr>
          <w:rFonts w:ascii="Times New Roman" w:hAnsi="Times New Roman" w:cs="Times New Roman"/>
          <w:sz w:val="24"/>
          <w:szCs w:val="24"/>
        </w:rPr>
        <w:t>narrow ranges of</w:t>
      </w:r>
      <w:r w:rsidR="009928F3">
        <w:rPr>
          <w:rFonts w:ascii="Times New Roman" w:hAnsi="Times New Roman" w:cs="Times New Roman"/>
          <w:sz w:val="24"/>
          <w:szCs w:val="24"/>
        </w:rPr>
        <w:t xml:space="preserve"> products, whereas GMO goods represent entire industries and regional products</w:t>
      </w:r>
      <w:r w:rsidR="002C3B9B">
        <w:rPr>
          <w:rFonts w:ascii="Times New Roman" w:hAnsi="Times New Roman" w:cs="Times New Roman"/>
          <w:sz w:val="24"/>
          <w:szCs w:val="24"/>
        </w:rPr>
        <w:t>.</w:t>
      </w:r>
      <w:r w:rsidR="002C3B9B">
        <w:rPr>
          <w:rStyle w:val="FootnoteReference"/>
          <w:rFonts w:ascii="Times New Roman" w:hAnsi="Times New Roman" w:cs="Times New Roman"/>
          <w:sz w:val="24"/>
          <w:szCs w:val="24"/>
        </w:rPr>
        <w:footnoteReference w:id="142"/>
      </w:r>
      <w:r w:rsidR="009928F3">
        <w:rPr>
          <w:rFonts w:ascii="Times New Roman" w:hAnsi="Times New Roman" w:cs="Times New Roman"/>
          <w:sz w:val="24"/>
          <w:szCs w:val="24"/>
        </w:rPr>
        <w:t xml:space="preserve"> </w:t>
      </w:r>
      <w:r w:rsidR="002C3B9B">
        <w:rPr>
          <w:rFonts w:ascii="Times New Roman" w:hAnsi="Times New Roman" w:cs="Times New Roman"/>
          <w:sz w:val="24"/>
          <w:szCs w:val="24"/>
        </w:rPr>
        <w:t>I</w:t>
      </w:r>
      <w:r w:rsidR="009928F3">
        <w:rPr>
          <w:rFonts w:ascii="Times New Roman" w:hAnsi="Times New Roman" w:cs="Times New Roman"/>
          <w:sz w:val="24"/>
          <w:szCs w:val="24"/>
        </w:rPr>
        <w:t xml:space="preserve">n 2017, Spain’s cultivation of GM crops topped 120,000 </w:t>
      </w:r>
      <w:proofErr w:type="spellStart"/>
      <w:r w:rsidR="009928F3">
        <w:rPr>
          <w:rFonts w:ascii="Times New Roman" w:hAnsi="Times New Roman" w:cs="Times New Roman"/>
          <w:sz w:val="24"/>
          <w:szCs w:val="24"/>
        </w:rPr>
        <w:t>hecates</w:t>
      </w:r>
      <w:proofErr w:type="spellEnd"/>
      <w:r w:rsidR="009928F3">
        <w:rPr>
          <w:rFonts w:ascii="Times New Roman" w:hAnsi="Times New Roman" w:cs="Times New Roman"/>
          <w:sz w:val="24"/>
          <w:szCs w:val="24"/>
        </w:rPr>
        <w:t>, or 1,200 square kilometers</w:t>
      </w:r>
      <w:r w:rsidR="002C3B9B">
        <w:rPr>
          <w:rFonts w:ascii="Times New Roman" w:hAnsi="Times New Roman" w:cs="Times New Roman"/>
          <w:sz w:val="24"/>
          <w:szCs w:val="24"/>
        </w:rPr>
        <w:t xml:space="preserve">; possibly </w:t>
      </w:r>
      <w:r w:rsidR="002C3B9B">
        <w:rPr>
          <w:rFonts w:ascii="Times New Roman" w:hAnsi="Times New Roman" w:cs="Times New Roman"/>
          <w:sz w:val="24"/>
          <w:szCs w:val="24"/>
        </w:rPr>
        <w:lastRenderedPageBreak/>
        <w:t>much larger (though there is no data either way) is the scale of EU-wide</w:t>
      </w:r>
      <w:r w:rsidR="009928F3">
        <w:rPr>
          <w:rFonts w:ascii="Times New Roman" w:hAnsi="Times New Roman" w:cs="Times New Roman"/>
          <w:sz w:val="24"/>
          <w:szCs w:val="24"/>
        </w:rPr>
        <w:t xml:space="preserve"> production of processed foods that may incorporate GM inputs.</w:t>
      </w:r>
      <w:r w:rsidR="002C3B9B">
        <w:rPr>
          <w:rStyle w:val="FootnoteReference"/>
          <w:rFonts w:ascii="Times New Roman" w:hAnsi="Times New Roman" w:cs="Times New Roman"/>
          <w:sz w:val="24"/>
          <w:szCs w:val="24"/>
        </w:rPr>
        <w:footnoteReference w:id="143"/>
      </w:r>
    </w:p>
    <w:p w14:paraId="73B5FD1C" w14:textId="2FF70F8B" w:rsidR="000904CE" w:rsidRPr="003E342A" w:rsidRDefault="000904CE" w:rsidP="0028581B">
      <w:pPr>
        <w:spacing w:line="480" w:lineRule="auto"/>
        <w:ind w:firstLine="720"/>
        <w:jc w:val="both"/>
        <w:rPr>
          <w:rFonts w:ascii="Times New Roman" w:eastAsia="Times New Roman" w:hAnsi="Times New Roman" w:cs="Times New Roman"/>
          <w:sz w:val="24"/>
          <w:szCs w:val="24"/>
          <w:lang w:eastAsia="zh-CN" w:bidi="he-IL"/>
        </w:rPr>
      </w:pPr>
      <w:r w:rsidRPr="003E342A">
        <w:rPr>
          <w:rFonts w:ascii="Times New Roman" w:hAnsi="Times New Roman" w:cs="Times New Roman"/>
          <w:sz w:val="24"/>
          <w:szCs w:val="24"/>
        </w:rPr>
        <w:t xml:space="preserve">Perhaps most </w:t>
      </w:r>
      <w:r w:rsidR="00E304F4" w:rsidRPr="003E342A">
        <w:rPr>
          <w:rFonts w:ascii="Times New Roman" w:hAnsi="Times New Roman" w:cs="Times New Roman"/>
          <w:sz w:val="24"/>
          <w:szCs w:val="24"/>
        </w:rPr>
        <w:t>significantly</w:t>
      </w:r>
      <w:r w:rsidRPr="003E342A">
        <w:rPr>
          <w:rFonts w:ascii="Times New Roman" w:hAnsi="Times New Roman" w:cs="Times New Roman"/>
          <w:sz w:val="24"/>
          <w:szCs w:val="24"/>
        </w:rPr>
        <w:t>, these proposed border controls come at a time when Europe’s principle of open borders, and the integrity of the Schengen Area, are under duress due the migration controls imposed during the refugee crisis; in September 2015, a World Economic Forum reported gave consideration to the question “is this the end of Schengen?” with many other scholars and commentators sharing in the concern.</w:t>
      </w:r>
      <w:r w:rsidRPr="003E342A">
        <w:rPr>
          <w:rStyle w:val="FootnoteReference"/>
          <w:rFonts w:ascii="Times New Roman" w:hAnsi="Times New Roman" w:cs="Times New Roman"/>
          <w:sz w:val="24"/>
          <w:szCs w:val="24"/>
        </w:rPr>
        <w:footnoteReference w:id="144"/>
      </w:r>
      <w:r w:rsidRPr="003E342A">
        <w:rPr>
          <w:rFonts w:ascii="Times New Roman" w:hAnsi="Times New Roman" w:cs="Times New Roman"/>
          <w:sz w:val="24"/>
          <w:szCs w:val="24"/>
        </w:rPr>
        <w:t xml:space="preserve"> </w:t>
      </w:r>
      <w:r w:rsidR="00062348" w:rsidRPr="003E342A">
        <w:rPr>
          <w:rFonts w:ascii="Times New Roman" w:hAnsi="Times New Roman" w:cs="Times New Roman"/>
          <w:sz w:val="24"/>
          <w:szCs w:val="24"/>
        </w:rPr>
        <w:t>Several Member States have imposed migration-related border controls continuing at least through November 2018</w:t>
      </w:r>
      <w:r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45"/>
      </w:r>
      <w:r w:rsidRPr="003E342A">
        <w:rPr>
          <w:rFonts w:ascii="Times New Roman" w:hAnsi="Times New Roman" w:cs="Times New Roman"/>
          <w:sz w:val="24"/>
          <w:szCs w:val="24"/>
        </w:rPr>
        <w:t xml:space="preserve"> A one-two punch of migration controls along with customs and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restrictions would be a serious blow to the integrity of the principle of the EU’s Four Freedoms – free movement of goods, services, capital, and persons. If movement of persons can be restricted in a migration crisis, and movement of goods can be restricted for health concerns, would it not be justified to impose capital controls in the event of a new financial crisis, or to halt recognition of foreign professional licensing in order to ensure quality services for consumers? Simply put, norms and precedents matter (to wit: the internal Schengen controls were initially proposed as temporary emergency measures but have now been in effect for three years), and restriction of movement of persons alone is already </w:t>
      </w:r>
      <w:r w:rsidRPr="003E342A">
        <w:rPr>
          <w:rFonts w:ascii="Times New Roman" w:hAnsi="Times New Roman" w:cs="Times New Roman"/>
          <w:sz w:val="24"/>
          <w:szCs w:val="24"/>
        </w:rPr>
        <w:lastRenderedPageBreak/>
        <w:t xml:space="preserve">precipitating a crisis of faith in the European project; adding to it with a restriction in the </w:t>
      </w:r>
      <w:r w:rsidR="00271AE9">
        <w:rPr>
          <w:rFonts w:ascii="Times New Roman" w:hAnsi="Times New Roman" w:cs="Times New Roman"/>
          <w:sz w:val="24"/>
          <w:szCs w:val="24"/>
        </w:rPr>
        <w:t>Single Market</w:t>
      </w:r>
      <w:r w:rsidRPr="003E342A">
        <w:rPr>
          <w:rFonts w:ascii="Times New Roman" w:hAnsi="Times New Roman" w:cs="Times New Roman"/>
          <w:sz w:val="24"/>
          <w:szCs w:val="24"/>
        </w:rPr>
        <w:t xml:space="preserve"> could </w:t>
      </w:r>
      <w:r w:rsidR="00A41D24">
        <w:rPr>
          <w:rFonts w:ascii="Times New Roman" w:hAnsi="Times New Roman" w:cs="Times New Roman"/>
          <w:sz w:val="24"/>
          <w:szCs w:val="24"/>
        </w:rPr>
        <w:t>be highly deleterious to European integration.</w:t>
      </w:r>
    </w:p>
    <w:p w14:paraId="27BC11A3" w14:textId="77777777" w:rsidR="000904CE" w:rsidRPr="003E342A" w:rsidRDefault="000904CE" w:rsidP="000904CE">
      <w:pPr>
        <w:rPr>
          <w:rFonts w:ascii="Times New Roman" w:hAnsi="Times New Roman" w:cs="Times New Roman"/>
          <w:b/>
        </w:rPr>
      </w:pPr>
    </w:p>
    <w:p w14:paraId="12C956B4" w14:textId="510FE818" w:rsidR="008C28B2" w:rsidRDefault="008C28B2" w:rsidP="00973CC3">
      <w:pPr>
        <w:pStyle w:val="Heading1"/>
        <w:rPr>
          <w:rFonts w:cs="Times New Roman"/>
        </w:rPr>
      </w:pPr>
    </w:p>
    <w:p w14:paraId="6A47BD1A" w14:textId="77777777" w:rsidR="008C28B2" w:rsidRPr="008C28B2" w:rsidRDefault="008C28B2" w:rsidP="008C28B2"/>
    <w:p w14:paraId="74FD546E" w14:textId="44552DC2" w:rsidR="000904CE" w:rsidRPr="003E342A" w:rsidRDefault="000904CE" w:rsidP="00973CC3">
      <w:pPr>
        <w:pStyle w:val="Heading1"/>
        <w:rPr>
          <w:rFonts w:cs="Times New Roman"/>
        </w:rPr>
      </w:pPr>
      <w:bookmarkStart w:id="35" w:name="_Toc531878498"/>
      <w:r w:rsidRPr="003E342A">
        <w:rPr>
          <w:rFonts w:cs="Times New Roman"/>
        </w:rPr>
        <w:t>Economic Competitiveness</w:t>
      </w:r>
      <w:r w:rsidR="00CE7076" w:rsidRPr="003E342A">
        <w:rPr>
          <w:rFonts w:cs="Times New Roman"/>
        </w:rPr>
        <w:t>: The WTO and Biotech Investment</w:t>
      </w:r>
      <w:bookmarkEnd w:id="35"/>
    </w:p>
    <w:p w14:paraId="381F6301" w14:textId="77777777" w:rsidR="00973CC3" w:rsidRPr="003E342A" w:rsidRDefault="00973CC3" w:rsidP="00973CC3">
      <w:pPr>
        <w:rPr>
          <w:rFonts w:ascii="Times New Roman" w:hAnsi="Times New Roman" w:cs="Times New Roman"/>
        </w:rPr>
      </w:pPr>
    </w:p>
    <w:p w14:paraId="359D0556" w14:textId="77777777" w:rsidR="000904CE" w:rsidRPr="003E342A" w:rsidRDefault="000904CE" w:rsidP="00CE7076">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A second point on the Regulator’s Trilemma is the drive for economic competitiveness; unfortunately, this, too would take a blow for the sake of increasing GMO regulations. In addition to the endogenous factors compelling the Commission not to undertake the reforms, there is an exogenous reason: the negative consequences of trade protectionism. While the precautionary principle and democratic legitimacy may be </w:t>
      </w:r>
      <w:proofErr w:type="gramStart"/>
      <w:r w:rsidRPr="003E342A">
        <w:rPr>
          <w:rFonts w:ascii="Times New Roman" w:hAnsi="Times New Roman" w:cs="Times New Roman"/>
          <w:sz w:val="24"/>
          <w:szCs w:val="24"/>
        </w:rPr>
        <w:t>sufficient</w:t>
      </w:r>
      <w:proofErr w:type="gramEnd"/>
      <w:r w:rsidRPr="003E342A">
        <w:rPr>
          <w:rFonts w:ascii="Times New Roman" w:hAnsi="Times New Roman" w:cs="Times New Roman"/>
          <w:sz w:val="24"/>
          <w:szCs w:val="24"/>
        </w:rPr>
        <w:t xml:space="preserve"> reasons from an EU perspective to allow member states to prevent the marketing of GMOs on their territories, international actors tend to view things differently. From the perspective of the WTO, trade protectionism is about ends, not means. The question of trade protectionism has little to do with the reasons countries or trade blocs may put certain policies into place, but rather those policies have effects: a health-related policy, not backed by </w:t>
      </w:r>
      <w:proofErr w:type="gramStart"/>
      <w:r w:rsidRPr="003E342A">
        <w:rPr>
          <w:rFonts w:ascii="Times New Roman" w:hAnsi="Times New Roman" w:cs="Times New Roman"/>
          <w:sz w:val="24"/>
          <w:szCs w:val="24"/>
        </w:rPr>
        <w:t>sufficient</w:t>
      </w:r>
      <w:proofErr w:type="gramEnd"/>
      <w:r w:rsidRPr="003E342A">
        <w:rPr>
          <w:rFonts w:ascii="Times New Roman" w:hAnsi="Times New Roman" w:cs="Times New Roman"/>
          <w:sz w:val="24"/>
          <w:szCs w:val="24"/>
        </w:rPr>
        <w:t xml:space="preserve"> scientific evidence, that has the effect of serving as a trade barrier is as much a trade barrier as a tariff explicitly conceived as such.</w:t>
      </w:r>
      <w:r w:rsidRPr="003E342A">
        <w:rPr>
          <w:rStyle w:val="FootnoteReference"/>
          <w:rFonts w:ascii="Times New Roman" w:hAnsi="Times New Roman" w:cs="Times New Roman"/>
          <w:sz w:val="24"/>
          <w:szCs w:val="24"/>
        </w:rPr>
        <w:footnoteReference w:id="146"/>
      </w:r>
    </w:p>
    <w:p w14:paraId="63E27401" w14:textId="7C9C6BFE"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Through its Dispute Settlement mechanism, the World Trade Organization arbitrates international trade disputes brought before it by complainants. Though the European Commission’s proposed reforms are neither approved nor tested, there is little need for idle speculation on the matter of a WTO verdict on their potential trade-limiting effects; indeed, the WTO has already ruled on such a case. In 2003, the United States, supported by Canada and </w:t>
      </w:r>
      <w:r w:rsidRPr="003E342A">
        <w:rPr>
          <w:rFonts w:ascii="Times New Roman" w:hAnsi="Times New Roman" w:cs="Times New Roman"/>
          <w:sz w:val="24"/>
          <w:szCs w:val="24"/>
        </w:rPr>
        <w:lastRenderedPageBreak/>
        <w:t>Argentina, lodged an official complaint with the WTO alleging that the European Communities “has applied a moratorium on the approval of biotech products…the approvals moratorium has restricted imports of agricultural and food products from the United States</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The complaint further held that “the member States maintain a number of national marketing and import bans on biotech products even though those products have already been approved by the EC…The national marketing and import bans have restricted imports of agricultural and food products from the United States</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47"/>
      </w:r>
      <w:r w:rsidRPr="003E342A">
        <w:rPr>
          <w:rFonts w:ascii="Times New Roman" w:hAnsi="Times New Roman" w:cs="Times New Roman"/>
          <w:sz w:val="24"/>
          <w:szCs w:val="24"/>
        </w:rPr>
        <w:t xml:space="preserve"> Though the European Communities “categorically denied the existence of such a moratorium,” the panel ultimately found that such a moratorium indeed existed, and accepted the parties’ requests to work outside the WTO framework toward a mutually agreeable solution.</w:t>
      </w:r>
      <w:r w:rsidRPr="003E342A">
        <w:rPr>
          <w:rStyle w:val="FootnoteReference"/>
          <w:rFonts w:ascii="Times New Roman" w:hAnsi="Times New Roman" w:cs="Times New Roman"/>
          <w:sz w:val="24"/>
          <w:szCs w:val="24"/>
        </w:rPr>
        <w:footnoteReference w:id="148"/>
      </w:r>
      <w:r w:rsidRPr="003E342A">
        <w:rPr>
          <w:rFonts w:ascii="Times New Roman" w:hAnsi="Times New Roman" w:cs="Times New Roman"/>
          <w:sz w:val="24"/>
          <w:szCs w:val="24"/>
        </w:rPr>
        <w:t xml:space="preserve"> However, although some loosening of EU regulatory framework has occurred, the dispute has not been officially closed; as of the most recent update to the dispute, dated July 10, 2018, “the European Union remains ready to continue its discussions with the United States with the goal of resolving this dispute and related issues.”</w:t>
      </w:r>
    </w:p>
    <w:p w14:paraId="01893A4F" w14:textId="77777777"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The ongoing WTO dispute, the possibility of renewed WTO complaints by the United States and other exporters of GMO agricultural goods, and the demonstrated willingness of the United States (under the Trump administration) to implement tariffs on the EU, all serve as significant inducements for the EU to loosen its </w:t>
      </w:r>
      <w:r w:rsidRPr="003E342A">
        <w:rPr>
          <w:rFonts w:ascii="Times New Roman" w:hAnsi="Times New Roman" w:cs="Times New Roman"/>
          <w:i/>
          <w:sz w:val="24"/>
          <w:szCs w:val="24"/>
        </w:rPr>
        <w:t>existing</w:t>
      </w:r>
      <w:r w:rsidRPr="003E342A">
        <w:rPr>
          <w:rFonts w:ascii="Times New Roman" w:hAnsi="Times New Roman" w:cs="Times New Roman"/>
          <w:sz w:val="24"/>
          <w:szCs w:val="24"/>
        </w:rPr>
        <w:t xml:space="preserve"> regulatory stance on GMOs and other biotech products. The possibility of this regulatory framework being reformed in a way that would not loosen but rather </w:t>
      </w:r>
      <w:r w:rsidRPr="003E342A">
        <w:rPr>
          <w:rFonts w:ascii="Times New Roman" w:hAnsi="Times New Roman" w:cs="Times New Roman"/>
          <w:i/>
          <w:sz w:val="24"/>
          <w:szCs w:val="24"/>
        </w:rPr>
        <w:t>tighten</w:t>
      </w:r>
      <w:r w:rsidRPr="003E342A">
        <w:rPr>
          <w:rFonts w:ascii="Times New Roman" w:hAnsi="Times New Roman" w:cs="Times New Roman"/>
          <w:sz w:val="24"/>
          <w:szCs w:val="24"/>
        </w:rPr>
        <w:t xml:space="preserve"> the regulatory process and serve as an even more impenetrable trade barrier should be examined with the utmost caution. A regulatory regime that would effectively </w:t>
      </w:r>
      <w:r w:rsidRPr="003E342A">
        <w:rPr>
          <w:rFonts w:ascii="Times New Roman" w:hAnsi="Times New Roman" w:cs="Times New Roman"/>
          <w:sz w:val="24"/>
          <w:szCs w:val="24"/>
        </w:rPr>
        <w:lastRenderedPageBreak/>
        <w:t>devolve the approval process for GMOs to Member State governments would create a host of new possible disputes between countries such as the United States and individual EU members states.</w:t>
      </w:r>
    </w:p>
    <w:p w14:paraId="088EAA6A" w14:textId="477C3804"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Beyond the WTO angle, an increasing restriction in GMO sales in production would be disastrous for the EU’s competitiveness in the biotech sector and jeopardize the EU’s “Europe 2020” goal of transitioning to a </w:t>
      </w:r>
      <w:proofErr w:type="gramStart"/>
      <w:r w:rsidRPr="003E342A">
        <w:rPr>
          <w:rFonts w:ascii="Times New Roman" w:hAnsi="Times New Roman" w:cs="Times New Roman"/>
          <w:sz w:val="24"/>
          <w:szCs w:val="24"/>
        </w:rPr>
        <w:t>knowledge based</w:t>
      </w:r>
      <w:proofErr w:type="gramEnd"/>
      <w:r w:rsidRPr="003E342A">
        <w:rPr>
          <w:rFonts w:ascii="Times New Roman" w:hAnsi="Times New Roman" w:cs="Times New Roman"/>
          <w:sz w:val="24"/>
          <w:szCs w:val="24"/>
        </w:rPr>
        <w:t xml:space="preserve"> economy. To put this in a global perspective, Chinese investment in biotechnology is soaring, with $5.1 billion invested in US biotech firms in the first half of 2017, and the Chinese biologics market expected to grow 16% by 2021, compared to only 6% for Europe and 9% for the United States.</w:t>
      </w:r>
      <w:r w:rsidRPr="003E342A">
        <w:rPr>
          <w:rStyle w:val="FootnoteReference"/>
          <w:rFonts w:ascii="Times New Roman" w:hAnsi="Times New Roman" w:cs="Times New Roman"/>
          <w:sz w:val="24"/>
          <w:szCs w:val="24"/>
        </w:rPr>
        <w:footnoteReference w:id="149"/>
      </w:r>
      <w:r w:rsidRPr="003E342A">
        <w:rPr>
          <w:rFonts w:ascii="Times New Roman" w:hAnsi="Times New Roman" w:cs="Times New Roman"/>
          <w:sz w:val="24"/>
          <w:szCs w:val="24"/>
        </w:rPr>
        <w:t xml:space="preserve"> The number of biotechnology firms in Europe is only 71% that of the United States, despite a larger overall population and economy. Although the connection with GMO policy is difficult to demonstrate directly, it is worth noting that the plurality (33%) of those firms are located in GMO-friendly Spain, despite its contributing only one tenth of the EU’s total population and a fraction of the overall GDP of the EU.</w:t>
      </w:r>
      <w:r w:rsidRPr="003E342A">
        <w:rPr>
          <w:rStyle w:val="FootnoteReference"/>
          <w:rFonts w:ascii="Times New Roman" w:hAnsi="Times New Roman" w:cs="Times New Roman"/>
          <w:sz w:val="24"/>
          <w:szCs w:val="24"/>
        </w:rPr>
        <w:footnoteReference w:id="150"/>
      </w:r>
      <w:r w:rsidRPr="003E342A">
        <w:rPr>
          <w:rFonts w:ascii="Times New Roman" w:hAnsi="Times New Roman" w:cs="Times New Roman"/>
          <w:sz w:val="24"/>
          <w:szCs w:val="24"/>
        </w:rPr>
        <w:t xml:space="preserve"> In short, Europe’s biotech sector is dangerously close to falling further behind the leadership of American, Chinese, and other firms.</w:t>
      </w:r>
      <w:r w:rsidR="00B57106">
        <w:rPr>
          <w:rFonts w:ascii="Times New Roman" w:hAnsi="Times New Roman" w:cs="Times New Roman"/>
          <w:sz w:val="24"/>
          <w:szCs w:val="24"/>
        </w:rPr>
        <w:t xml:space="preserve"> Or, as scathingly encapsulated by </w:t>
      </w:r>
      <w:proofErr w:type="gramStart"/>
      <w:r w:rsidR="00B57106">
        <w:rPr>
          <w:rFonts w:ascii="Times New Roman" w:hAnsi="Times New Roman" w:cs="Times New Roman"/>
          <w:sz w:val="24"/>
          <w:szCs w:val="24"/>
        </w:rPr>
        <w:t>a</w:t>
      </w:r>
      <w:proofErr w:type="gramEnd"/>
      <w:r w:rsidR="00B57106">
        <w:rPr>
          <w:rFonts w:ascii="Times New Roman" w:hAnsi="Times New Roman" w:cs="Times New Roman"/>
          <w:sz w:val="24"/>
          <w:szCs w:val="24"/>
        </w:rPr>
        <w:t xml:space="preserve"> agricultural industry group</w:t>
      </w:r>
      <w:r w:rsidR="00B57106" w:rsidRPr="00B57106">
        <w:rPr>
          <w:rFonts w:ascii="Times New Roman" w:hAnsi="Times New Roman" w:cs="Times New Roman"/>
          <w:sz w:val="24"/>
          <w:szCs w:val="24"/>
        </w:rPr>
        <w:t>, “</w:t>
      </w:r>
      <w:r w:rsidR="00B57106" w:rsidRPr="00B57106">
        <w:rPr>
          <w:rStyle w:val="A2"/>
          <w:rFonts w:ascii="Times New Roman" w:hAnsi="Times New Roman" w:cs="Times New Roman"/>
          <w:sz w:val="24"/>
          <w:szCs w:val="24"/>
        </w:rPr>
        <w:t xml:space="preserve">The EU regulatory system is increasingly based on hazard and the precautionary principle rather than risk, in contrast to regulatory bodies in other regions. This has resulted in fewer crop protection products and GM seed varieties being available to farmers in the EU, as opposed to other regions such as the USA and Brazil. This situation also makes the region less attractive as a focus for private </w:t>
      </w:r>
      <w:r w:rsidR="00B57106" w:rsidRPr="00B57106">
        <w:rPr>
          <w:rStyle w:val="A2"/>
          <w:rFonts w:ascii="Times New Roman" w:hAnsi="Times New Roman" w:cs="Times New Roman"/>
          <w:sz w:val="24"/>
          <w:szCs w:val="24"/>
        </w:rPr>
        <w:lastRenderedPageBreak/>
        <w:t>companies’ research and development.”</w:t>
      </w:r>
      <w:r w:rsidR="00B57106">
        <w:rPr>
          <w:rStyle w:val="FootnoteReference"/>
          <w:rFonts w:ascii="Times New Roman" w:hAnsi="Times New Roman" w:cs="Times New Roman"/>
          <w:color w:val="000000"/>
          <w:sz w:val="24"/>
          <w:szCs w:val="24"/>
        </w:rPr>
        <w:footnoteReference w:id="151"/>
      </w:r>
      <w:r w:rsidR="00B57106" w:rsidRPr="003E342A">
        <w:rPr>
          <w:rFonts w:ascii="Times New Roman" w:hAnsi="Times New Roman" w:cs="Times New Roman"/>
          <w:sz w:val="24"/>
          <w:szCs w:val="24"/>
        </w:rPr>
        <w:t xml:space="preserve"> </w:t>
      </w:r>
      <w:r w:rsidR="00F4538F" w:rsidRPr="003E342A">
        <w:rPr>
          <w:rFonts w:ascii="Times New Roman" w:hAnsi="Times New Roman" w:cs="Times New Roman"/>
          <w:sz w:val="24"/>
          <w:szCs w:val="24"/>
        </w:rPr>
        <w:t>More generally, there is a perception that Europe is slipping away from leadership in science and technology, with increasingly stringent restrictions on telecommunications or private data</w:t>
      </w:r>
      <w:r w:rsidR="00406029">
        <w:rPr>
          <w:rFonts w:ascii="Times New Roman" w:hAnsi="Times New Roman" w:cs="Times New Roman"/>
          <w:sz w:val="24"/>
          <w:szCs w:val="24"/>
        </w:rPr>
        <w:t xml:space="preserve"> recently</w:t>
      </w:r>
      <w:r w:rsidR="00F4538F" w:rsidRPr="003E342A">
        <w:rPr>
          <w:rFonts w:ascii="Times New Roman" w:hAnsi="Times New Roman" w:cs="Times New Roman"/>
          <w:sz w:val="24"/>
          <w:szCs w:val="24"/>
        </w:rPr>
        <w:t xml:space="preserve">. “You see in Europe the idea that </w:t>
      </w:r>
      <w:proofErr w:type="gramStart"/>
      <w:r w:rsidR="00F4538F" w:rsidRPr="003E342A">
        <w:rPr>
          <w:rFonts w:ascii="Times New Roman" w:hAnsi="Times New Roman" w:cs="Times New Roman"/>
          <w:sz w:val="24"/>
          <w:szCs w:val="24"/>
        </w:rPr>
        <w:t>technology’s</w:t>
      </w:r>
      <w:proofErr w:type="gramEnd"/>
      <w:r w:rsidR="00F4538F" w:rsidRPr="003E342A">
        <w:rPr>
          <w:rFonts w:ascii="Times New Roman" w:hAnsi="Times New Roman" w:cs="Times New Roman"/>
          <w:sz w:val="24"/>
          <w:szCs w:val="24"/>
        </w:rPr>
        <w:t xml:space="preserve"> </w:t>
      </w:r>
      <w:r w:rsidR="00F4538F" w:rsidRPr="003E342A">
        <w:rPr>
          <w:rStyle w:val="Emphasis"/>
          <w:rFonts w:ascii="Times New Roman" w:hAnsi="Times New Roman" w:cs="Times New Roman"/>
          <w:sz w:val="24"/>
          <w:szCs w:val="24"/>
        </w:rPr>
        <w:t>against</w:t>
      </w:r>
      <w:r w:rsidR="00F4538F" w:rsidRPr="003E342A">
        <w:rPr>
          <w:rFonts w:ascii="Times New Roman" w:hAnsi="Times New Roman" w:cs="Times New Roman"/>
          <w:sz w:val="24"/>
          <w:szCs w:val="24"/>
        </w:rPr>
        <w:t xml:space="preserve"> us, and we should resist this rather than embrace it. A very negative spirit, which I think is a good example of how adventure has disappeared from the European psyche,” surely not an attitude conducive to economic growth and competitiveness.</w:t>
      </w:r>
      <w:r w:rsidR="00F4538F" w:rsidRPr="003E342A">
        <w:rPr>
          <w:rStyle w:val="FootnoteReference"/>
          <w:rFonts w:ascii="Times New Roman" w:hAnsi="Times New Roman" w:cs="Times New Roman"/>
          <w:sz w:val="24"/>
          <w:szCs w:val="24"/>
        </w:rPr>
        <w:footnoteReference w:id="152"/>
      </w:r>
    </w:p>
    <w:p w14:paraId="2EBBF8C3" w14:textId="77777777" w:rsidR="00973CC3" w:rsidRPr="003E342A" w:rsidRDefault="00973CC3" w:rsidP="000904CE">
      <w:pPr>
        <w:spacing w:line="480" w:lineRule="auto"/>
        <w:ind w:firstLine="720"/>
        <w:jc w:val="both"/>
        <w:rPr>
          <w:rFonts w:ascii="Times New Roman" w:hAnsi="Times New Roman" w:cs="Times New Roman"/>
          <w:sz w:val="24"/>
          <w:szCs w:val="24"/>
        </w:rPr>
      </w:pPr>
    </w:p>
    <w:p w14:paraId="15F007F0" w14:textId="23ACAF8A" w:rsidR="000904CE" w:rsidRPr="003E342A" w:rsidRDefault="00CE7076" w:rsidP="00973CC3">
      <w:pPr>
        <w:pStyle w:val="Heading1"/>
        <w:rPr>
          <w:rFonts w:cs="Times New Roman"/>
        </w:rPr>
      </w:pPr>
      <w:bookmarkStart w:id="36" w:name="_Toc531878499"/>
      <w:r w:rsidRPr="003E342A">
        <w:rPr>
          <w:rFonts w:cs="Times New Roman"/>
        </w:rPr>
        <w:t xml:space="preserve">The Second Dimension: </w:t>
      </w:r>
      <w:r w:rsidR="000904CE" w:rsidRPr="003E342A">
        <w:rPr>
          <w:rFonts w:cs="Times New Roman"/>
        </w:rPr>
        <w:t>Public Choice</w:t>
      </w:r>
      <w:bookmarkEnd w:id="36"/>
    </w:p>
    <w:p w14:paraId="66D67CBC" w14:textId="77777777" w:rsidR="00973CC3" w:rsidRPr="003E342A" w:rsidRDefault="00973CC3" w:rsidP="00973CC3">
      <w:pPr>
        <w:rPr>
          <w:rFonts w:ascii="Times New Roman" w:hAnsi="Times New Roman" w:cs="Times New Roman"/>
        </w:rPr>
      </w:pPr>
    </w:p>
    <w:p w14:paraId="346D3331" w14:textId="77777777" w:rsidR="000904CE" w:rsidRPr="003E342A" w:rsidRDefault="000904CE" w:rsidP="000904CE">
      <w:pPr>
        <w:spacing w:line="480" w:lineRule="auto"/>
        <w:ind w:firstLine="720"/>
        <w:jc w:val="both"/>
        <w:rPr>
          <w:rFonts w:ascii="Times New Roman" w:hAnsi="Times New Roman" w:cs="Times New Roman"/>
          <w:bCs/>
          <w:sz w:val="24"/>
          <w:szCs w:val="24"/>
        </w:rPr>
      </w:pPr>
      <w:r w:rsidRPr="003E342A">
        <w:rPr>
          <w:rFonts w:ascii="Times New Roman" w:hAnsi="Times New Roman" w:cs="Times New Roman"/>
          <w:bCs/>
          <w:sz w:val="24"/>
          <w:szCs w:val="24"/>
        </w:rPr>
        <w:t xml:space="preserve">The above sections demonstrate how a more restrictive regulatory regime for GMOs would be harmful on the grounds of both EU integration and global economic competitiveness. The comitological and regulatory reforms proposed by the Juncker Commission aim to solve a cluster of related problems. Aside from resolving the committee deadlocks that have gripped EU GMO regulatory proceedings for years, the reform would also respond to the pressure of interest groups and the expressed opinions of large portions of the European populace regarding GMOs, as well as set a precedent of increased democratic and participatory input in health and safety regulations, helping to alleviate some elements of the EU’s longstanding democratic deficit. Those goals, namely the last, are highly important for the continued legitimacy of European institutions, and steps must be taken to resolve them before discontent festers and environmental groups and green parties find common cause with </w:t>
      </w:r>
      <w:proofErr w:type="spellStart"/>
      <w:r w:rsidRPr="003E342A">
        <w:rPr>
          <w:rFonts w:ascii="Times New Roman" w:hAnsi="Times New Roman" w:cs="Times New Roman"/>
          <w:bCs/>
          <w:sz w:val="24"/>
          <w:szCs w:val="24"/>
        </w:rPr>
        <w:t>Euroskeptic</w:t>
      </w:r>
      <w:proofErr w:type="spellEnd"/>
      <w:r w:rsidRPr="003E342A">
        <w:rPr>
          <w:rFonts w:ascii="Times New Roman" w:hAnsi="Times New Roman" w:cs="Times New Roman"/>
          <w:bCs/>
          <w:sz w:val="24"/>
          <w:szCs w:val="24"/>
        </w:rPr>
        <w:t xml:space="preserve"> nationalists.</w:t>
      </w:r>
    </w:p>
    <w:p w14:paraId="5C51B0B2" w14:textId="77CCBB74" w:rsidR="000904CE" w:rsidRPr="003E342A" w:rsidRDefault="000904CE" w:rsidP="000904CE">
      <w:pPr>
        <w:spacing w:line="480" w:lineRule="auto"/>
        <w:ind w:firstLine="720"/>
        <w:jc w:val="both"/>
        <w:rPr>
          <w:rFonts w:ascii="Times New Roman" w:hAnsi="Times New Roman" w:cs="Times New Roman"/>
          <w:bCs/>
          <w:sz w:val="24"/>
          <w:szCs w:val="24"/>
        </w:rPr>
      </w:pPr>
      <w:r w:rsidRPr="003E342A">
        <w:rPr>
          <w:rFonts w:ascii="Times New Roman" w:hAnsi="Times New Roman" w:cs="Times New Roman"/>
          <w:bCs/>
          <w:sz w:val="24"/>
          <w:szCs w:val="24"/>
        </w:rPr>
        <w:lastRenderedPageBreak/>
        <w:t xml:space="preserve">However, there are numerous reasons why the reforms have not been implemented, and indeed </w:t>
      </w:r>
      <w:r w:rsidR="00062348" w:rsidRPr="003E342A">
        <w:rPr>
          <w:rFonts w:ascii="Times New Roman" w:hAnsi="Times New Roman" w:cs="Times New Roman"/>
          <w:bCs/>
          <w:sz w:val="24"/>
          <w:szCs w:val="24"/>
        </w:rPr>
        <w:t>would result in several difficulties if implemented</w:t>
      </w:r>
      <w:r w:rsidRPr="003E342A">
        <w:rPr>
          <w:rFonts w:ascii="Times New Roman" w:hAnsi="Times New Roman" w:cs="Times New Roman"/>
          <w:bCs/>
          <w:sz w:val="24"/>
          <w:szCs w:val="24"/>
        </w:rPr>
        <w:t xml:space="preserve"> in their present form. First, scientific opinion diverges significantly from popular opinion on the matter of the safety of genetically modified foods, setting the conditions for a so-called Schumpeterian “public choice dilemma</w:t>
      </w:r>
      <w:r w:rsidR="00225B5D" w:rsidRPr="003E342A">
        <w:rPr>
          <w:rFonts w:ascii="Times New Roman" w:hAnsi="Times New Roman" w:cs="Times New Roman"/>
          <w:bCs/>
          <w:sz w:val="24"/>
          <w:szCs w:val="24"/>
        </w:rPr>
        <w:t>.”</w:t>
      </w:r>
      <w:r w:rsidRPr="003E342A">
        <w:rPr>
          <w:rFonts w:ascii="Times New Roman" w:hAnsi="Times New Roman" w:cs="Times New Roman"/>
          <w:bCs/>
          <w:sz w:val="24"/>
          <w:szCs w:val="24"/>
        </w:rPr>
        <w:t xml:space="preserve"> Second, by allowing internal prohibitions on the sale of GMOs, the EU risks sacrificing economic competitiveness in biotechnology, as encapsulated in the so-called Regulator’s Dilemma – a position that continues to be prohibited by WTO rulings in an ongoing trade dispute with the United States. Further, devolution could represent a watershed moment of using </w:t>
      </w:r>
      <w:r w:rsidR="00062348" w:rsidRPr="003E342A">
        <w:rPr>
          <w:rFonts w:ascii="Times New Roman" w:hAnsi="Times New Roman" w:cs="Times New Roman"/>
          <w:bCs/>
          <w:sz w:val="24"/>
          <w:szCs w:val="24"/>
        </w:rPr>
        <w:t>subsidiarity</w:t>
      </w:r>
      <w:r w:rsidRPr="003E342A">
        <w:rPr>
          <w:rFonts w:ascii="Times New Roman" w:hAnsi="Times New Roman" w:cs="Times New Roman"/>
          <w:bCs/>
          <w:sz w:val="24"/>
          <w:szCs w:val="24"/>
        </w:rPr>
        <w:t xml:space="preserve"> to avoid a compromise solution at the EU Commission level, threatening to undo decades of regulatory harmonization and EU-wide standardization</w:t>
      </w:r>
      <w:r w:rsidR="00062348" w:rsidRPr="003E342A">
        <w:rPr>
          <w:rFonts w:ascii="Times New Roman" w:hAnsi="Times New Roman" w:cs="Times New Roman"/>
          <w:bCs/>
          <w:sz w:val="24"/>
          <w:szCs w:val="24"/>
        </w:rPr>
        <w:t>. E</w:t>
      </w:r>
      <w:r w:rsidRPr="003E342A">
        <w:rPr>
          <w:rFonts w:ascii="Times New Roman" w:hAnsi="Times New Roman" w:cs="Times New Roman"/>
          <w:bCs/>
          <w:sz w:val="24"/>
          <w:szCs w:val="24"/>
        </w:rPr>
        <w:t xml:space="preserve">ven the fundamental principle of the </w:t>
      </w:r>
      <w:r w:rsidR="00271AE9">
        <w:rPr>
          <w:rFonts w:ascii="Times New Roman" w:hAnsi="Times New Roman" w:cs="Times New Roman"/>
          <w:bCs/>
          <w:sz w:val="24"/>
          <w:szCs w:val="24"/>
        </w:rPr>
        <w:t>Single Market</w:t>
      </w:r>
      <w:r w:rsidRPr="003E342A">
        <w:rPr>
          <w:rFonts w:ascii="Times New Roman" w:hAnsi="Times New Roman" w:cs="Times New Roman"/>
          <w:bCs/>
          <w:sz w:val="24"/>
          <w:szCs w:val="24"/>
        </w:rPr>
        <w:t xml:space="preserve"> could be under threat if GM products </w:t>
      </w:r>
      <w:proofErr w:type="gramStart"/>
      <w:r w:rsidRPr="003E342A">
        <w:rPr>
          <w:rFonts w:ascii="Times New Roman" w:hAnsi="Times New Roman" w:cs="Times New Roman"/>
          <w:bCs/>
          <w:sz w:val="24"/>
          <w:szCs w:val="24"/>
        </w:rPr>
        <w:t>are allowed to</w:t>
      </w:r>
      <w:proofErr w:type="gramEnd"/>
      <w:r w:rsidRPr="003E342A">
        <w:rPr>
          <w:rFonts w:ascii="Times New Roman" w:hAnsi="Times New Roman" w:cs="Times New Roman"/>
          <w:bCs/>
          <w:sz w:val="24"/>
          <w:szCs w:val="24"/>
        </w:rPr>
        <w:t xml:space="preserve"> be blocked from the market in some EU countries and not others, with the specter of a WTO dispute involving several European countries. When combined with the previous Regulator’s Dilemma, this option has major implications for the European Regulation Trilemma as encapsulated by Smith.</w:t>
      </w:r>
    </w:p>
    <w:p w14:paraId="44F48AF5" w14:textId="77777777" w:rsidR="000904CE" w:rsidRPr="003E342A" w:rsidRDefault="000904CE" w:rsidP="000904CE">
      <w:pPr>
        <w:spacing w:line="480" w:lineRule="auto"/>
        <w:jc w:val="both"/>
        <w:rPr>
          <w:rFonts w:ascii="Times New Roman" w:hAnsi="Times New Roman" w:cs="Times New Roman"/>
          <w:b/>
          <w:sz w:val="24"/>
          <w:szCs w:val="24"/>
        </w:rPr>
      </w:pPr>
    </w:p>
    <w:p w14:paraId="7483C13A" w14:textId="3EF4C6AA" w:rsidR="000904CE" w:rsidRPr="003E342A" w:rsidRDefault="000904CE" w:rsidP="00973CC3">
      <w:pPr>
        <w:pStyle w:val="Heading2"/>
        <w:rPr>
          <w:rFonts w:cs="Times New Roman"/>
        </w:rPr>
      </w:pPr>
      <w:r w:rsidRPr="003E342A">
        <w:rPr>
          <w:rFonts w:cs="Times New Roman"/>
        </w:rPr>
        <w:t>The Crisis of Public Choice</w:t>
      </w:r>
    </w:p>
    <w:p w14:paraId="75306714" w14:textId="77777777" w:rsidR="00973CC3" w:rsidRPr="003E342A" w:rsidRDefault="00973CC3" w:rsidP="00973CC3">
      <w:pPr>
        <w:rPr>
          <w:rFonts w:ascii="Times New Roman" w:hAnsi="Times New Roman" w:cs="Times New Roman"/>
        </w:rPr>
      </w:pPr>
    </w:p>
    <w:p w14:paraId="683CDB9F" w14:textId="4816074C" w:rsidR="000904CE" w:rsidRPr="003E342A" w:rsidRDefault="004040BB"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The introduction</w:t>
      </w:r>
      <w:r w:rsidR="00DD31A2" w:rsidRPr="003E342A">
        <w:rPr>
          <w:rFonts w:ascii="Times New Roman" w:hAnsi="Times New Roman" w:cs="Times New Roman"/>
          <w:sz w:val="24"/>
          <w:szCs w:val="24"/>
        </w:rPr>
        <w:t xml:space="preserve"> touches on Giovanni Tagliabue’s criticism of EU GMO regulatory policy as a Public Choice dilemma. </w:t>
      </w:r>
      <w:r w:rsidR="000904CE" w:rsidRPr="003E342A">
        <w:rPr>
          <w:rFonts w:ascii="Times New Roman" w:hAnsi="Times New Roman" w:cs="Times New Roman"/>
          <w:sz w:val="24"/>
          <w:szCs w:val="24"/>
        </w:rPr>
        <w:t>An examination of the concept of Schumpeterian Public Choice explains what Tagliabue means with this so-called dilemma. According to Mitchell (1984), Dennis Mueller delivers the accepted definition of Public Choice</w:t>
      </w:r>
      <w:proofErr w:type="gramStart"/>
      <w:r w:rsidR="000904CE" w:rsidRPr="003E342A">
        <w:rPr>
          <w:rFonts w:ascii="Times New Roman" w:hAnsi="Times New Roman" w:cs="Times New Roman"/>
          <w:sz w:val="24"/>
          <w:szCs w:val="24"/>
        </w:rPr>
        <w:t>:  “</w:t>
      </w:r>
      <w:proofErr w:type="gramEnd"/>
      <w:r w:rsidR="000904CE" w:rsidRPr="003E342A">
        <w:rPr>
          <w:rFonts w:ascii="Times New Roman" w:hAnsi="Times New Roman" w:cs="Times New Roman"/>
          <w:sz w:val="24"/>
          <w:szCs w:val="24"/>
        </w:rPr>
        <w:t>…the economic study of nonmarket decision making, or simply the application of economics to political science… The basic postulate of public choice, as for economics, is that man is an egoistic, rational, utility maximizer</w:t>
      </w:r>
      <w:r w:rsidR="00225B5D" w:rsidRPr="003E342A">
        <w:rPr>
          <w:rFonts w:ascii="Times New Roman" w:hAnsi="Times New Roman" w:cs="Times New Roman"/>
          <w:sz w:val="24"/>
          <w:szCs w:val="24"/>
        </w:rPr>
        <w:t>.”</w:t>
      </w:r>
      <w:r w:rsidR="00974695" w:rsidRPr="003E342A">
        <w:rPr>
          <w:rStyle w:val="FootnoteReference"/>
          <w:rFonts w:ascii="Times New Roman" w:hAnsi="Times New Roman" w:cs="Times New Roman"/>
          <w:sz w:val="24"/>
          <w:szCs w:val="24"/>
        </w:rPr>
        <w:footnoteReference w:id="153"/>
      </w:r>
      <w:r w:rsidR="000904CE" w:rsidRPr="003E342A">
        <w:rPr>
          <w:rFonts w:ascii="Times New Roman" w:hAnsi="Times New Roman" w:cs="Times New Roman"/>
          <w:sz w:val="24"/>
          <w:szCs w:val="24"/>
        </w:rPr>
        <w:t xml:space="preserve"> </w:t>
      </w:r>
      <w:r w:rsidR="000904CE" w:rsidRPr="003E342A">
        <w:rPr>
          <w:rFonts w:ascii="Times New Roman" w:hAnsi="Times New Roman" w:cs="Times New Roman"/>
          <w:sz w:val="24"/>
          <w:szCs w:val="24"/>
        </w:rPr>
        <w:lastRenderedPageBreak/>
        <w:t>Schumpeter’s contribution to the field is pivotal. In the conceptualization of Mitchell, Schumpeter was purely critical of the role of the individual in making optimal decisions on matters of public affairs; whereas in matters of labor or finance in which the individual was forced to place his livelihood or reputation on the line, in formulating opinions on political issues the average person was content to build his beliefs and positions in affective, emotional, and illogical foundations</w:t>
      </w:r>
      <w:r w:rsidR="00974695" w:rsidRPr="003E342A">
        <w:rPr>
          <w:rFonts w:ascii="Times New Roman" w:hAnsi="Times New Roman" w:cs="Times New Roman"/>
          <w:sz w:val="24"/>
          <w:szCs w:val="24"/>
        </w:rPr>
        <w:t>:</w:t>
      </w:r>
    </w:p>
    <w:p w14:paraId="01C26092" w14:textId="51E39C9B" w:rsidR="000904CE" w:rsidRPr="003E342A" w:rsidRDefault="000904CE" w:rsidP="000904CE">
      <w:pPr>
        <w:ind w:left="720" w:right="576"/>
        <w:jc w:val="both"/>
        <w:rPr>
          <w:rFonts w:ascii="Times New Roman" w:hAnsi="Times New Roman" w:cs="Times New Roman"/>
          <w:sz w:val="24"/>
          <w:szCs w:val="24"/>
        </w:rPr>
      </w:pPr>
      <w:r w:rsidRPr="003E342A">
        <w:rPr>
          <w:rFonts w:ascii="Times New Roman" w:hAnsi="Times New Roman" w:cs="Times New Roman"/>
          <w:sz w:val="24"/>
          <w:szCs w:val="24"/>
        </w:rPr>
        <w:t>“… the prime minister in a democracy might be likened to a horseman who is so fully engrossed in trying to keep in the saddle that he cannot plan his ride, or to a general so fully occupied with making sure that his army will accept his orders that he must leave strategy to care for itself.”</w:t>
      </w:r>
      <w:r w:rsidR="00974695" w:rsidRPr="003E342A">
        <w:rPr>
          <w:rStyle w:val="FootnoteReference"/>
          <w:rFonts w:ascii="Times New Roman" w:hAnsi="Times New Roman" w:cs="Times New Roman"/>
          <w:sz w:val="24"/>
          <w:szCs w:val="24"/>
        </w:rPr>
        <w:footnoteReference w:id="154"/>
      </w:r>
      <w:r w:rsidRPr="003E342A">
        <w:rPr>
          <w:rFonts w:ascii="Times New Roman" w:hAnsi="Times New Roman" w:cs="Times New Roman"/>
          <w:sz w:val="24"/>
          <w:szCs w:val="24"/>
        </w:rPr>
        <w:t xml:space="preserve"> </w:t>
      </w:r>
    </w:p>
    <w:p w14:paraId="2124492B" w14:textId="77777777" w:rsidR="00F93685" w:rsidRPr="003E342A" w:rsidRDefault="00F93685" w:rsidP="000904CE">
      <w:pPr>
        <w:ind w:left="720" w:right="576"/>
        <w:jc w:val="both"/>
        <w:rPr>
          <w:rFonts w:ascii="Times New Roman" w:hAnsi="Times New Roman" w:cs="Times New Roman"/>
          <w:sz w:val="24"/>
          <w:szCs w:val="24"/>
        </w:rPr>
      </w:pPr>
    </w:p>
    <w:p w14:paraId="18FF738B" w14:textId="77777777" w:rsidR="000904CE" w:rsidRPr="003E342A" w:rsidRDefault="000904CE" w:rsidP="000904CE">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 xml:space="preserve">In short, Schumpeter felt that democratic involvement meant that policy decisions became subordinated to political decisions – that responsibility to pleasing the people, remaining in office, and preserving public perceptions in front of people who might not understand the issues was invariably bound to become more important than fine-tuning the perfect policies which might ultimately result in “better” outcomes for the people. </w:t>
      </w:r>
    </w:p>
    <w:p w14:paraId="1B005F50" w14:textId="1F96F9BF"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And </w:t>
      </w:r>
      <w:proofErr w:type="gramStart"/>
      <w:r w:rsidRPr="003E342A">
        <w:rPr>
          <w:rFonts w:ascii="Times New Roman" w:hAnsi="Times New Roman" w:cs="Times New Roman"/>
          <w:sz w:val="24"/>
          <w:szCs w:val="24"/>
        </w:rPr>
        <w:t>indeed</w:t>
      </w:r>
      <w:proofErr w:type="gramEnd"/>
      <w:r w:rsidRPr="003E342A">
        <w:rPr>
          <w:rFonts w:ascii="Times New Roman" w:hAnsi="Times New Roman" w:cs="Times New Roman"/>
          <w:sz w:val="24"/>
          <w:szCs w:val="24"/>
        </w:rPr>
        <w:t xml:space="preserve"> a rift has opened in recent years between popular conceptions and “elites’” opinions on GM food. In David Toke’s “The Politics of GM Food</w:t>
      </w:r>
      <w:r w:rsidR="00225B5D" w:rsidRPr="003E342A">
        <w:rPr>
          <w:rFonts w:ascii="Times New Roman" w:hAnsi="Times New Roman" w:cs="Times New Roman"/>
          <w:sz w:val="24"/>
          <w:szCs w:val="24"/>
        </w:rPr>
        <w:t>,”</w:t>
      </w:r>
      <w:r w:rsidRPr="003E342A">
        <w:rPr>
          <w:rFonts w:ascii="Times New Roman" w:hAnsi="Times New Roman" w:cs="Times New Roman"/>
          <w:sz w:val="24"/>
          <w:szCs w:val="24"/>
        </w:rPr>
        <w:t xml:space="preserve"> the editors’ note points out that “Over recent years environmental politics has moved from a peripheral interest to a central concern within the discipline of politics.”</w:t>
      </w:r>
      <w:r w:rsidRPr="003E342A">
        <w:rPr>
          <w:rStyle w:val="FootnoteAnchor"/>
          <w:rFonts w:ascii="Times New Roman" w:hAnsi="Times New Roman" w:cs="Times New Roman"/>
          <w:sz w:val="24"/>
          <w:szCs w:val="24"/>
        </w:rPr>
        <w:footnoteReference w:id="155"/>
      </w:r>
      <w:r w:rsidRPr="003E342A">
        <w:rPr>
          <w:rFonts w:ascii="Times New Roman" w:hAnsi="Times New Roman" w:cs="Times New Roman"/>
          <w:sz w:val="24"/>
          <w:szCs w:val="24"/>
        </w:rPr>
        <w:t xml:space="preserve"> Writing in 2007, </w:t>
      </w:r>
      <w:proofErr w:type="spellStart"/>
      <w:r w:rsidRPr="003E342A">
        <w:rPr>
          <w:rFonts w:ascii="Times New Roman" w:hAnsi="Times New Roman" w:cs="Times New Roman"/>
          <w:sz w:val="24"/>
          <w:szCs w:val="24"/>
        </w:rPr>
        <w:t>Kurzer</w:t>
      </w:r>
      <w:proofErr w:type="spellEnd"/>
      <w:r w:rsidRPr="003E342A">
        <w:rPr>
          <w:rFonts w:ascii="Times New Roman" w:hAnsi="Times New Roman" w:cs="Times New Roman"/>
          <w:sz w:val="24"/>
          <w:szCs w:val="24"/>
        </w:rPr>
        <w:t xml:space="preserve"> &amp; Cooper saw the GMO issue in very simple Expert-Populous terms: “While the Commission is keen to normalize the commercialization of biotechnology foods and crops, European consumers refuse to eat/buy products containing genetically modified organisms (GMO) and have effectively closed the market to GMO.” </w:t>
      </w:r>
      <w:r w:rsidRPr="003E342A">
        <w:rPr>
          <w:rStyle w:val="FootnoteAnchor"/>
          <w:rFonts w:ascii="Times New Roman" w:hAnsi="Times New Roman" w:cs="Times New Roman"/>
          <w:sz w:val="24"/>
          <w:szCs w:val="24"/>
        </w:rPr>
        <w:footnoteReference w:id="156"/>
      </w:r>
      <w:r w:rsidRPr="003E342A">
        <w:rPr>
          <w:rFonts w:ascii="Times New Roman" w:hAnsi="Times New Roman" w:cs="Times New Roman"/>
          <w:sz w:val="24"/>
          <w:szCs w:val="24"/>
        </w:rPr>
        <w:t xml:space="preserve"> What </w:t>
      </w:r>
      <w:proofErr w:type="spellStart"/>
      <w:r w:rsidRPr="003E342A">
        <w:rPr>
          <w:rFonts w:ascii="Times New Roman" w:hAnsi="Times New Roman" w:cs="Times New Roman"/>
          <w:sz w:val="24"/>
          <w:szCs w:val="24"/>
        </w:rPr>
        <w:t>Tagliaube</w:t>
      </w:r>
      <w:proofErr w:type="spellEnd"/>
      <w:r w:rsidRPr="003E342A">
        <w:rPr>
          <w:rFonts w:ascii="Times New Roman" w:hAnsi="Times New Roman" w:cs="Times New Roman"/>
          <w:sz w:val="24"/>
          <w:szCs w:val="24"/>
        </w:rPr>
        <w:t xml:space="preserve"> means to say, therefore, in describing GMO policy as a series of </w:t>
      </w:r>
      <w:r w:rsidRPr="003E342A">
        <w:rPr>
          <w:rFonts w:ascii="Times New Roman" w:hAnsi="Times New Roman" w:cs="Times New Roman"/>
          <w:sz w:val="24"/>
          <w:szCs w:val="24"/>
        </w:rPr>
        <w:lastRenderedPageBreak/>
        <w:t>Schumpeterian public choice decisions, is that regulators must balance science-driven policy on the one hand and political-driven policy on the other - and then argues that they are balancing in the wrong way.</w:t>
      </w:r>
    </w:p>
    <w:p w14:paraId="785532F0" w14:textId="586E8B53" w:rsidR="000904CE" w:rsidRPr="00A97398" w:rsidRDefault="000904CE" w:rsidP="000904CE">
      <w:pPr>
        <w:pStyle w:val="HTMLPreformatted"/>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t xml:space="preserve">The Schumpeterian view is a pessimistic one, essentially painting a portrait in which </w:t>
      </w:r>
      <w:r w:rsidR="00771713">
        <w:rPr>
          <w:rFonts w:ascii="Times New Roman" w:hAnsi="Times New Roman" w:cs="Times New Roman"/>
          <w:sz w:val="24"/>
          <w:szCs w:val="24"/>
        </w:rPr>
        <w:t>policymakers</w:t>
      </w:r>
      <w:r w:rsidRPr="003E342A">
        <w:rPr>
          <w:rFonts w:ascii="Times New Roman" w:hAnsi="Times New Roman" w:cs="Times New Roman"/>
          <w:sz w:val="24"/>
          <w:szCs w:val="24"/>
        </w:rPr>
        <w:t xml:space="preserve"> must choose between what is popular and what</w:t>
      </w:r>
      <w:r w:rsidR="00771713">
        <w:rPr>
          <w:rFonts w:ascii="Times New Roman" w:hAnsi="Times New Roman" w:cs="Times New Roman"/>
          <w:sz w:val="24"/>
          <w:szCs w:val="24"/>
        </w:rPr>
        <w:t xml:space="preserve"> they consider to be good policy. </w:t>
      </w:r>
      <w:r w:rsidRPr="003E342A">
        <w:rPr>
          <w:rFonts w:ascii="Times New Roman" w:hAnsi="Times New Roman" w:cs="Times New Roman"/>
          <w:color w:val="000000" w:themeColor="text1"/>
          <w:sz w:val="24"/>
          <w:szCs w:val="24"/>
        </w:rPr>
        <w:t>This is not to say that such prioritization is irrational; elected officials</w:t>
      </w:r>
      <w:r w:rsidR="00771713">
        <w:rPr>
          <w:rFonts w:ascii="Times New Roman" w:hAnsi="Times New Roman" w:cs="Times New Roman"/>
          <w:color w:val="000000" w:themeColor="text1"/>
          <w:sz w:val="24"/>
          <w:szCs w:val="24"/>
        </w:rPr>
        <w:t xml:space="preserve"> in democratic societies</w:t>
      </w:r>
      <w:r w:rsidRPr="003E342A">
        <w:rPr>
          <w:rFonts w:ascii="Times New Roman" w:hAnsi="Times New Roman" w:cs="Times New Roman"/>
          <w:color w:val="000000" w:themeColor="text1"/>
          <w:sz w:val="24"/>
          <w:szCs w:val="24"/>
        </w:rPr>
        <w:t xml:space="preserve"> have every reason to listen to their constituents and respond to their desires. Schumpeter’s concern, rather, is the extent to which democratic choice-structures encourage elected leaders to respond to popular desires which may be out of tune with expert consensus</w:t>
      </w:r>
      <w:r w:rsidR="00B8115B" w:rsidRPr="003E342A">
        <w:rPr>
          <w:rFonts w:ascii="Times New Roman" w:hAnsi="Times New Roman" w:cs="Times New Roman"/>
          <w:color w:val="000000" w:themeColor="text1"/>
          <w:sz w:val="24"/>
          <w:szCs w:val="24"/>
        </w:rPr>
        <w:t xml:space="preserve"> or “good policy”;</w:t>
      </w:r>
      <w:r w:rsidRPr="003E342A">
        <w:rPr>
          <w:rFonts w:ascii="Times New Roman" w:hAnsi="Times New Roman" w:cs="Times New Roman"/>
          <w:color w:val="000000" w:themeColor="text1"/>
          <w:sz w:val="24"/>
          <w:szCs w:val="24"/>
        </w:rPr>
        <w:t xml:space="preserve"> </w:t>
      </w:r>
      <w:r w:rsidR="00B8115B" w:rsidRPr="003E342A">
        <w:rPr>
          <w:rFonts w:ascii="Times New Roman" w:hAnsi="Times New Roman" w:cs="Times New Roman"/>
          <w:color w:val="000000" w:themeColor="text1"/>
          <w:sz w:val="24"/>
          <w:szCs w:val="24"/>
        </w:rPr>
        <w:t>t</w:t>
      </w:r>
      <w:r w:rsidRPr="003E342A">
        <w:rPr>
          <w:rFonts w:ascii="Times New Roman" w:hAnsi="Times New Roman" w:cs="Times New Roman"/>
          <w:color w:val="000000" w:themeColor="text1"/>
          <w:sz w:val="24"/>
          <w:szCs w:val="24"/>
        </w:rPr>
        <w:t>he possibility of a divergence of good policy from popular policy has been recognized by philosophers and politicians since ancient times.</w:t>
      </w:r>
      <w:r w:rsidRPr="003E342A">
        <w:rPr>
          <w:rStyle w:val="FootnoteReference"/>
          <w:rFonts w:ascii="Times New Roman" w:eastAsiaTheme="minorHAnsi" w:hAnsi="Times New Roman" w:cs="Times New Roman"/>
          <w:color w:val="000000" w:themeColor="text1"/>
          <w:sz w:val="24"/>
          <w:szCs w:val="24"/>
        </w:rPr>
        <w:footnoteReference w:id="157"/>
      </w:r>
      <w:r w:rsidRPr="003E342A">
        <w:rPr>
          <w:rFonts w:ascii="Times New Roman" w:hAnsi="Times New Roman" w:cs="Times New Roman"/>
          <w:color w:val="000000" w:themeColor="text1"/>
        </w:rPr>
        <w:t xml:space="preserve"> </w:t>
      </w:r>
      <w:r w:rsidRPr="003E342A">
        <w:rPr>
          <w:rFonts w:ascii="Times New Roman" w:hAnsi="Times New Roman" w:cs="Times New Roman"/>
          <w:color w:val="000000" w:themeColor="text1"/>
          <w:sz w:val="24"/>
          <w:szCs w:val="24"/>
        </w:rPr>
        <w:t>However, this dilemma is not without hope</w:t>
      </w:r>
      <w:r w:rsidRPr="003E342A">
        <w:rPr>
          <w:rFonts w:ascii="Times New Roman" w:hAnsi="Times New Roman" w:cs="Times New Roman"/>
          <w:sz w:val="24"/>
          <w:szCs w:val="24"/>
        </w:rPr>
        <w:t xml:space="preserve"> for the modern liberal democratic state, and leaves a bright spot of central importance to this investigation. Schump</w:t>
      </w:r>
      <w:r w:rsidR="00771713">
        <w:rPr>
          <w:rFonts w:ascii="Times New Roman" w:hAnsi="Times New Roman" w:cs="Times New Roman"/>
          <w:sz w:val="24"/>
          <w:szCs w:val="24"/>
        </w:rPr>
        <w:t>e</w:t>
      </w:r>
      <w:r w:rsidRPr="003E342A">
        <w:rPr>
          <w:rFonts w:ascii="Times New Roman" w:hAnsi="Times New Roman" w:cs="Times New Roman"/>
          <w:sz w:val="24"/>
          <w:szCs w:val="24"/>
        </w:rPr>
        <w:t xml:space="preserve">ter advocated one force in government to counteract the “populist” tendencies of elected political leaders: a strong bureaucracy capable of moderating democratic vicissitudes. </w:t>
      </w:r>
      <w:r w:rsidR="00DD5987">
        <w:rPr>
          <w:rFonts w:ascii="Times New Roman" w:hAnsi="Times New Roman" w:cs="Times New Roman"/>
          <w:sz w:val="24"/>
          <w:szCs w:val="24"/>
        </w:rPr>
        <w:t>“</w:t>
      </w:r>
      <w:r w:rsidRPr="003E342A">
        <w:rPr>
          <w:rFonts w:ascii="Times New Roman" w:hAnsi="Times New Roman" w:cs="Times New Roman"/>
          <w:sz w:val="24"/>
          <w:szCs w:val="24"/>
        </w:rPr>
        <w:t xml:space="preserve">Bureaucracy is the main answer to the argument about government by amateurs </w:t>
      </w:r>
      <w:r w:rsidR="00DD5987">
        <w:rPr>
          <w:rFonts w:ascii="Times New Roman" w:hAnsi="Times New Roman" w:cs="Times New Roman"/>
          <w:sz w:val="24"/>
          <w:szCs w:val="24"/>
        </w:rPr>
        <w:t>…</w:t>
      </w:r>
      <w:r w:rsidRPr="003E342A">
        <w:rPr>
          <w:rFonts w:ascii="Times New Roman" w:hAnsi="Times New Roman" w:cs="Times New Roman"/>
          <w:sz w:val="24"/>
          <w:szCs w:val="24"/>
        </w:rPr>
        <w:t>[it] must be strong enough to guide and, if need be, instruct the politicians who head the ministries</w:t>
      </w:r>
      <w:r w:rsidR="00DD5987">
        <w:rPr>
          <w:rFonts w:ascii="Times New Roman" w:hAnsi="Times New Roman" w:cs="Times New Roman"/>
          <w:sz w:val="24"/>
          <w:szCs w:val="24"/>
        </w:rPr>
        <w:t>…</w:t>
      </w:r>
      <w:r w:rsidRPr="003E342A">
        <w:rPr>
          <w:rFonts w:ascii="Times New Roman" w:hAnsi="Times New Roman" w:cs="Times New Roman"/>
          <w:sz w:val="24"/>
          <w:szCs w:val="24"/>
        </w:rPr>
        <w:t>It must be a power in its own right.</w:t>
      </w:r>
      <w:r w:rsidR="00DD5987">
        <w:rPr>
          <w:rFonts w:ascii="Times New Roman" w:hAnsi="Times New Roman" w:cs="Times New Roman"/>
          <w:sz w:val="24"/>
          <w:szCs w:val="24"/>
        </w:rPr>
        <w:t>”</w:t>
      </w:r>
      <w:r w:rsidRPr="003E342A">
        <w:rPr>
          <w:rStyle w:val="FootnoteReference"/>
          <w:rFonts w:ascii="Times New Roman" w:eastAsiaTheme="minorHAnsi" w:hAnsi="Times New Roman" w:cs="Times New Roman"/>
          <w:sz w:val="24"/>
          <w:szCs w:val="24"/>
        </w:rPr>
        <w:footnoteReference w:id="158"/>
      </w:r>
      <w:r w:rsidRPr="003E342A">
        <w:rPr>
          <w:rFonts w:ascii="Times New Roman" w:hAnsi="Times New Roman" w:cs="Times New Roman"/>
          <w:sz w:val="24"/>
          <w:szCs w:val="24"/>
        </w:rPr>
        <w:t xml:space="preserve"> However, the question of the relative power of democratic input versus professional bureaucratic expertise is the crux of the discussion that remains unresolved since the mid-20</w:t>
      </w:r>
      <w:r w:rsidRPr="003E342A">
        <w:rPr>
          <w:rFonts w:ascii="Times New Roman" w:hAnsi="Times New Roman" w:cs="Times New Roman"/>
          <w:sz w:val="24"/>
          <w:szCs w:val="24"/>
          <w:vertAlign w:val="superscript"/>
        </w:rPr>
        <w:t>th</w:t>
      </w:r>
      <w:r w:rsidRPr="003E342A">
        <w:rPr>
          <w:rFonts w:ascii="Times New Roman" w:hAnsi="Times New Roman" w:cs="Times New Roman"/>
          <w:sz w:val="24"/>
          <w:szCs w:val="24"/>
        </w:rPr>
        <w:t xml:space="preserve"> century: the choice between technocracy </w:t>
      </w:r>
      <w:r w:rsidRPr="00A97398">
        <w:rPr>
          <w:rFonts w:ascii="Times New Roman" w:hAnsi="Times New Roman" w:cs="Times New Roman"/>
          <w:sz w:val="24"/>
          <w:szCs w:val="24"/>
        </w:rPr>
        <w:t>and democracy.</w:t>
      </w:r>
    </w:p>
    <w:p w14:paraId="13845E83" w14:textId="3E5A6D62" w:rsidR="0066421A" w:rsidRPr="00A97398" w:rsidRDefault="0066421A" w:rsidP="000904CE">
      <w:pPr>
        <w:pStyle w:val="HTMLPreformatted"/>
        <w:spacing w:line="480" w:lineRule="auto"/>
        <w:jc w:val="both"/>
        <w:rPr>
          <w:rFonts w:ascii="Times New Roman" w:hAnsi="Times New Roman" w:cs="Times New Roman"/>
          <w:sz w:val="24"/>
          <w:szCs w:val="24"/>
        </w:rPr>
      </w:pPr>
    </w:p>
    <w:p w14:paraId="2E230CCA" w14:textId="34BDCBE3" w:rsidR="0066421A" w:rsidRPr="00E3149C" w:rsidRDefault="0066421A" w:rsidP="000904CE">
      <w:pPr>
        <w:pStyle w:val="HTMLPreformatted"/>
        <w:spacing w:line="480" w:lineRule="auto"/>
        <w:jc w:val="both"/>
        <w:rPr>
          <w:rFonts w:ascii="Times New Roman" w:hAnsi="Times New Roman" w:cs="Times New Roman"/>
          <w:i/>
          <w:sz w:val="24"/>
          <w:szCs w:val="24"/>
        </w:rPr>
      </w:pPr>
      <w:r w:rsidRPr="00E3149C">
        <w:rPr>
          <w:rFonts w:ascii="Times New Roman" w:hAnsi="Times New Roman" w:cs="Times New Roman"/>
          <w:i/>
          <w:sz w:val="24"/>
          <w:szCs w:val="24"/>
        </w:rPr>
        <w:lastRenderedPageBreak/>
        <w:t xml:space="preserve">The </w:t>
      </w:r>
      <w:r w:rsidR="00322BB4" w:rsidRPr="00E3149C">
        <w:rPr>
          <w:rFonts w:ascii="Times New Roman" w:hAnsi="Times New Roman" w:cs="Times New Roman"/>
          <w:i/>
          <w:sz w:val="24"/>
          <w:szCs w:val="24"/>
        </w:rPr>
        <w:t xml:space="preserve">Advocacy </w:t>
      </w:r>
      <w:r w:rsidRPr="00E3149C">
        <w:rPr>
          <w:rFonts w:ascii="Times New Roman" w:hAnsi="Times New Roman" w:cs="Times New Roman"/>
          <w:i/>
          <w:sz w:val="24"/>
          <w:szCs w:val="24"/>
        </w:rPr>
        <w:t>Coalition Framework Response</w:t>
      </w:r>
    </w:p>
    <w:p w14:paraId="7F64C224" w14:textId="28739546" w:rsidR="0066421A" w:rsidRPr="00A97398" w:rsidRDefault="006D5465" w:rsidP="00A97398">
      <w:pPr>
        <w:pStyle w:val="HTMLPreformatted"/>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6421A" w:rsidRPr="00A97398">
        <w:rPr>
          <w:rFonts w:ascii="Times New Roman" w:hAnsi="Times New Roman" w:cs="Times New Roman"/>
          <w:sz w:val="24"/>
          <w:szCs w:val="24"/>
        </w:rPr>
        <w:t>Work on the role of coalitions in policymaking</w:t>
      </w:r>
      <w:r w:rsidR="00527E2D" w:rsidRPr="00A97398">
        <w:rPr>
          <w:rFonts w:ascii="Times New Roman" w:hAnsi="Times New Roman" w:cs="Times New Roman"/>
          <w:sz w:val="24"/>
          <w:szCs w:val="24"/>
        </w:rPr>
        <w:t xml:space="preserve"> stands counter to such a simplistic </w:t>
      </w:r>
      <w:r w:rsidR="00A97398" w:rsidRPr="00A97398">
        <w:rPr>
          <w:rFonts w:ascii="Times New Roman" w:hAnsi="Times New Roman" w:cs="Times New Roman"/>
          <w:sz w:val="24"/>
          <w:szCs w:val="24"/>
        </w:rPr>
        <w:t xml:space="preserve">and binary division between “elite” and “popular” views, or </w:t>
      </w:r>
      <w:r w:rsidR="00A97398">
        <w:rPr>
          <w:rFonts w:ascii="Times New Roman" w:hAnsi="Times New Roman" w:cs="Times New Roman"/>
          <w:sz w:val="24"/>
          <w:szCs w:val="24"/>
        </w:rPr>
        <w:t xml:space="preserve">even </w:t>
      </w:r>
      <w:r w:rsidR="00A97398" w:rsidRPr="00A97398">
        <w:rPr>
          <w:rFonts w:ascii="Times New Roman" w:hAnsi="Times New Roman" w:cs="Times New Roman"/>
          <w:sz w:val="24"/>
          <w:szCs w:val="24"/>
        </w:rPr>
        <w:t>between</w:t>
      </w:r>
      <w:r w:rsidR="00A97398">
        <w:rPr>
          <w:rFonts w:ascii="Times New Roman" w:hAnsi="Times New Roman" w:cs="Times New Roman"/>
          <w:sz w:val="24"/>
          <w:szCs w:val="24"/>
        </w:rPr>
        <w:t xml:space="preserve"> policymakers and constituencies</w:t>
      </w:r>
      <w:r w:rsidR="009B0F05">
        <w:rPr>
          <w:rFonts w:ascii="Times New Roman" w:hAnsi="Times New Roman" w:cs="Times New Roman"/>
          <w:sz w:val="24"/>
          <w:szCs w:val="24"/>
        </w:rPr>
        <w:t>.</w:t>
      </w:r>
      <w:r w:rsidR="00A97398">
        <w:rPr>
          <w:rFonts w:ascii="Times New Roman" w:hAnsi="Times New Roman" w:cs="Times New Roman"/>
          <w:sz w:val="24"/>
          <w:szCs w:val="24"/>
        </w:rPr>
        <w:t xml:space="preserve"> </w:t>
      </w:r>
      <w:r w:rsidR="009B0F05">
        <w:rPr>
          <w:rFonts w:ascii="Times New Roman" w:hAnsi="Times New Roman" w:cs="Times New Roman"/>
          <w:sz w:val="24"/>
          <w:szCs w:val="24"/>
        </w:rPr>
        <w:t>T</w:t>
      </w:r>
      <w:r w:rsidR="00A97398">
        <w:rPr>
          <w:rFonts w:ascii="Times New Roman" w:hAnsi="Times New Roman" w:cs="Times New Roman"/>
          <w:sz w:val="24"/>
          <w:szCs w:val="24"/>
        </w:rPr>
        <w:t xml:space="preserve">o the former dichotomy, through coalitions, </w:t>
      </w:r>
      <w:r w:rsidR="009B0F05">
        <w:rPr>
          <w:rFonts w:ascii="Times New Roman" w:hAnsi="Times New Roman" w:cs="Times New Roman"/>
          <w:sz w:val="24"/>
          <w:szCs w:val="24"/>
        </w:rPr>
        <w:t xml:space="preserve">“elite” and “popular” views exist </w:t>
      </w:r>
      <w:r w:rsidR="00322BB4">
        <w:rPr>
          <w:rFonts w:ascii="Times New Roman" w:hAnsi="Times New Roman" w:cs="Times New Roman"/>
          <w:sz w:val="24"/>
          <w:szCs w:val="24"/>
        </w:rPr>
        <w:t xml:space="preserve">together </w:t>
      </w:r>
      <w:r w:rsidR="009B0F05">
        <w:rPr>
          <w:rFonts w:ascii="Times New Roman" w:hAnsi="Times New Roman" w:cs="Times New Roman"/>
          <w:sz w:val="24"/>
          <w:szCs w:val="24"/>
        </w:rPr>
        <w:t xml:space="preserve">in advocacy networks which influence and draw from each other and organize around a </w:t>
      </w:r>
      <w:proofErr w:type="gramStart"/>
      <w:r w:rsidR="009B0F05">
        <w:rPr>
          <w:rFonts w:ascii="Times New Roman" w:hAnsi="Times New Roman" w:cs="Times New Roman"/>
          <w:sz w:val="24"/>
          <w:szCs w:val="24"/>
        </w:rPr>
        <w:t>particular set</w:t>
      </w:r>
      <w:proofErr w:type="gramEnd"/>
      <w:r w:rsidR="009B0F05">
        <w:rPr>
          <w:rFonts w:ascii="Times New Roman" w:hAnsi="Times New Roman" w:cs="Times New Roman"/>
          <w:sz w:val="24"/>
          <w:szCs w:val="24"/>
        </w:rPr>
        <w:t xml:space="preserve"> of issues. To the second dichotomy, “</w:t>
      </w:r>
      <w:r w:rsidR="0066421A" w:rsidRPr="00A97398">
        <w:rPr>
          <w:rFonts w:ascii="Times New Roman" w:hAnsi="Times New Roman" w:cs="Times New Roman"/>
          <w:color w:val="000000"/>
          <w:sz w:val="24"/>
          <w:szCs w:val="24"/>
        </w:rPr>
        <w:t>although brokers and sovereigns are separated analytically, it is often difficult to know where coalitions end and policy-makers begin, since governmental organizations may often appear to hold, and act on, beliefs consistent with those of a particular advocacy coalition.”</w:t>
      </w:r>
      <w:r w:rsidR="009B0F05">
        <w:rPr>
          <w:rStyle w:val="FootnoteReference"/>
          <w:rFonts w:ascii="Times New Roman" w:hAnsi="Times New Roman" w:cs="Times New Roman"/>
          <w:color w:val="000000"/>
          <w:sz w:val="24"/>
          <w:szCs w:val="24"/>
        </w:rPr>
        <w:footnoteReference w:id="159"/>
      </w:r>
      <w:r w:rsidR="00322BB4">
        <w:rPr>
          <w:rFonts w:ascii="Times New Roman" w:hAnsi="Times New Roman" w:cs="Times New Roman"/>
          <w:color w:val="000000"/>
          <w:sz w:val="24"/>
          <w:szCs w:val="24"/>
        </w:rPr>
        <w:t xml:space="preserve"> In this case, it is possible that President Juncker, rather than simply “choosing” between a “popular” and an “elite” policy preference, may be allied with or part of the Anti-Biotech coalition (at least on the issue of GMOs) and as such</w:t>
      </w:r>
      <w:r w:rsidR="00125DFA">
        <w:rPr>
          <w:rFonts w:ascii="Times New Roman" w:hAnsi="Times New Roman" w:cs="Times New Roman"/>
          <w:color w:val="000000"/>
          <w:sz w:val="24"/>
          <w:szCs w:val="24"/>
        </w:rPr>
        <w:t xml:space="preserve"> may</w:t>
      </w:r>
      <w:r w:rsidR="00322BB4">
        <w:rPr>
          <w:rFonts w:ascii="Times New Roman" w:hAnsi="Times New Roman" w:cs="Times New Roman"/>
          <w:color w:val="000000"/>
          <w:sz w:val="24"/>
          <w:szCs w:val="24"/>
        </w:rPr>
        <w:t xml:space="preserve"> </w:t>
      </w:r>
      <w:r w:rsidR="00125DFA">
        <w:rPr>
          <w:rFonts w:ascii="Times New Roman" w:hAnsi="Times New Roman" w:cs="Times New Roman"/>
          <w:color w:val="000000"/>
          <w:sz w:val="24"/>
          <w:szCs w:val="24"/>
        </w:rPr>
        <w:t>favor</w:t>
      </w:r>
      <w:r w:rsidR="00322BB4">
        <w:rPr>
          <w:rFonts w:ascii="Times New Roman" w:hAnsi="Times New Roman" w:cs="Times New Roman"/>
          <w:color w:val="000000"/>
          <w:sz w:val="24"/>
          <w:szCs w:val="24"/>
        </w:rPr>
        <w:t>, or may assign greater weight to the arguments</w:t>
      </w:r>
      <w:r w:rsidR="00125DFA">
        <w:rPr>
          <w:rFonts w:ascii="Times New Roman" w:hAnsi="Times New Roman" w:cs="Times New Roman"/>
          <w:color w:val="000000"/>
          <w:sz w:val="24"/>
          <w:szCs w:val="24"/>
        </w:rPr>
        <w:t xml:space="preserve"> for</w:t>
      </w:r>
      <w:r w:rsidR="00322BB4">
        <w:rPr>
          <w:rFonts w:ascii="Times New Roman" w:hAnsi="Times New Roman" w:cs="Times New Roman"/>
          <w:color w:val="000000"/>
          <w:sz w:val="24"/>
          <w:szCs w:val="24"/>
        </w:rPr>
        <w:t xml:space="preserve">, tighter GMO regulations. However, </w:t>
      </w:r>
      <w:r w:rsidR="00125DFA">
        <w:rPr>
          <w:rFonts w:ascii="Times New Roman" w:hAnsi="Times New Roman" w:cs="Times New Roman"/>
          <w:color w:val="000000"/>
          <w:sz w:val="24"/>
          <w:szCs w:val="24"/>
        </w:rPr>
        <w:t xml:space="preserve">as discussed in Chapter I, the ACF may not adequately model the relatively apolitical scientific community; in particular, given the clear message and position of national and EU-wide scientific bodies on the subject of GMO regulation,  there does exist a sufficiently stark division between the a majority policy preference of EU citizens and a policy preference of the scientific community to model this division as a Schumpeterian Public Choice dilemma. Further, even if </w:t>
      </w:r>
      <w:r w:rsidR="0025766F">
        <w:rPr>
          <w:rFonts w:ascii="Times New Roman" w:hAnsi="Times New Roman" w:cs="Times New Roman"/>
          <w:color w:val="000000"/>
          <w:sz w:val="24"/>
          <w:szCs w:val="24"/>
        </w:rPr>
        <w:t>coalitional behaviors do dominate the policy preference of both groups, there is still an important matter to be decided: what should the relative weight be between the interests of subject matter experts and non-specialist citizens--or in this case between science or politics?</w:t>
      </w:r>
    </w:p>
    <w:p w14:paraId="779007D6" w14:textId="77777777" w:rsidR="000904CE" w:rsidRPr="003E342A" w:rsidRDefault="000904CE" w:rsidP="000904CE">
      <w:pPr>
        <w:spacing w:line="480" w:lineRule="auto"/>
        <w:jc w:val="both"/>
        <w:rPr>
          <w:rFonts w:ascii="Times New Roman" w:hAnsi="Times New Roman" w:cs="Times New Roman"/>
          <w:b/>
          <w:sz w:val="24"/>
          <w:szCs w:val="24"/>
        </w:rPr>
      </w:pPr>
    </w:p>
    <w:p w14:paraId="68737231" w14:textId="77777777" w:rsidR="00E3149C" w:rsidRDefault="00E3149C" w:rsidP="00973CC3">
      <w:pPr>
        <w:pStyle w:val="Heading2"/>
        <w:rPr>
          <w:rFonts w:cs="Times New Roman"/>
        </w:rPr>
      </w:pPr>
    </w:p>
    <w:p w14:paraId="6B89973F" w14:textId="5F3AA908" w:rsidR="000904CE" w:rsidRPr="003E342A" w:rsidRDefault="000904CE" w:rsidP="00973CC3">
      <w:pPr>
        <w:pStyle w:val="Heading2"/>
        <w:rPr>
          <w:rFonts w:cs="Times New Roman"/>
        </w:rPr>
      </w:pPr>
      <w:r w:rsidRPr="003E342A">
        <w:rPr>
          <w:rFonts w:cs="Times New Roman"/>
        </w:rPr>
        <w:t>Technocracy Versus Democracy</w:t>
      </w:r>
    </w:p>
    <w:p w14:paraId="6722175B" w14:textId="77777777" w:rsidR="00973CC3" w:rsidRPr="003E342A" w:rsidRDefault="00973CC3" w:rsidP="00973CC3">
      <w:pPr>
        <w:rPr>
          <w:rFonts w:ascii="Times New Roman" w:hAnsi="Times New Roman" w:cs="Times New Roman"/>
        </w:rPr>
      </w:pPr>
    </w:p>
    <w:p w14:paraId="187C4B7E" w14:textId="5D2E8D39" w:rsidR="000904CE" w:rsidRPr="003E342A" w:rsidRDefault="000904CE" w:rsidP="000904CE">
      <w:pPr>
        <w:spacing w:line="480" w:lineRule="auto"/>
        <w:ind w:firstLine="720"/>
        <w:jc w:val="both"/>
        <w:rPr>
          <w:rFonts w:ascii="Times New Roman" w:hAnsi="Times New Roman" w:cs="Times New Roman"/>
          <w:color w:val="000000" w:themeColor="text1"/>
          <w:sz w:val="24"/>
          <w:szCs w:val="24"/>
        </w:rPr>
      </w:pPr>
      <w:r w:rsidRPr="003E342A">
        <w:rPr>
          <w:rFonts w:ascii="Times New Roman" w:hAnsi="Times New Roman" w:cs="Times New Roman"/>
          <w:sz w:val="24"/>
          <w:szCs w:val="24"/>
        </w:rPr>
        <w:t>The struggle between whether science or democracy should have the upper hand in regulatory decisionmaking has only been succinctly laid out in the past few decades. “</w:t>
      </w:r>
      <w:proofErr w:type="spellStart"/>
      <w:r w:rsidRPr="003E342A">
        <w:rPr>
          <w:rFonts w:ascii="Times New Roman" w:hAnsi="Times New Roman" w:cs="Times New Roman"/>
          <w:sz w:val="24"/>
          <w:szCs w:val="24"/>
        </w:rPr>
        <w:t>Jasanoff</w:t>
      </w:r>
      <w:proofErr w:type="spellEnd"/>
      <w:r w:rsidRPr="003E342A">
        <w:rPr>
          <w:rFonts w:ascii="Times New Roman" w:hAnsi="Times New Roman" w:cs="Times New Roman"/>
          <w:sz w:val="24"/>
          <w:szCs w:val="24"/>
        </w:rPr>
        <w:t xml:space="preserve"> (1990) talked about how the debate about the role of science in regulation had been </w:t>
      </w:r>
      <w:proofErr w:type="spellStart"/>
      <w:r w:rsidRPr="003E342A">
        <w:rPr>
          <w:rFonts w:ascii="Times New Roman" w:hAnsi="Times New Roman" w:cs="Times New Roman"/>
          <w:sz w:val="24"/>
          <w:szCs w:val="24"/>
        </w:rPr>
        <w:t>polarised</w:t>
      </w:r>
      <w:proofErr w:type="spellEnd"/>
      <w:r w:rsidRPr="003E342A">
        <w:rPr>
          <w:rFonts w:ascii="Times New Roman" w:hAnsi="Times New Roman" w:cs="Times New Roman"/>
          <w:sz w:val="24"/>
          <w:szCs w:val="24"/>
        </w:rPr>
        <w:t xml:space="preserve"> between those arguing from a ‘democratic’ viewpoint who saw scientists as making a distorted contribution to regulatory outcomes and those arguing from a ‘technocratic viewpoint’ who argued that only scientists made, or should make, regulatory judgements</w:t>
      </w:r>
      <w:r w:rsidR="00225B5D" w:rsidRPr="003E342A">
        <w:rPr>
          <w:rFonts w:ascii="Times New Roman" w:hAnsi="Times New Roman" w:cs="Times New Roman"/>
          <w:sz w:val="24"/>
          <w:szCs w:val="24"/>
        </w:rPr>
        <w:t>.”</w:t>
      </w:r>
      <w:r w:rsidRPr="003E342A">
        <w:rPr>
          <w:rStyle w:val="FootnoteAnchor"/>
          <w:rFonts w:ascii="Times New Roman" w:hAnsi="Times New Roman" w:cs="Times New Roman"/>
          <w:sz w:val="24"/>
          <w:szCs w:val="24"/>
        </w:rPr>
        <w:footnoteReference w:id="160"/>
      </w:r>
      <w:r w:rsidRPr="003E342A">
        <w:rPr>
          <w:rFonts w:ascii="Times New Roman" w:hAnsi="Times New Roman" w:cs="Times New Roman"/>
          <w:sz w:val="24"/>
          <w:szCs w:val="24"/>
        </w:rPr>
        <w:t xml:space="preserve"> While this is a new conceptualization, it is only a recent reincarnation of an extremely old debate: that between the wisdom of the crowd and the insight of the Expert. Schumpeter, writing from a rationalist, positivist perspective, had the naive luxury of writing before the onslaught of structuralist constructivism in the </w:t>
      </w:r>
      <w:proofErr w:type="spellStart"/>
      <w:r w:rsidRPr="003E342A">
        <w:rPr>
          <w:rFonts w:ascii="Times New Roman" w:hAnsi="Times New Roman" w:cs="Times New Roman"/>
          <w:sz w:val="24"/>
          <w:szCs w:val="24"/>
        </w:rPr>
        <w:t>mid 20</w:t>
      </w:r>
      <w:r w:rsidRPr="003E342A">
        <w:rPr>
          <w:rFonts w:ascii="Times New Roman" w:hAnsi="Times New Roman" w:cs="Times New Roman"/>
          <w:sz w:val="24"/>
          <w:szCs w:val="24"/>
          <w:vertAlign w:val="superscript"/>
        </w:rPr>
        <w:t>th</w:t>
      </w:r>
      <w:proofErr w:type="spellEnd"/>
      <w:r w:rsidRPr="003E342A">
        <w:rPr>
          <w:rFonts w:ascii="Times New Roman" w:hAnsi="Times New Roman" w:cs="Times New Roman"/>
          <w:sz w:val="24"/>
          <w:szCs w:val="24"/>
        </w:rPr>
        <w:t xml:space="preserve"> century. As historian of science Thomas Kuhn demonstrated in his seminal 1970 work </w:t>
      </w:r>
      <w:r w:rsidRPr="003E342A">
        <w:rPr>
          <w:rFonts w:ascii="Times New Roman" w:hAnsi="Times New Roman" w:cs="Times New Roman"/>
          <w:sz w:val="24"/>
          <w:szCs w:val="24"/>
          <w:u w:val="single"/>
        </w:rPr>
        <w:t>On the Structure of Scientific Revolutions</w:t>
      </w:r>
      <w:r w:rsidRPr="003E342A">
        <w:rPr>
          <w:rFonts w:ascii="Times New Roman" w:hAnsi="Times New Roman" w:cs="Times New Roman"/>
          <w:sz w:val="24"/>
          <w:szCs w:val="24"/>
        </w:rPr>
        <w:t>, science is and has always been a politicized tool inseparable from the sociopolitical perspectives in which it is implemented. But just as Kuhn demonstrates that the nature of science changes drastically given social, political, economic, and technological contexts, so too must the nature of the political and governmental apparatuses that employ them also change. Whereas even in the mid-20</w:t>
      </w:r>
      <w:r w:rsidRPr="003E342A">
        <w:rPr>
          <w:rFonts w:ascii="Times New Roman" w:hAnsi="Times New Roman" w:cs="Times New Roman"/>
          <w:sz w:val="24"/>
          <w:szCs w:val="24"/>
          <w:vertAlign w:val="superscript"/>
        </w:rPr>
        <w:t>th</w:t>
      </w:r>
      <w:r w:rsidRPr="003E342A">
        <w:rPr>
          <w:rFonts w:ascii="Times New Roman" w:hAnsi="Times New Roman" w:cs="Times New Roman"/>
          <w:sz w:val="24"/>
          <w:szCs w:val="24"/>
        </w:rPr>
        <w:t xml:space="preserve"> century, allowing public input into the regulatory decisionmaking process entailed a high bar in terms of access and connections to the forums of such decisionmaking, as well as difficult technological and communicational hurdles in terms of creating nationwide interest groups around narrow regulatory issues, the nature of modern mass communication and civil society allows massive networks of grassroots activism to drive agendas and </w:t>
      </w:r>
      <w:r w:rsidR="0052008B" w:rsidRPr="003E342A">
        <w:rPr>
          <w:rFonts w:ascii="Times New Roman" w:hAnsi="Times New Roman" w:cs="Times New Roman"/>
          <w:sz w:val="24"/>
          <w:szCs w:val="24"/>
        </w:rPr>
        <w:t>spread</w:t>
      </w:r>
      <w:r w:rsidRPr="003E342A">
        <w:rPr>
          <w:rFonts w:ascii="Times New Roman" w:hAnsi="Times New Roman" w:cs="Times New Roman"/>
          <w:sz w:val="24"/>
          <w:szCs w:val="24"/>
        </w:rPr>
        <w:t xml:space="preserve"> particular viewpoints to a degree that was difficult </w:t>
      </w:r>
      <w:r w:rsidRPr="003E342A">
        <w:rPr>
          <w:rFonts w:ascii="Times New Roman" w:hAnsi="Times New Roman" w:cs="Times New Roman"/>
          <w:sz w:val="24"/>
          <w:szCs w:val="24"/>
        </w:rPr>
        <w:lastRenderedPageBreak/>
        <w:t>in earlier decades in Western regulatory states.</w:t>
      </w:r>
      <w:r w:rsidR="00E16EE6" w:rsidRPr="003E342A">
        <w:rPr>
          <w:rStyle w:val="FootnoteReference"/>
          <w:rFonts w:ascii="Times New Roman" w:hAnsi="Times New Roman" w:cs="Times New Roman"/>
          <w:sz w:val="24"/>
          <w:szCs w:val="24"/>
        </w:rPr>
        <w:footnoteReference w:id="161"/>
      </w:r>
      <w:r w:rsidRPr="003E342A">
        <w:rPr>
          <w:rFonts w:ascii="Times New Roman" w:hAnsi="Times New Roman" w:cs="Times New Roman"/>
          <w:sz w:val="24"/>
          <w:szCs w:val="24"/>
        </w:rPr>
        <w:t xml:space="preserve"> “Kuhn’s discussion of scientific communities also appears to signal an important way in which his ‘paradigm’ approach may, at first glance, not be compatible with the study of GM crop and food regulatory discourses. This is because the composition of the scientific regulatory committees is designated </w:t>
      </w:r>
      <w:r w:rsidRPr="003E342A">
        <w:rPr>
          <w:rFonts w:ascii="Times New Roman" w:hAnsi="Times New Roman" w:cs="Times New Roman"/>
          <w:color w:val="000000" w:themeColor="text1"/>
          <w:sz w:val="24"/>
          <w:szCs w:val="24"/>
        </w:rPr>
        <w:t>precisely by the political mechanisms which Kuhn proscribes</w:t>
      </w:r>
      <w:r w:rsidR="008C28B2">
        <w:rPr>
          <w:rFonts w:ascii="Times New Roman" w:hAnsi="Times New Roman" w:cs="Times New Roman"/>
          <w:color w:val="000000" w:themeColor="text1"/>
          <w:sz w:val="24"/>
          <w:szCs w:val="24"/>
        </w:rPr>
        <w:t>.</w:t>
      </w:r>
      <w:r w:rsidRPr="003E342A">
        <w:rPr>
          <w:rFonts w:ascii="Times New Roman" w:hAnsi="Times New Roman" w:cs="Times New Roman"/>
          <w:color w:val="000000" w:themeColor="text1"/>
          <w:sz w:val="24"/>
          <w:szCs w:val="24"/>
        </w:rPr>
        <w:t xml:space="preserve">” </w:t>
      </w:r>
      <w:r w:rsidRPr="003E342A">
        <w:rPr>
          <w:rStyle w:val="FootnoteAnchor"/>
          <w:rFonts w:ascii="Times New Roman" w:hAnsi="Times New Roman" w:cs="Times New Roman"/>
          <w:color w:val="000000" w:themeColor="text1"/>
          <w:sz w:val="24"/>
          <w:szCs w:val="24"/>
        </w:rPr>
        <w:footnoteReference w:id="162"/>
      </w:r>
      <w:r w:rsidRPr="003E342A">
        <w:rPr>
          <w:rFonts w:ascii="Times New Roman" w:hAnsi="Times New Roman" w:cs="Times New Roman"/>
          <w:color w:val="000000" w:themeColor="text1"/>
          <w:sz w:val="24"/>
          <w:szCs w:val="24"/>
        </w:rPr>
        <w:t xml:space="preserve"> </w:t>
      </w:r>
    </w:p>
    <w:p w14:paraId="7368E122" w14:textId="449E5B07" w:rsidR="000904CE" w:rsidRPr="003E342A" w:rsidRDefault="000904CE" w:rsidP="000904CE">
      <w:pPr>
        <w:spacing w:line="480" w:lineRule="auto"/>
        <w:ind w:firstLine="720"/>
        <w:jc w:val="both"/>
        <w:rPr>
          <w:rFonts w:ascii="Times New Roman" w:hAnsi="Times New Roman" w:cs="Times New Roman"/>
          <w:color w:val="000000" w:themeColor="text1"/>
          <w:sz w:val="24"/>
          <w:szCs w:val="24"/>
        </w:rPr>
      </w:pPr>
      <w:proofErr w:type="spellStart"/>
      <w:r w:rsidRPr="003E342A">
        <w:rPr>
          <w:rFonts w:ascii="Times New Roman" w:hAnsi="Times New Roman" w:cs="Times New Roman"/>
          <w:color w:val="000000" w:themeColor="text1"/>
          <w:sz w:val="24"/>
          <w:szCs w:val="24"/>
        </w:rPr>
        <w:t>Winterfeldt</w:t>
      </w:r>
      <w:proofErr w:type="spellEnd"/>
      <w:r w:rsidRPr="003E342A">
        <w:rPr>
          <w:rFonts w:ascii="Times New Roman" w:hAnsi="Times New Roman" w:cs="Times New Roman"/>
          <w:color w:val="000000" w:themeColor="text1"/>
          <w:sz w:val="24"/>
          <w:szCs w:val="24"/>
        </w:rPr>
        <w:t xml:space="preserve"> advocates a diplomatic approach in seeking a unification of scientific knowledge and political decisionmaking. “Science can and should help decision makers by shaping their beliefs. Unfortunately, science is not easily accessible to decision makers, and scientists often do not understand decision makers’ information needs</w:t>
      </w:r>
      <w:r w:rsidR="00225B5D" w:rsidRPr="003E342A">
        <w:rPr>
          <w:rFonts w:ascii="Times New Roman" w:hAnsi="Times New Roman" w:cs="Times New Roman"/>
          <w:color w:val="000000" w:themeColor="text1"/>
          <w:sz w:val="24"/>
          <w:szCs w:val="24"/>
        </w:rPr>
        <w:t>.”</w:t>
      </w:r>
      <w:r w:rsidRPr="003E342A">
        <w:rPr>
          <w:rFonts w:ascii="Times New Roman" w:hAnsi="Times New Roman" w:cs="Times New Roman"/>
          <w:color w:val="000000" w:themeColor="text1"/>
          <w:sz w:val="24"/>
          <w:szCs w:val="24"/>
        </w:rPr>
        <w:t xml:space="preserve"> </w:t>
      </w:r>
      <w:r w:rsidRPr="003E342A">
        <w:rPr>
          <w:rStyle w:val="FootnoteReference"/>
          <w:rFonts w:ascii="Times New Roman" w:hAnsi="Times New Roman" w:cs="Times New Roman"/>
          <w:color w:val="000000" w:themeColor="text1"/>
          <w:sz w:val="24"/>
          <w:szCs w:val="24"/>
        </w:rPr>
        <w:footnoteReference w:id="163"/>
      </w:r>
    </w:p>
    <w:p w14:paraId="1991D6AE" w14:textId="512FD829" w:rsidR="000904CE" w:rsidRPr="003E342A" w:rsidRDefault="000904CE" w:rsidP="008C28B2">
      <w:pPr>
        <w:spacing w:line="480" w:lineRule="auto"/>
        <w:ind w:firstLine="720"/>
        <w:contextualSpacing/>
        <w:jc w:val="both"/>
        <w:rPr>
          <w:rFonts w:ascii="Times New Roman" w:hAnsi="Times New Roman" w:cs="Times New Roman"/>
          <w:b/>
          <w:sz w:val="24"/>
          <w:szCs w:val="24"/>
        </w:rPr>
      </w:pPr>
      <w:r w:rsidRPr="003E342A">
        <w:rPr>
          <w:rFonts w:ascii="Times New Roman" w:hAnsi="Times New Roman" w:cs="Times New Roman"/>
          <w:color w:val="000000" w:themeColor="text1"/>
          <w:sz w:val="24"/>
          <w:szCs w:val="24"/>
        </w:rPr>
        <w:t>However, the rift between the two realms of science and policy may be deeper than a simple informational gap. Indeed, “</w:t>
      </w:r>
      <w:proofErr w:type="gramStart"/>
      <w:r w:rsidRPr="003E342A">
        <w:rPr>
          <w:rFonts w:ascii="Times New Roman" w:hAnsi="Times New Roman" w:cs="Times New Roman"/>
          <w:color w:val="000000" w:themeColor="text1"/>
          <w:sz w:val="24"/>
          <w:szCs w:val="24"/>
        </w:rPr>
        <w:t>science  and</w:t>
      </w:r>
      <w:proofErr w:type="gramEnd"/>
      <w:r w:rsidRPr="003E342A">
        <w:rPr>
          <w:rFonts w:ascii="Times New Roman" w:hAnsi="Times New Roman" w:cs="Times New Roman"/>
          <w:color w:val="000000" w:themeColor="text1"/>
          <w:sz w:val="24"/>
          <w:szCs w:val="24"/>
        </w:rPr>
        <w:t xml:space="preserve"> democracy  operate within  distinct value-spheres that  are  not necessarily </w:t>
      </w:r>
      <w:r w:rsidRPr="003E342A">
        <w:rPr>
          <w:rFonts w:ascii="Times New Roman" w:hAnsi="Times New Roman" w:cs="Times New Roman"/>
          <w:sz w:val="24"/>
          <w:szCs w:val="24"/>
        </w:rPr>
        <w:t>consonant with  each  other</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64"/>
      </w:r>
      <w:r w:rsidRPr="003E342A">
        <w:rPr>
          <w:rFonts w:ascii="Times New Roman" w:hAnsi="Times New Roman" w:cs="Times New Roman"/>
          <w:sz w:val="24"/>
          <w:szCs w:val="24"/>
        </w:rPr>
        <w:t xml:space="preserve"> That is to say, scientific evidence is not subject to democracy, and introducing democratic input into scientific questions of truth is not necessarily a productive enterprise likely to arrive at a greater or broader truth.  “There are doubts,” reasonably, “whether it is possible to combine the scientific and participatory components of the TA [technology assessment] process without weakening the scientific part of it.” </w:t>
      </w:r>
      <w:r w:rsidRPr="003E342A">
        <w:rPr>
          <w:rStyle w:val="FootnoteReference"/>
          <w:rFonts w:ascii="Times New Roman" w:hAnsi="Times New Roman" w:cs="Times New Roman"/>
          <w:sz w:val="24"/>
          <w:szCs w:val="24"/>
        </w:rPr>
        <w:footnoteReference w:id="165"/>
      </w:r>
      <w:r w:rsidRPr="003E342A">
        <w:rPr>
          <w:rFonts w:ascii="Times New Roman" w:hAnsi="Times New Roman" w:cs="Times New Roman"/>
          <w:sz w:val="24"/>
          <w:szCs w:val="24"/>
        </w:rPr>
        <w:t xml:space="preserve"> In his book Ethics and Technology Assessment, the culmination of research work involving funding by both UK and </w:t>
      </w:r>
      <w:r w:rsidRPr="003E342A">
        <w:rPr>
          <w:rFonts w:ascii="Times New Roman" w:hAnsi="Times New Roman" w:cs="Times New Roman"/>
          <w:sz w:val="24"/>
          <w:szCs w:val="24"/>
        </w:rPr>
        <w:lastRenderedPageBreak/>
        <w:t xml:space="preserve">EU institutions, professor Matthew Cotton notes that “Though there are those that see PSE [participatory scientific evaluation] as an inherently good thing due to the emphasis on </w:t>
      </w:r>
      <w:proofErr w:type="spellStart"/>
      <w:r w:rsidRPr="003E342A">
        <w:rPr>
          <w:rFonts w:ascii="Times New Roman" w:hAnsi="Times New Roman" w:cs="Times New Roman"/>
          <w:sz w:val="24"/>
          <w:szCs w:val="24"/>
        </w:rPr>
        <w:t>decentralised</w:t>
      </w:r>
      <w:proofErr w:type="spellEnd"/>
      <w:r w:rsidRPr="003E342A">
        <w:rPr>
          <w:rFonts w:ascii="Times New Roman" w:hAnsi="Times New Roman" w:cs="Times New Roman"/>
          <w:sz w:val="24"/>
          <w:szCs w:val="24"/>
        </w:rPr>
        <w:t xml:space="preserve"> power structures and civic empowerment, to some critics public participation in technology decision-making leads to control by public sentiment, leading to the detriment of scientifically defined safety”</w:t>
      </w:r>
      <w:r w:rsidRPr="003E342A">
        <w:rPr>
          <w:rStyle w:val="FootnoteReference"/>
          <w:rFonts w:ascii="Times New Roman" w:hAnsi="Times New Roman" w:cs="Times New Roman"/>
          <w:sz w:val="24"/>
          <w:szCs w:val="24"/>
        </w:rPr>
        <w:footnoteReference w:id="166"/>
      </w:r>
      <w:r w:rsidRPr="003E342A">
        <w:rPr>
          <w:rFonts w:ascii="Times New Roman" w:hAnsi="Times New Roman" w:cs="Times New Roman"/>
          <w:sz w:val="24"/>
          <w:szCs w:val="24"/>
        </w:rPr>
        <w:t xml:space="preserve"> Cotton notes that the emphasis on the “expert” decision-maker is the result of an ideology of “</w:t>
      </w:r>
      <w:r w:rsidRPr="003E342A">
        <w:rPr>
          <w:rFonts w:ascii="Times New Roman" w:hAnsi="Times New Roman" w:cs="Times New Roman"/>
          <w:i/>
          <w:sz w:val="24"/>
          <w:szCs w:val="24"/>
        </w:rPr>
        <w:t>administrative rationalism</w:t>
      </w:r>
      <w:r w:rsidRPr="003E342A">
        <w:rPr>
          <w:rFonts w:ascii="Times New Roman" w:hAnsi="Times New Roman" w:cs="Times New Roman"/>
          <w:sz w:val="24"/>
          <w:szCs w:val="24"/>
        </w:rPr>
        <w:t xml:space="preserve">” in which the “role of the expert is placed in primacy in social problem solving, and where social relations of hierarchy are stressed over those of equality of competition”; he concludes, however, that “if </w:t>
      </w:r>
      <w:r w:rsidRPr="003E342A">
        <w:rPr>
          <w:rStyle w:val="fontstyle01"/>
          <w:rFonts w:ascii="Times New Roman" w:hAnsi="Times New Roman" w:cs="Times New Roman"/>
          <w:sz w:val="24"/>
          <w:szCs w:val="24"/>
        </w:rPr>
        <w:t>science and engineering-based criteria come under attack, this would</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be detrimental to the success (and safety) of any given design and so, perhaps</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ironically, citizen involvement would not be in the public interest</w:t>
      </w:r>
      <w:r w:rsidR="00225B5D" w:rsidRPr="003E342A">
        <w:rPr>
          <w:rStyle w:val="fontstyle01"/>
          <w:rFonts w:ascii="Times New Roman" w:hAnsi="Times New Roman" w:cs="Times New Roman"/>
          <w:sz w:val="24"/>
          <w:szCs w:val="24"/>
        </w:rPr>
        <w:t>.”</w:t>
      </w:r>
      <w:r w:rsidRPr="003E342A">
        <w:rPr>
          <w:rStyle w:val="fontstyle01"/>
          <w:rFonts w:ascii="Times New Roman" w:hAnsi="Times New Roman" w:cs="Times New Roman"/>
          <w:sz w:val="24"/>
          <w:szCs w:val="24"/>
        </w:rPr>
        <w:t xml:space="preserve"> </w:t>
      </w:r>
      <w:r w:rsidRPr="003E342A">
        <w:rPr>
          <w:rFonts w:ascii="Times New Roman" w:hAnsi="Times New Roman" w:cs="Times New Roman"/>
          <w:sz w:val="24"/>
          <w:szCs w:val="24"/>
        </w:rPr>
        <w:t>Placing the participatory technology assessment at the center of regulatory policy affords scientists a more marginal role influencing what is ultimately a test of perception and rhetoric</w:t>
      </w:r>
      <w:r w:rsidR="00692ECC">
        <w:rPr>
          <w:rFonts w:ascii="Times New Roman" w:hAnsi="Times New Roman" w:cs="Times New Roman"/>
          <w:sz w:val="24"/>
          <w:szCs w:val="24"/>
        </w:rPr>
        <w:t>.</w:t>
      </w:r>
    </w:p>
    <w:p w14:paraId="25170378" w14:textId="278A6A61" w:rsidR="000904CE" w:rsidRPr="003E342A" w:rsidRDefault="000904CE" w:rsidP="000904CE">
      <w:pPr>
        <w:spacing w:line="480" w:lineRule="auto"/>
        <w:ind w:firstLine="720"/>
        <w:contextualSpacing/>
        <w:jc w:val="both"/>
        <w:rPr>
          <w:rFonts w:ascii="Times New Roman" w:hAnsi="Times New Roman" w:cs="Times New Roman"/>
          <w:b/>
          <w:sz w:val="24"/>
          <w:szCs w:val="24"/>
        </w:rPr>
      </w:pPr>
      <w:r w:rsidRPr="003E342A">
        <w:rPr>
          <w:rFonts w:ascii="Times New Roman" w:hAnsi="Times New Roman" w:cs="Times New Roman"/>
          <w:sz w:val="24"/>
          <w:szCs w:val="24"/>
        </w:rPr>
        <w:t xml:space="preserve">Thus, there exists substantial literature that problematizes the democratization of regulatory decisionmaking, and the EU’s increasing resort to such mechanisms may be based on a false “assumption of a ‘higher wisdom’ of lay knowledge” deriving from </w:t>
      </w:r>
      <w:proofErr w:type="gramStart"/>
      <w:r w:rsidRPr="003E342A">
        <w:rPr>
          <w:rFonts w:ascii="Times New Roman" w:hAnsi="Times New Roman" w:cs="Times New Roman"/>
          <w:sz w:val="24"/>
          <w:szCs w:val="24"/>
        </w:rPr>
        <w:t>particular pluralistic</w:t>
      </w:r>
      <w:proofErr w:type="gramEnd"/>
      <w:r w:rsidRPr="003E342A">
        <w:rPr>
          <w:rFonts w:ascii="Times New Roman" w:hAnsi="Times New Roman" w:cs="Times New Roman"/>
          <w:sz w:val="24"/>
          <w:szCs w:val="24"/>
        </w:rPr>
        <w:t xml:space="preserve"> faith in constructivist worldviews, which is arguably incompatible with the structure of scientific decisionmaking. The convergence of unrelated factors in popular discourse and in the collective consciousness can drastically impact the route of participatory regulatory decisionmaking. One particularly stark example was the way in which </w:t>
      </w:r>
      <w:proofErr w:type="spellStart"/>
      <w:r w:rsidRPr="003E342A">
        <w:rPr>
          <w:rFonts w:ascii="Times New Roman" w:hAnsi="Times New Roman" w:cs="Times New Roman"/>
          <w:sz w:val="24"/>
          <w:szCs w:val="24"/>
        </w:rPr>
        <w:t>rbST</w:t>
      </w:r>
      <w:proofErr w:type="spellEnd"/>
      <w:r w:rsidRPr="003E342A">
        <w:rPr>
          <w:rFonts w:ascii="Times New Roman" w:hAnsi="Times New Roman" w:cs="Times New Roman"/>
          <w:sz w:val="24"/>
          <w:szCs w:val="24"/>
        </w:rPr>
        <w:t xml:space="preserve">, a milk production hormone approved for, and in wide use in, the US dairy industry, came into EU regulatory questioning at the same time as the “introduction of milk quotas and widespread concern in Europe with the use of hormones in meat,” as a result of which “scientific evaluation gave way to political debate and socioeconomic </w:t>
      </w:r>
      <w:r w:rsidRPr="003E342A">
        <w:rPr>
          <w:rFonts w:ascii="Times New Roman" w:hAnsi="Times New Roman" w:cs="Times New Roman"/>
          <w:sz w:val="24"/>
          <w:szCs w:val="24"/>
        </w:rPr>
        <w:lastRenderedPageBreak/>
        <w:t>imperatives,” ensuring that “</w:t>
      </w:r>
      <w:proofErr w:type="spellStart"/>
      <w:r w:rsidRPr="003E342A">
        <w:rPr>
          <w:rFonts w:ascii="Times New Roman" w:hAnsi="Times New Roman" w:cs="Times New Roman"/>
          <w:sz w:val="24"/>
          <w:szCs w:val="24"/>
        </w:rPr>
        <w:t>rbST</w:t>
      </w:r>
      <w:proofErr w:type="spellEnd"/>
      <w:r w:rsidRPr="003E342A">
        <w:rPr>
          <w:rFonts w:ascii="Times New Roman" w:hAnsi="Times New Roman" w:cs="Times New Roman"/>
          <w:sz w:val="24"/>
          <w:szCs w:val="24"/>
        </w:rPr>
        <w:t xml:space="preserve"> was never likely to be licensed</w:t>
      </w:r>
      <w:r w:rsidR="00225B5D" w:rsidRPr="003E342A">
        <w:rPr>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67"/>
      </w:r>
      <w:r w:rsidRPr="003E342A">
        <w:rPr>
          <w:rFonts w:ascii="Times New Roman" w:hAnsi="Times New Roman" w:cs="Times New Roman"/>
          <w:sz w:val="24"/>
          <w:szCs w:val="24"/>
        </w:rPr>
        <w:t xml:space="preserve"> To better illustrate the application to GMOs, </w:t>
      </w:r>
      <w:r w:rsidRPr="003E342A">
        <w:rPr>
          <w:rFonts w:ascii="Times New Roman" w:hAnsi="Times New Roman" w:cs="Times New Roman"/>
          <w:color w:val="000000"/>
          <w:sz w:val="24"/>
          <w:szCs w:val="24"/>
        </w:rPr>
        <w:t>“The European directive on GMOs (European Communities, 2001, Article 4) states: ‘Member States shall, in accordance with the precautionary principle, ensure that all appropriate measures are taken to avoid adverse effects on human health and the environment which might arise from the deliberate release or the placing on the market of GMOs’. The directive leaves open what precisely can be considered as an ‘adverse effect on human health and the environment’. The directive also leaves open what could be ‘a sufficient demonstration of safety’, let alone that it defines the degree of uncertainty which could justify restricted use or a ban of a particular GMO.”</w:t>
      </w:r>
      <w:r w:rsidRPr="003E342A">
        <w:rPr>
          <w:rStyle w:val="FootnoteReference"/>
          <w:rFonts w:ascii="Times New Roman" w:hAnsi="Times New Roman" w:cs="Times New Roman"/>
          <w:color w:val="000000"/>
          <w:sz w:val="24"/>
          <w:szCs w:val="24"/>
        </w:rPr>
        <w:footnoteReference w:id="168"/>
      </w:r>
    </w:p>
    <w:p w14:paraId="7EECDE31" w14:textId="18D2237A" w:rsidR="000904CE" w:rsidRPr="003E342A" w:rsidRDefault="000904CE" w:rsidP="000904CE">
      <w:pPr>
        <w:spacing w:line="480" w:lineRule="auto"/>
        <w:contextualSpacing/>
        <w:jc w:val="both"/>
        <w:rPr>
          <w:rFonts w:ascii="Times New Roman" w:hAnsi="Times New Roman" w:cs="Times New Roman"/>
          <w:color w:val="131413"/>
          <w:sz w:val="24"/>
          <w:szCs w:val="24"/>
        </w:rPr>
      </w:pPr>
      <w:r w:rsidRPr="003E342A">
        <w:rPr>
          <w:rFonts w:ascii="Times New Roman" w:hAnsi="Times New Roman" w:cs="Times New Roman"/>
          <w:sz w:val="24"/>
          <w:szCs w:val="24"/>
        </w:rPr>
        <w:tab/>
        <w:t>Two competing views of the role of democracy in regulatory decisionmaking then seem to dominate, distilled down to differing answers to a central question: does democratic input introduce, or</w:t>
      </w:r>
      <w:r w:rsidR="0066421A">
        <w:rPr>
          <w:rFonts w:ascii="Times New Roman" w:hAnsi="Times New Roman" w:cs="Times New Roman"/>
          <w:sz w:val="24"/>
          <w:szCs w:val="24"/>
        </w:rPr>
        <w:t xml:space="preserve"> does it</w:t>
      </w:r>
      <w:r w:rsidRPr="003E342A">
        <w:rPr>
          <w:rFonts w:ascii="Times New Roman" w:hAnsi="Times New Roman" w:cs="Times New Roman"/>
          <w:sz w:val="24"/>
          <w:szCs w:val="24"/>
        </w:rPr>
        <w:t xml:space="preserve"> prevent the introduction of, political priorities into the scientific evaluation process? Critics of democratic input argue that opening up regulation to participatory technology assessment and political oversight impedes the attainment of purely scientific conclusions: “</w:t>
      </w:r>
      <w:r w:rsidR="0066421A">
        <w:rPr>
          <w:rFonts w:ascii="Times New Roman" w:hAnsi="Times New Roman" w:cs="Times New Roman"/>
          <w:color w:val="131413"/>
          <w:sz w:val="24"/>
          <w:szCs w:val="24"/>
        </w:rPr>
        <w:t>t</w:t>
      </w:r>
      <w:r w:rsidRPr="003E342A">
        <w:rPr>
          <w:rFonts w:ascii="Times New Roman" w:hAnsi="Times New Roman" w:cs="Times New Roman"/>
          <w:color w:val="131413"/>
          <w:sz w:val="24"/>
          <w:szCs w:val="24"/>
        </w:rPr>
        <w:t>here, obviously, exist tensions between public legitimization needs (insulating science from policy) and practical action requirements.”</w:t>
      </w:r>
      <w:r w:rsidRPr="003E342A">
        <w:rPr>
          <w:rStyle w:val="FootnoteReference"/>
          <w:rFonts w:ascii="Times New Roman" w:hAnsi="Times New Roman" w:cs="Times New Roman"/>
          <w:color w:val="131413"/>
          <w:sz w:val="24"/>
          <w:szCs w:val="24"/>
        </w:rPr>
        <w:footnoteReference w:id="169"/>
      </w:r>
      <w:r w:rsidRPr="003E342A">
        <w:rPr>
          <w:rFonts w:ascii="Times New Roman" w:hAnsi="Times New Roman" w:cs="Times New Roman"/>
          <w:color w:val="131413"/>
          <w:sz w:val="24"/>
          <w:szCs w:val="24"/>
        </w:rPr>
        <w:t xml:space="preserve"> </w:t>
      </w:r>
      <w:r w:rsidRPr="003E342A">
        <w:rPr>
          <w:rFonts w:ascii="Times New Roman" w:hAnsi="Times New Roman" w:cs="Times New Roman"/>
          <w:sz w:val="24"/>
          <w:szCs w:val="24"/>
        </w:rPr>
        <w:t>Proponents of democratic input argue that there may already be unknowable amounts of political and ideologic input going behind closed doors in the regulatory laboratories, and that opening these processes up to democratic scrutiny shines light onto an otherwise surreptitious affair: “</w:t>
      </w:r>
      <w:r w:rsidRPr="003E342A">
        <w:rPr>
          <w:rFonts w:ascii="Times New Roman" w:hAnsi="Times New Roman" w:cs="Times New Roman"/>
          <w:color w:val="131413"/>
          <w:sz w:val="24"/>
          <w:szCs w:val="24"/>
        </w:rPr>
        <w:t xml:space="preserve">The BSE crisis was interpreted as a result, at least partly, of a regulatory regime marked by a non-transparent intermingling of the roles of assessment and management, and of scientific and non-scientific consideration” and “safeguarding scientific </w:t>
      </w:r>
      <w:r w:rsidRPr="003E342A">
        <w:rPr>
          <w:rFonts w:ascii="Times New Roman" w:hAnsi="Times New Roman" w:cs="Times New Roman"/>
          <w:color w:val="131413"/>
          <w:sz w:val="24"/>
          <w:szCs w:val="24"/>
        </w:rPr>
        <w:lastRenderedPageBreak/>
        <w:t>analysis against distortion by inappropriate policy influences and considerations is intended to re-establish and assure the credibility of risk assessment activities and results on which risk management decisions are to be based</w:t>
      </w:r>
      <w:r w:rsidR="0066421A">
        <w:rPr>
          <w:rFonts w:ascii="Times New Roman" w:hAnsi="Times New Roman" w:cs="Times New Roman"/>
          <w:color w:val="131413"/>
          <w:sz w:val="24"/>
          <w:szCs w:val="24"/>
        </w:rPr>
        <w:t>.</w:t>
      </w:r>
      <w:r w:rsidRPr="003E342A">
        <w:rPr>
          <w:rFonts w:ascii="Times New Roman" w:hAnsi="Times New Roman" w:cs="Times New Roman"/>
          <w:color w:val="131413"/>
          <w:sz w:val="24"/>
          <w:szCs w:val="24"/>
        </w:rPr>
        <w:t>”</w:t>
      </w:r>
      <w:r w:rsidRPr="003E342A">
        <w:rPr>
          <w:rStyle w:val="FootnoteReference"/>
          <w:rFonts w:ascii="Times New Roman" w:hAnsi="Times New Roman" w:cs="Times New Roman"/>
          <w:color w:val="131413"/>
          <w:sz w:val="24"/>
          <w:szCs w:val="24"/>
        </w:rPr>
        <w:footnoteReference w:id="170"/>
      </w:r>
      <w:r w:rsidRPr="003E342A">
        <w:rPr>
          <w:rFonts w:ascii="Times New Roman" w:hAnsi="Times New Roman" w:cs="Times New Roman"/>
          <w:color w:val="131413"/>
          <w:sz w:val="24"/>
          <w:szCs w:val="24"/>
        </w:rPr>
        <w:t xml:space="preserve"> </w:t>
      </w:r>
    </w:p>
    <w:p w14:paraId="60150891" w14:textId="1A38B435" w:rsidR="000904CE" w:rsidRPr="003E342A" w:rsidRDefault="000904CE" w:rsidP="000904CE">
      <w:pPr>
        <w:spacing w:line="480" w:lineRule="auto"/>
        <w:ind w:firstLine="720"/>
        <w:jc w:val="both"/>
        <w:rPr>
          <w:rFonts w:ascii="Times New Roman" w:hAnsi="Times New Roman" w:cs="Times New Roman"/>
          <w:color w:val="5B9BD5" w:themeColor="accent5"/>
          <w:sz w:val="24"/>
          <w:szCs w:val="24"/>
        </w:rPr>
      </w:pPr>
      <w:r w:rsidRPr="003E342A">
        <w:rPr>
          <w:rFonts w:ascii="Times New Roman" w:hAnsi="Times New Roman" w:cs="Times New Roman"/>
          <w:sz w:val="24"/>
          <w:szCs w:val="24"/>
        </w:rPr>
        <w:t>To recapitulate</w:t>
      </w:r>
      <w:r w:rsidRPr="003E342A">
        <w:rPr>
          <w:rFonts w:ascii="Times New Roman" w:hAnsi="Times New Roman" w:cs="Times New Roman"/>
          <w:b/>
          <w:sz w:val="24"/>
          <w:szCs w:val="24"/>
        </w:rPr>
        <w:t>, t</w:t>
      </w:r>
      <w:r w:rsidRPr="003E342A">
        <w:rPr>
          <w:rFonts w:ascii="Times New Roman" w:hAnsi="Times New Roman" w:cs="Times New Roman"/>
          <w:bCs/>
          <w:sz w:val="24"/>
          <w:szCs w:val="24"/>
        </w:rPr>
        <w:t xml:space="preserve">he implications of this age-old debate on the current question of comitological and regulatory reform are significant. The proposed reforms would continue an ongoing trend of reducing the role of scientific input vis-à-vis simple political majorities and non-scientific input into regulatory affairs. There are, of course, strong arguments in favor of such a reform, but as demonstrated above there is substantial reason to be wary. To </w:t>
      </w:r>
      <w:r w:rsidR="0066421A">
        <w:rPr>
          <w:rFonts w:ascii="Times New Roman" w:hAnsi="Times New Roman" w:cs="Times New Roman"/>
          <w:bCs/>
          <w:sz w:val="24"/>
          <w:szCs w:val="24"/>
        </w:rPr>
        <w:t>repeat the warning of</w:t>
      </w:r>
      <w:r w:rsidRPr="003E342A">
        <w:rPr>
          <w:rFonts w:ascii="Times New Roman" w:hAnsi="Times New Roman" w:cs="Times New Roman"/>
          <w:bCs/>
          <w:sz w:val="24"/>
          <w:szCs w:val="24"/>
        </w:rPr>
        <w:t xml:space="preserve"> Cotton, </w:t>
      </w:r>
      <w:r w:rsidRPr="003E342A">
        <w:rPr>
          <w:rFonts w:ascii="Times New Roman" w:hAnsi="Times New Roman" w:cs="Times New Roman"/>
          <w:sz w:val="24"/>
          <w:szCs w:val="24"/>
        </w:rPr>
        <w:t xml:space="preserve">“if </w:t>
      </w:r>
      <w:r w:rsidRPr="003E342A">
        <w:rPr>
          <w:rStyle w:val="fontstyle01"/>
          <w:rFonts w:ascii="Times New Roman" w:hAnsi="Times New Roman" w:cs="Times New Roman"/>
          <w:sz w:val="24"/>
          <w:szCs w:val="24"/>
        </w:rPr>
        <w:t>science and engineering-based criteria come under attack</w:t>
      </w:r>
      <w:r w:rsidR="0066421A">
        <w:rPr>
          <w:rStyle w:val="fontstyle01"/>
          <w:rFonts w:ascii="Times New Roman" w:hAnsi="Times New Roman" w:cs="Times New Roman"/>
          <w:sz w:val="24"/>
          <w:szCs w:val="24"/>
        </w:rPr>
        <w:t>[…]</w:t>
      </w:r>
      <w:r w:rsidRPr="003E342A">
        <w:rPr>
          <w:rStyle w:val="fontstyle01"/>
          <w:rFonts w:ascii="Times New Roman" w:hAnsi="Times New Roman" w:cs="Times New Roman"/>
          <w:sz w:val="24"/>
          <w:szCs w:val="24"/>
        </w:rPr>
        <w:t>perhaps</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ironically, citizen involvement would not be in the public interest</w:t>
      </w:r>
      <w:r w:rsidR="00225B5D" w:rsidRPr="003E342A">
        <w:rPr>
          <w:rStyle w:val="fontstyle01"/>
          <w:rFonts w:ascii="Times New Roman" w:hAnsi="Times New Roman" w:cs="Times New Roman"/>
          <w:sz w:val="24"/>
          <w:szCs w:val="24"/>
        </w:rPr>
        <w:t>.”</w:t>
      </w:r>
      <w:r w:rsidR="006F0047" w:rsidRPr="003E342A">
        <w:rPr>
          <w:rStyle w:val="FootnoteReference"/>
          <w:rFonts w:ascii="Times New Roman" w:hAnsi="Times New Roman" w:cs="Times New Roman"/>
          <w:color w:val="000000"/>
          <w:sz w:val="24"/>
          <w:szCs w:val="24"/>
        </w:rPr>
        <w:footnoteReference w:id="171"/>
      </w:r>
      <w:r w:rsidRPr="003E342A">
        <w:rPr>
          <w:rFonts w:ascii="Times New Roman" w:hAnsi="Times New Roman" w:cs="Times New Roman"/>
          <w:color w:val="5B9BD5" w:themeColor="accent5"/>
          <w:sz w:val="24"/>
          <w:szCs w:val="24"/>
        </w:rPr>
        <w:t xml:space="preserve"> </w:t>
      </w:r>
      <w:r w:rsidR="003A270C">
        <w:rPr>
          <w:rFonts w:ascii="Times New Roman" w:hAnsi="Times New Roman" w:cs="Times New Roman"/>
          <w:color w:val="000000" w:themeColor="text1"/>
          <w:sz w:val="24"/>
          <w:szCs w:val="24"/>
        </w:rPr>
        <w:t xml:space="preserve">On the other hand, scientists must embrace the idea that </w:t>
      </w:r>
      <w:r w:rsidR="003A270C" w:rsidRPr="003A270C">
        <w:rPr>
          <w:rFonts w:ascii="Times New Roman" w:eastAsiaTheme="minorEastAsia" w:hAnsi="Times New Roman" w:cs="Times New Roman"/>
          <w:color w:val="000000" w:themeColor="text1"/>
          <w:sz w:val="24"/>
          <w:szCs w:val="24"/>
          <w:lang w:eastAsia="zh-CN"/>
        </w:rPr>
        <w:t xml:space="preserve"> </w:t>
      </w:r>
      <w:r w:rsidR="003A270C">
        <w:rPr>
          <w:rFonts w:ascii="Times New Roman" w:eastAsiaTheme="minorEastAsia" w:hAnsi="Times New Roman" w:cs="Times New Roman"/>
          <w:color w:val="000000" w:themeColor="text1"/>
          <w:sz w:val="24"/>
          <w:szCs w:val="24"/>
          <w:lang w:eastAsia="zh-CN"/>
        </w:rPr>
        <w:t>“</w:t>
      </w:r>
      <w:r w:rsidR="003A270C" w:rsidRPr="003A270C">
        <w:rPr>
          <w:rFonts w:ascii="Times New Roman" w:eastAsiaTheme="minorEastAsia" w:hAnsi="Times New Roman" w:cs="Times New Roman"/>
          <w:color w:val="000000" w:themeColor="text1"/>
          <w:sz w:val="24"/>
          <w:szCs w:val="24"/>
          <w:lang w:eastAsia="zh-CN"/>
        </w:rPr>
        <w:t>influence requires persuasion and that hierarchies of evidence are not relevant for policy-making”</w:t>
      </w:r>
      <w:r w:rsidR="003A270C">
        <w:rPr>
          <w:rFonts w:ascii="Times New Roman" w:eastAsiaTheme="minorEastAsia" w:hAnsi="Times New Roman" w:cs="Times New Roman"/>
          <w:color w:val="000000" w:themeColor="text1"/>
          <w:sz w:val="24"/>
          <w:szCs w:val="24"/>
          <w:lang w:eastAsia="zh-CN"/>
        </w:rPr>
        <w:t xml:space="preserve"> – i.e., science and engineering-based criteria do not legislate themselves.</w:t>
      </w:r>
      <w:r w:rsidR="003A270C">
        <w:rPr>
          <w:rStyle w:val="FootnoteReference"/>
          <w:rFonts w:ascii="Times New Roman" w:eastAsiaTheme="minorEastAsia" w:hAnsi="Times New Roman" w:cs="Times New Roman"/>
          <w:color w:val="000000" w:themeColor="text1"/>
          <w:sz w:val="24"/>
          <w:szCs w:val="24"/>
          <w:lang w:eastAsia="zh-CN"/>
        </w:rPr>
        <w:footnoteReference w:id="172"/>
      </w:r>
    </w:p>
    <w:p w14:paraId="05B41FA5" w14:textId="27862A75" w:rsidR="000904CE" w:rsidRPr="003E342A" w:rsidRDefault="000904CE">
      <w:pPr>
        <w:rPr>
          <w:rFonts w:ascii="Times New Roman" w:hAnsi="Times New Roman" w:cs="Times New Roman"/>
        </w:rPr>
      </w:pPr>
      <w:r w:rsidRPr="003E342A">
        <w:rPr>
          <w:rFonts w:ascii="Times New Roman" w:hAnsi="Times New Roman" w:cs="Times New Roman"/>
        </w:rPr>
        <w:br w:type="page"/>
      </w:r>
    </w:p>
    <w:p w14:paraId="320598D3" w14:textId="7FB2C13E" w:rsidR="000904CE" w:rsidRPr="003E342A" w:rsidRDefault="000904CE" w:rsidP="006D6E05">
      <w:pPr>
        <w:pStyle w:val="Title"/>
        <w:jc w:val="center"/>
        <w:rPr>
          <w:rFonts w:cs="Times New Roman"/>
        </w:rPr>
      </w:pPr>
      <w:bookmarkStart w:id="37" w:name="_Toc531878500"/>
      <w:r w:rsidRPr="003E342A">
        <w:rPr>
          <w:rFonts w:cs="Times New Roman"/>
        </w:rPr>
        <w:lastRenderedPageBreak/>
        <w:t>Chapter V:</w:t>
      </w:r>
      <w:r w:rsidR="006D6E05" w:rsidRPr="003E342A">
        <w:rPr>
          <w:rFonts w:cs="Times New Roman"/>
        </w:rPr>
        <w:t xml:space="preserve"> </w:t>
      </w:r>
      <w:r w:rsidRPr="003E342A">
        <w:rPr>
          <w:rFonts w:cs="Times New Roman"/>
        </w:rPr>
        <w:t>Resolutions and Conclusions</w:t>
      </w:r>
      <w:bookmarkEnd w:id="37"/>
    </w:p>
    <w:p w14:paraId="1BC49751" w14:textId="77777777" w:rsidR="000904CE" w:rsidRPr="003E342A" w:rsidRDefault="000904CE" w:rsidP="000904CE">
      <w:pPr>
        <w:rPr>
          <w:rFonts w:ascii="Times New Roman" w:hAnsi="Times New Roman" w:cs="Times New Roman"/>
          <w:b/>
          <w:sz w:val="24"/>
          <w:szCs w:val="24"/>
        </w:rPr>
      </w:pPr>
      <w:r w:rsidRPr="003E342A">
        <w:rPr>
          <w:rFonts w:ascii="Times New Roman" w:hAnsi="Times New Roman" w:cs="Times New Roman"/>
          <w:b/>
          <w:sz w:val="24"/>
          <w:szCs w:val="24"/>
        </w:rPr>
        <w:br w:type="page"/>
      </w:r>
    </w:p>
    <w:p w14:paraId="5FEDCEE6" w14:textId="4FFF14D1" w:rsidR="000904CE" w:rsidRPr="003E342A" w:rsidRDefault="000904CE" w:rsidP="007830F4">
      <w:pPr>
        <w:pStyle w:val="Heading1"/>
        <w:rPr>
          <w:rFonts w:cs="Times New Roman"/>
        </w:rPr>
      </w:pPr>
      <w:bookmarkStart w:id="38" w:name="_Toc531878501"/>
      <w:r w:rsidRPr="003E342A">
        <w:rPr>
          <w:rFonts w:cs="Times New Roman"/>
        </w:rPr>
        <w:lastRenderedPageBreak/>
        <w:t>Resolutions and Conclusions</w:t>
      </w:r>
      <w:bookmarkEnd w:id="38"/>
    </w:p>
    <w:p w14:paraId="5A30B559" w14:textId="77777777" w:rsidR="007830F4" w:rsidRPr="003E342A" w:rsidRDefault="007830F4" w:rsidP="007830F4">
      <w:pPr>
        <w:rPr>
          <w:rFonts w:ascii="Times New Roman" w:hAnsi="Times New Roman" w:cs="Times New Roman"/>
        </w:rPr>
      </w:pPr>
    </w:p>
    <w:p w14:paraId="41272A8A" w14:textId="61C79BFF"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The regulation of genetically modified organisms thus poses a quandary for European institutions. On the one hand, a stable and active majority of EU citizens is generally opposed to GMOs, a plurality of member state governments represents their cause, and EU Commission President Juncker has made clear that the status quo is undemocratic and threatens to undermine the legitimacy of European regulatory bodies at a nadir of popularity. On the other hand, the reforms proposed by the Juncker Administration threaten to either dilute scientific input into the regulatory process or to </w:t>
      </w:r>
      <w:r w:rsidR="003B6B2C">
        <w:rPr>
          <w:rFonts w:ascii="Times New Roman" w:hAnsi="Times New Roman" w:cs="Times New Roman"/>
          <w:sz w:val="24"/>
          <w:szCs w:val="24"/>
        </w:rPr>
        <w:t>erode</w:t>
      </w:r>
      <w:r w:rsidRPr="003E342A">
        <w:rPr>
          <w:rFonts w:ascii="Times New Roman" w:hAnsi="Times New Roman" w:cs="Times New Roman"/>
          <w:sz w:val="24"/>
          <w:szCs w:val="24"/>
        </w:rPr>
        <w:t xml:space="preserve"> the </w:t>
      </w:r>
      <w:r w:rsidR="00271AE9">
        <w:rPr>
          <w:rFonts w:ascii="Times New Roman" w:hAnsi="Times New Roman" w:cs="Times New Roman"/>
          <w:sz w:val="24"/>
          <w:szCs w:val="24"/>
        </w:rPr>
        <w:t>Single Market</w:t>
      </w:r>
      <w:r w:rsidRPr="003E342A">
        <w:rPr>
          <w:rFonts w:ascii="Times New Roman" w:hAnsi="Times New Roman" w:cs="Times New Roman"/>
          <w:sz w:val="24"/>
          <w:szCs w:val="24"/>
        </w:rPr>
        <w:t>; and either reform would open European member states to a series of WTO trade disputes that they seem, based on recent historical precedent, likely to lose.</w:t>
      </w:r>
    </w:p>
    <w:p w14:paraId="2331B872" w14:textId="5DBBDE14" w:rsidR="00AC6638" w:rsidRDefault="000904CE" w:rsidP="000904CE">
      <w:pPr>
        <w:spacing w:line="480" w:lineRule="auto"/>
        <w:jc w:val="both"/>
        <w:rPr>
          <w:rFonts w:ascii="Times New Roman" w:hAnsi="Times New Roman" w:cs="Times New Roman"/>
          <w:sz w:val="24"/>
          <w:szCs w:val="24"/>
        </w:rPr>
      </w:pPr>
      <w:r w:rsidRPr="003E342A">
        <w:rPr>
          <w:rFonts w:ascii="Times New Roman" w:hAnsi="Times New Roman" w:cs="Times New Roman"/>
          <w:sz w:val="24"/>
          <w:szCs w:val="24"/>
        </w:rPr>
        <w:tab/>
      </w:r>
      <w:r w:rsidR="00A83F70">
        <w:rPr>
          <w:rFonts w:ascii="Times New Roman" w:hAnsi="Times New Roman" w:cs="Times New Roman"/>
          <w:sz w:val="24"/>
          <w:szCs w:val="24"/>
        </w:rPr>
        <w:t>Though the argument in favor or legitimacy is a strong one that must be responded to</w:t>
      </w:r>
      <w:r w:rsidR="00E26205">
        <w:rPr>
          <w:rFonts w:ascii="Times New Roman" w:hAnsi="Times New Roman" w:cs="Times New Roman"/>
          <w:sz w:val="24"/>
          <w:szCs w:val="24"/>
        </w:rPr>
        <w:t xml:space="preserve"> (to be discussed below)</w:t>
      </w:r>
      <w:r w:rsidR="00A83F70">
        <w:rPr>
          <w:rFonts w:ascii="Times New Roman" w:hAnsi="Times New Roman" w:cs="Times New Roman"/>
          <w:sz w:val="24"/>
          <w:szCs w:val="24"/>
        </w:rPr>
        <w:t xml:space="preserve">, the dangers of </w:t>
      </w:r>
      <w:r w:rsidR="00E26205">
        <w:rPr>
          <w:rFonts w:ascii="Times New Roman" w:hAnsi="Times New Roman" w:cs="Times New Roman"/>
          <w:sz w:val="24"/>
          <w:szCs w:val="24"/>
        </w:rPr>
        <w:t xml:space="preserve">enacting the Commission’s proposed reforms – </w:t>
      </w:r>
      <w:r w:rsidR="00A83F70">
        <w:rPr>
          <w:rFonts w:ascii="Times New Roman" w:hAnsi="Times New Roman" w:cs="Times New Roman"/>
          <w:sz w:val="24"/>
          <w:szCs w:val="24"/>
        </w:rPr>
        <w:t>flagging</w:t>
      </w:r>
      <w:r w:rsidR="00E26205">
        <w:rPr>
          <w:rFonts w:ascii="Times New Roman" w:hAnsi="Times New Roman" w:cs="Times New Roman"/>
          <w:sz w:val="24"/>
          <w:szCs w:val="24"/>
        </w:rPr>
        <w:t xml:space="preserve"> </w:t>
      </w:r>
      <w:r w:rsidR="00A83F70">
        <w:rPr>
          <w:rFonts w:ascii="Times New Roman" w:hAnsi="Times New Roman" w:cs="Times New Roman"/>
          <w:sz w:val="24"/>
          <w:szCs w:val="24"/>
        </w:rPr>
        <w:t xml:space="preserve"> economic competitiveness, new trade disputes</w:t>
      </w:r>
      <w:r w:rsidR="00E26205">
        <w:rPr>
          <w:rFonts w:ascii="Times New Roman" w:hAnsi="Times New Roman" w:cs="Times New Roman"/>
          <w:sz w:val="24"/>
          <w:szCs w:val="24"/>
        </w:rPr>
        <w:t xml:space="preserve"> with close allies at a time of rising geopolitical tensions, and a deepening culture of opening scientific regulatory processes to lay involvement that may increasingly privilege protection over innovation – collectively pose a greater danger to the long-term success of the European project. As the </w:t>
      </w:r>
      <w:r w:rsidR="00E26205">
        <w:rPr>
          <w:rFonts w:ascii="Times New Roman" w:eastAsia="Times New Roman" w:hAnsi="Times New Roman" w:cs="Times New Roman"/>
        </w:rPr>
        <w:t xml:space="preserve">Group of </w:t>
      </w:r>
      <w:r w:rsidR="00E26205" w:rsidRPr="005A48BE">
        <w:rPr>
          <w:rFonts w:ascii="Times New Roman" w:eastAsia="Times New Roman" w:hAnsi="Times New Roman" w:cs="Times New Roman"/>
        </w:rPr>
        <w:t xml:space="preserve">Chief Science Advisors of the European Commission </w:t>
      </w:r>
      <w:r w:rsidR="00E26205">
        <w:rPr>
          <w:rFonts w:ascii="Times New Roman" w:eastAsia="Times New Roman" w:hAnsi="Times New Roman" w:cs="Times New Roman"/>
        </w:rPr>
        <w:t xml:space="preserve">remind us, </w:t>
      </w:r>
      <w:r w:rsidR="00E26205" w:rsidRPr="005A48BE">
        <w:rPr>
          <w:rFonts w:ascii="Times New Roman" w:eastAsia="Times New Roman" w:hAnsi="Times New Roman" w:cs="Times New Roman"/>
        </w:rPr>
        <w:t>“</w:t>
      </w:r>
      <w:r w:rsidR="00E26205">
        <w:rPr>
          <w:rFonts w:ascii="Times New Roman" w:hAnsi="Times New Roman" w:cs="Times New Roman"/>
        </w:rPr>
        <w:t>t</w:t>
      </w:r>
      <w:r w:rsidR="00E26205" w:rsidRPr="005A48BE">
        <w:rPr>
          <w:rFonts w:ascii="Times New Roman" w:hAnsi="Times New Roman" w:cs="Times New Roman"/>
        </w:rPr>
        <w:t>here is danger that unless the EU improves the regulatory environment for products of gene-editing, it will be left behind in this field, which could also diminish EU influence on ongoing debates at the international level with respect to specific applications and regulatory processes.</w:t>
      </w:r>
      <w:r w:rsidR="00E26205">
        <w:rPr>
          <w:rFonts w:ascii="Times New Roman" w:hAnsi="Times New Roman" w:cs="Times New Roman"/>
        </w:rPr>
        <w:t xml:space="preserve">” Further, as </w:t>
      </w:r>
      <w:proofErr w:type="spellStart"/>
      <w:r w:rsidR="00E26205">
        <w:rPr>
          <w:rFonts w:ascii="Times New Roman" w:hAnsi="Times New Roman" w:cs="Times New Roman"/>
        </w:rPr>
        <w:t>Kurzer</w:t>
      </w:r>
      <w:proofErr w:type="spellEnd"/>
      <w:r w:rsidR="00E26205">
        <w:rPr>
          <w:rFonts w:ascii="Times New Roman" w:hAnsi="Times New Roman" w:cs="Times New Roman"/>
        </w:rPr>
        <w:t xml:space="preserve"> and Cooper note, as GMO cultivation and innovation continue across the rest of the world, it may be that the European Union as a net food importer will be forced to pay higher prices for rarer and rarer non-GMO crops, driving the neutral consumer out of any </w:t>
      </w:r>
      <w:r w:rsidR="00AC6638">
        <w:rPr>
          <w:rFonts w:ascii="Times New Roman" w:hAnsi="Times New Roman" w:cs="Times New Roman"/>
        </w:rPr>
        <w:t>fellow feeling</w:t>
      </w:r>
      <w:r w:rsidR="00E26205">
        <w:rPr>
          <w:rFonts w:ascii="Times New Roman" w:hAnsi="Times New Roman" w:cs="Times New Roman"/>
        </w:rPr>
        <w:t xml:space="preserve"> with the anti-GMO coalition</w:t>
      </w:r>
      <w:r w:rsidR="00AC6638">
        <w:rPr>
          <w:rFonts w:ascii="Times New Roman" w:hAnsi="Times New Roman" w:cs="Times New Roman"/>
        </w:rPr>
        <w:t>, ultimately making the current regime a pyrrhic victory for the coalition</w:t>
      </w:r>
      <w:r w:rsidR="00E26205">
        <w:rPr>
          <w:rFonts w:ascii="Times New Roman" w:hAnsi="Times New Roman" w:cs="Times New Roman"/>
        </w:rPr>
        <w:t>.</w:t>
      </w:r>
      <w:r w:rsidR="00E26205">
        <w:rPr>
          <w:rStyle w:val="FootnoteReference"/>
          <w:rFonts w:ascii="Times New Roman" w:hAnsi="Times New Roman" w:cs="Times New Roman"/>
        </w:rPr>
        <w:footnoteReference w:id="173"/>
      </w:r>
      <w:r w:rsidR="00AC6638">
        <w:rPr>
          <w:rFonts w:ascii="Times New Roman" w:hAnsi="Times New Roman" w:cs="Times New Roman"/>
          <w:sz w:val="24"/>
          <w:szCs w:val="24"/>
        </w:rPr>
        <w:t xml:space="preserve"> </w:t>
      </w:r>
      <w:r w:rsidRPr="003E342A">
        <w:rPr>
          <w:rFonts w:ascii="Times New Roman" w:hAnsi="Times New Roman" w:cs="Times New Roman"/>
          <w:sz w:val="24"/>
          <w:szCs w:val="24"/>
        </w:rPr>
        <w:t xml:space="preserve">Indeed, based on the </w:t>
      </w:r>
      <w:r w:rsidRPr="003E342A">
        <w:rPr>
          <w:rFonts w:ascii="Times New Roman" w:hAnsi="Times New Roman" w:cs="Times New Roman"/>
          <w:sz w:val="24"/>
          <w:szCs w:val="24"/>
        </w:rPr>
        <w:lastRenderedPageBreak/>
        <w:t>complete lack of traction that Commission proposals have received in the EU parliament, with the 2015 “opt-outs” proposal having languished at Parliament’s door for three years, the status quo seems to be the most likely outcome for this conflict.</w:t>
      </w:r>
      <w:r w:rsidRPr="003E342A">
        <w:rPr>
          <w:rStyle w:val="FootnoteReference"/>
          <w:rFonts w:ascii="Times New Roman" w:hAnsi="Times New Roman" w:cs="Times New Roman"/>
          <w:sz w:val="24"/>
          <w:szCs w:val="24"/>
        </w:rPr>
        <w:footnoteReference w:id="174"/>
      </w:r>
      <w:r w:rsidRPr="003E342A">
        <w:rPr>
          <w:rFonts w:ascii="Times New Roman" w:hAnsi="Times New Roman" w:cs="Times New Roman"/>
          <w:sz w:val="24"/>
          <w:szCs w:val="24"/>
        </w:rPr>
        <w:t xml:space="preserve"> </w:t>
      </w:r>
      <w:r w:rsidR="00AC6638">
        <w:rPr>
          <w:rFonts w:ascii="Times New Roman" w:hAnsi="Times New Roman" w:cs="Times New Roman"/>
          <w:sz w:val="24"/>
          <w:szCs w:val="24"/>
        </w:rPr>
        <w:t xml:space="preserve">Though government must strive generally to respond to popular sentiments and the impact of transparency and multidisciplinary input on the quality of policymaking must not be understated, there are circumstances (such as Brexit) in which citizens may popularly desire something in the short term without fulling understanding or supporting the long-term negative externalities that may result from the feasible implementations thereof; in those circumstances, as Schumpeter conceptualizes, it may fall to apolitical bureaucracies to provide a countervailing opinion in favor of the long-term best interests of the polity. </w:t>
      </w:r>
      <w:r w:rsidR="00F55F03">
        <w:rPr>
          <w:rFonts w:ascii="Times New Roman" w:hAnsi="Times New Roman" w:cs="Times New Roman"/>
          <w:sz w:val="24"/>
          <w:szCs w:val="24"/>
        </w:rPr>
        <w:t>Though the authoritarian possibilities inherent in that perspective are worrisome, so too are the possibilities of a democratic populism that rejects scientific consensus and does not contemplate long-term consequences of policy preferences.</w:t>
      </w:r>
      <w:r w:rsidR="00AC6638">
        <w:rPr>
          <w:rFonts w:ascii="Times New Roman" w:hAnsi="Times New Roman" w:cs="Times New Roman"/>
          <w:sz w:val="24"/>
          <w:szCs w:val="24"/>
        </w:rPr>
        <w:t xml:space="preserve"> </w:t>
      </w:r>
      <w:r w:rsidR="00F55F03">
        <w:rPr>
          <w:rFonts w:ascii="Times New Roman" w:hAnsi="Times New Roman" w:cs="Times New Roman"/>
          <w:sz w:val="24"/>
          <w:szCs w:val="24"/>
        </w:rPr>
        <w:t xml:space="preserve">The </w:t>
      </w:r>
      <w:proofErr w:type="spellStart"/>
      <w:r w:rsidR="00F55F03">
        <w:rPr>
          <w:rFonts w:ascii="Times New Roman" w:hAnsi="Times New Roman" w:cs="Times New Roman"/>
          <w:sz w:val="24"/>
          <w:szCs w:val="24"/>
        </w:rPr>
        <w:t>v</w:t>
      </w:r>
      <w:r w:rsidR="00AC6638">
        <w:rPr>
          <w:rFonts w:ascii="Times New Roman" w:hAnsi="Times New Roman" w:cs="Times New Roman"/>
          <w:sz w:val="24"/>
          <w:szCs w:val="24"/>
        </w:rPr>
        <w:t>ox</w:t>
      </w:r>
      <w:proofErr w:type="spellEnd"/>
      <w:r w:rsidR="00AC6638">
        <w:rPr>
          <w:rFonts w:ascii="Times New Roman" w:hAnsi="Times New Roman" w:cs="Times New Roman"/>
          <w:sz w:val="24"/>
          <w:szCs w:val="24"/>
        </w:rPr>
        <w:t xml:space="preserve"> </w:t>
      </w:r>
      <w:proofErr w:type="spellStart"/>
      <w:r w:rsidR="00AC6638">
        <w:rPr>
          <w:rFonts w:ascii="Times New Roman" w:hAnsi="Times New Roman" w:cs="Times New Roman"/>
          <w:sz w:val="24"/>
          <w:szCs w:val="24"/>
        </w:rPr>
        <w:t>populi</w:t>
      </w:r>
      <w:proofErr w:type="spellEnd"/>
      <w:r w:rsidR="00AC6638">
        <w:rPr>
          <w:rFonts w:ascii="Times New Roman" w:hAnsi="Times New Roman" w:cs="Times New Roman"/>
          <w:sz w:val="24"/>
          <w:szCs w:val="24"/>
        </w:rPr>
        <w:t xml:space="preserve"> alone cannot reshape the structure of international trade agreements or alter </w:t>
      </w:r>
      <w:r w:rsidR="00F55F03">
        <w:rPr>
          <w:rFonts w:ascii="Times New Roman" w:hAnsi="Times New Roman" w:cs="Times New Roman"/>
          <w:sz w:val="24"/>
          <w:szCs w:val="24"/>
        </w:rPr>
        <w:t>the results of scientific studies.</w:t>
      </w:r>
    </w:p>
    <w:p w14:paraId="75B7ECA7" w14:textId="66092A6C" w:rsidR="0072730C" w:rsidRDefault="000904CE" w:rsidP="0087126A">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However, as discussed in Chapter </w:t>
      </w:r>
      <w:r w:rsidR="00D8325C" w:rsidRPr="003E342A">
        <w:rPr>
          <w:rFonts w:ascii="Times New Roman" w:hAnsi="Times New Roman" w:cs="Times New Roman"/>
          <w:sz w:val="24"/>
          <w:szCs w:val="24"/>
        </w:rPr>
        <w:t>I</w:t>
      </w:r>
      <w:r w:rsidRPr="003E342A">
        <w:rPr>
          <w:rFonts w:ascii="Times New Roman" w:hAnsi="Times New Roman" w:cs="Times New Roman"/>
          <w:sz w:val="24"/>
          <w:szCs w:val="24"/>
        </w:rPr>
        <w:t>II, the status quo runs the risk of allowing an ongoing legitimacy crisis to fester</w:t>
      </w:r>
      <w:r w:rsidR="005830D6">
        <w:rPr>
          <w:rFonts w:ascii="Times New Roman" w:hAnsi="Times New Roman" w:cs="Times New Roman"/>
          <w:sz w:val="24"/>
          <w:szCs w:val="24"/>
        </w:rPr>
        <w:t xml:space="preserve"> (the far-right Alternative </w:t>
      </w:r>
      <w:proofErr w:type="spellStart"/>
      <w:r w:rsidR="005830D6">
        <w:rPr>
          <w:rFonts w:ascii="Times New Roman" w:hAnsi="Times New Roman" w:cs="Times New Roman"/>
          <w:sz w:val="24"/>
          <w:szCs w:val="24"/>
        </w:rPr>
        <w:t>für</w:t>
      </w:r>
      <w:proofErr w:type="spellEnd"/>
      <w:r w:rsidR="005830D6">
        <w:rPr>
          <w:rFonts w:ascii="Times New Roman" w:hAnsi="Times New Roman" w:cs="Times New Roman"/>
          <w:sz w:val="24"/>
          <w:szCs w:val="24"/>
        </w:rPr>
        <w:t xml:space="preserve"> Deutschland has already adopted an anti-GMO position, possible seeking common cause with anti-GMO activists against European regulation)</w:t>
      </w:r>
      <w:r w:rsidRPr="003E342A">
        <w:rPr>
          <w:rFonts w:ascii="Times New Roman" w:hAnsi="Times New Roman" w:cs="Times New Roman"/>
          <w:sz w:val="24"/>
          <w:szCs w:val="24"/>
        </w:rPr>
        <w:t xml:space="preserve"> and an outright concession on the part of President Juncker would earn a swift rebuke from the anti-biotech coalition, who have already criticized him for even slight moderation on the issue.</w:t>
      </w:r>
      <w:r w:rsidRPr="003E342A">
        <w:rPr>
          <w:rStyle w:val="FootnoteReference"/>
          <w:rFonts w:ascii="Times New Roman" w:hAnsi="Times New Roman" w:cs="Times New Roman"/>
          <w:sz w:val="24"/>
          <w:szCs w:val="24"/>
        </w:rPr>
        <w:footnoteReference w:id="175"/>
      </w:r>
      <w:r w:rsidR="005830D6">
        <w:rPr>
          <w:rFonts w:ascii="Times New Roman" w:hAnsi="Times New Roman" w:cs="Times New Roman"/>
          <w:sz w:val="24"/>
          <w:szCs w:val="24"/>
        </w:rPr>
        <w:t xml:space="preserve"> </w:t>
      </w:r>
      <w:r w:rsidR="0072730C">
        <w:rPr>
          <w:rFonts w:ascii="Times New Roman" w:hAnsi="Times New Roman" w:cs="Times New Roman"/>
          <w:sz w:val="24"/>
          <w:szCs w:val="24"/>
        </w:rPr>
        <w:t xml:space="preserve">Thus, there are some immediate options the Juncker Regime could adopt to increase transparency into the authorization process without actually altering the structure of the process in </w:t>
      </w:r>
      <w:r w:rsidR="0072730C">
        <w:rPr>
          <w:rFonts w:ascii="Times New Roman" w:hAnsi="Times New Roman" w:cs="Times New Roman"/>
          <w:sz w:val="24"/>
          <w:szCs w:val="24"/>
        </w:rPr>
        <w:lastRenderedPageBreak/>
        <w:t xml:space="preserve">a way that reduces the role of scientists: making public the results of comitology proceedings, and altering the requirements of the EFSA safety studies. First, </w:t>
      </w:r>
      <w:r w:rsidR="00AF20FE">
        <w:rPr>
          <w:rFonts w:ascii="Times New Roman" w:hAnsi="Times New Roman" w:cs="Times New Roman"/>
          <w:sz w:val="24"/>
          <w:szCs w:val="24"/>
        </w:rPr>
        <w:t>the proposal by the Commission to disclose the vote totals of the committee that oversees GMO authorization should be implemented.</w:t>
      </w:r>
      <w:r w:rsidR="00AF20FE">
        <w:rPr>
          <w:rStyle w:val="FootnoteReference"/>
          <w:rFonts w:ascii="Times New Roman" w:hAnsi="Times New Roman" w:cs="Times New Roman"/>
          <w:sz w:val="24"/>
          <w:szCs w:val="24"/>
        </w:rPr>
        <w:footnoteReference w:id="176"/>
      </w:r>
      <w:r w:rsidR="00AF20FE">
        <w:rPr>
          <w:rFonts w:ascii="Times New Roman" w:hAnsi="Times New Roman" w:cs="Times New Roman"/>
          <w:sz w:val="24"/>
          <w:szCs w:val="24"/>
        </w:rPr>
        <w:t xml:space="preserve"> By revealing how Member State representatives vote, skepticism at the opaque nature of reform could be alleviated even without having a direct impact on the votes themselves. Second, there is an opportunity to </w:t>
      </w:r>
      <w:r w:rsidR="001871EA">
        <w:rPr>
          <w:rFonts w:ascii="Times New Roman" w:hAnsi="Times New Roman" w:cs="Times New Roman"/>
          <w:sz w:val="24"/>
          <w:szCs w:val="24"/>
        </w:rPr>
        <w:t>improve the transparency of the EFSA risk evaluation process: by opening to scrutiny or public research the health and environmental studies submitted as part of the application process. As it stands, an entity applying for GMO authorization (namely, a biotechnology company or research institution) submits its own studies on health and safety, which are then scrutinized by the EFSA and the member state acting on behalf of the applicant.</w:t>
      </w:r>
      <w:r w:rsidR="001871EA">
        <w:rPr>
          <w:rStyle w:val="FootnoteReference"/>
          <w:rFonts w:ascii="Times New Roman" w:hAnsi="Times New Roman" w:cs="Times New Roman"/>
          <w:sz w:val="24"/>
          <w:szCs w:val="24"/>
        </w:rPr>
        <w:footnoteReference w:id="177"/>
      </w:r>
      <w:r w:rsidR="001871EA">
        <w:rPr>
          <w:rFonts w:ascii="Times New Roman" w:hAnsi="Times New Roman" w:cs="Times New Roman"/>
          <w:sz w:val="24"/>
          <w:szCs w:val="24"/>
        </w:rPr>
        <w:t xml:space="preserve"> Though all such materials are available for viewing on the EFSA website and public commentary is solicited, it is unclear how the commentary is used, if at all. Rather, this process could be democratized or transparentized by requiring public European universities or institutes to conduct peer review processes on all </w:t>
      </w:r>
      <w:proofErr w:type="gramStart"/>
      <w:r w:rsidR="001871EA">
        <w:rPr>
          <w:rFonts w:ascii="Times New Roman" w:hAnsi="Times New Roman" w:cs="Times New Roman"/>
          <w:sz w:val="24"/>
          <w:szCs w:val="24"/>
        </w:rPr>
        <w:t>applications, or</w:t>
      </w:r>
      <w:proofErr w:type="gramEnd"/>
      <w:r w:rsidR="001871EA">
        <w:rPr>
          <w:rFonts w:ascii="Times New Roman" w:hAnsi="Times New Roman" w:cs="Times New Roman"/>
          <w:sz w:val="24"/>
          <w:szCs w:val="24"/>
        </w:rPr>
        <w:t xml:space="preserve"> opening such studies to crowd review.</w:t>
      </w:r>
      <w:r w:rsidR="005E38CE">
        <w:rPr>
          <w:rFonts w:ascii="Times New Roman" w:hAnsi="Times New Roman" w:cs="Times New Roman"/>
          <w:sz w:val="24"/>
          <w:szCs w:val="24"/>
        </w:rPr>
        <w:t xml:space="preserve"> Further, the fact that proprietary </w:t>
      </w:r>
      <w:r w:rsidR="0087126A">
        <w:rPr>
          <w:rFonts w:ascii="Times New Roman" w:hAnsi="Times New Roman" w:cs="Times New Roman"/>
          <w:sz w:val="24"/>
          <w:szCs w:val="24"/>
        </w:rPr>
        <w:t xml:space="preserve">company </w:t>
      </w:r>
      <w:r w:rsidR="005E38CE">
        <w:rPr>
          <w:rFonts w:ascii="Times New Roman" w:hAnsi="Times New Roman" w:cs="Times New Roman"/>
          <w:sz w:val="24"/>
          <w:szCs w:val="24"/>
        </w:rPr>
        <w:t>data</w:t>
      </w:r>
      <w:r w:rsidR="0087126A">
        <w:rPr>
          <w:rFonts w:ascii="Times New Roman" w:hAnsi="Times New Roman" w:cs="Times New Roman"/>
          <w:sz w:val="24"/>
          <w:szCs w:val="24"/>
        </w:rPr>
        <w:t xml:space="preserve"> is sometimes not disclosed in these regulatory proceedings is something that should also be reformed: even if scientific review finds a GMO safe for human consumption, any consumer should have a right to knowledge about the nature and effect of a genetic modification.</w:t>
      </w:r>
    </w:p>
    <w:p w14:paraId="1697D9EF" w14:textId="0A857B2F" w:rsidR="000904CE" w:rsidRPr="003E342A" w:rsidRDefault="0072730C" w:rsidP="0072730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If stricter GMO regulations do go into place, however, </w:t>
      </w:r>
      <w:proofErr w:type="gramStart"/>
      <w:r>
        <w:rPr>
          <w:rFonts w:ascii="Times New Roman" w:hAnsi="Times New Roman" w:cs="Times New Roman"/>
          <w:sz w:val="24"/>
          <w:szCs w:val="24"/>
        </w:rPr>
        <w:t>it</w:t>
      </w:r>
      <w:proofErr w:type="gramEnd"/>
      <w:r>
        <w:rPr>
          <w:rFonts w:ascii="Times New Roman" w:hAnsi="Times New Roman" w:cs="Times New Roman"/>
          <w:sz w:val="24"/>
          <w:szCs w:val="24"/>
        </w:rPr>
        <w:t xml:space="preserve"> merits thinking through how to minimize the unwanted consequences. </w:t>
      </w:r>
      <w:r w:rsidR="00A70874" w:rsidRPr="003E342A">
        <w:rPr>
          <w:rFonts w:ascii="Times New Roman" w:hAnsi="Times New Roman" w:cs="Times New Roman"/>
          <w:sz w:val="24"/>
          <w:szCs w:val="24"/>
        </w:rPr>
        <w:t xml:space="preserve">Though several options exist, a few are immediately salient: </w:t>
      </w:r>
      <w:r w:rsidR="00A70874" w:rsidRPr="003E342A">
        <w:rPr>
          <w:rFonts w:ascii="Times New Roman" w:hAnsi="Times New Roman" w:cs="Times New Roman"/>
          <w:sz w:val="24"/>
          <w:szCs w:val="24"/>
        </w:rPr>
        <w:lastRenderedPageBreak/>
        <w:t>softening or scaling back the nature of GMO opt-outs, accepting or finding creative settlements in a WTO dispute, or renegotiating WTO rules regarding GMOs.</w:t>
      </w:r>
    </w:p>
    <w:p w14:paraId="5A906B95" w14:textId="277C1E12"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First, there is the possibility of the Commission recalibrating </w:t>
      </w:r>
      <w:proofErr w:type="gramStart"/>
      <w:r w:rsidRPr="003E342A">
        <w:rPr>
          <w:rFonts w:ascii="Times New Roman" w:hAnsi="Times New Roman" w:cs="Times New Roman"/>
          <w:sz w:val="24"/>
          <w:szCs w:val="24"/>
        </w:rPr>
        <w:t>its</w:t>
      </w:r>
      <w:proofErr w:type="gramEnd"/>
      <w:r w:rsidRPr="003E342A">
        <w:rPr>
          <w:rFonts w:ascii="Times New Roman" w:hAnsi="Times New Roman" w:cs="Times New Roman"/>
          <w:sz w:val="24"/>
          <w:szCs w:val="24"/>
        </w:rPr>
        <w:t xml:space="preserve"> opt-outs proposal to allow member states to ban GMOs on their territories, but limit the ways in which these bans can be enforced so as to minimally impact the functioning of the common market. Stipulations could be created that would prevent border screenings or any other impediment to freedom of movement of goods or persons, limiting enforcement of GMO bans to mild civil actions at the level of individual companies for selling GM products. Though this streamlined proposal might be more palatable to a sufficiently large portion of the Parliament, it runs the risk of incensing </w:t>
      </w:r>
      <w:r w:rsidR="00A720CB" w:rsidRPr="003E342A">
        <w:rPr>
          <w:rFonts w:ascii="Times New Roman" w:hAnsi="Times New Roman" w:cs="Times New Roman"/>
          <w:sz w:val="24"/>
          <w:szCs w:val="24"/>
        </w:rPr>
        <w:t xml:space="preserve">new parties, such as free trade advocates, </w:t>
      </w:r>
      <w:proofErr w:type="spellStart"/>
      <w:r w:rsidR="00A720CB" w:rsidRPr="003E342A">
        <w:rPr>
          <w:rFonts w:ascii="Times New Roman" w:hAnsi="Times New Roman" w:cs="Times New Roman"/>
          <w:sz w:val="24"/>
          <w:szCs w:val="24"/>
        </w:rPr>
        <w:t>Eurofederalists</w:t>
      </w:r>
      <w:proofErr w:type="spellEnd"/>
      <w:r w:rsidR="00A720CB" w:rsidRPr="003E342A">
        <w:rPr>
          <w:rFonts w:ascii="Times New Roman" w:hAnsi="Times New Roman" w:cs="Times New Roman"/>
          <w:sz w:val="24"/>
          <w:szCs w:val="24"/>
        </w:rPr>
        <w:t>, and others strong opponents of internal European borders,</w:t>
      </w:r>
      <w:r w:rsidRPr="003E342A">
        <w:rPr>
          <w:rFonts w:ascii="Times New Roman" w:hAnsi="Times New Roman" w:cs="Times New Roman"/>
          <w:sz w:val="24"/>
          <w:szCs w:val="24"/>
        </w:rPr>
        <w:t xml:space="preserve"> without placating the anti-biotech coalition </w:t>
      </w:r>
      <w:r w:rsidR="00A720CB" w:rsidRPr="003E342A">
        <w:rPr>
          <w:rFonts w:ascii="Times New Roman" w:hAnsi="Times New Roman" w:cs="Times New Roman"/>
          <w:sz w:val="24"/>
          <w:szCs w:val="24"/>
        </w:rPr>
        <w:t>to any significant degree</w:t>
      </w:r>
      <w:r w:rsidRPr="003E342A">
        <w:rPr>
          <w:rFonts w:ascii="Times New Roman" w:hAnsi="Times New Roman" w:cs="Times New Roman"/>
          <w:sz w:val="24"/>
          <w:szCs w:val="24"/>
        </w:rPr>
        <w:t xml:space="preserve">. At the very least, such a move would elicit an outcry from major GMO growers such as Spain and Portugal, as well as coalitions of scientists and biotech companies and supporters. </w:t>
      </w:r>
    </w:p>
    <w:p w14:paraId="717C1116" w14:textId="69D31A82"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t xml:space="preserve">Second, there is the possibility that the commission could eventually pass its proposed comitological reform and continue/resume the moratorium on GMO approvals, come what may from the WTO. Though the likelihood of retaliation and defeat is high (the previous dispute is technically still unsettled; trade negotiators have had larger </w:t>
      </w:r>
      <w:r w:rsidR="0073434A" w:rsidRPr="003E342A">
        <w:rPr>
          <w:rFonts w:ascii="Times New Roman" w:hAnsi="Times New Roman" w:cs="Times New Roman"/>
          <w:sz w:val="24"/>
          <w:szCs w:val="24"/>
        </w:rPr>
        <w:t>issues to contend with</w:t>
      </w:r>
      <w:r w:rsidRPr="003E342A">
        <w:rPr>
          <w:rFonts w:ascii="Times New Roman" w:hAnsi="Times New Roman" w:cs="Times New Roman"/>
          <w:sz w:val="24"/>
          <w:szCs w:val="24"/>
        </w:rPr>
        <w:t xml:space="preserve"> in recent years), losing a trade dispute is not a fatal blow, and countries routinely find creative settlements that allow both parties to preserve their own priorities. For example, when Brazil won a trade dispute over US cotton subsidies, the Bush administration negotiated a $300 million payment to a Brazilian cotton trade group.</w:t>
      </w:r>
      <w:r w:rsidRPr="003E342A">
        <w:rPr>
          <w:rStyle w:val="FootnoteReference"/>
          <w:rFonts w:ascii="Times New Roman" w:hAnsi="Times New Roman" w:cs="Times New Roman"/>
          <w:sz w:val="24"/>
          <w:szCs w:val="24"/>
        </w:rPr>
        <w:footnoteReference w:id="178"/>
      </w:r>
      <w:r w:rsidRPr="003E342A">
        <w:rPr>
          <w:rFonts w:ascii="Times New Roman" w:hAnsi="Times New Roman" w:cs="Times New Roman"/>
          <w:sz w:val="24"/>
          <w:szCs w:val="24"/>
        </w:rPr>
        <w:t xml:space="preserve"> The EU commission can decide whether such an economic outlay is balanced by the political gains of a renewed moratorium on GMO</w:t>
      </w:r>
      <w:r w:rsidR="0073434A" w:rsidRPr="003E342A">
        <w:rPr>
          <w:rFonts w:ascii="Times New Roman" w:hAnsi="Times New Roman" w:cs="Times New Roman"/>
          <w:sz w:val="24"/>
          <w:szCs w:val="24"/>
        </w:rPr>
        <w:t xml:space="preserve"> approvals</w:t>
      </w:r>
      <w:r w:rsidRPr="003E342A">
        <w:rPr>
          <w:rFonts w:ascii="Times New Roman" w:hAnsi="Times New Roman" w:cs="Times New Roman"/>
          <w:sz w:val="24"/>
          <w:szCs w:val="24"/>
        </w:rPr>
        <w:t>.</w:t>
      </w:r>
    </w:p>
    <w:p w14:paraId="3FA870A7" w14:textId="77777777" w:rsidR="000904CE" w:rsidRPr="003E342A" w:rsidRDefault="000904CE" w:rsidP="000904CE">
      <w:pPr>
        <w:spacing w:line="480" w:lineRule="auto"/>
        <w:ind w:firstLine="720"/>
        <w:jc w:val="both"/>
        <w:rPr>
          <w:rFonts w:ascii="Times New Roman" w:hAnsi="Times New Roman" w:cs="Times New Roman"/>
          <w:sz w:val="24"/>
          <w:szCs w:val="24"/>
        </w:rPr>
      </w:pPr>
      <w:r w:rsidRPr="003E342A">
        <w:rPr>
          <w:rFonts w:ascii="Times New Roman" w:hAnsi="Times New Roman" w:cs="Times New Roman"/>
          <w:sz w:val="24"/>
          <w:szCs w:val="24"/>
        </w:rPr>
        <w:lastRenderedPageBreak/>
        <w:t>Third, if a reform like the above could be passed, the EU has the possibility of seeking a renegotiation of WTO rules regarding GMOs. Though there is some international traction on this issue, with Russia being one of the largest non-EU supporters of limiting the prevalence of GMOs, international reception of GMOs remains large and growing, with Brazil, China, the US and Canada among the largest proponents, and roughly 190 million hectares (more than the entire arable land area of the US) currently planted with GMOs.</w:t>
      </w:r>
      <w:r w:rsidRPr="003E342A">
        <w:rPr>
          <w:rStyle w:val="FootnoteReference"/>
          <w:rFonts w:ascii="Times New Roman" w:hAnsi="Times New Roman" w:cs="Times New Roman"/>
          <w:sz w:val="24"/>
          <w:szCs w:val="24"/>
        </w:rPr>
        <w:footnoteReference w:id="179"/>
      </w:r>
      <w:r w:rsidRPr="003E342A">
        <w:rPr>
          <w:rFonts w:ascii="Times New Roman" w:hAnsi="Times New Roman" w:cs="Times New Roman"/>
          <w:sz w:val="24"/>
          <w:szCs w:val="24"/>
        </w:rPr>
        <w:t xml:space="preserve"> Considering the already fraught process of WTO trade round negotiation (the current Doha round has been inconclusive for 17 years), this presents a daunting challenge.</w:t>
      </w:r>
    </w:p>
    <w:p w14:paraId="7D8B5777" w14:textId="64931285" w:rsidR="000904CE" w:rsidRPr="003E342A" w:rsidRDefault="000904CE" w:rsidP="002847AB">
      <w:pPr>
        <w:spacing w:line="480" w:lineRule="auto"/>
        <w:ind w:firstLine="720"/>
        <w:jc w:val="both"/>
        <w:rPr>
          <w:rStyle w:val="fontstyle01"/>
          <w:rFonts w:ascii="Times New Roman" w:hAnsi="Times New Roman" w:cs="Times New Roman"/>
          <w:color w:val="000000" w:themeColor="text1"/>
          <w:sz w:val="24"/>
          <w:szCs w:val="24"/>
        </w:rPr>
      </w:pPr>
      <w:r w:rsidRPr="003E342A">
        <w:rPr>
          <w:rFonts w:ascii="Times New Roman" w:hAnsi="Times New Roman" w:cs="Times New Roman"/>
          <w:color w:val="000000" w:themeColor="text1"/>
          <w:sz w:val="24"/>
          <w:szCs w:val="24"/>
        </w:rPr>
        <w:t xml:space="preserve">However, the question of GMOs, put into the larger global context, forces us to ask some difficult questions. What should policymakers do when the desires of the people contradict the views of scientists, of international trade law, or of deeply held organizing principles? </w:t>
      </w:r>
      <w:r w:rsidRPr="003E342A">
        <w:rPr>
          <w:rFonts w:ascii="Times New Roman" w:hAnsi="Times New Roman" w:cs="Times New Roman"/>
          <w:sz w:val="24"/>
          <w:szCs w:val="24"/>
        </w:rPr>
        <w:t xml:space="preserve">Posing the question and providing answers are very different prospects, however. In terms of regulatory structure, though, the Technocratic and </w:t>
      </w:r>
      <w:proofErr w:type="spellStart"/>
      <w:r w:rsidRPr="003E342A">
        <w:rPr>
          <w:rFonts w:ascii="Times New Roman" w:hAnsi="Times New Roman" w:cs="Times New Roman"/>
          <w:sz w:val="24"/>
          <w:szCs w:val="24"/>
        </w:rPr>
        <w:t>Decisionistic</w:t>
      </w:r>
      <w:proofErr w:type="spellEnd"/>
      <w:r w:rsidRPr="003E342A">
        <w:rPr>
          <w:rFonts w:ascii="Times New Roman" w:hAnsi="Times New Roman" w:cs="Times New Roman"/>
          <w:sz w:val="24"/>
          <w:szCs w:val="24"/>
        </w:rPr>
        <w:t xml:space="preserve"> models may seem to be at opposite ends of a one-dimensional spectrum, there do exist other regulatory structures that integrate public and expert input in different ways. One example is Habermas’s synthesis, the Pragmatist model, in which values are assessed in function of their feasibility and scientific knowledge is assessed in function of its sociopolitical implications – essentially a fusion of the other two models.</w:t>
      </w:r>
      <w:r w:rsidRPr="003E342A">
        <w:rPr>
          <w:rStyle w:val="FootnoteReference"/>
          <w:rFonts w:ascii="Times New Roman" w:hAnsi="Times New Roman" w:cs="Times New Roman"/>
          <w:sz w:val="24"/>
          <w:szCs w:val="24"/>
        </w:rPr>
        <w:footnoteReference w:id="180"/>
      </w:r>
      <w:r w:rsidRPr="003E342A">
        <w:rPr>
          <w:rFonts w:ascii="Times New Roman" w:hAnsi="Times New Roman" w:cs="Times New Roman"/>
          <w:sz w:val="24"/>
          <w:szCs w:val="24"/>
        </w:rPr>
        <w:t xml:space="preserve"> Habermas’s model is “a significant theoretical attempt to preserve both rationality and democracy at the level of political decision making that transcends both technocratic and </w:t>
      </w:r>
      <w:proofErr w:type="spellStart"/>
      <w:r w:rsidRPr="003E342A">
        <w:rPr>
          <w:rFonts w:ascii="Times New Roman" w:hAnsi="Times New Roman" w:cs="Times New Roman"/>
          <w:sz w:val="24"/>
          <w:szCs w:val="24"/>
        </w:rPr>
        <w:t>decisionistic</w:t>
      </w:r>
      <w:proofErr w:type="spellEnd"/>
      <w:r w:rsidRPr="003E342A">
        <w:rPr>
          <w:rFonts w:ascii="Times New Roman" w:hAnsi="Times New Roman" w:cs="Times New Roman"/>
          <w:sz w:val="24"/>
          <w:szCs w:val="24"/>
        </w:rPr>
        <w:t xml:space="preserve"> theories of rationality”</w:t>
      </w:r>
      <w:r w:rsidRPr="003E342A">
        <w:rPr>
          <w:rStyle w:val="FootnoteReference"/>
          <w:rFonts w:ascii="Times New Roman" w:hAnsi="Times New Roman" w:cs="Times New Roman"/>
          <w:sz w:val="24"/>
          <w:szCs w:val="24"/>
        </w:rPr>
        <w:footnoteReference w:id="181"/>
      </w:r>
      <w:r w:rsidRPr="003E342A">
        <w:rPr>
          <w:rFonts w:ascii="Times New Roman" w:hAnsi="Times New Roman" w:cs="Times New Roman"/>
          <w:sz w:val="24"/>
          <w:szCs w:val="24"/>
        </w:rPr>
        <w:t xml:space="preserve"> “</w:t>
      </w:r>
      <w:r w:rsidRPr="003E342A">
        <w:rPr>
          <w:rStyle w:val="fontstyle01"/>
          <w:rFonts w:ascii="Times New Roman" w:hAnsi="Times New Roman" w:cs="Times New Roman"/>
          <w:sz w:val="24"/>
          <w:szCs w:val="24"/>
        </w:rPr>
        <w:t>Pragmatism finally is, according to Habermas, a middle</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 xml:space="preserve">way, in which science </w:t>
      </w:r>
      <w:r w:rsidRPr="003E342A">
        <w:rPr>
          <w:rStyle w:val="fontstyle01"/>
          <w:rFonts w:ascii="Times New Roman" w:hAnsi="Times New Roman" w:cs="Times New Roman"/>
          <w:sz w:val="24"/>
          <w:szCs w:val="24"/>
        </w:rPr>
        <w:lastRenderedPageBreak/>
        <w:t>and politics have an interdependent, discursive relationship</w:t>
      </w:r>
      <w:r w:rsidRPr="003E342A">
        <w:rPr>
          <w:rFonts w:ascii="Times New Roman" w:hAnsi="Times New Roman" w:cs="Times New Roman"/>
          <w:color w:val="000000"/>
          <w:sz w:val="24"/>
          <w:szCs w:val="24"/>
        </w:rPr>
        <w:t xml:space="preserve"> </w:t>
      </w:r>
      <w:r w:rsidRPr="003E342A">
        <w:rPr>
          <w:rStyle w:val="fontstyle01"/>
          <w:rFonts w:ascii="Times New Roman" w:hAnsi="Times New Roman" w:cs="Times New Roman"/>
          <w:sz w:val="24"/>
          <w:szCs w:val="24"/>
        </w:rPr>
        <w:t>and values and knowledge can be related effectively to each other</w:t>
      </w:r>
      <w:r w:rsidR="00225B5D" w:rsidRPr="003E342A">
        <w:rPr>
          <w:rStyle w:val="fontstyle01"/>
          <w:rFonts w:ascii="Times New Roman" w:hAnsi="Times New Roman" w:cs="Times New Roman"/>
          <w:sz w:val="24"/>
          <w:szCs w:val="24"/>
        </w:rPr>
        <w:t>.”</w:t>
      </w:r>
      <w:r w:rsidRPr="003E342A">
        <w:rPr>
          <w:rStyle w:val="FootnoteReference"/>
          <w:rFonts w:ascii="Times New Roman" w:hAnsi="Times New Roman" w:cs="Times New Roman"/>
          <w:sz w:val="24"/>
          <w:szCs w:val="24"/>
        </w:rPr>
        <w:footnoteReference w:id="182"/>
      </w:r>
    </w:p>
    <w:p w14:paraId="4A202B05" w14:textId="4ECD4A6D" w:rsidR="00093CF6" w:rsidRPr="003E342A" w:rsidRDefault="000904CE" w:rsidP="000904CE">
      <w:pPr>
        <w:spacing w:line="480" w:lineRule="auto"/>
        <w:ind w:firstLine="720"/>
        <w:jc w:val="both"/>
        <w:rPr>
          <w:rFonts w:ascii="Times New Roman" w:hAnsi="Times New Roman" w:cs="Times New Roman"/>
          <w:color w:val="131413"/>
          <w:sz w:val="24"/>
          <w:szCs w:val="24"/>
        </w:rPr>
      </w:pPr>
      <w:r w:rsidRPr="003E342A">
        <w:rPr>
          <w:rFonts w:ascii="Times New Roman" w:hAnsi="Times New Roman" w:cs="Times New Roman"/>
          <w:sz w:val="24"/>
          <w:szCs w:val="24"/>
        </w:rPr>
        <w:t>Alternatively, “t</w:t>
      </w:r>
      <w:r w:rsidRPr="003E342A">
        <w:rPr>
          <w:rFonts w:ascii="Times New Roman" w:hAnsi="Times New Roman" w:cs="Times New Roman"/>
          <w:color w:val="131413"/>
          <w:sz w:val="24"/>
          <w:szCs w:val="24"/>
        </w:rPr>
        <w:t xml:space="preserve">he </w:t>
      </w:r>
      <w:r w:rsidRPr="003E342A">
        <w:rPr>
          <w:rFonts w:ascii="Times New Roman" w:hAnsi="Times New Roman" w:cs="Times New Roman"/>
          <w:i/>
          <w:iCs/>
          <w:color w:val="131413"/>
          <w:sz w:val="24"/>
          <w:szCs w:val="24"/>
        </w:rPr>
        <w:t xml:space="preserve">transparent </w:t>
      </w:r>
      <w:r w:rsidRPr="003E342A">
        <w:rPr>
          <w:rFonts w:ascii="Times New Roman" w:hAnsi="Times New Roman" w:cs="Times New Roman"/>
          <w:color w:val="131413"/>
          <w:sz w:val="24"/>
          <w:szCs w:val="24"/>
        </w:rPr>
        <w:t xml:space="preserve">model </w:t>
      </w:r>
      <w:r w:rsidR="00A20079" w:rsidRPr="003E342A">
        <w:rPr>
          <w:rFonts w:ascii="Times New Roman" w:hAnsi="Times New Roman" w:cs="Times New Roman"/>
          <w:color w:val="131413"/>
          <w:sz w:val="24"/>
          <w:szCs w:val="24"/>
        </w:rPr>
        <w:t>[…]</w:t>
      </w:r>
      <w:r w:rsidRPr="003E342A">
        <w:rPr>
          <w:rFonts w:ascii="Times New Roman" w:hAnsi="Times New Roman" w:cs="Times New Roman"/>
          <w:color w:val="131413"/>
          <w:sz w:val="24"/>
          <w:szCs w:val="24"/>
        </w:rPr>
        <w:t xml:space="preserve"> views scientific and socio-political factors as intertwined throughout the process of policy making and communication, with reciprocal links between science and policy, and </w:t>
      </w:r>
      <w:proofErr w:type="spellStart"/>
      <w:r w:rsidRPr="003E342A">
        <w:rPr>
          <w:rFonts w:ascii="Times New Roman" w:hAnsi="Times New Roman" w:cs="Times New Roman"/>
          <w:color w:val="131413"/>
          <w:sz w:val="24"/>
          <w:szCs w:val="24"/>
        </w:rPr>
        <w:t>recognises</w:t>
      </w:r>
      <w:proofErr w:type="spellEnd"/>
      <w:r w:rsidRPr="003E342A">
        <w:rPr>
          <w:rFonts w:ascii="Times New Roman" w:hAnsi="Times New Roman" w:cs="Times New Roman"/>
          <w:color w:val="131413"/>
          <w:sz w:val="24"/>
          <w:szCs w:val="24"/>
        </w:rPr>
        <w:t xml:space="preserve"> the input of various actors at each stage in the process</w:t>
      </w:r>
      <w:r w:rsidR="00225B5D" w:rsidRPr="003E342A">
        <w:rPr>
          <w:rFonts w:ascii="Times New Roman" w:hAnsi="Times New Roman" w:cs="Times New Roman"/>
          <w:color w:val="131413"/>
          <w:sz w:val="24"/>
          <w:szCs w:val="24"/>
        </w:rPr>
        <w:t>.”</w:t>
      </w:r>
      <w:r w:rsidRPr="003E342A">
        <w:rPr>
          <w:rStyle w:val="FootnoteReference"/>
          <w:rFonts w:ascii="Times New Roman" w:hAnsi="Times New Roman" w:cs="Times New Roman"/>
          <w:color w:val="131413"/>
          <w:sz w:val="24"/>
          <w:szCs w:val="24"/>
        </w:rPr>
        <w:footnoteReference w:id="183"/>
      </w:r>
      <w:r w:rsidRPr="003E342A">
        <w:rPr>
          <w:rFonts w:ascii="Times New Roman" w:hAnsi="Times New Roman" w:cs="Times New Roman"/>
          <w:color w:val="131413"/>
          <w:sz w:val="24"/>
          <w:szCs w:val="24"/>
        </w:rPr>
        <w:t xml:space="preserve"> </w:t>
      </w:r>
    </w:p>
    <w:p w14:paraId="51489E89" w14:textId="0D347015" w:rsidR="00093CF6" w:rsidRPr="003E342A" w:rsidRDefault="00093CF6" w:rsidP="00093CF6">
      <w:pPr>
        <w:rPr>
          <w:rFonts w:ascii="Times New Roman" w:hAnsi="Times New Roman" w:cs="Times New Roman"/>
        </w:rPr>
      </w:pPr>
    </w:p>
    <w:p w14:paraId="6535FD80" w14:textId="77777777" w:rsidR="007830F4" w:rsidRPr="003E342A" w:rsidRDefault="007830F4" w:rsidP="007830F4">
      <w:pPr>
        <w:keepNext/>
        <w:rPr>
          <w:rFonts w:ascii="Times New Roman" w:hAnsi="Times New Roman" w:cs="Times New Roman"/>
        </w:rPr>
      </w:pPr>
      <w:r w:rsidRPr="003E342A">
        <w:rPr>
          <w:rFonts w:ascii="Times New Roman" w:hAnsi="Times New Roman" w:cs="Times New Roman"/>
          <w:noProof/>
        </w:rPr>
        <w:drawing>
          <wp:inline distT="0" distB="0" distL="0" distR="0" wp14:anchorId="1C01971A" wp14:editId="1A43D09F">
            <wp:extent cx="5394960" cy="20599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94960" cy="2059940"/>
                    </a:xfrm>
                    <a:prstGeom prst="rect">
                      <a:avLst/>
                    </a:prstGeom>
                  </pic:spPr>
                </pic:pic>
              </a:graphicData>
            </a:graphic>
          </wp:inline>
        </w:drawing>
      </w:r>
    </w:p>
    <w:p w14:paraId="196638F2" w14:textId="265716A6" w:rsidR="00093CF6" w:rsidRPr="003E342A" w:rsidRDefault="007830F4" w:rsidP="007830F4">
      <w:pPr>
        <w:pStyle w:val="Caption"/>
        <w:rPr>
          <w:rFonts w:ascii="Times New Roman" w:hAnsi="Times New Roman" w:cs="Times New Roman"/>
          <w:i w:val="0"/>
          <w:color w:val="000000" w:themeColor="text1"/>
          <w:sz w:val="24"/>
          <w:szCs w:val="24"/>
        </w:rPr>
      </w:pPr>
      <w:r w:rsidRPr="003E342A">
        <w:rPr>
          <w:rFonts w:ascii="Times New Roman" w:hAnsi="Times New Roman" w:cs="Times New Roman"/>
          <w:i w:val="0"/>
          <w:color w:val="000000" w:themeColor="text1"/>
          <w:sz w:val="24"/>
          <w:szCs w:val="24"/>
        </w:rPr>
        <w:t xml:space="preserve">Figure </w:t>
      </w:r>
      <w:r w:rsidRPr="003E342A">
        <w:rPr>
          <w:rFonts w:ascii="Times New Roman" w:hAnsi="Times New Roman" w:cs="Times New Roman"/>
          <w:i w:val="0"/>
          <w:color w:val="000000" w:themeColor="text1"/>
          <w:sz w:val="24"/>
          <w:szCs w:val="24"/>
        </w:rPr>
        <w:fldChar w:fldCharType="begin"/>
      </w:r>
      <w:r w:rsidRPr="003E342A">
        <w:rPr>
          <w:rFonts w:ascii="Times New Roman" w:hAnsi="Times New Roman" w:cs="Times New Roman"/>
          <w:i w:val="0"/>
          <w:color w:val="000000" w:themeColor="text1"/>
          <w:sz w:val="24"/>
          <w:szCs w:val="24"/>
        </w:rPr>
        <w:instrText xml:space="preserve"> SEQ Figure \* ARABIC </w:instrText>
      </w:r>
      <w:r w:rsidRPr="003E342A">
        <w:rPr>
          <w:rFonts w:ascii="Times New Roman" w:hAnsi="Times New Roman" w:cs="Times New Roman"/>
          <w:i w:val="0"/>
          <w:color w:val="000000" w:themeColor="text1"/>
          <w:sz w:val="24"/>
          <w:szCs w:val="24"/>
        </w:rPr>
        <w:fldChar w:fldCharType="separate"/>
      </w:r>
      <w:r w:rsidR="00AD63C9">
        <w:rPr>
          <w:rFonts w:ascii="Times New Roman" w:hAnsi="Times New Roman" w:cs="Times New Roman"/>
          <w:i w:val="0"/>
          <w:noProof/>
          <w:color w:val="000000" w:themeColor="text1"/>
          <w:sz w:val="24"/>
          <w:szCs w:val="24"/>
        </w:rPr>
        <w:t>4</w:t>
      </w:r>
      <w:r w:rsidRPr="003E342A">
        <w:rPr>
          <w:rFonts w:ascii="Times New Roman" w:hAnsi="Times New Roman" w:cs="Times New Roman"/>
          <w:i w:val="0"/>
          <w:color w:val="000000" w:themeColor="text1"/>
          <w:sz w:val="24"/>
          <w:szCs w:val="24"/>
        </w:rPr>
        <w:fldChar w:fldCharType="end"/>
      </w:r>
      <w:r w:rsidRPr="003E342A">
        <w:rPr>
          <w:rFonts w:ascii="Times New Roman" w:hAnsi="Times New Roman" w:cs="Times New Roman"/>
          <w:i w:val="0"/>
          <w:color w:val="000000" w:themeColor="text1"/>
          <w:sz w:val="24"/>
          <w:szCs w:val="24"/>
        </w:rPr>
        <w:t xml:space="preserve">: The Transparent Model (Dryer and </w:t>
      </w:r>
      <w:proofErr w:type="spellStart"/>
      <w:r w:rsidRPr="003E342A">
        <w:rPr>
          <w:rFonts w:ascii="Times New Roman" w:hAnsi="Times New Roman" w:cs="Times New Roman"/>
          <w:i w:val="0"/>
          <w:color w:val="000000" w:themeColor="text1"/>
          <w:sz w:val="24"/>
          <w:szCs w:val="24"/>
        </w:rPr>
        <w:t>Renn</w:t>
      </w:r>
      <w:proofErr w:type="spellEnd"/>
      <w:r w:rsidRPr="003E342A">
        <w:rPr>
          <w:rFonts w:ascii="Times New Roman" w:hAnsi="Times New Roman" w:cs="Times New Roman"/>
          <w:i w:val="0"/>
          <w:color w:val="000000" w:themeColor="text1"/>
          <w:sz w:val="24"/>
          <w:szCs w:val="24"/>
        </w:rPr>
        <w:t>, p. 31, from Millstone et al. 2004)</w:t>
      </w:r>
    </w:p>
    <w:p w14:paraId="16FF706E" w14:textId="77777777" w:rsidR="007830F4" w:rsidRPr="003E342A" w:rsidRDefault="007830F4" w:rsidP="000904CE">
      <w:pPr>
        <w:spacing w:line="480" w:lineRule="auto"/>
        <w:ind w:firstLine="720"/>
        <w:jc w:val="both"/>
        <w:rPr>
          <w:rFonts w:ascii="Times New Roman" w:hAnsi="Times New Roman" w:cs="Times New Roman"/>
          <w:color w:val="131413"/>
          <w:sz w:val="24"/>
          <w:szCs w:val="24"/>
        </w:rPr>
      </w:pPr>
    </w:p>
    <w:p w14:paraId="65A75C5A" w14:textId="172A31B6" w:rsidR="000904CE" w:rsidRDefault="000904CE" w:rsidP="000904CE">
      <w:pPr>
        <w:spacing w:line="480" w:lineRule="auto"/>
        <w:ind w:firstLine="720"/>
        <w:jc w:val="both"/>
        <w:rPr>
          <w:rFonts w:ascii="Times New Roman" w:hAnsi="Times New Roman" w:cs="Times New Roman"/>
          <w:color w:val="131413"/>
          <w:sz w:val="24"/>
          <w:szCs w:val="24"/>
        </w:rPr>
      </w:pPr>
      <w:r w:rsidRPr="003E342A">
        <w:rPr>
          <w:rFonts w:ascii="Times New Roman" w:hAnsi="Times New Roman" w:cs="Times New Roman"/>
          <w:color w:val="131413"/>
          <w:sz w:val="24"/>
          <w:szCs w:val="24"/>
        </w:rPr>
        <w:t xml:space="preserve">In other words, the Transparent model gives both science and democracy their full hearing, equally and in dialog with each other, able to respond and articulate decisions </w:t>
      </w:r>
      <w:proofErr w:type="gramStart"/>
      <w:r w:rsidRPr="003E342A">
        <w:rPr>
          <w:rFonts w:ascii="Times New Roman" w:hAnsi="Times New Roman" w:cs="Times New Roman"/>
          <w:color w:val="131413"/>
          <w:sz w:val="24"/>
          <w:szCs w:val="24"/>
        </w:rPr>
        <w:t>in light of</w:t>
      </w:r>
      <w:proofErr w:type="gramEnd"/>
      <w:r w:rsidRPr="003E342A">
        <w:rPr>
          <w:rFonts w:ascii="Times New Roman" w:hAnsi="Times New Roman" w:cs="Times New Roman"/>
          <w:color w:val="131413"/>
          <w:sz w:val="24"/>
          <w:szCs w:val="24"/>
        </w:rPr>
        <w:t xml:space="preserve"> the opinions of the other. The emphasis, as the name would suggest, on “transparency” prevents the accusations of closeted malfeasance that have proven problematic for the technocratic model in the past – while the fact that scientific considerations and input are recurrent prevents the accusations of the politicization of science that seem to detract from the </w:t>
      </w:r>
      <w:proofErr w:type="spellStart"/>
      <w:r w:rsidRPr="003E342A">
        <w:rPr>
          <w:rFonts w:ascii="Times New Roman" w:hAnsi="Times New Roman" w:cs="Times New Roman"/>
          <w:color w:val="131413"/>
          <w:sz w:val="24"/>
          <w:szCs w:val="24"/>
        </w:rPr>
        <w:t>Decisionistic</w:t>
      </w:r>
      <w:proofErr w:type="spellEnd"/>
      <w:r w:rsidRPr="003E342A">
        <w:rPr>
          <w:rFonts w:ascii="Times New Roman" w:hAnsi="Times New Roman" w:cs="Times New Roman"/>
          <w:color w:val="131413"/>
          <w:sz w:val="24"/>
          <w:szCs w:val="24"/>
        </w:rPr>
        <w:t xml:space="preserve"> </w:t>
      </w:r>
      <w:proofErr w:type="gramStart"/>
      <w:r w:rsidRPr="003E342A">
        <w:rPr>
          <w:rFonts w:ascii="Times New Roman" w:hAnsi="Times New Roman" w:cs="Times New Roman"/>
          <w:color w:val="131413"/>
          <w:sz w:val="24"/>
          <w:szCs w:val="24"/>
        </w:rPr>
        <w:t>model</w:t>
      </w:r>
      <w:r w:rsidR="00A70874" w:rsidRPr="003E342A">
        <w:rPr>
          <w:rFonts w:ascii="Times New Roman" w:hAnsi="Times New Roman" w:cs="Times New Roman"/>
          <w:color w:val="131413"/>
          <w:sz w:val="24"/>
          <w:szCs w:val="24"/>
        </w:rPr>
        <w:t>, and</w:t>
      </w:r>
      <w:proofErr w:type="gramEnd"/>
      <w:r w:rsidR="00A70874" w:rsidRPr="003E342A">
        <w:rPr>
          <w:rFonts w:ascii="Times New Roman" w:hAnsi="Times New Roman" w:cs="Times New Roman"/>
          <w:color w:val="131413"/>
          <w:sz w:val="24"/>
          <w:szCs w:val="24"/>
        </w:rPr>
        <w:t xml:space="preserve"> </w:t>
      </w:r>
      <w:r w:rsidR="00A70874" w:rsidRPr="003E342A">
        <w:rPr>
          <w:rFonts w:ascii="Times New Roman" w:hAnsi="Times New Roman" w:cs="Times New Roman"/>
          <w:color w:val="131413"/>
          <w:sz w:val="24"/>
          <w:szCs w:val="24"/>
        </w:rPr>
        <w:lastRenderedPageBreak/>
        <w:t>serves to maximize “input legitimacy</w:t>
      </w:r>
      <w:r w:rsidR="00225B5D" w:rsidRPr="003E342A">
        <w:rPr>
          <w:rFonts w:ascii="Times New Roman" w:hAnsi="Times New Roman" w:cs="Times New Roman"/>
          <w:color w:val="131413"/>
          <w:sz w:val="24"/>
          <w:szCs w:val="24"/>
        </w:rPr>
        <w:t>.”</w:t>
      </w:r>
      <w:r w:rsidRPr="003E342A">
        <w:rPr>
          <w:rFonts w:ascii="Times New Roman" w:hAnsi="Times New Roman" w:cs="Times New Roman"/>
          <w:color w:val="131413"/>
          <w:sz w:val="24"/>
          <w:szCs w:val="24"/>
        </w:rPr>
        <w:t xml:space="preserve"> These models are, however, only models, and attempting to integrate their principles into actual comitological proceedings would be easier said than done.</w:t>
      </w:r>
    </w:p>
    <w:p w14:paraId="76C7EB51" w14:textId="0E3BA692" w:rsidR="008C4BA5" w:rsidRPr="008C4BA5" w:rsidRDefault="003A270C" w:rsidP="008C4BA5">
      <w:pPr>
        <w:spacing w:line="480" w:lineRule="auto"/>
        <w:ind w:firstLine="720"/>
        <w:jc w:val="both"/>
        <w:rPr>
          <w:rFonts w:ascii="Times New Roman" w:hAnsi="Times New Roman" w:cs="Times New Roman"/>
          <w:color w:val="131413"/>
          <w:sz w:val="24"/>
          <w:szCs w:val="24"/>
        </w:rPr>
      </w:pPr>
      <w:r>
        <w:rPr>
          <w:rFonts w:ascii="Times New Roman" w:hAnsi="Times New Roman" w:cs="Times New Roman"/>
          <w:color w:val="131413"/>
          <w:sz w:val="24"/>
          <w:szCs w:val="24"/>
        </w:rPr>
        <w:t xml:space="preserve">Further, and perhaps most importantly, the literature on Coalitions provides excellent advice on how </w:t>
      </w:r>
      <w:r w:rsidR="008C4BA5">
        <w:rPr>
          <w:rFonts w:ascii="Times New Roman" w:hAnsi="Times New Roman" w:cs="Times New Roman"/>
          <w:color w:val="131413"/>
          <w:sz w:val="24"/>
          <w:szCs w:val="24"/>
        </w:rPr>
        <w:t xml:space="preserve">scientists may go about better translating their views into policy: </w:t>
      </w:r>
      <w:r w:rsidR="008C4BA5">
        <w:rPr>
          <w:rFonts w:ascii="Times New Roman" w:eastAsiaTheme="minorEastAsia" w:hAnsi="Times New Roman" w:cs="Times New Roman"/>
          <w:sz w:val="24"/>
          <w:szCs w:val="24"/>
          <w:lang w:eastAsia="zh-CN"/>
        </w:rPr>
        <w:t>“‘</w:t>
      </w:r>
      <w:r w:rsidR="008C4BA5" w:rsidRPr="008C4BA5">
        <w:rPr>
          <w:rFonts w:ascii="Times New Roman" w:eastAsiaTheme="minorEastAsia" w:hAnsi="Times New Roman" w:cs="Times New Roman"/>
          <w:sz w:val="24"/>
          <w:szCs w:val="24"/>
          <w:lang w:eastAsia="zh-CN"/>
        </w:rPr>
        <w:t>Practitioners who expect their analysis to have an independent and influential role in shaping policy in contexts of this sort are likely to be met with disappointment</w:t>
      </w:r>
      <w:r w:rsidR="008C4BA5">
        <w:rPr>
          <w:rFonts w:ascii="Times New Roman" w:eastAsiaTheme="minorEastAsia" w:hAnsi="Times New Roman" w:cs="Times New Roman"/>
          <w:sz w:val="24"/>
          <w:szCs w:val="24"/>
          <w:lang w:eastAsia="zh-CN"/>
        </w:rPr>
        <w:t xml:space="preserve">’ […] </w:t>
      </w:r>
      <w:r w:rsidR="008C4BA5" w:rsidRPr="008C4BA5">
        <w:rPr>
          <w:rFonts w:ascii="Times New Roman" w:eastAsiaTheme="minorEastAsia" w:hAnsi="Times New Roman" w:cs="Times New Roman"/>
          <w:sz w:val="24"/>
          <w:szCs w:val="24"/>
          <w:lang w:eastAsia="zh-CN"/>
        </w:rPr>
        <w:t>Researchers must respond to calls for pluralistic and collaborative approaches to knowledge production at the intersection of public health and political scienc</w:t>
      </w:r>
      <w:r w:rsidR="008C4BA5">
        <w:rPr>
          <w:rFonts w:ascii="Times New Roman" w:eastAsiaTheme="minorEastAsia" w:hAnsi="Times New Roman" w:cs="Times New Roman"/>
          <w:sz w:val="24"/>
          <w:szCs w:val="24"/>
          <w:lang w:eastAsia="zh-CN"/>
        </w:rPr>
        <w:t xml:space="preserve">e </w:t>
      </w:r>
      <w:r w:rsidR="008C4BA5" w:rsidRPr="008C4BA5">
        <w:rPr>
          <w:rFonts w:ascii="Times New Roman" w:eastAsiaTheme="minorEastAsia" w:hAnsi="Times New Roman" w:cs="Times New Roman"/>
          <w:sz w:val="24"/>
          <w:szCs w:val="24"/>
          <w:lang w:eastAsia="zh-CN"/>
        </w:rPr>
        <w:t>particularly as concerns the policy-making proces</w:t>
      </w:r>
      <w:r w:rsidR="008C4BA5">
        <w:rPr>
          <w:rFonts w:ascii="Times New Roman" w:eastAsiaTheme="minorEastAsia" w:hAnsi="Times New Roman" w:cs="Times New Roman"/>
          <w:sz w:val="24"/>
          <w:szCs w:val="24"/>
          <w:lang w:eastAsia="zh-CN"/>
        </w:rPr>
        <w:t>s.”</w:t>
      </w:r>
      <w:r w:rsidR="008C4BA5">
        <w:rPr>
          <w:rStyle w:val="FootnoteReference"/>
          <w:rFonts w:ascii="Times New Roman" w:eastAsiaTheme="minorEastAsia" w:hAnsi="Times New Roman" w:cs="Times New Roman"/>
          <w:sz w:val="24"/>
          <w:szCs w:val="24"/>
          <w:lang w:eastAsia="zh-CN"/>
        </w:rPr>
        <w:footnoteReference w:id="184"/>
      </w:r>
      <w:r w:rsidR="008C4BA5">
        <w:rPr>
          <w:rFonts w:ascii="Times New Roman" w:eastAsiaTheme="minorEastAsia" w:hAnsi="Times New Roman" w:cs="Times New Roman"/>
          <w:sz w:val="24"/>
          <w:szCs w:val="24"/>
          <w:lang w:eastAsia="zh-CN"/>
        </w:rPr>
        <w:t xml:space="preserve"> This is to say, scientists in public health cannot rest on their laurels and expect the quality of experiments and material data to magically be implemented into policy. Rather, they too must play the game of politics and influence</w:t>
      </w:r>
      <w:r w:rsidR="002C6B13">
        <w:rPr>
          <w:rFonts w:ascii="Times New Roman" w:eastAsiaTheme="minorEastAsia" w:hAnsi="Times New Roman" w:cs="Times New Roman"/>
          <w:sz w:val="24"/>
          <w:szCs w:val="24"/>
          <w:lang w:eastAsia="zh-CN"/>
        </w:rPr>
        <w:t xml:space="preserve"> via </w:t>
      </w:r>
      <w:r w:rsidR="008C4BA5">
        <w:rPr>
          <w:rFonts w:ascii="Times New Roman" w:eastAsiaTheme="minorEastAsia" w:hAnsi="Times New Roman" w:cs="Times New Roman"/>
          <w:sz w:val="24"/>
          <w:szCs w:val="24"/>
          <w:lang w:eastAsia="zh-CN"/>
        </w:rPr>
        <w:t xml:space="preserve">publicizing data, </w:t>
      </w:r>
      <w:r w:rsidR="002C6B13">
        <w:rPr>
          <w:rFonts w:ascii="Times New Roman" w:eastAsiaTheme="minorEastAsia" w:hAnsi="Times New Roman" w:cs="Times New Roman"/>
          <w:sz w:val="24"/>
          <w:szCs w:val="24"/>
          <w:lang w:eastAsia="zh-CN"/>
        </w:rPr>
        <w:t xml:space="preserve">acquiring allies, and forming coalitions around their science-backed policy views. </w:t>
      </w:r>
      <w:r>
        <w:rPr>
          <w:rFonts w:ascii="Times New Roman" w:eastAsiaTheme="minorEastAsia" w:hAnsi="Times New Roman" w:cs="Times New Roman"/>
          <w:sz w:val="24"/>
          <w:szCs w:val="24"/>
          <w:lang w:eastAsia="zh-CN"/>
        </w:rPr>
        <w:t>So, too, must proponents of science-backed policy ally with scientists in understanding, advocating, and disseminating these views.</w:t>
      </w:r>
    </w:p>
    <w:p w14:paraId="68866E02" w14:textId="77777777" w:rsidR="008C4BA5" w:rsidRPr="003E342A" w:rsidRDefault="008C4BA5" w:rsidP="000904CE">
      <w:pPr>
        <w:spacing w:line="480" w:lineRule="auto"/>
        <w:ind w:firstLine="720"/>
        <w:jc w:val="both"/>
        <w:rPr>
          <w:rFonts w:ascii="Times New Roman" w:hAnsi="Times New Roman" w:cs="Times New Roman"/>
          <w:color w:val="131413"/>
          <w:sz w:val="24"/>
          <w:szCs w:val="24"/>
        </w:rPr>
      </w:pPr>
    </w:p>
    <w:p w14:paraId="606ACC33" w14:textId="77777777" w:rsidR="000904CE" w:rsidRPr="003E342A" w:rsidRDefault="000904CE" w:rsidP="00FB061A">
      <w:pPr>
        <w:pStyle w:val="Heading1"/>
        <w:rPr>
          <w:rFonts w:eastAsia="Times New Roman" w:cs="Times New Roman"/>
        </w:rPr>
      </w:pPr>
      <w:bookmarkStart w:id="39" w:name="_Toc531878502"/>
      <w:r w:rsidRPr="003E342A">
        <w:rPr>
          <w:rFonts w:cs="Times New Roman"/>
        </w:rPr>
        <w:t>Implications</w:t>
      </w:r>
      <w:bookmarkEnd w:id="39"/>
      <w:r w:rsidRPr="003E342A">
        <w:rPr>
          <w:rFonts w:cs="Times New Roman"/>
        </w:rPr>
        <w:br/>
      </w:r>
    </w:p>
    <w:p w14:paraId="155B672A" w14:textId="4129B60C" w:rsidR="007B2E84" w:rsidRDefault="000904CE" w:rsidP="006F5538">
      <w:pPr>
        <w:pStyle w:val="Default"/>
        <w:spacing w:line="480" w:lineRule="auto"/>
        <w:ind w:firstLine="720"/>
        <w:jc w:val="both"/>
        <w:rPr>
          <w:rFonts w:ascii="Times New Roman" w:eastAsia="Times New Roman" w:hAnsi="Times New Roman" w:cs="Times New Roman"/>
        </w:rPr>
      </w:pPr>
      <w:r w:rsidRPr="003E342A">
        <w:rPr>
          <w:rFonts w:ascii="Times New Roman" w:eastAsia="Times New Roman" w:hAnsi="Times New Roman" w:cs="Times New Roman"/>
        </w:rPr>
        <w:t>The issues raised in this investigation are not likely to dissipate soon</w:t>
      </w:r>
      <w:r w:rsidR="007B2E84">
        <w:rPr>
          <w:rFonts w:ascii="Times New Roman" w:eastAsia="Times New Roman" w:hAnsi="Times New Roman" w:cs="Times New Roman"/>
        </w:rPr>
        <w:t>. They primarily deal, like this thesis, with two themes: the political institutions of the European Union, and the interaction between science and democracy.</w:t>
      </w:r>
    </w:p>
    <w:p w14:paraId="7839C3BF" w14:textId="09965AF6" w:rsidR="007B2E84" w:rsidRDefault="007B2E84" w:rsidP="006F5538">
      <w:pPr>
        <w:pStyle w:val="Default"/>
        <w:spacing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To the former, the GMO issue is one more piece of evidence that the institutions of the European Union are in limbo between the national and the supranational. As Habermas notes, </w:t>
      </w:r>
      <w:r w:rsidR="0000176F">
        <w:rPr>
          <w:rFonts w:ascii="Times New Roman" w:eastAsia="Times New Roman" w:hAnsi="Times New Roman" w:cs="Times New Roman"/>
        </w:rPr>
        <w:t>political community, political power, and political culture “come together in a congruent fashion only at the national level”</w:t>
      </w:r>
      <w:r w:rsidR="005C5717">
        <w:rPr>
          <w:rFonts w:ascii="Times New Roman" w:eastAsia="Times New Roman" w:hAnsi="Times New Roman" w:cs="Times New Roman"/>
        </w:rPr>
        <w:t xml:space="preserve"> even though the national governments are bound within higher </w:t>
      </w:r>
      <w:r w:rsidR="005C5717">
        <w:rPr>
          <w:rFonts w:ascii="Times New Roman" w:eastAsia="Times New Roman" w:hAnsi="Times New Roman" w:cs="Times New Roman"/>
        </w:rPr>
        <w:lastRenderedPageBreak/>
        <w:t>institutions.</w:t>
      </w:r>
      <w:r w:rsidR="005C5717">
        <w:rPr>
          <w:rStyle w:val="FootnoteReference"/>
          <w:rFonts w:ascii="Times New Roman" w:eastAsia="Times New Roman" w:hAnsi="Times New Roman" w:cs="Times New Roman"/>
        </w:rPr>
        <w:footnoteReference w:id="185"/>
      </w:r>
      <w:r w:rsidR="0000176F">
        <w:rPr>
          <w:rFonts w:ascii="Times New Roman" w:eastAsia="Times New Roman" w:hAnsi="Times New Roman" w:cs="Times New Roman"/>
        </w:rPr>
        <w:t xml:space="preserve"> As evidenced by the intractable division between governments on the policy of GMO regulation, there is a conflict between the policy preferences and discourses that are formed at national levels and the institutional capacity to enact those preferences that exists at a supranational level beyond the immediate reach of the national will-formation. The GMO issue </w:t>
      </w:r>
      <w:r w:rsidR="005C5717">
        <w:rPr>
          <w:rFonts w:ascii="Times New Roman" w:eastAsia="Times New Roman" w:hAnsi="Times New Roman" w:cs="Times New Roman"/>
        </w:rPr>
        <w:t>adds to the list of issues, along with migration and border control, Euro interest rates, and others, in which national preferences may differ greatly but a transnational or supranational solution must ultimately be negotiated. Though the status quo may be tenable, it hardly seems preferable to a more decisive answer on the question of sovereignty and policymaking authority. Habermas and other propose that the answer is “more Europe,” though populist nationalists counter with a bid for a renationalization of many competencies.</w:t>
      </w:r>
    </w:p>
    <w:p w14:paraId="682C4790" w14:textId="1944ED05" w:rsidR="005C5717" w:rsidRDefault="005C5717" w:rsidP="006F5538">
      <w:pPr>
        <w:pStyle w:val="Default"/>
        <w:spacing w:line="480" w:lineRule="auto"/>
        <w:ind w:firstLine="720"/>
        <w:jc w:val="both"/>
        <w:rPr>
          <w:rFonts w:ascii="Times New Roman" w:eastAsia="Times New Roman" w:hAnsi="Times New Roman" w:cs="Times New Roman"/>
        </w:rPr>
      </w:pPr>
    </w:p>
    <w:p w14:paraId="22DFE253" w14:textId="77777777" w:rsidR="002F1E94" w:rsidRDefault="00630F1F" w:rsidP="00A83F70">
      <w:pPr>
        <w:pStyle w:val="Default"/>
        <w:spacing w:line="480" w:lineRule="auto"/>
        <w:ind w:firstLine="720"/>
        <w:jc w:val="both"/>
        <w:rPr>
          <w:rFonts w:ascii="Times New Roman" w:hAnsi="Times New Roman" w:cs="Times New Roman"/>
          <w:bCs/>
          <w:color w:val="000000" w:themeColor="text1"/>
        </w:rPr>
      </w:pPr>
      <w:r w:rsidRPr="00A83F70">
        <w:rPr>
          <w:rFonts w:ascii="Times New Roman" w:eastAsia="Times New Roman" w:hAnsi="Times New Roman" w:cs="Times New Roman"/>
        </w:rPr>
        <w:t>To the latter</w:t>
      </w:r>
      <w:r w:rsidR="005C5717" w:rsidRPr="00A83F70">
        <w:rPr>
          <w:rFonts w:ascii="Times New Roman" w:eastAsia="Times New Roman" w:hAnsi="Times New Roman" w:cs="Times New Roman"/>
        </w:rPr>
        <w:t xml:space="preserve">, </w:t>
      </w:r>
      <w:r w:rsidRPr="00A83F70">
        <w:rPr>
          <w:rFonts w:ascii="Times New Roman" w:eastAsia="Times New Roman" w:hAnsi="Times New Roman" w:cs="Times New Roman"/>
        </w:rPr>
        <w:t xml:space="preserve">science and </w:t>
      </w:r>
      <w:r w:rsidR="005C5717" w:rsidRPr="00A83F70">
        <w:rPr>
          <w:rFonts w:ascii="Times New Roman" w:eastAsia="Times New Roman" w:hAnsi="Times New Roman" w:cs="Times New Roman"/>
        </w:rPr>
        <w:t>technology</w:t>
      </w:r>
      <w:r w:rsidRPr="00A83F70">
        <w:rPr>
          <w:rFonts w:ascii="Times New Roman" w:eastAsia="Times New Roman" w:hAnsi="Times New Roman" w:cs="Times New Roman"/>
        </w:rPr>
        <w:t xml:space="preserve"> may be developing more rapidly than deliberative democratic structures can keep up</w:t>
      </w:r>
      <w:r w:rsidR="005C5717" w:rsidRPr="00A83F70">
        <w:rPr>
          <w:rFonts w:ascii="Times New Roman" w:eastAsia="Times New Roman" w:hAnsi="Times New Roman" w:cs="Times New Roman"/>
        </w:rPr>
        <w:t xml:space="preserve">. </w:t>
      </w:r>
      <w:r w:rsidRPr="00A83F70">
        <w:rPr>
          <w:rFonts w:ascii="Times New Roman" w:eastAsia="Times New Roman" w:hAnsi="Times New Roman" w:cs="Times New Roman"/>
        </w:rPr>
        <w:t>For example,</w:t>
      </w:r>
      <w:r w:rsidR="005C5717" w:rsidRPr="00A83F70">
        <w:rPr>
          <w:rFonts w:ascii="Times New Roman" w:eastAsia="Times New Roman" w:hAnsi="Times New Roman" w:cs="Times New Roman"/>
        </w:rPr>
        <w:t xml:space="preserve"> </w:t>
      </w:r>
      <w:r w:rsidRPr="00A83F70">
        <w:rPr>
          <w:rFonts w:ascii="Times New Roman" w:eastAsia="Times New Roman" w:hAnsi="Times New Roman" w:cs="Times New Roman"/>
        </w:rPr>
        <w:t>in November 2018 it was revealed</w:t>
      </w:r>
      <w:r w:rsidR="005C5717" w:rsidRPr="00A83F70">
        <w:rPr>
          <w:rFonts w:ascii="Times New Roman" w:eastAsia="Times New Roman" w:hAnsi="Times New Roman" w:cs="Times New Roman"/>
        </w:rPr>
        <w:t xml:space="preserve"> that the Japanese minister </w:t>
      </w:r>
      <w:r w:rsidRPr="00A83F70">
        <w:rPr>
          <w:rFonts w:ascii="Times New Roman" w:eastAsia="Times New Roman" w:hAnsi="Times New Roman" w:cs="Times New Roman"/>
        </w:rPr>
        <w:t>for</w:t>
      </w:r>
      <w:r w:rsidR="005C5717" w:rsidRPr="00A83F70">
        <w:rPr>
          <w:rFonts w:ascii="Times New Roman" w:eastAsia="Times New Roman" w:hAnsi="Times New Roman" w:cs="Times New Roman"/>
        </w:rPr>
        <w:t xml:space="preserve"> cybersecurity does</w:t>
      </w:r>
      <w:r w:rsidRPr="00A83F70">
        <w:rPr>
          <w:rFonts w:ascii="Times New Roman" w:eastAsia="Times New Roman" w:hAnsi="Times New Roman" w:cs="Times New Roman"/>
        </w:rPr>
        <w:t xml:space="preserve"> not</w:t>
      </w:r>
      <w:r w:rsidR="005C5717" w:rsidRPr="00A83F70">
        <w:rPr>
          <w:rFonts w:ascii="Times New Roman" w:eastAsia="Times New Roman" w:hAnsi="Times New Roman" w:cs="Times New Roman"/>
        </w:rPr>
        <w:t xml:space="preserve"> use computers</w:t>
      </w:r>
      <w:r w:rsidRPr="00A83F70">
        <w:rPr>
          <w:rFonts w:ascii="Times New Roman" w:eastAsia="Times New Roman" w:hAnsi="Times New Roman" w:cs="Times New Roman"/>
        </w:rPr>
        <w:t xml:space="preserve"> and is </w:t>
      </w:r>
      <w:r w:rsidR="00A83F70" w:rsidRPr="00A83F70">
        <w:rPr>
          <w:rFonts w:ascii="Times New Roman" w:eastAsia="Times New Roman" w:hAnsi="Times New Roman" w:cs="Times New Roman"/>
        </w:rPr>
        <w:t>“</w:t>
      </w:r>
      <w:r w:rsidRPr="00A83F70">
        <w:rPr>
          <w:rFonts w:ascii="Times New Roman" w:eastAsia="Times New Roman" w:hAnsi="Times New Roman" w:cs="Times New Roman"/>
        </w:rPr>
        <w:t>not familiar with cybersecurity</w:t>
      </w:r>
      <w:r w:rsidR="00A83F70" w:rsidRPr="00A83F70">
        <w:rPr>
          <w:rFonts w:ascii="Times New Roman" w:eastAsia="Times New Roman" w:hAnsi="Times New Roman" w:cs="Times New Roman"/>
        </w:rPr>
        <w:t>,”</w:t>
      </w:r>
      <w:r w:rsidRPr="00A83F70">
        <w:rPr>
          <w:rFonts w:ascii="Times New Roman" w:eastAsia="Times New Roman" w:hAnsi="Times New Roman" w:cs="Times New Roman"/>
        </w:rPr>
        <w:t xml:space="preserve"> an incident that recalls the 2006 quote by Ted Stevens, then-chair of the US Senate committee overseeing net neutrality regulations, that “the internet[…]is a series of tubes” – </w:t>
      </w:r>
      <w:r w:rsidR="00185F7C">
        <w:rPr>
          <w:rFonts w:ascii="Times New Roman" w:eastAsia="Times New Roman" w:hAnsi="Times New Roman" w:cs="Times New Roman"/>
        </w:rPr>
        <w:t>these examples serve to show that</w:t>
      </w:r>
      <w:r w:rsidRPr="00A83F70">
        <w:rPr>
          <w:rFonts w:ascii="Times New Roman" w:eastAsia="Times New Roman" w:hAnsi="Times New Roman" w:cs="Times New Roman"/>
        </w:rPr>
        <w:t xml:space="preserve"> the bureaucratic and deliberative structures that elevate individuals to authority over technological regulations may not always (if ever) do so on the basis of familiarity with the technologies in question.</w:t>
      </w:r>
      <w:r w:rsidRPr="00A83F70">
        <w:rPr>
          <w:rStyle w:val="FootnoteReference"/>
          <w:rFonts w:ascii="Times New Roman" w:eastAsia="Times New Roman" w:hAnsi="Times New Roman" w:cs="Times New Roman"/>
        </w:rPr>
        <w:footnoteReference w:id="186"/>
      </w:r>
      <w:r w:rsidR="002F1E94">
        <w:rPr>
          <w:rFonts w:ascii="Times New Roman" w:eastAsia="Times New Roman" w:hAnsi="Times New Roman" w:cs="Times New Roman"/>
        </w:rPr>
        <w:t xml:space="preserve"> This dissonance stands to widen if and as the technological complexity </w:t>
      </w:r>
      <w:r w:rsidR="002F1E94">
        <w:rPr>
          <w:rFonts w:ascii="Times New Roman" w:eastAsia="Times New Roman" w:hAnsi="Times New Roman" w:cs="Times New Roman"/>
        </w:rPr>
        <w:lastRenderedPageBreak/>
        <w:t>and specificity of modern regulatory concerns continues to grow.</w:t>
      </w:r>
      <w:r w:rsidR="005C5717" w:rsidRPr="00A83F70">
        <w:rPr>
          <w:rFonts w:ascii="Times New Roman" w:eastAsia="Times New Roman" w:hAnsi="Times New Roman" w:cs="Times New Roman"/>
        </w:rPr>
        <w:t xml:space="preserve"> </w:t>
      </w:r>
      <w:r w:rsidR="002F1E94">
        <w:rPr>
          <w:rFonts w:ascii="Times New Roman" w:eastAsia="Times New Roman" w:hAnsi="Times New Roman" w:cs="Times New Roman"/>
        </w:rPr>
        <w:t>Even b</w:t>
      </w:r>
      <w:r w:rsidR="005C5717" w:rsidRPr="00A83F70">
        <w:rPr>
          <w:rFonts w:ascii="Times New Roman" w:eastAsia="Times New Roman" w:hAnsi="Times New Roman" w:cs="Times New Roman"/>
        </w:rPr>
        <w:t xml:space="preserve">efore the GMO issue </w:t>
      </w:r>
      <w:r w:rsidR="00A83F70" w:rsidRPr="00A83F70">
        <w:rPr>
          <w:rFonts w:ascii="Times New Roman" w:eastAsia="Times New Roman" w:hAnsi="Times New Roman" w:cs="Times New Roman"/>
        </w:rPr>
        <w:t>arrives at any kind of lasting settlement</w:t>
      </w:r>
      <w:r w:rsidR="005C5717" w:rsidRPr="00A83F70">
        <w:rPr>
          <w:rFonts w:ascii="Times New Roman" w:eastAsia="Times New Roman" w:hAnsi="Times New Roman" w:cs="Times New Roman"/>
        </w:rPr>
        <w:t xml:space="preserve">, gene editing technologies </w:t>
      </w:r>
      <w:r w:rsidR="002F1E94">
        <w:rPr>
          <w:rFonts w:ascii="Times New Roman" w:eastAsia="Times New Roman" w:hAnsi="Times New Roman" w:cs="Times New Roman"/>
        </w:rPr>
        <w:t>have</w:t>
      </w:r>
      <w:r w:rsidR="005C5717" w:rsidRPr="00A83F70">
        <w:rPr>
          <w:rFonts w:ascii="Times New Roman" w:eastAsia="Times New Roman" w:hAnsi="Times New Roman" w:cs="Times New Roman"/>
        </w:rPr>
        <w:t xml:space="preserve"> already </w:t>
      </w:r>
      <w:r w:rsidR="002F1E94">
        <w:rPr>
          <w:rFonts w:ascii="Times New Roman" w:eastAsia="Times New Roman" w:hAnsi="Times New Roman" w:cs="Times New Roman"/>
        </w:rPr>
        <w:t xml:space="preserve">begun </w:t>
      </w:r>
      <w:r w:rsidR="005C5717" w:rsidRPr="00A83F70">
        <w:rPr>
          <w:rFonts w:ascii="Times New Roman" w:eastAsia="Times New Roman" w:hAnsi="Times New Roman" w:cs="Times New Roman"/>
        </w:rPr>
        <w:t>entering the public discourse</w:t>
      </w:r>
      <w:r w:rsidR="002F1E94">
        <w:rPr>
          <w:rFonts w:ascii="Times New Roman" w:eastAsia="Times New Roman" w:hAnsi="Times New Roman" w:cs="Times New Roman"/>
        </w:rPr>
        <w:t xml:space="preserve">, and an European Court of Justice ruling places them, </w:t>
      </w:r>
      <w:proofErr w:type="spellStart"/>
      <w:r w:rsidR="002F1E94">
        <w:rPr>
          <w:rFonts w:ascii="Times New Roman" w:eastAsia="Times New Roman" w:hAnsi="Times New Roman" w:cs="Times New Roman"/>
        </w:rPr>
        <w:t>unwieldily</w:t>
      </w:r>
      <w:proofErr w:type="spellEnd"/>
      <w:r w:rsidR="002F1E94">
        <w:rPr>
          <w:rFonts w:ascii="Times New Roman" w:eastAsia="Times New Roman" w:hAnsi="Times New Roman" w:cs="Times New Roman"/>
        </w:rPr>
        <w:t>, into the same category as the GMO technology that has existed for decades</w:t>
      </w:r>
      <w:r w:rsidR="00A83F70" w:rsidRPr="00A83F70">
        <w:rPr>
          <w:rFonts w:ascii="Times New Roman" w:eastAsia="Times New Roman" w:hAnsi="Times New Roman" w:cs="Times New Roman"/>
        </w:rPr>
        <w:t xml:space="preserve">; </w:t>
      </w:r>
      <w:r w:rsidR="002F1E94">
        <w:rPr>
          <w:rFonts w:ascii="Times New Roman" w:eastAsia="Times New Roman" w:hAnsi="Times New Roman" w:cs="Times New Roman"/>
        </w:rPr>
        <w:t xml:space="preserve">even </w:t>
      </w:r>
      <w:r w:rsidR="00A83F70" w:rsidRPr="00A83F70">
        <w:rPr>
          <w:rFonts w:ascii="Times New Roman" w:eastAsia="Times New Roman" w:hAnsi="Times New Roman" w:cs="Times New Roman"/>
        </w:rPr>
        <w:t>b</w:t>
      </w:r>
      <w:r w:rsidR="005C5717" w:rsidRPr="00A83F70">
        <w:rPr>
          <w:rFonts w:ascii="Times New Roman" w:eastAsia="Times New Roman" w:hAnsi="Times New Roman" w:cs="Times New Roman"/>
        </w:rPr>
        <w:t xml:space="preserve">efore cryptocurrency caught the attention of regulators the market </w:t>
      </w:r>
      <w:r w:rsidR="00A83F70" w:rsidRPr="00A83F70">
        <w:rPr>
          <w:rFonts w:ascii="Times New Roman" w:eastAsia="Times New Roman" w:hAnsi="Times New Roman" w:cs="Times New Roman"/>
        </w:rPr>
        <w:t xml:space="preserve">for </w:t>
      </w:r>
      <w:r w:rsidR="002F1E94">
        <w:rPr>
          <w:rFonts w:ascii="Times New Roman" w:eastAsia="Times New Roman" w:hAnsi="Times New Roman" w:cs="Times New Roman"/>
        </w:rPr>
        <w:t>then</w:t>
      </w:r>
      <w:r w:rsidR="00A83F70" w:rsidRPr="00A83F70">
        <w:rPr>
          <w:rFonts w:ascii="Times New Roman" w:eastAsia="Times New Roman" w:hAnsi="Times New Roman" w:cs="Times New Roman"/>
        </w:rPr>
        <w:t xml:space="preserve"> </w:t>
      </w:r>
      <w:r w:rsidR="005C5717" w:rsidRPr="00A83F70">
        <w:rPr>
          <w:rFonts w:ascii="Times New Roman" w:eastAsia="Times New Roman" w:hAnsi="Times New Roman" w:cs="Times New Roman"/>
        </w:rPr>
        <w:t>was already in the billions of dollars.</w:t>
      </w:r>
      <w:r w:rsidR="00A83F70" w:rsidRPr="00A83F70">
        <w:rPr>
          <w:rStyle w:val="FootnoteReference"/>
          <w:rFonts w:ascii="Times New Roman" w:eastAsia="Times New Roman" w:hAnsi="Times New Roman" w:cs="Times New Roman"/>
        </w:rPr>
        <w:footnoteReference w:id="187"/>
      </w:r>
      <w:r w:rsidR="005C5717" w:rsidRPr="00A83F70">
        <w:rPr>
          <w:rFonts w:ascii="Times New Roman" w:eastAsia="Times New Roman" w:hAnsi="Times New Roman" w:cs="Times New Roman"/>
        </w:rPr>
        <w:t xml:space="preserve"> </w:t>
      </w:r>
      <w:r w:rsidR="002F1E94">
        <w:rPr>
          <w:rFonts w:ascii="Times New Roman" w:eastAsia="Times New Roman" w:hAnsi="Times New Roman" w:cs="Times New Roman"/>
          <w:bCs/>
        </w:rPr>
        <w:t>And all of these regulatory issues promise to be philosophically and politically puerile compared to questions such as Artificial Intelligence</w:t>
      </w:r>
      <w:r w:rsidR="002F1E94">
        <w:rPr>
          <w:rFonts w:ascii="Times New Roman" w:eastAsia="Times New Roman" w:hAnsi="Times New Roman" w:cs="Times New Roman"/>
        </w:rPr>
        <w:t xml:space="preserve">. </w:t>
      </w:r>
      <w:r w:rsidR="002F1E94" w:rsidRPr="003E342A">
        <w:rPr>
          <w:rFonts w:ascii="Times New Roman" w:hAnsi="Times New Roman" w:cs="Times New Roman"/>
          <w:color w:val="000000" w:themeColor="text1"/>
        </w:rPr>
        <w:t>The theory of Rational Ignorance, commonly associated with Public Choice theory, centers on the idea that there are some things that it is not rational to spend time learning, and therefore that no one should rationally try to become knowledgeable on every topic.</w:t>
      </w:r>
      <w:r w:rsidR="002F1E94" w:rsidRPr="003E342A">
        <w:rPr>
          <w:rStyle w:val="FootnoteReference"/>
          <w:rFonts w:ascii="Times New Roman" w:hAnsi="Times New Roman" w:cs="Times New Roman"/>
          <w:color w:val="000000" w:themeColor="text1"/>
        </w:rPr>
        <w:footnoteReference w:id="188"/>
      </w:r>
      <w:r w:rsidR="002F1E94" w:rsidRPr="003E342A">
        <w:rPr>
          <w:rFonts w:ascii="Times New Roman" w:hAnsi="Times New Roman" w:cs="Times New Roman"/>
          <w:color w:val="000000" w:themeColor="text1"/>
        </w:rPr>
        <w:t xml:space="preserve"> Further, work on the relationship between Rational Ignorance and Democracy notes that voters are likely to avoid informing themselves when they feel their impact as a voter is low, and also when they feel they have already made a moral decision on an issue – a set of findings that may make a moral/environmental question like GMOs, in the context of a democratic deficit, particularly subject to irrational choice formation.</w:t>
      </w:r>
      <w:r w:rsidR="002F1E94" w:rsidRPr="003E342A">
        <w:rPr>
          <w:rStyle w:val="FootnoteReference"/>
          <w:rFonts w:ascii="Times New Roman" w:hAnsi="Times New Roman" w:cs="Times New Roman"/>
          <w:color w:val="000000" w:themeColor="text1"/>
        </w:rPr>
        <w:footnoteReference w:id="189"/>
      </w:r>
      <w:r w:rsidR="002F1E94" w:rsidRPr="003E342A">
        <w:rPr>
          <w:rFonts w:ascii="Times New Roman" w:hAnsi="Times New Roman" w:cs="Times New Roman"/>
          <w:color w:val="000000" w:themeColor="text1"/>
        </w:rPr>
        <w:t xml:space="preserve"> In 2016 (the last year for which data was available), the number of tertiary degrees awarded in the EU in biology, environmental science, or medicine was roughly a quarter million – a small fraction of the 4.4 million who received degrees of the same level in other fields that year, let alone of the total population coming of age at the same time.</w:t>
      </w:r>
      <w:r w:rsidR="002F1E94" w:rsidRPr="003E342A">
        <w:rPr>
          <w:rStyle w:val="FootnoteReference"/>
          <w:rFonts w:ascii="Times New Roman" w:hAnsi="Times New Roman" w:cs="Times New Roman"/>
          <w:color w:val="000000" w:themeColor="text1"/>
        </w:rPr>
        <w:footnoteReference w:id="190"/>
      </w:r>
      <w:r w:rsidR="002F1E94" w:rsidRPr="003E342A">
        <w:rPr>
          <w:rFonts w:ascii="Times New Roman" w:hAnsi="Times New Roman" w:cs="Times New Roman"/>
          <w:color w:val="000000" w:themeColor="text1"/>
        </w:rPr>
        <w:t xml:space="preserve"> While </w:t>
      </w:r>
      <w:r w:rsidR="002F1E94">
        <w:rPr>
          <w:rFonts w:ascii="Times New Roman" w:hAnsi="Times New Roman" w:cs="Times New Roman"/>
          <w:color w:val="000000" w:themeColor="text1"/>
        </w:rPr>
        <w:t>repudiating</w:t>
      </w:r>
      <w:r w:rsidR="002F1E94" w:rsidRPr="003E342A">
        <w:rPr>
          <w:rFonts w:ascii="Times New Roman" w:hAnsi="Times New Roman" w:cs="Times New Roman"/>
          <w:color w:val="000000" w:themeColor="text1"/>
        </w:rPr>
        <w:t xml:space="preserve"> the implication that only by attaining a degree in biology or related fields can one understand the issue of GMOs, it is clear that the proportion of European </w:t>
      </w:r>
      <w:r w:rsidR="002F1E94" w:rsidRPr="003E342A">
        <w:rPr>
          <w:rFonts w:ascii="Times New Roman" w:hAnsi="Times New Roman" w:cs="Times New Roman"/>
          <w:color w:val="000000" w:themeColor="text1"/>
        </w:rPr>
        <w:lastRenderedPageBreak/>
        <w:t>academic expertise in a field is outmatched by the number of Europeans with strong political feelings on the issue.</w:t>
      </w:r>
      <w:r w:rsidR="002F1E94" w:rsidRPr="003E342A">
        <w:rPr>
          <w:rStyle w:val="FootnoteReference"/>
          <w:rFonts w:ascii="Times New Roman" w:hAnsi="Times New Roman" w:cs="Times New Roman"/>
          <w:color w:val="000000" w:themeColor="text1"/>
        </w:rPr>
        <w:footnoteReference w:id="191"/>
      </w:r>
      <w:r w:rsidR="002F1E94" w:rsidRPr="003E342A">
        <w:rPr>
          <w:rFonts w:ascii="Times New Roman" w:hAnsi="Times New Roman" w:cs="Times New Roman"/>
          <w:color w:val="000000" w:themeColor="text1"/>
        </w:rPr>
        <w:t xml:space="preserve"> As the complexity and number of issues affecting the public sphere continues to grow, perhaps the possibility exists that </w:t>
      </w:r>
      <w:r w:rsidR="002F1E94" w:rsidRPr="003E342A">
        <w:rPr>
          <w:rFonts w:ascii="Times New Roman" w:hAnsi="Times New Roman" w:cs="Times New Roman"/>
          <w:bCs/>
          <w:color w:val="000000" w:themeColor="text1"/>
        </w:rPr>
        <w:t>we are entering an age in which a fundamental informational assumption of democracy – that the average citizen can, in a reasonable amount of time, acquire a working proficiency in a variety of subjects of public interest and make informed votes and choices in the matter – is not necessarily true any longer.</w:t>
      </w:r>
      <w:r w:rsidR="002F1E94" w:rsidRPr="003E342A">
        <w:rPr>
          <w:rStyle w:val="FootnoteReference"/>
          <w:rFonts w:ascii="Times New Roman" w:hAnsi="Times New Roman" w:cs="Times New Roman"/>
          <w:bCs/>
          <w:color w:val="000000" w:themeColor="text1"/>
        </w:rPr>
        <w:footnoteReference w:id="192"/>
      </w:r>
      <w:r w:rsidR="002F1E94" w:rsidRPr="003E342A">
        <w:rPr>
          <w:rFonts w:ascii="Times New Roman" w:hAnsi="Times New Roman" w:cs="Times New Roman"/>
          <w:bCs/>
          <w:color w:val="000000" w:themeColor="text1"/>
        </w:rPr>
        <w:t xml:space="preserve"> </w:t>
      </w:r>
    </w:p>
    <w:p w14:paraId="04459B0F" w14:textId="08C13822" w:rsidR="005C5717" w:rsidRDefault="005C5717" w:rsidP="00A83F70">
      <w:pPr>
        <w:pStyle w:val="Default"/>
        <w:spacing w:line="480" w:lineRule="auto"/>
        <w:ind w:firstLine="720"/>
        <w:jc w:val="both"/>
        <w:rPr>
          <w:rFonts w:ascii="Times New Roman" w:eastAsia="Times New Roman" w:hAnsi="Times New Roman" w:cs="Times New Roman"/>
        </w:rPr>
      </w:pPr>
      <w:r w:rsidRPr="00A83F70">
        <w:rPr>
          <w:rFonts w:ascii="Times New Roman" w:eastAsia="Times New Roman" w:hAnsi="Times New Roman" w:cs="Times New Roman"/>
        </w:rPr>
        <w:t xml:space="preserve">Although deliberative democracy </w:t>
      </w:r>
      <w:r w:rsidR="002F1E94">
        <w:rPr>
          <w:rFonts w:ascii="Times New Roman" w:eastAsia="Times New Roman" w:hAnsi="Times New Roman" w:cs="Times New Roman"/>
        </w:rPr>
        <w:t>may be</w:t>
      </w:r>
      <w:r w:rsidRPr="00A83F70">
        <w:rPr>
          <w:rFonts w:ascii="Times New Roman" w:eastAsia="Times New Roman" w:hAnsi="Times New Roman" w:cs="Times New Roman"/>
        </w:rPr>
        <w:t xml:space="preserve"> slow</w:t>
      </w:r>
      <w:r w:rsidR="002F1E94">
        <w:rPr>
          <w:rFonts w:ascii="Times New Roman" w:eastAsia="Times New Roman" w:hAnsi="Times New Roman" w:cs="Times New Roman"/>
        </w:rPr>
        <w:t xml:space="preserve"> and cumbersome</w:t>
      </w:r>
      <w:r w:rsidRPr="00A83F70">
        <w:rPr>
          <w:rFonts w:ascii="Times New Roman" w:eastAsia="Times New Roman" w:hAnsi="Times New Roman" w:cs="Times New Roman"/>
        </w:rPr>
        <w:t>, the answer</w:t>
      </w:r>
      <w:r w:rsidR="002F1E94">
        <w:rPr>
          <w:rFonts w:ascii="Times New Roman" w:eastAsia="Times New Roman" w:hAnsi="Times New Roman" w:cs="Times New Roman"/>
        </w:rPr>
        <w:t xml:space="preserve"> to this lethargy</w:t>
      </w:r>
      <w:r w:rsidRPr="00A83F70">
        <w:rPr>
          <w:rFonts w:ascii="Times New Roman" w:eastAsia="Times New Roman" w:hAnsi="Times New Roman" w:cs="Times New Roman"/>
        </w:rPr>
        <w:t xml:space="preserve"> cannot be the technocratic authoritarianism of the past, for it has the possibility of being even more regressive </w:t>
      </w:r>
      <w:r w:rsidR="002F1E94">
        <w:rPr>
          <w:rFonts w:ascii="Times New Roman" w:eastAsia="Times New Roman" w:hAnsi="Times New Roman" w:cs="Times New Roman"/>
        </w:rPr>
        <w:t xml:space="preserve">and reactionary </w:t>
      </w:r>
      <w:r w:rsidRPr="00A83F70">
        <w:rPr>
          <w:rFonts w:ascii="Times New Roman" w:eastAsia="Times New Roman" w:hAnsi="Times New Roman" w:cs="Times New Roman"/>
        </w:rPr>
        <w:t xml:space="preserve">than current </w:t>
      </w:r>
      <w:r w:rsidR="002F1E94">
        <w:rPr>
          <w:rFonts w:ascii="Times New Roman" w:eastAsia="Times New Roman" w:hAnsi="Times New Roman" w:cs="Times New Roman"/>
        </w:rPr>
        <w:t xml:space="preserve">regulatory </w:t>
      </w:r>
      <w:r w:rsidRPr="00A83F70">
        <w:rPr>
          <w:rFonts w:ascii="Times New Roman" w:eastAsia="Times New Roman" w:hAnsi="Times New Roman" w:cs="Times New Roman"/>
        </w:rPr>
        <w:t xml:space="preserve">structures. </w:t>
      </w:r>
      <w:r w:rsidR="002F1E94" w:rsidRPr="00A83F70">
        <w:rPr>
          <w:rFonts w:ascii="Times New Roman" w:eastAsia="Times New Roman" w:hAnsi="Times New Roman" w:cs="Times New Roman"/>
        </w:rPr>
        <w:t>Opaque, slow, behind-closed-doors decisions are not satisfying for the public interest</w:t>
      </w:r>
      <w:r w:rsidR="002F1E94">
        <w:rPr>
          <w:rFonts w:ascii="Times New Roman" w:eastAsia="Times New Roman" w:hAnsi="Times New Roman" w:cs="Times New Roman"/>
        </w:rPr>
        <w:t xml:space="preserve">. </w:t>
      </w:r>
      <w:r w:rsidRPr="00A83F70">
        <w:rPr>
          <w:rFonts w:ascii="Times New Roman" w:eastAsia="Times New Roman" w:hAnsi="Times New Roman" w:cs="Times New Roman"/>
        </w:rPr>
        <w:t xml:space="preserve">But online, democratized, non-hierarchical platforms can be </w:t>
      </w:r>
      <w:r w:rsidR="002F1E94">
        <w:rPr>
          <w:rFonts w:ascii="Times New Roman" w:eastAsia="Times New Roman" w:hAnsi="Times New Roman" w:cs="Times New Roman"/>
        </w:rPr>
        <w:t xml:space="preserve">innately </w:t>
      </w:r>
      <w:r w:rsidRPr="00A83F70">
        <w:rPr>
          <w:rFonts w:ascii="Times New Roman" w:eastAsia="Times New Roman" w:hAnsi="Times New Roman" w:cs="Times New Roman"/>
        </w:rPr>
        <w:t xml:space="preserve">legitimate and responsive. There are more inclusive technologies and possibilities. </w:t>
      </w:r>
      <w:r w:rsidR="002F1E94">
        <w:rPr>
          <w:rFonts w:ascii="Times New Roman" w:eastAsia="Times New Roman" w:hAnsi="Times New Roman" w:cs="Times New Roman"/>
        </w:rPr>
        <w:t xml:space="preserve">In his newest edition of </w:t>
      </w:r>
      <w:r w:rsidR="00C2520C">
        <w:rPr>
          <w:rFonts w:ascii="Times New Roman" w:eastAsia="Times New Roman" w:hAnsi="Times New Roman" w:cs="Times New Roman"/>
          <w:i/>
        </w:rPr>
        <w:t>Revolt of the Public</w:t>
      </w:r>
      <w:r w:rsidR="00C2520C">
        <w:rPr>
          <w:rFonts w:ascii="Times New Roman" w:eastAsia="Times New Roman" w:hAnsi="Times New Roman" w:cs="Times New Roman"/>
        </w:rPr>
        <w:t xml:space="preserve">, former NSA analyst Martin </w:t>
      </w:r>
      <w:proofErr w:type="spellStart"/>
      <w:r w:rsidR="00C2520C">
        <w:rPr>
          <w:rFonts w:ascii="Times New Roman" w:eastAsia="Times New Roman" w:hAnsi="Times New Roman" w:cs="Times New Roman"/>
        </w:rPr>
        <w:t>Gurri</w:t>
      </w:r>
      <w:proofErr w:type="spellEnd"/>
      <w:r w:rsidRPr="00A83F70">
        <w:rPr>
          <w:rFonts w:ascii="Times New Roman" w:eastAsia="Times New Roman" w:hAnsi="Times New Roman" w:cs="Times New Roman"/>
        </w:rPr>
        <w:t xml:space="preserve"> </w:t>
      </w:r>
      <w:r w:rsidR="00C2520C">
        <w:rPr>
          <w:rFonts w:ascii="Times New Roman" w:eastAsia="Times New Roman" w:hAnsi="Times New Roman" w:cs="Times New Roman"/>
        </w:rPr>
        <w:t>sees</w:t>
      </w:r>
      <w:r w:rsidRPr="00A83F70">
        <w:rPr>
          <w:rFonts w:ascii="Times New Roman" w:eastAsia="Times New Roman" w:hAnsi="Times New Roman" w:cs="Times New Roman"/>
        </w:rPr>
        <w:t xml:space="preserve"> this issue</w:t>
      </w:r>
      <w:r w:rsidR="00C2520C">
        <w:rPr>
          <w:rFonts w:ascii="Times New Roman" w:eastAsia="Times New Roman" w:hAnsi="Times New Roman" w:cs="Times New Roman"/>
        </w:rPr>
        <w:t xml:space="preserve"> as an ongoing battle between </w:t>
      </w:r>
      <w:r w:rsidRPr="00A83F70">
        <w:rPr>
          <w:rFonts w:ascii="Times New Roman" w:eastAsia="Times New Roman" w:hAnsi="Times New Roman" w:cs="Times New Roman"/>
        </w:rPr>
        <w:t>networked, non-hierarchical organizations now have the tools to attack and flatten authority</w:t>
      </w:r>
      <w:r w:rsidR="00C2520C">
        <w:rPr>
          <w:rFonts w:ascii="Times New Roman" w:eastAsia="Times New Roman" w:hAnsi="Times New Roman" w:cs="Times New Roman"/>
        </w:rPr>
        <w:t>,</w:t>
      </w:r>
      <w:r w:rsidRPr="00A83F70">
        <w:rPr>
          <w:rFonts w:ascii="Times New Roman" w:eastAsia="Times New Roman" w:hAnsi="Times New Roman" w:cs="Times New Roman"/>
        </w:rPr>
        <w:t xml:space="preserve"> while the authorities struggle to </w:t>
      </w:r>
      <w:r w:rsidR="00C2520C">
        <w:rPr>
          <w:rFonts w:ascii="Times New Roman" w:eastAsia="Times New Roman" w:hAnsi="Times New Roman" w:cs="Times New Roman"/>
        </w:rPr>
        <w:t>reclaim legitimacy and rebuild hierarchies, a struggle that calls to mind Habermas</w:t>
      </w:r>
      <w:r w:rsidRPr="00A83F70">
        <w:rPr>
          <w:rFonts w:ascii="Times New Roman" w:eastAsia="Times New Roman" w:hAnsi="Times New Roman" w:cs="Times New Roman"/>
        </w:rPr>
        <w:t xml:space="preserve">. </w:t>
      </w:r>
      <w:proofErr w:type="spellStart"/>
      <w:r w:rsidR="00C2520C">
        <w:rPr>
          <w:rFonts w:ascii="Times New Roman" w:eastAsia="Times New Roman" w:hAnsi="Times New Roman" w:cs="Times New Roman"/>
        </w:rPr>
        <w:t>Gurri</w:t>
      </w:r>
      <w:proofErr w:type="spellEnd"/>
      <w:r w:rsidR="00C2520C">
        <w:rPr>
          <w:rFonts w:ascii="Times New Roman" w:eastAsia="Times New Roman" w:hAnsi="Times New Roman" w:cs="Times New Roman"/>
        </w:rPr>
        <w:t xml:space="preserve"> proposes that was is necessary is a synthesis of these centrifugal and centripetal forces; g</w:t>
      </w:r>
      <w:r w:rsidRPr="00A83F70">
        <w:rPr>
          <w:rFonts w:ascii="Times New Roman" w:eastAsia="Times New Roman" w:hAnsi="Times New Roman" w:cs="Times New Roman"/>
        </w:rPr>
        <w:t>overnments and authorities must figure out ways to embrace or coopt these non-hierarchical mass organizational structures</w:t>
      </w:r>
      <w:r w:rsidR="00C2520C">
        <w:rPr>
          <w:rFonts w:ascii="Times New Roman" w:eastAsia="Times New Roman" w:hAnsi="Times New Roman" w:cs="Times New Roman"/>
        </w:rPr>
        <w:t xml:space="preserve">. Some ways in which </w:t>
      </w:r>
      <w:proofErr w:type="spellStart"/>
      <w:r w:rsidR="00C2520C">
        <w:rPr>
          <w:rFonts w:ascii="Times New Roman" w:eastAsia="Times New Roman" w:hAnsi="Times New Roman" w:cs="Times New Roman"/>
        </w:rPr>
        <w:t>Gurri’s</w:t>
      </w:r>
      <w:proofErr w:type="spellEnd"/>
      <w:r w:rsidR="00C2520C">
        <w:rPr>
          <w:rFonts w:ascii="Times New Roman" w:eastAsia="Times New Roman" w:hAnsi="Times New Roman" w:cs="Times New Roman"/>
        </w:rPr>
        <w:t xml:space="preserve"> ideas might be realized include the expansion of online democracy platforms such as the Obama Administration’s </w:t>
      </w:r>
      <w:r w:rsidR="00C2520C">
        <w:rPr>
          <w:rFonts w:ascii="Times New Roman" w:eastAsia="Times New Roman" w:hAnsi="Times New Roman" w:cs="Times New Roman"/>
          <w:i/>
        </w:rPr>
        <w:t xml:space="preserve">We the People </w:t>
      </w:r>
      <w:r w:rsidR="00C2520C">
        <w:rPr>
          <w:rFonts w:ascii="Times New Roman" w:eastAsia="Times New Roman" w:hAnsi="Times New Roman" w:cs="Times New Roman"/>
        </w:rPr>
        <w:t xml:space="preserve">project, </w:t>
      </w:r>
      <w:r w:rsidR="00C2520C" w:rsidRPr="00C2520C">
        <w:rPr>
          <w:rFonts w:ascii="Times New Roman" w:eastAsia="Times New Roman" w:hAnsi="Times New Roman" w:cs="Times New Roman"/>
        </w:rPr>
        <w:t>b</w:t>
      </w:r>
      <w:r w:rsidRPr="00C2520C">
        <w:rPr>
          <w:rFonts w:ascii="Times New Roman" w:eastAsia="Times New Roman" w:hAnsi="Times New Roman" w:cs="Times New Roman"/>
        </w:rPr>
        <w:t>lockchain</w:t>
      </w:r>
      <w:r w:rsidRPr="00A83F70">
        <w:rPr>
          <w:rFonts w:ascii="Times New Roman" w:eastAsia="Times New Roman" w:hAnsi="Times New Roman" w:cs="Times New Roman"/>
        </w:rPr>
        <w:t xml:space="preserve"> tracking on votes and campaign contributions</w:t>
      </w:r>
      <w:r w:rsidR="00C2520C">
        <w:rPr>
          <w:rFonts w:ascii="Times New Roman" w:eastAsia="Times New Roman" w:hAnsi="Times New Roman" w:cs="Times New Roman"/>
        </w:rPr>
        <w:t xml:space="preserve">, or </w:t>
      </w:r>
      <w:r w:rsidRPr="00A83F70">
        <w:rPr>
          <w:rFonts w:ascii="Times New Roman" w:eastAsia="Times New Roman" w:hAnsi="Times New Roman" w:cs="Times New Roman"/>
        </w:rPr>
        <w:t xml:space="preserve">online platforms for drafting and crowd-sourcing </w:t>
      </w:r>
      <w:r w:rsidRPr="00A83F70">
        <w:rPr>
          <w:rFonts w:ascii="Times New Roman" w:eastAsia="Times New Roman" w:hAnsi="Times New Roman" w:cs="Times New Roman"/>
        </w:rPr>
        <w:lastRenderedPageBreak/>
        <w:t>legislation and votes</w:t>
      </w:r>
      <w:r w:rsidR="00C2520C">
        <w:rPr>
          <w:rFonts w:ascii="Times New Roman" w:eastAsia="Times New Roman" w:hAnsi="Times New Roman" w:cs="Times New Roman"/>
        </w:rPr>
        <w:t>. The legitimacy of scientific and academic work may be improved by</w:t>
      </w:r>
      <w:r w:rsidRPr="00A83F70">
        <w:rPr>
          <w:rFonts w:ascii="Times New Roman" w:eastAsia="Times New Roman" w:hAnsi="Times New Roman" w:cs="Times New Roman"/>
        </w:rPr>
        <w:t xml:space="preserve"> Crowd review.</w:t>
      </w:r>
    </w:p>
    <w:p w14:paraId="750F00A2" w14:textId="3BC5264F" w:rsidR="002847AB" w:rsidRPr="005A48BE" w:rsidRDefault="000904CE" w:rsidP="006F5538">
      <w:pPr>
        <w:pStyle w:val="Default"/>
        <w:spacing w:line="480" w:lineRule="auto"/>
        <w:ind w:firstLine="720"/>
        <w:jc w:val="both"/>
        <w:rPr>
          <w:rFonts w:ascii="Times New Roman" w:hAnsi="Times New Roman" w:cs="Times New Roman"/>
        </w:rPr>
      </w:pPr>
      <w:r w:rsidRPr="003E342A">
        <w:rPr>
          <w:rFonts w:ascii="Times New Roman" w:eastAsia="Times New Roman" w:hAnsi="Times New Roman" w:cs="Times New Roman"/>
        </w:rPr>
        <w:t xml:space="preserve">Though the precise nature of the European regulatory and comitological procedure may change in coming months or years, issues like transgenics, gene editing, and other questions of biotechnology have already begun to open new political rifts and regulatory challenges. Further questions at the interface of science and society, such as cybersecurity, artificial intelligence, and others, are likely to pose enormous problems in coming decades as well. Amongst </w:t>
      </w:r>
      <w:proofErr w:type="gramStart"/>
      <w:r w:rsidRPr="003E342A">
        <w:rPr>
          <w:rFonts w:ascii="Times New Roman" w:eastAsia="Times New Roman" w:hAnsi="Times New Roman" w:cs="Times New Roman"/>
        </w:rPr>
        <w:t>all of</w:t>
      </w:r>
      <w:proofErr w:type="gramEnd"/>
      <w:r w:rsidRPr="003E342A">
        <w:rPr>
          <w:rFonts w:ascii="Times New Roman" w:eastAsia="Times New Roman" w:hAnsi="Times New Roman" w:cs="Times New Roman"/>
        </w:rPr>
        <w:t xml:space="preserve"> these areas, quantitative or qualitative investigation could help reveal how affected interest groups respond to regulatory action in terms of increasing or decreasing faith or perceptions of legitimacy. New structures of participatory input, which take advantage of the mass participatory mechanisms of the internet, may need to be adopted, and blockchain-like mechanisms could show constituents exactly how their input and votes affected final policy outcomes, thereby potentially increasing feelings of buy-in into the system. </w:t>
      </w:r>
    </w:p>
    <w:p w14:paraId="743029EE" w14:textId="142775CD" w:rsidR="002847AB" w:rsidRPr="003E342A" w:rsidRDefault="002847AB" w:rsidP="002847AB">
      <w:pPr>
        <w:spacing w:line="480" w:lineRule="auto"/>
        <w:ind w:firstLine="720"/>
        <w:jc w:val="both"/>
        <w:rPr>
          <w:rFonts w:ascii="Times New Roman" w:hAnsi="Times New Roman" w:cs="Times New Roman"/>
          <w:color w:val="000000" w:themeColor="text1"/>
          <w:sz w:val="24"/>
          <w:szCs w:val="24"/>
        </w:rPr>
      </w:pPr>
      <w:r w:rsidRPr="003E342A">
        <w:rPr>
          <w:rFonts w:ascii="Times New Roman" w:hAnsi="Times New Roman" w:cs="Times New Roman"/>
          <w:color w:val="000000" w:themeColor="text1"/>
          <w:sz w:val="24"/>
          <w:szCs w:val="24"/>
        </w:rPr>
        <w:t xml:space="preserve">However, there are some more difficult and fundamental questions that may arise from this conflict between popular desires and the institutions that constrain them. Do democratic outcomes always equate to the policy outcomes that most benefit the polity, or do voters sometimes vote against their own self interests? To what extent </w:t>
      </w:r>
      <w:r w:rsidRPr="003E342A">
        <w:rPr>
          <w:rFonts w:ascii="Times New Roman" w:hAnsi="Times New Roman" w:cs="Times New Roman"/>
          <w:i/>
          <w:color w:val="000000" w:themeColor="text1"/>
          <w:sz w:val="24"/>
          <w:szCs w:val="24"/>
        </w:rPr>
        <w:t xml:space="preserve">should </w:t>
      </w:r>
      <w:r w:rsidRPr="003E342A">
        <w:rPr>
          <w:rFonts w:ascii="Times New Roman" w:hAnsi="Times New Roman" w:cs="Times New Roman"/>
          <w:color w:val="000000" w:themeColor="text1"/>
          <w:sz w:val="24"/>
          <w:szCs w:val="24"/>
        </w:rPr>
        <w:t xml:space="preserve">governments respond to popular </w:t>
      </w:r>
      <w:r w:rsidR="00A70874" w:rsidRPr="003E342A">
        <w:rPr>
          <w:rFonts w:ascii="Times New Roman" w:hAnsi="Times New Roman" w:cs="Times New Roman"/>
          <w:color w:val="000000" w:themeColor="text1"/>
          <w:sz w:val="24"/>
          <w:szCs w:val="24"/>
        </w:rPr>
        <w:t>policy preferences</w:t>
      </w:r>
      <w:r w:rsidRPr="003E342A">
        <w:rPr>
          <w:rFonts w:ascii="Times New Roman" w:hAnsi="Times New Roman" w:cs="Times New Roman"/>
          <w:color w:val="000000" w:themeColor="text1"/>
          <w:sz w:val="24"/>
          <w:szCs w:val="24"/>
        </w:rPr>
        <w:t xml:space="preserve"> that are difficult to do, or perhaps may not be, from the perspective of governments</w:t>
      </w:r>
      <w:r w:rsidR="00A70874" w:rsidRPr="003E342A">
        <w:rPr>
          <w:rFonts w:ascii="Times New Roman" w:hAnsi="Times New Roman" w:cs="Times New Roman"/>
          <w:color w:val="000000" w:themeColor="text1"/>
          <w:sz w:val="24"/>
          <w:szCs w:val="24"/>
        </w:rPr>
        <w:t xml:space="preserve"> or experts</w:t>
      </w:r>
      <w:r w:rsidRPr="003E342A">
        <w:rPr>
          <w:rFonts w:ascii="Times New Roman" w:hAnsi="Times New Roman" w:cs="Times New Roman"/>
          <w:color w:val="000000" w:themeColor="text1"/>
          <w:sz w:val="24"/>
          <w:szCs w:val="24"/>
        </w:rPr>
        <w:t xml:space="preserve">, the best course of action? </w:t>
      </w:r>
    </w:p>
    <w:p w14:paraId="7C289950" w14:textId="532B75D0" w:rsidR="000904CE" w:rsidRPr="003E342A" w:rsidRDefault="000904CE" w:rsidP="000904CE">
      <w:pPr>
        <w:spacing w:line="480" w:lineRule="auto"/>
        <w:ind w:firstLine="720"/>
        <w:jc w:val="both"/>
        <w:rPr>
          <w:rFonts w:ascii="Times New Roman" w:eastAsia="Times New Roman" w:hAnsi="Times New Roman" w:cs="Times New Roman"/>
          <w:sz w:val="24"/>
          <w:szCs w:val="24"/>
        </w:rPr>
      </w:pPr>
      <w:r w:rsidRPr="003E342A">
        <w:rPr>
          <w:rFonts w:ascii="Times New Roman" w:eastAsia="Times New Roman" w:hAnsi="Times New Roman" w:cs="Times New Roman"/>
          <w:sz w:val="24"/>
          <w:szCs w:val="24"/>
        </w:rPr>
        <w:t>But as with all new technological advances, society must remain vigilant to the potential misuses of these tools</w:t>
      </w:r>
      <w:r w:rsidR="002847AB" w:rsidRPr="003E342A">
        <w:rPr>
          <w:rFonts w:ascii="Times New Roman" w:eastAsia="Times New Roman" w:hAnsi="Times New Roman" w:cs="Times New Roman"/>
          <w:sz w:val="24"/>
          <w:szCs w:val="24"/>
        </w:rPr>
        <w:t xml:space="preserve">. Though the exact balance must vary from society to society and issue to issue, it is important to maintain some </w:t>
      </w:r>
      <w:r w:rsidRPr="003E342A">
        <w:rPr>
          <w:rFonts w:ascii="Times New Roman" w:eastAsia="Times New Roman" w:hAnsi="Times New Roman" w:cs="Times New Roman"/>
          <w:sz w:val="24"/>
          <w:szCs w:val="24"/>
        </w:rPr>
        <w:t xml:space="preserve">balance </w:t>
      </w:r>
      <w:r w:rsidR="002847AB" w:rsidRPr="003E342A">
        <w:rPr>
          <w:rFonts w:ascii="Times New Roman" w:eastAsia="Times New Roman" w:hAnsi="Times New Roman" w:cs="Times New Roman"/>
          <w:sz w:val="24"/>
          <w:szCs w:val="24"/>
        </w:rPr>
        <w:t xml:space="preserve">between popular desires and specialist expertise – </w:t>
      </w:r>
      <w:r w:rsidR="002847AB" w:rsidRPr="003E342A">
        <w:rPr>
          <w:rFonts w:ascii="Times New Roman" w:eastAsia="Times New Roman" w:hAnsi="Times New Roman" w:cs="Times New Roman"/>
          <w:sz w:val="24"/>
          <w:szCs w:val="24"/>
        </w:rPr>
        <w:lastRenderedPageBreak/>
        <w:t xml:space="preserve">for the perils of too much technocracy are well known, but the perils of too much </w:t>
      </w:r>
      <w:r w:rsidR="00FB061A" w:rsidRPr="003E342A">
        <w:rPr>
          <w:rFonts w:ascii="Times New Roman" w:eastAsia="Times New Roman" w:hAnsi="Times New Roman" w:cs="Times New Roman"/>
          <w:sz w:val="24"/>
          <w:szCs w:val="24"/>
        </w:rPr>
        <w:t xml:space="preserve">populist </w:t>
      </w:r>
      <w:r w:rsidR="002847AB" w:rsidRPr="003E342A">
        <w:rPr>
          <w:rFonts w:ascii="Times New Roman" w:eastAsia="Times New Roman" w:hAnsi="Times New Roman" w:cs="Times New Roman"/>
          <w:sz w:val="24"/>
          <w:szCs w:val="24"/>
        </w:rPr>
        <w:t>democracy may just be beginning to reveal themselves.</w:t>
      </w:r>
    </w:p>
    <w:p w14:paraId="774CDB3A" w14:textId="77777777" w:rsidR="002847AB" w:rsidRPr="003E342A" w:rsidRDefault="002847AB" w:rsidP="000904CE">
      <w:pPr>
        <w:spacing w:line="480" w:lineRule="auto"/>
        <w:ind w:firstLine="720"/>
        <w:jc w:val="both"/>
        <w:rPr>
          <w:rFonts w:ascii="Times New Roman" w:eastAsia="Times New Roman" w:hAnsi="Times New Roman" w:cs="Times New Roman"/>
          <w:sz w:val="24"/>
          <w:szCs w:val="24"/>
        </w:rPr>
      </w:pPr>
    </w:p>
    <w:p w14:paraId="3C8E9BA2" w14:textId="77777777" w:rsidR="000904CE" w:rsidRPr="003E342A" w:rsidRDefault="000904CE" w:rsidP="000904CE">
      <w:pPr>
        <w:rPr>
          <w:rFonts w:ascii="Times New Roman" w:hAnsi="Times New Roman" w:cs="Times New Roman"/>
        </w:rPr>
      </w:pPr>
    </w:p>
    <w:p w14:paraId="61178206" w14:textId="2AA5B1D3" w:rsidR="00477457" w:rsidRPr="003E342A" w:rsidRDefault="00477457">
      <w:pPr>
        <w:rPr>
          <w:rFonts w:ascii="Times New Roman" w:hAnsi="Times New Roman" w:cs="Times New Roman"/>
        </w:rPr>
      </w:pPr>
      <w:r w:rsidRPr="003E342A">
        <w:rPr>
          <w:rFonts w:ascii="Times New Roman" w:hAnsi="Times New Roman" w:cs="Times New Roman"/>
        </w:rPr>
        <w:br w:type="page"/>
      </w:r>
    </w:p>
    <w:p w14:paraId="31A3C75E" w14:textId="5B6364E1" w:rsidR="005D3767" w:rsidRPr="003E342A" w:rsidRDefault="00477457" w:rsidP="008119DF">
      <w:pPr>
        <w:pStyle w:val="Title"/>
        <w:jc w:val="center"/>
        <w:rPr>
          <w:rFonts w:cs="Times New Roman"/>
        </w:rPr>
      </w:pPr>
      <w:bookmarkStart w:id="40" w:name="_Toc531878503"/>
      <w:r w:rsidRPr="003E342A">
        <w:rPr>
          <w:rFonts w:cs="Times New Roman"/>
        </w:rPr>
        <w:lastRenderedPageBreak/>
        <w:t>Works Cited</w:t>
      </w:r>
      <w:bookmarkEnd w:id="40"/>
    </w:p>
    <w:p w14:paraId="0F220460" w14:textId="02995878" w:rsidR="00477457" w:rsidRPr="003E342A" w:rsidRDefault="00477457">
      <w:pPr>
        <w:rPr>
          <w:rFonts w:ascii="Times New Roman" w:hAnsi="Times New Roman" w:cs="Times New Roman"/>
        </w:rPr>
      </w:pPr>
    </w:p>
    <w:p w14:paraId="41D1F5ED"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sz w:val="24"/>
          <w:szCs w:val="24"/>
        </w:rPr>
        <w:t>AgbioInvestor</w:t>
      </w:r>
      <w:proofErr w:type="spellEnd"/>
      <w:r w:rsidRPr="001D6484">
        <w:rPr>
          <w:rFonts w:ascii="Times New Roman" w:hAnsi="Times New Roman" w:cs="Times New Roman"/>
          <w:sz w:val="24"/>
          <w:szCs w:val="24"/>
        </w:rPr>
        <w:t>. “The challenges facing agriculture and the plant science industry in the EU.” https://www.europabio.org/sites/default/files/Agbioinvestor-report-press-releaseF_0.pdf.</w:t>
      </w:r>
    </w:p>
    <w:p w14:paraId="2ED449CF"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lang w:val="fr-FR"/>
        </w:rPr>
        <w:t xml:space="preserve">Alternative </w:t>
      </w:r>
      <w:proofErr w:type="spellStart"/>
      <w:r w:rsidRPr="001D6484">
        <w:rPr>
          <w:rFonts w:ascii="Times New Roman" w:hAnsi="Times New Roman" w:cs="Times New Roman"/>
          <w:color w:val="000000" w:themeColor="text1"/>
          <w:sz w:val="24"/>
          <w:szCs w:val="24"/>
          <w:lang w:val="fr-FR"/>
        </w:rPr>
        <w:t>für</w:t>
      </w:r>
      <w:proofErr w:type="spellEnd"/>
      <w:r w:rsidRPr="001D6484">
        <w:rPr>
          <w:rFonts w:ascii="Times New Roman" w:hAnsi="Times New Roman" w:cs="Times New Roman"/>
          <w:color w:val="000000" w:themeColor="text1"/>
          <w:sz w:val="24"/>
          <w:szCs w:val="24"/>
          <w:lang w:val="fr-FR"/>
        </w:rPr>
        <w:t xml:space="preserve"> </w:t>
      </w:r>
      <w:proofErr w:type="spellStart"/>
      <w:r w:rsidRPr="001D6484">
        <w:rPr>
          <w:rFonts w:ascii="Times New Roman" w:hAnsi="Times New Roman" w:cs="Times New Roman"/>
          <w:color w:val="000000" w:themeColor="text1"/>
          <w:sz w:val="24"/>
          <w:szCs w:val="24"/>
          <w:lang w:val="fr-FR"/>
        </w:rPr>
        <w:t>Deutschland</w:t>
      </w:r>
      <w:proofErr w:type="spellEnd"/>
      <w:r w:rsidRPr="001D6484">
        <w:rPr>
          <w:rFonts w:ascii="Times New Roman" w:hAnsi="Times New Roman" w:cs="Times New Roman"/>
          <w:color w:val="000000" w:themeColor="text1"/>
          <w:sz w:val="24"/>
          <w:szCs w:val="24"/>
          <w:lang w:val="fr-FR"/>
        </w:rPr>
        <w:t>. “</w:t>
      </w:r>
      <w:proofErr w:type="spellStart"/>
      <w:r w:rsidRPr="001D6484">
        <w:rPr>
          <w:rFonts w:ascii="Times New Roman" w:hAnsi="Times New Roman" w:cs="Times New Roman"/>
          <w:color w:val="000000" w:themeColor="text1"/>
          <w:sz w:val="24"/>
          <w:szCs w:val="24"/>
          <w:lang w:val="fr-FR"/>
        </w:rPr>
        <w:t>Natur</w:t>
      </w:r>
      <w:proofErr w:type="spellEnd"/>
      <w:r w:rsidRPr="001D6484">
        <w:rPr>
          <w:rFonts w:ascii="Times New Roman" w:hAnsi="Times New Roman" w:cs="Times New Roman"/>
          <w:color w:val="000000" w:themeColor="text1"/>
          <w:sz w:val="24"/>
          <w:szCs w:val="24"/>
          <w:lang w:val="fr-FR"/>
        </w:rPr>
        <w:t xml:space="preserve"> | </w:t>
      </w:r>
      <w:proofErr w:type="spellStart"/>
      <w:r w:rsidRPr="001D6484">
        <w:rPr>
          <w:rFonts w:ascii="Times New Roman" w:hAnsi="Times New Roman" w:cs="Times New Roman"/>
          <w:color w:val="000000" w:themeColor="text1"/>
          <w:sz w:val="24"/>
          <w:szCs w:val="24"/>
          <w:lang w:val="fr-FR"/>
        </w:rPr>
        <w:t>Agrar</w:t>
      </w:r>
      <w:proofErr w:type="spellEnd"/>
      <w:r w:rsidRPr="001D6484">
        <w:rPr>
          <w:rFonts w:ascii="Times New Roman" w:hAnsi="Times New Roman" w:cs="Times New Roman"/>
          <w:color w:val="000000" w:themeColor="text1"/>
          <w:sz w:val="24"/>
          <w:szCs w:val="24"/>
          <w:lang w:val="fr-FR"/>
        </w:rPr>
        <w:t xml:space="preserve"> | </w:t>
      </w:r>
      <w:proofErr w:type="spellStart"/>
      <w:r w:rsidRPr="001D6484">
        <w:rPr>
          <w:rFonts w:ascii="Times New Roman" w:hAnsi="Times New Roman" w:cs="Times New Roman"/>
          <w:color w:val="000000" w:themeColor="text1"/>
          <w:sz w:val="24"/>
          <w:szCs w:val="24"/>
          <w:lang w:val="fr-FR"/>
        </w:rPr>
        <w:t>Verbraucher</w:t>
      </w:r>
      <w:proofErr w:type="spellEnd"/>
      <w:r w:rsidRPr="001D6484">
        <w:rPr>
          <w:rFonts w:ascii="Times New Roman" w:hAnsi="Times New Roman" w:cs="Times New Roman"/>
          <w:color w:val="000000" w:themeColor="text1"/>
          <w:sz w:val="24"/>
          <w:szCs w:val="24"/>
          <w:lang w:val="fr-FR"/>
        </w:rPr>
        <w:t xml:space="preserve">.” </w:t>
      </w:r>
      <w:hyperlink r:id="rId14" w:history="1">
        <w:r w:rsidRPr="001D6484">
          <w:rPr>
            <w:rStyle w:val="Hyperlink"/>
            <w:rFonts w:ascii="Times New Roman" w:hAnsi="Times New Roman" w:cs="Times New Roman"/>
            <w:sz w:val="24"/>
            <w:szCs w:val="24"/>
          </w:rPr>
          <w:t>https://www.afd.de/umwelt-agrar-verbraucher/</w:t>
        </w:r>
      </w:hyperlink>
      <w:r w:rsidRPr="001D6484">
        <w:rPr>
          <w:rFonts w:ascii="Times New Roman" w:hAnsi="Times New Roman" w:cs="Times New Roman"/>
          <w:color w:val="000000" w:themeColor="text1"/>
          <w:sz w:val="24"/>
          <w:szCs w:val="24"/>
        </w:rPr>
        <w:t xml:space="preserve"> </w:t>
      </w:r>
    </w:p>
    <w:p w14:paraId="21205355"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Andrews, Leighton. “How can we demonstrate the public value of evidence-based policy making when government ministers declare that the people ‘have had enough of experts’?” </w:t>
      </w:r>
      <w:r w:rsidRPr="001D6484">
        <w:rPr>
          <w:rFonts w:ascii="Times New Roman" w:hAnsi="Times New Roman" w:cs="Times New Roman"/>
          <w:i/>
          <w:color w:val="000000" w:themeColor="text1"/>
          <w:sz w:val="24"/>
          <w:szCs w:val="24"/>
        </w:rPr>
        <w:t>Palgrave Communications</w:t>
      </w:r>
      <w:r w:rsidRPr="001D6484">
        <w:rPr>
          <w:rFonts w:ascii="Times New Roman" w:hAnsi="Times New Roman" w:cs="Times New Roman"/>
          <w:color w:val="000000" w:themeColor="text1"/>
          <w:sz w:val="24"/>
          <w:szCs w:val="24"/>
        </w:rPr>
        <w:t xml:space="preserve"> 3, no. 11 (2017). </w:t>
      </w:r>
      <w:hyperlink r:id="rId15" w:history="1">
        <w:r w:rsidRPr="001D6484">
          <w:rPr>
            <w:rStyle w:val="Hyperlink"/>
            <w:rFonts w:ascii="Times New Roman" w:hAnsi="Times New Roman" w:cs="Times New Roman"/>
            <w:sz w:val="24"/>
            <w:szCs w:val="24"/>
          </w:rPr>
          <w:t>https://doi.org/10.1057/s41599-017-0013-4</w:t>
        </w:r>
      </w:hyperlink>
    </w:p>
    <w:p w14:paraId="7029A224" w14:textId="77777777" w:rsidR="001D6484" w:rsidRPr="001D6484" w:rsidRDefault="001D6484" w:rsidP="008A4BFB">
      <w:pPr>
        <w:pStyle w:val="FootnoteText"/>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Batra, Karen. “EU’s Anti-Science Comitology Reform Threatens Innovation.” </w:t>
      </w:r>
      <w:r w:rsidRPr="001D6484">
        <w:rPr>
          <w:rFonts w:ascii="Times New Roman" w:hAnsi="Times New Roman" w:cs="Times New Roman"/>
          <w:i/>
          <w:color w:val="000000" w:themeColor="text1"/>
          <w:sz w:val="24"/>
          <w:szCs w:val="24"/>
        </w:rPr>
        <w:t>Biotechnology Innovation Organization</w:t>
      </w:r>
      <w:r w:rsidRPr="001D6484">
        <w:rPr>
          <w:rFonts w:ascii="Times New Roman" w:hAnsi="Times New Roman" w:cs="Times New Roman"/>
          <w:color w:val="000000" w:themeColor="text1"/>
          <w:sz w:val="24"/>
          <w:szCs w:val="24"/>
        </w:rPr>
        <w:t xml:space="preserve">, February 14, 2017. </w:t>
      </w:r>
      <w:hyperlink r:id="rId16" w:history="1">
        <w:r w:rsidRPr="001D6484">
          <w:rPr>
            <w:rStyle w:val="Hyperlink"/>
            <w:rFonts w:ascii="Times New Roman" w:hAnsi="Times New Roman" w:cs="Times New Roman"/>
            <w:sz w:val="24"/>
            <w:szCs w:val="24"/>
          </w:rPr>
          <w:t>https://www.bio.org/press-release/eu%E2%80%99s-anti-science-comitology-reform-threatens-innovation</w:t>
        </w:r>
      </w:hyperlink>
      <w:r w:rsidRPr="001D6484">
        <w:rPr>
          <w:rFonts w:ascii="Times New Roman" w:hAnsi="Times New Roman" w:cs="Times New Roman"/>
          <w:color w:val="000000" w:themeColor="text1"/>
          <w:sz w:val="24"/>
          <w:szCs w:val="24"/>
        </w:rPr>
        <w:t xml:space="preserve"> </w:t>
      </w:r>
    </w:p>
    <w:p w14:paraId="083E3D1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Berthoud, Barbara. </w:t>
      </w:r>
      <w:r w:rsidRPr="001D6484">
        <w:rPr>
          <w:rFonts w:ascii="Times New Roman" w:hAnsi="Times New Roman" w:cs="Times New Roman"/>
          <w:i/>
          <w:color w:val="000000" w:themeColor="text1"/>
          <w:sz w:val="24"/>
          <w:szCs w:val="24"/>
        </w:rPr>
        <w:t>The Precautionary Principle in EU Risk Regulation: A Matter of Priorities</w:t>
      </w:r>
      <w:r w:rsidRPr="001D6484">
        <w:rPr>
          <w:rFonts w:ascii="Times New Roman" w:hAnsi="Times New Roman" w:cs="Times New Roman"/>
          <w:color w:val="000000" w:themeColor="text1"/>
          <w:sz w:val="24"/>
          <w:szCs w:val="24"/>
        </w:rPr>
        <w:t>. Hamburg: Anchor Academic Publishing, 2014.</w:t>
      </w:r>
    </w:p>
    <w:p w14:paraId="56BB22B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Bio-Based Industries. “About BBI JU.” </w:t>
      </w:r>
      <w:hyperlink r:id="rId17" w:history="1">
        <w:r w:rsidRPr="001D6484">
          <w:rPr>
            <w:rStyle w:val="Hyperlink"/>
            <w:rFonts w:ascii="Times New Roman" w:hAnsi="Times New Roman" w:cs="Times New Roman"/>
            <w:sz w:val="24"/>
            <w:szCs w:val="24"/>
          </w:rPr>
          <w:t>https://bbi-europe.eu/about/about-bbi</w:t>
        </w:r>
      </w:hyperlink>
      <w:r w:rsidRPr="001D6484">
        <w:rPr>
          <w:rFonts w:ascii="Times New Roman" w:hAnsi="Times New Roman" w:cs="Times New Roman"/>
          <w:sz w:val="24"/>
          <w:szCs w:val="24"/>
        </w:rPr>
        <w:t>.</w:t>
      </w:r>
    </w:p>
    <w:p w14:paraId="64302551"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Blatter, Joachim, Samuel David Schmid, and Andrea C. </w:t>
      </w:r>
      <w:proofErr w:type="spellStart"/>
      <w:r w:rsidRPr="001D6484">
        <w:rPr>
          <w:rFonts w:ascii="Times New Roman" w:hAnsi="Times New Roman" w:cs="Times New Roman"/>
          <w:color w:val="000000" w:themeColor="text1"/>
          <w:sz w:val="24"/>
          <w:szCs w:val="24"/>
        </w:rPr>
        <w:t>Blättler</w:t>
      </w:r>
      <w:proofErr w:type="spellEnd"/>
      <w:r w:rsidRPr="001D6484">
        <w:rPr>
          <w:rFonts w:ascii="Times New Roman" w:hAnsi="Times New Roman" w:cs="Times New Roman"/>
          <w:color w:val="000000" w:themeColor="text1"/>
          <w:sz w:val="24"/>
          <w:szCs w:val="24"/>
        </w:rPr>
        <w:t xml:space="preserve">. “Democratic Deficits in Europe: The Overlooked Exclusiveness of Nation-States and the Positive Role of the European Union.” </w:t>
      </w:r>
      <w:r w:rsidRPr="001D6484">
        <w:rPr>
          <w:rFonts w:ascii="Times New Roman" w:hAnsi="Times New Roman" w:cs="Times New Roman"/>
          <w:i/>
          <w:color w:val="000000" w:themeColor="text1"/>
          <w:sz w:val="24"/>
          <w:szCs w:val="24"/>
        </w:rPr>
        <w:t>Journal of Common Market Studies</w:t>
      </w:r>
      <w:r w:rsidRPr="001D6484">
        <w:rPr>
          <w:rFonts w:ascii="Times New Roman" w:hAnsi="Times New Roman" w:cs="Times New Roman"/>
          <w:color w:val="000000" w:themeColor="text1"/>
          <w:sz w:val="24"/>
          <w:szCs w:val="24"/>
        </w:rPr>
        <w:t xml:space="preserve"> 55, no. 33 (2017): 449-467.</w:t>
      </w:r>
    </w:p>
    <w:p w14:paraId="261475E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Bonny, Sylvie. “Why are most Europeans opposed to GMOs? Factors explaining rejection in France and Europe.” </w:t>
      </w:r>
      <w:r w:rsidRPr="001D6484">
        <w:rPr>
          <w:rFonts w:ascii="Times New Roman" w:hAnsi="Times New Roman" w:cs="Times New Roman"/>
          <w:i/>
          <w:color w:val="000000" w:themeColor="text1"/>
          <w:sz w:val="24"/>
          <w:szCs w:val="24"/>
        </w:rPr>
        <w:t>Electronic Journal of Biotechnology</w:t>
      </w:r>
      <w:r w:rsidRPr="001D6484">
        <w:rPr>
          <w:rFonts w:ascii="Times New Roman" w:hAnsi="Times New Roman" w:cs="Times New Roman"/>
          <w:color w:val="000000" w:themeColor="text1"/>
          <w:sz w:val="24"/>
          <w:szCs w:val="24"/>
        </w:rPr>
        <w:t xml:space="preserve"> 6, no. 1, (April 15, 2003), </w:t>
      </w:r>
      <w:hyperlink r:id="rId18" w:history="1">
        <w:r w:rsidRPr="001D6484">
          <w:rPr>
            <w:rStyle w:val="Hyperlink"/>
            <w:rFonts w:ascii="Times New Roman" w:hAnsi="Times New Roman" w:cs="Times New Roman"/>
            <w:sz w:val="24"/>
            <w:szCs w:val="24"/>
          </w:rPr>
          <w:t>http://ejbiotechnology.info/index.php/ejbiotechnology/article/view/v6n1-4/573</w:t>
        </w:r>
      </w:hyperlink>
      <w:r w:rsidRPr="001D6484">
        <w:rPr>
          <w:rFonts w:ascii="Times New Roman" w:hAnsi="Times New Roman" w:cs="Times New Roman"/>
          <w:color w:val="000000" w:themeColor="text1"/>
          <w:sz w:val="24"/>
          <w:szCs w:val="24"/>
        </w:rPr>
        <w:t xml:space="preserve"> </w:t>
      </w:r>
    </w:p>
    <w:p w14:paraId="79FC2B2E"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Brooks, Eleanor. “Using the Advocacy Coalition Framework to understand EU pharmaceutical policy.” European Journal of Public Health 28, no. 3 (2018): 11-14.</w:t>
      </w:r>
    </w:p>
    <w:p w14:paraId="5A11851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Style w:val="Strong"/>
          <w:rFonts w:ascii="Times New Roman" w:hAnsi="Times New Roman" w:cs="Times New Roman"/>
          <w:b w:val="0"/>
          <w:sz w:val="24"/>
          <w:szCs w:val="24"/>
        </w:rPr>
        <w:t xml:space="preserve">Bruno </w:t>
      </w:r>
      <w:proofErr w:type="spellStart"/>
      <w:r w:rsidRPr="001D6484">
        <w:rPr>
          <w:rStyle w:val="Strong"/>
          <w:rFonts w:ascii="Times New Roman" w:hAnsi="Times New Roman" w:cs="Times New Roman"/>
          <w:b w:val="0"/>
          <w:sz w:val="24"/>
          <w:szCs w:val="24"/>
        </w:rPr>
        <w:t>Maçães</w:t>
      </w:r>
      <w:proofErr w:type="spellEnd"/>
      <w:r w:rsidRPr="001D6484">
        <w:rPr>
          <w:rStyle w:val="Strong"/>
          <w:rFonts w:ascii="Times New Roman" w:hAnsi="Times New Roman" w:cs="Times New Roman"/>
          <w:b w:val="0"/>
          <w:sz w:val="24"/>
          <w:szCs w:val="24"/>
        </w:rPr>
        <w:t xml:space="preserve">. “Bruno </w:t>
      </w:r>
      <w:proofErr w:type="spellStart"/>
      <w:r w:rsidRPr="001D6484">
        <w:rPr>
          <w:rStyle w:val="Strong"/>
          <w:rFonts w:ascii="Times New Roman" w:hAnsi="Times New Roman" w:cs="Times New Roman"/>
          <w:b w:val="0"/>
          <w:sz w:val="24"/>
          <w:szCs w:val="24"/>
        </w:rPr>
        <w:t>Maçães</w:t>
      </w:r>
      <w:proofErr w:type="spellEnd"/>
      <w:r w:rsidRPr="001D6484">
        <w:rPr>
          <w:rStyle w:val="Strong"/>
          <w:rFonts w:ascii="Times New Roman" w:hAnsi="Times New Roman" w:cs="Times New Roman"/>
          <w:b w:val="0"/>
          <w:sz w:val="24"/>
          <w:szCs w:val="24"/>
        </w:rPr>
        <w:t xml:space="preserve"> on the Spirit of Adventure.” Interview with Tyler Cowen. </w:t>
      </w:r>
      <w:r w:rsidRPr="001D6484">
        <w:rPr>
          <w:rStyle w:val="Strong"/>
          <w:rFonts w:ascii="Times New Roman" w:hAnsi="Times New Roman" w:cs="Times New Roman"/>
          <w:b w:val="0"/>
          <w:i/>
          <w:sz w:val="24"/>
          <w:szCs w:val="24"/>
        </w:rPr>
        <w:t>Conversations with Tyler</w:t>
      </w:r>
      <w:r w:rsidRPr="001D6484">
        <w:rPr>
          <w:rStyle w:val="Strong"/>
          <w:rFonts w:ascii="Times New Roman" w:hAnsi="Times New Roman" w:cs="Times New Roman"/>
          <w:b w:val="0"/>
          <w:sz w:val="24"/>
          <w:szCs w:val="24"/>
        </w:rPr>
        <w:t xml:space="preserve">. </w:t>
      </w:r>
      <w:proofErr w:type="spellStart"/>
      <w:r w:rsidRPr="001D6484">
        <w:rPr>
          <w:rStyle w:val="Strong"/>
          <w:rFonts w:ascii="Times New Roman" w:hAnsi="Times New Roman" w:cs="Times New Roman"/>
          <w:b w:val="0"/>
          <w:sz w:val="24"/>
          <w:szCs w:val="24"/>
        </w:rPr>
        <w:t>Mercatus</w:t>
      </w:r>
      <w:proofErr w:type="spellEnd"/>
      <w:r w:rsidRPr="001D6484">
        <w:rPr>
          <w:rStyle w:val="Strong"/>
          <w:rFonts w:ascii="Times New Roman" w:hAnsi="Times New Roman" w:cs="Times New Roman"/>
          <w:b w:val="0"/>
          <w:sz w:val="24"/>
          <w:szCs w:val="24"/>
        </w:rPr>
        <w:t xml:space="preserve"> Center at George Mason University, September 26, 2018: 14:57.</w:t>
      </w:r>
    </w:p>
    <w:p w14:paraId="6D2C77AF"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Caplan, Bryan. </w:t>
      </w:r>
      <w:r w:rsidRPr="001D6484">
        <w:rPr>
          <w:rFonts w:ascii="Times New Roman" w:hAnsi="Times New Roman" w:cs="Times New Roman"/>
          <w:i/>
          <w:color w:val="000000" w:themeColor="text1"/>
          <w:sz w:val="24"/>
          <w:szCs w:val="24"/>
        </w:rPr>
        <w:t>The Myth of the Rational Voter: Why Democracies Choose Bad Policies</w:t>
      </w:r>
      <w:r w:rsidRPr="001D6484">
        <w:rPr>
          <w:rFonts w:ascii="Times New Roman" w:hAnsi="Times New Roman" w:cs="Times New Roman"/>
          <w:color w:val="000000" w:themeColor="text1"/>
          <w:sz w:val="24"/>
          <w:szCs w:val="24"/>
        </w:rPr>
        <w:t>. Princeton: Princeton University Press, 2007.</w:t>
      </w:r>
    </w:p>
    <w:p w14:paraId="5DF85FB8"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Caporaso</w:t>
      </w:r>
      <w:proofErr w:type="spellEnd"/>
      <w:r w:rsidRPr="001D6484">
        <w:rPr>
          <w:rFonts w:ascii="Times New Roman" w:hAnsi="Times New Roman" w:cs="Times New Roman"/>
          <w:color w:val="000000" w:themeColor="text1"/>
          <w:sz w:val="24"/>
          <w:szCs w:val="24"/>
        </w:rPr>
        <w:t xml:space="preserve">, James. “Europe’s Triple Crisis and the Uneven Role of Institutions: The Euro, Refugees, and Brexit.” </w:t>
      </w:r>
      <w:r w:rsidRPr="001D6484">
        <w:rPr>
          <w:rFonts w:ascii="Times New Roman" w:hAnsi="Times New Roman" w:cs="Times New Roman"/>
          <w:i/>
          <w:color w:val="000000" w:themeColor="text1"/>
          <w:sz w:val="24"/>
          <w:szCs w:val="24"/>
        </w:rPr>
        <w:t>Journal of Common Market Studies</w:t>
      </w:r>
      <w:r w:rsidRPr="001D6484">
        <w:rPr>
          <w:rFonts w:ascii="Times New Roman" w:hAnsi="Times New Roman" w:cs="Times New Roman"/>
          <w:color w:val="000000" w:themeColor="text1"/>
          <w:sz w:val="24"/>
          <w:szCs w:val="24"/>
        </w:rPr>
        <w:t xml:space="preserve"> (2018): 1-17.</w:t>
      </w:r>
    </w:p>
    <w:p w14:paraId="1C7D0C75"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Chow, Lorraine, “16 European Nations Vote Against GMO Crops,” </w:t>
      </w:r>
      <w:proofErr w:type="spellStart"/>
      <w:r w:rsidRPr="001D6484">
        <w:rPr>
          <w:rFonts w:ascii="Times New Roman" w:hAnsi="Times New Roman" w:cs="Times New Roman"/>
          <w:i/>
          <w:sz w:val="24"/>
          <w:szCs w:val="24"/>
        </w:rPr>
        <w:t>EcoWatch</w:t>
      </w:r>
      <w:proofErr w:type="spellEnd"/>
      <w:r w:rsidRPr="001D6484">
        <w:rPr>
          <w:rFonts w:ascii="Times New Roman" w:hAnsi="Times New Roman" w:cs="Times New Roman"/>
          <w:i/>
          <w:sz w:val="24"/>
          <w:szCs w:val="24"/>
        </w:rPr>
        <w:t>,</w:t>
      </w:r>
      <w:r w:rsidRPr="001D6484">
        <w:rPr>
          <w:rFonts w:ascii="Times New Roman" w:hAnsi="Times New Roman" w:cs="Times New Roman"/>
          <w:sz w:val="24"/>
          <w:szCs w:val="24"/>
        </w:rPr>
        <w:t xml:space="preserve"> March 27, 2017. </w:t>
      </w:r>
      <w:hyperlink r:id="rId19" w:history="1">
        <w:r w:rsidRPr="001D6484">
          <w:rPr>
            <w:rStyle w:val="Hyperlink"/>
            <w:rFonts w:ascii="Times New Roman" w:hAnsi="Times New Roman" w:cs="Times New Roman"/>
            <w:sz w:val="24"/>
            <w:szCs w:val="24"/>
          </w:rPr>
          <w:t>https://www.ecowatch.com/eu-nations-vote-against-gmo-crops-2332080511.html</w:t>
        </w:r>
      </w:hyperlink>
      <w:r w:rsidRPr="001D6484">
        <w:rPr>
          <w:rFonts w:ascii="Times New Roman" w:hAnsi="Times New Roman" w:cs="Times New Roman"/>
          <w:sz w:val="24"/>
          <w:szCs w:val="24"/>
        </w:rPr>
        <w:t xml:space="preserve"> </w:t>
      </w:r>
    </w:p>
    <w:p w14:paraId="0453AC9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lastRenderedPageBreak/>
        <w:t xml:space="preserve">Cotton, Matthew. “Ethics and Technology Assessment: A Participatory Approach.” </w:t>
      </w:r>
      <w:r w:rsidRPr="001D6484">
        <w:rPr>
          <w:rFonts w:ascii="Times New Roman" w:hAnsi="Times New Roman" w:cs="Times New Roman"/>
          <w:i/>
          <w:color w:val="000000" w:themeColor="text1"/>
          <w:sz w:val="24"/>
          <w:szCs w:val="24"/>
        </w:rPr>
        <w:t>Studies in Applied Philosophy, Epistemology and Rational Ethics</w:t>
      </w:r>
      <w:r w:rsidRPr="001D6484">
        <w:rPr>
          <w:rFonts w:ascii="Times New Roman" w:hAnsi="Times New Roman" w:cs="Times New Roman"/>
          <w:color w:val="000000" w:themeColor="text1"/>
          <w:sz w:val="24"/>
          <w:szCs w:val="24"/>
        </w:rPr>
        <w:t xml:space="preserve"> 13. Berlin Heidelberg: Springer – Verlag, 2014. </w:t>
      </w:r>
    </w:p>
    <w:p w14:paraId="1910C64B"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Dalton-Brown, Sally. </w:t>
      </w:r>
      <w:r w:rsidRPr="001D6484">
        <w:rPr>
          <w:rFonts w:ascii="Times New Roman" w:hAnsi="Times New Roman" w:cs="Times New Roman"/>
          <w:i/>
          <w:color w:val="000000" w:themeColor="text1"/>
          <w:sz w:val="24"/>
          <w:szCs w:val="24"/>
        </w:rPr>
        <w:t xml:space="preserve">Nanotechnology and Ethical Governance in the European Union and China. </w:t>
      </w:r>
      <w:r w:rsidRPr="001D6484">
        <w:rPr>
          <w:rFonts w:ascii="Times New Roman" w:hAnsi="Times New Roman" w:cs="Times New Roman"/>
          <w:color w:val="000000" w:themeColor="text1"/>
          <w:sz w:val="24"/>
          <w:szCs w:val="24"/>
        </w:rPr>
        <w:t>Cham, Switzerland: Springer, 2015.</w:t>
      </w:r>
    </w:p>
    <w:p w14:paraId="3393EFE2"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E3149C">
        <w:rPr>
          <w:rFonts w:ascii="Times New Roman" w:hAnsi="Times New Roman" w:cs="Times New Roman"/>
          <w:sz w:val="24"/>
          <w:szCs w:val="24"/>
        </w:rPr>
        <w:t xml:space="preserve">De Carbonnel, Alissa and Alastair Macdonald. </w:t>
      </w:r>
      <w:r w:rsidRPr="001D6484">
        <w:rPr>
          <w:rFonts w:ascii="Times New Roman" w:hAnsi="Times New Roman" w:cs="Times New Roman"/>
          <w:sz w:val="24"/>
          <w:szCs w:val="24"/>
        </w:rPr>
        <w:t>“Juncker says to push for EU at different speeds.” Reuters, February 23, 2017. https://www.reuters.com/article/us-eu-future-juncker-idUSKBN1622GJ</w:t>
      </w:r>
    </w:p>
    <w:p w14:paraId="4D66734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De Tocqueville, Alexis. </w:t>
      </w:r>
      <w:r w:rsidRPr="001D6484">
        <w:rPr>
          <w:rFonts w:ascii="Times New Roman" w:hAnsi="Times New Roman" w:cs="Times New Roman"/>
          <w:i/>
          <w:color w:val="000000" w:themeColor="text1"/>
          <w:sz w:val="24"/>
          <w:szCs w:val="24"/>
        </w:rPr>
        <w:t>Democracy in America</w:t>
      </w:r>
      <w:r w:rsidRPr="001D6484">
        <w:rPr>
          <w:rFonts w:ascii="Times New Roman" w:hAnsi="Times New Roman" w:cs="Times New Roman"/>
          <w:color w:val="000000" w:themeColor="text1"/>
          <w:sz w:val="24"/>
          <w:szCs w:val="24"/>
        </w:rPr>
        <w:t>. London: Saunders and Oatley, 1848.</w:t>
      </w:r>
    </w:p>
    <w:p w14:paraId="6E60BA16" w14:textId="77777777" w:rsidR="001D6484" w:rsidRPr="001D6484" w:rsidRDefault="001D6484" w:rsidP="006F68C3">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Decker, Michael and </w:t>
      </w:r>
      <w:proofErr w:type="spellStart"/>
      <w:r w:rsidRPr="001D6484">
        <w:rPr>
          <w:rFonts w:ascii="Times New Roman" w:hAnsi="Times New Roman" w:cs="Times New Roman"/>
          <w:color w:val="000000" w:themeColor="text1"/>
          <w:sz w:val="24"/>
          <w:szCs w:val="24"/>
        </w:rPr>
        <w:t>Miltos</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Ladikas</w:t>
      </w:r>
      <w:proofErr w:type="spellEnd"/>
      <w:r w:rsidRPr="001D6484">
        <w:rPr>
          <w:rFonts w:ascii="Times New Roman" w:hAnsi="Times New Roman" w:cs="Times New Roman"/>
          <w:color w:val="000000" w:themeColor="text1"/>
          <w:sz w:val="24"/>
          <w:szCs w:val="24"/>
        </w:rPr>
        <w:t>. “</w:t>
      </w:r>
      <w:proofErr w:type="spellStart"/>
      <w:r w:rsidRPr="001D6484">
        <w:rPr>
          <w:rFonts w:ascii="Times New Roman" w:hAnsi="Times New Roman" w:cs="Times New Roman"/>
          <w:color w:val="000000" w:themeColor="text1"/>
          <w:sz w:val="24"/>
          <w:szCs w:val="24"/>
        </w:rPr>
        <w:t>Optimising</w:t>
      </w:r>
      <w:proofErr w:type="spellEnd"/>
      <w:r w:rsidRPr="001D6484">
        <w:rPr>
          <w:rFonts w:ascii="Times New Roman" w:hAnsi="Times New Roman" w:cs="Times New Roman"/>
          <w:color w:val="000000" w:themeColor="text1"/>
          <w:sz w:val="24"/>
          <w:szCs w:val="24"/>
        </w:rPr>
        <w:t xml:space="preserve"> the Impact of Future-Oriented Technology Analysis; Methodological Foundations.” Seminar. </w:t>
      </w:r>
      <w:r w:rsidRPr="001D6484">
        <w:rPr>
          <w:rFonts w:ascii="Times New Roman" w:hAnsi="Times New Roman" w:cs="Times New Roman"/>
          <w:i/>
          <w:color w:val="000000" w:themeColor="text1"/>
          <w:sz w:val="24"/>
          <w:szCs w:val="24"/>
        </w:rPr>
        <w:t>EU-US Seminar: New Technology Foresight, Forecasting &amp;Assessment Methods</w:t>
      </w:r>
      <w:r w:rsidRPr="001D6484">
        <w:rPr>
          <w:rFonts w:ascii="Times New Roman" w:hAnsi="Times New Roman" w:cs="Times New Roman"/>
          <w:color w:val="000000" w:themeColor="text1"/>
          <w:sz w:val="24"/>
          <w:szCs w:val="24"/>
        </w:rPr>
        <w:t xml:space="preserve">. Seville, Spain. May 13-14, 2004. </w:t>
      </w:r>
      <w:hyperlink r:id="rId20" w:history="1">
        <w:r w:rsidRPr="001D6484">
          <w:rPr>
            <w:rStyle w:val="Hyperlink"/>
            <w:rFonts w:ascii="Times New Roman" w:hAnsi="Times New Roman" w:cs="Times New Roman"/>
            <w:sz w:val="24"/>
            <w:szCs w:val="24"/>
          </w:rPr>
          <w:t>http://foresight.jrc.ec.europa.eu/fta/papers/Session%201%20Methodological%20Selection/Optimising%20the%20Impact.pdf</w:t>
        </w:r>
      </w:hyperlink>
      <w:r w:rsidRPr="001D6484">
        <w:rPr>
          <w:rStyle w:val="Hyperlink"/>
          <w:rFonts w:ascii="Times New Roman" w:hAnsi="Times New Roman" w:cs="Times New Roman"/>
          <w:color w:val="000000" w:themeColor="text1"/>
          <w:sz w:val="24"/>
          <w:szCs w:val="24"/>
        </w:rPr>
        <w:t xml:space="preserve">    </w:t>
      </w:r>
    </w:p>
    <w:p w14:paraId="0FCFDBA6" w14:textId="77777777" w:rsidR="001D6484" w:rsidRPr="001D6484" w:rsidRDefault="001D6484" w:rsidP="008A4BFB">
      <w:pPr>
        <w:pStyle w:val="FootnoteText"/>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Deutsche </w:t>
      </w:r>
      <w:proofErr w:type="spellStart"/>
      <w:r w:rsidRPr="001D6484">
        <w:rPr>
          <w:rFonts w:ascii="Times New Roman" w:hAnsi="Times New Roman" w:cs="Times New Roman"/>
          <w:color w:val="000000" w:themeColor="text1"/>
          <w:sz w:val="24"/>
          <w:szCs w:val="24"/>
        </w:rPr>
        <w:t>Welle</w:t>
      </w:r>
      <w:proofErr w:type="spellEnd"/>
      <w:r w:rsidRPr="001D6484">
        <w:rPr>
          <w:rFonts w:ascii="Times New Roman" w:hAnsi="Times New Roman" w:cs="Times New Roman"/>
          <w:i/>
          <w:color w:val="000000" w:themeColor="text1"/>
          <w:sz w:val="24"/>
          <w:szCs w:val="24"/>
        </w:rPr>
        <w:t>.</w:t>
      </w:r>
      <w:r w:rsidRPr="001D6484">
        <w:rPr>
          <w:rFonts w:ascii="Times New Roman" w:hAnsi="Times New Roman" w:cs="Times New Roman"/>
          <w:color w:val="000000" w:themeColor="text1"/>
          <w:sz w:val="24"/>
          <w:szCs w:val="24"/>
        </w:rPr>
        <w:t xml:space="preserve"> “Nineteen EU Countries Seek GMO Opt-Out.” </w:t>
      </w:r>
      <w:r w:rsidRPr="001D6484">
        <w:rPr>
          <w:rFonts w:ascii="Times New Roman" w:hAnsi="Times New Roman" w:cs="Times New Roman"/>
          <w:i/>
          <w:color w:val="000000" w:themeColor="text1"/>
          <w:sz w:val="24"/>
          <w:szCs w:val="24"/>
        </w:rPr>
        <w:t xml:space="preserve">Deutsche </w:t>
      </w:r>
      <w:proofErr w:type="spellStart"/>
      <w:r w:rsidRPr="001D6484">
        <w:rPr>
          <w:rFonts w:ascii="Times New Roman" w:hAnsi="Times New Roman" w:cs="Times New Roman"/>
          <w:i/>
          <w:color w:val="000000" w:themeColor="text1"/>
          <w:sz w:val="24"/>
          <w:szCs w:val="24"/>
        </w:rPr>
        <w:t>Welle</w:t>
      </w:r>
      <w:proofErr w:type="spellEnd"/>
      <w:r w:rsidRPr="001D6484">
        <w:rPr>
          <w:rFonts w:ascii="Times New Roman" w:hAnsi="Times New Roman" w:cs="Times New Roman"/>
          <w:color w:val="000000" w:themeColor="text1"/>
          <w:sz w:val="24"/>
          <w:szCs w:val="24"/>
        </w:rPr>
        <w:t xml:space="preserve">, October 4, 2015. </w:t>
      </w:r>
      <w:hyperlink r:id="rId21" w:history="1">
        <w:r w:rsidRPr="001D6484">
          <w:rPr>
            <w:rStyle w:val="Hyperlink"/>
            <w:rFonts w:ascii="Times New Roman" w:hAnsi="Times New Roman" w:cs="Times New Roman"/>
            <w:sz w:val="24"/>
            <w:szCs w:val="24"/>
          </w:rPr>
          <w:t>https://www.dw.com/en/nineteen-eu-countries-seek-gmo-opt-out/a-18760718</w:t>
        </w:r>
      </w:hyperlink>
      <w:r w:rsidRPr="001D6484">
        <w:rPr>
          <w:rFonts w:ascii="Times New Roman" w:hAnsi="Times New Roman" w:cs="Times New Roman"/>
          <w:color w:val="000000" w:themeColor="text1"/>
          <w:sz w:val="24"/>
          <w:szCs w:val="24"/>
        </w:rPr>
        <w:t xml:space="preserve"> </w:t>
      </w:r>
    </w:p>
    <w:p w14:paraId="342A3A4F"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Dorius</w:t>
      </w:r>
      <w:proofErr w:type="spellEnd"/>
      <w:r w:rsidRPr="001D6484">
        <w:rPr>
          <w:rFonts w:ascii="Times New Roman" w:hAnsi="Times New Roman" w:cs="Times New Roman"/>
          <w:color w:val="000000" w:themeColor="text1"/>
          <w:sz w:val="24"/>
          <w:szCs w:val="24"/>
        </w:rPr>
        <w:t xml:space="preserve">, Shawn and Carolyn J. Lawrence-Dill. “Sowing the seeds of skepticism: Russian state news and anti-GMO sentiment.” </w:t>
      </w:r>
      <w:r w:rsidRPr="001D6484">
        <w:rPr>
          <w:rFonts w:ascii="Times New Roman" w:hAnsi="Times New Roman" w:cs="Times New Roman"/>
          <w:i/>
          <w:color w:val="000000" w:themeColor="text1"/>
          <w:sz w:val="24"/>
          <w:szCs w:val="24"/>
        </w:rPr>
        <w:t>GM Crops &amp; Food</w:t>
      </w:r>
      <w:r w:rsidRPr="001D6484">
        <w:rPr>
          <w:rFonts w:ascii="Times New Roman" w:hAnsi="Times New Roman" w:cs="Times New Roman"/>
          <w:color w:val="000000" w:themeColor="text1"/>
          <w:sz w:val="24"/>
          <w:szCs w:val="24"/>
        </w:rPr>
        <w:t xml:space="preserve"> 9 (2018): 53-58.</w:t>
      </w:r>
    </w:p>
    <w:p w14:paraId="530BBBB8"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Downs, Anthony. </w:t>
      </w:r>
      <w:r w:rsidRPr="001D6484">
        <w:rPr>
          <w:rFonts w:ascii="Times New Roman" w:hAnsi="Times New Roman" w:cs="Times New Roman"/>
          <w:i/>
          <w:color w:val="000000" w:themeColor="text1"/>
          <w:sz w:val="24"/>
          <w:szCs w:val="24"/>
        </w:rPr>
        <w:t>An Economic Theory of Democracy</w:t>
      </w:r>
      <w:r w:rsidRPr="001D6484">
        <w:rPr>
          <w:rFonts w:ascii="Times New Roman" w:hAnsi="Times New Roman" w:cs="Times New Roman"/>
          <w:color w:val="000000" w:themeColor="text1"/>
          <w:sz w:val="24"/>
          <w:szCs w:val="24"/>
        </w:rPr>
        <w:t>. New York: Harper and Row, 1957.</w:t>
      </w:r>
    </w:p>
    <w:p w14:paraId="042D6594"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Dreyer, Marion and </w:t>
      </w:r>
      <w:proofErr w:type="spellStart"/>
      <w:r w:rsidRPr="001D6484">
        <w:rPr>
          <w:rFonts w:ascii="Times New Roman" w:hAnsi="Times New Roman" w:cs="Times New Roman"/>
          <w:color w:val="000000" w:themeColor="text1"/>
          <w:sz w:val="24"/>
          <w:szCs w:val="24"/>
        </w:rPr>
        <w:t>Ortwin</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Renn</w:t>
      </w:r>
      <w:proofErr w:type="spellEnd"/>
      <w:r w:rsidRPr="001D6484">
        <w:rPr>
          <w:rFonts w:ascii="Times New Roman" w:hAnsi="Times New Roman" w:cs="Times New Roman"/>
          <w:color w:val="000000" w:themeColor="text1"/>
          <w:sz w:val="24"/>
          <w:szCs w:val="24"/>
        </w:rPr>
        <w:t xml:space="preserve">. </w:t>
      </w:r>
      <w:r w:rsidRPr="001D6484">
        <w:rPr>
          <w:rFonts w:ascii="Times New Roman" w:hAnsi="Times New Roman" w:cs="Times New Roman"/>
          <w:i/>
          <w:color w:val="000000" w:themeColor="text1"/>
          <w:sz w:val="24"/>
          <w:szCs w:val="24"/>
        </w:rPr>
        <w:t xml:space="preserve">Food Safety and Governance: Integrating Science, Precaution, and Public </w:t>
      </w:r>
      <w:proofErr w:type="spellStart"/>
      <w:r w:rsidRPr="001D6484">
        <w:rPr>
          <w:rFonts w:ascii="Times New Roman" w:hAnsi="Times New Roman" w:cs="Times New Roman"/>
          <w:i/>
          <w:color w:val="000000" w:themeColor="text1"/>
          <w:sz w:val="24"/>
          <w:szCs w:val="24"/>
        </w:rPr>
        <w:t>Involvment</w:t>
      </w:r>
      <w:proofErr w:type="spellEnd"/>
      <w:r w:rsidRPr="001D6484">
        <w:rPr>
          <w:rFonts w:ascii="Times New Roman" w:hAnsi="Times New Roman" w:cs="Times New Roman"/>
          <w:color w:val="000000" w:themeColor="text1"/>
          <w:sz w:val="24"/>
          <w:szCs w:val="24"/>
        </w:rPr>
        <w:t>. Berlin Heidelberg: Springer-Verlag, 2009.</w:t>
      </w:r>
    </w:p>
    <w:p w14:paraId="5C9E892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Dunlop, Claire, “Up and down the pecking order: what matters and when in issue definition: the case of </w:t>
      </w:r>
      <w:proofErr w:type="spellStart"/>
      <w:r w:rsidRPr="001D6484">
        <w:rPr>
          <w:rFonts w:ascii="Times New Roman" w:hAnsi="Times New Roman" w:cs="Times New Roman"/>
          <w:color w:val="000000" w:themeColor="text1"/>
          <w:sz w:val="24"/>
          <w:szCs w:val="24"/>
        </w:rPr>
        <w:t>rbST</w:t>
      </w:r>
      <w:proofErr w:type="spellEnd"/>
      <w:r w:rsidRPr="001D6484">
        <w:rPr>
          <w:rFonts w:ascii="Times New Roman" w:hAnsi="Times New Roman" w:cs="Times New Roman"/>
          <w:color w:val="000000" w:themeColor="text1"/>
          <w:sz w:val="24"/>
          <w:szCs w:val="24"/>
        </w:rPr>
        <w:t xml:space="preserve"> in the EU,” </w:t>
      </w:r>
      <w:r w:rsidRPr="001D6484">
        <w:rPr>
          <w:rFonts w:ascii="Times New Roman" w:hAnsi="Times New Roman" w:cs="Times New Roman"/>
          <w:i/>
          <w:color w:val="000000" w:themeColor="text1"/>
          <w:sz w:val="24"/>
          <w:szCs w:val="24"/>
        </w:rPr>
        <w:t>Journal of European Public Policy</w:t>
      </w:r>
      <w:r w:rsidRPr="001D6484">
        <w:rPr>
          <w:rFonts w:ascii="Times New Roman" w:hAnsi="Times New Roman" w:cs="Times New Roman"/>
          <w:color w:val="000000" w:themeColor="text1"/>
          <w:sz w:val="24"/>
          <w:szCs w:val="24"/>
        </w:rPr>
        <w:t xml:space="preserve"> 14, no. 1 (January 2007): 39–58.</w:t>
      </w:r>
    </w:p>
    <w:p w14:paraId="490155D8"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EASAC. “European Academies inform MEPs on GMO legislation.” EASAC, October 24, 2014. https://easac.eu/news/details/european-academies-inform-meps-on-gmo-legislation/</w:t>
      </w:r>
    </w:p>
    <w:p w14:paraId="534718C8"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Easterly, William. </w:t>
      </w:r>
      <w:r w:rsidRPr="001D6484">
        <w:rPr>
          <w:rFonts w:ascii="Times New Roman" w:hAnsi="Times New Roman" w:cs="Times New Roman"/>
          <w:i/>
          <w:color w:val="000000" w:themeColor="text1"/>
          <w:sz w:val="24"/>
          <w:szCs w:val="24"/>
        </w:rPr>
        <w:t>The Tyranny of Experts</w:t>
      </w:r>
      <w:r w:rsidRPr="001D6484">
        <w:rPr>
          <w:rFonts w:ascii="Times New Roman" w:hAnsi="Times New Roman" w:cs="Times New Roman"/>
          <w:color w:val="000000" w:themeColor="text1"/>
          <w:sz w:val="24"/>
          <w:szCs w:val="24"/>
        </w:rPr>
        <w:t>. New York: Basic Book, 2013.</w:t>
      </w:r>
    </w:p>
    <w:p w14:paraId="698E9E46"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EFSA Website. “EFSA’s Role in the GMO Regulatory Framework.” </w:t>
      </w:r>
      <w:hyperlink r:id="rId22" w:history="1">
        <w:r w:rsidRPr="001D6484">
          <w:rPr>
            <w:rStyle w:val="Hyperlink"/>
            <w:rFonts w:ascii="Times New Roman" w:hAnsi="Times New Roman" w:cs="Times New Roman"/>
            <w:sz w:val="24"/>
            <w:szCs w:val="24"/>
          </w:rPr>
          <w:t>https://www.efsa.europa.eu/sites/default/files/assets/gmoauthorisation.pdf</w:t>
        </w:r>
      </w:hyperlink>
    </w:p>
    <w:p w14:paraId="1F5AD9AB"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EFSA Website. “Principles.” </w:t>
      </w:r>
      <w:hyperlink r:id="rId23" w:history="1">
        <w:r w:rsidRPr="001D6484">
          <w:rPr>
            <w:rStyle w:val="Hyperlink"/>
            <w:rFonts w:ascii="Times New Roman" w:hAnsi="Times New Roman" w:cs="Times New Roman"/>
            <w:sz w:val="24"/>
            <w:szCs w:val="24"/>
          </w:rPr>
          <w:t>http://www.efsa.europa.eu/en/aboutefsa</w:t>
        </w:r>
      </w:hyperlink>
      <w:r w:rsidRPr="001D6484">
        <w:rPr>
          <w:rFonts w:ascii="Times New Roman" w:hAnsi="Times New Roman" w:cs="Times New Roman"/>
          <w:color w:val="000000" w:themeColor="text1"/>
          <w:sz w:val="24"/>
          <w:szCs w:val="24"/>
        </w:rPr>
        <w:t xml:space="preserve"> and </w:t>
      </w:r>
      <w:hyperlink r:id="rId24" w:history="1">
        <w:r w:rsidRPr="001D6484">
          <w:rPr>
            <w:rStyle w:val="Hyperlink"/>
            <w:rFonts w:ascii="Times New Roman" w:hAnsi="Times New Roman" w:cs="Times New Roman"/>
            <w:sz w:val="24"/>
            <w:szCs w:val="24"/>
          </w:rPr>
          <w:t>http://ec.europa.eu/food/safety/general_food_law/principles/index_en.htm</w:t>
        </w:r>
      </w:hyperlink>
      <w:r w:rsidRPr="001D6484">
        <w:rPr>
          <w:rFonts w:ascii="Times New Roman" w:hAnsi="Times New Roman" w:cs="Times New Roman"/>
          <w:color w:val="000000" w:themeColor="text1"/>
          <w:sz w:val="24"/>
          <w:szCs w:val="24"/>
        </w:rPr>
        <w:t xml:space="preserve"> </w:t>
      </w:r>
    </w:p>
    <w:p w14:paraId="7B5D40B8" w14:textId="77777777" w:rsidR="001D6484" w:rsidRPr="001D6484" w:rsidRDefault="001D6484" w:rsidP="004F69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Ehmke. </w:t>
      </w:r>
      <w:proofErr w:type="spellStart"/>
      <w:proofErr w:type="gramStart"/>
      <w:r w:rsidRPr="001D6484">
        <w:rPr>
          <w:rFonts w:ascii="Times New Roman" w:hAnsi="Times New Roman" w:cs="Times New Roman"/>
          <w:color w:val="000000" w:themeColor="text1"/>
          <w:sz w:val="24"/>
          <w:szCs w:val="24"/>
        </w:rPr>
        <w:t>Tanner.“</w:t>
      </w:r>
      <w:proofErr w:type="gramEnd"/>
      <w:r w:rsidRPr="001D6484">
        <w:rPr>
          <w:rFonts w:ascii="Times New Roman" w:hAnsi="Times New Roman" w:cs="Times New Roman"/>
          <w:color w:val="000000" w:themeColor="text1"/>
          <w:sz w:val="24"/>
          <w:szCs w:val="24"/>
        </w:rPr>
        <w:t>Why</w:t>
      </w:r>
      <w:proofErr w:type="spellEnd"/>
      <w:r w:rsidRPr="001D6484">
        <w:rPr>
          <w:rFonts w:ascii="Times New Roman" w:hAnsi="Times New Roman" w:cs="Times New Roman"/>
          <w:color w:val="000000" w:themeColor="text1"/>
          <w:sz w:val="24"/>
          <w:szCs w:val="24"/>
        </w:rPr>
        <w:t xml:space="preserve"> the EU's GMO Vote Matters to Farmers.” </w:t>
      </w:r>
      <w:proofErr w:type="spellStart"/>
      <w:r w:rsidRPr="001D6484">
        <w:rPr>
          <w:rFonts w:ascii="Times New Roman" w:hAnsi="Times New Roman" w:cs="Times New Roman"/>
          <w:i/>
          <w:color w:val="000000" w:themeColor="text1"/>
          <w:sz w:val="24"/>
          <w:szCs w:val="24"/>
        </w:rPr>
        <w:t>AgWeb</w:t>
      </w:r>
      <w:proofErr w:type="spellEnd"/>
      <w:r w:rsidRPr="001D6484">
        <w:rPr>
          <w:rFonts w:ascii="Times New Roman" w:hAnsi="Times New Roman" w:cs="Times New Roman"/>
          <w:color w:val="000000" w:themeColor="text1"/>
          <w:sz w:val="24"/>
          <w:szCs w:val="24"/>
        </w:rPr>
        <w:t xml:space="preserve">, October 20, 2015. </w:t>
      </w:r>
      <w:hyperlink r:id="rId25" w:history="1">
        <w:r w:rsidRPr="001D6484">
          <w:rPr>
            <w:rStyle w:val="Hyperlink"/>
            <w:rFonts w:ascii="Times New Roman" w:hAnsi="Times New Roman" w:cs="Times New Roman"/>
            <w:sz w:val="24"/>
            <w:szCs w:val="24"/>
          </w:rPr>
          <w:t>http://www.agweb.com/article/why-the-eus-gmo-vote-matters-to-farmers-naa-tanner-ehmke/</w:t>
        </w:r>
      </w:hyperlink>
      <w:r w:rsidRPr="001D6484">
        <w:rPr>
          <w:rFonts w:ascii="Times New Roman" w:hAnsi="Times New Roman" w:cs="Times New Roman"/>
          <w:color w:val="000000" w:themeColor="text1"/>
          <w:sz w:val="24"/>
          <w:szCs w:val="24"/>
        </w:rPr>
        <w:t xml:space="preserve"> </w:t>
      </w:r>
    </w:p>
    <w:p w14:paraId="4388DD9C" w14:textId="77777777" w:rsidR="001D6484" w:rsidRPr="001D6484" w:rsidRDefault="001D6484" w:rsidP="006F68C3">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lastRenderedPageBreak/>
        <w:t xml:space="preserve">EU Commission. “Better regulation for better results - An EU agenda.” Final communication from the commission to the European Parliament et al. May 19, 2015. </w:t>
      </w:r>
      <w:hyperlink r:id="rId26" w:history="1">
        <w:r w:rsidRPr="001D6484">
          <w:rPr>
            <w:rStyle w:val="Hyperlink"/>
            <w:rFonts w:ascii="Times New Roman" w:hAnsi="Times New Roman" w:cs="Times New Roman"/>
            <w:bCs/>
            <w:sz w:val="24"/>
            <w:szCs w:val="24"/>
          </w:rPr>
          <w:t>ec.europa.eu/smart-regulation/better_regulation/documents/com_2015_215_en.pdf</w:t>
        </w:r>
      </w:hyperlink>
      <w:r w:rsidRPr="001D6484">
        <w:rPr>
          <w:rFonts w:ascii="Times New Roman" w:hAnsi="Times New Roman" w:cs="Times New Roman"/>
          <w:bCs/>
          <w:sz w:val="24"/>
          <w:szCs w:val="24"/>
        </w:rPr>
        <w:t xml:space="preserve">   </w:t>
      </w:r>
    </w:p>
    <w:p w14:paraId="74AA92CB"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EUR-Lex</w:t>
      </w:r>
      <w:r w:rsidRPr="001D6484">
        <w:rPr>
          <w:rFonts w:ascii="Times New Roman" w:hAnsi="Times New Roman" w:cs="Times New Roman"/>
          <w:color w:val="000000" w:themeColor="text1"/>
          <w:sz w:val="24"/>
          <w:szCs w:val="24"/>
        </w:rPr>
        <w:t xml:space="preserve"> European Parliament Website. “The European Commission.” Retrieved November 11, 2018. </w:t>
      </w:r>
      <w:hyperlink r:id="rId27" w:history="1">
        <w:r w:rsidRPr="001D6484">
          <w:rPr>
            <w:rStyle w:val="Hyperlink"/>
            <w:rFonts w:ascii="Times New Roman" w:hAnsi="Times New Roman" w:cs="Times New Roman"/>
            <w:sz w:val="24"/>
            <w:szCs w:val="24"/>
          </w:rPr>
          <w:t>http://www.europarl.europa.eu/factsheets/en/sheet/25/the-european-commission</w:t>
        </w:r>
      </w:hyperlink>
      <w:r w:rsidRPr="001D6484">
        <w:rPr>
          <w:rFonts w:ascii="Times New Roman" w:hAnsi="Times New Roman" w:cs="Times New Roman"/>
          <w:color w:val="000000" w:themeColor="text1"/>
          <w:sz w:val="24"/>
          <w:szCs w:val="24"/>
        </w:rPr>
        <w:t xml:space="preserve"> </w:t>
      </w:r>
    </w:p>
    <w:p w14:paraId="4ECE6FE1" w14:textId="77777777" w:rsidR="001D6484" w:rsidRPr="001D6484" w:rsidRDefault="001D6484" w:rsidP="0076603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EUR-Lex. “Judgement of the Court–Case 120/78, ECLI:EU:C:1979:42.” European Court of Justice. Issued February 20, 1979. </w:t>
      </w:r>
      <w:hyperlink r:id="rId28" w:history="1">
        <w:r w:rsidRPr="001D6484">
          <w:rPr>
            <w:rStyle w:val="Hyperlink"/>
            <w:rFonts w:ascii="Times New Roman" w:hAnsi="Times New Roman" w:cs="Times New Roman"/>
            <w:sz w:val="24"/>
            <w:szCs w:val="24"/>
          </w:rPr>
          <w:t>https://eur-lex.europa.eu/legal-content/EN/TXT/?uri=CELEX%3A61978CJ0120</w:t>
        </w:r>
      </w:hyperlink>
      <w:r w:rsidRPr="001D6484">
        <w:rPr>
          <w:rFonts w:ascii="Times New Roman" w:hAnsi="Times New Roman" w:cs="Times New Roman"/>
          <w:sz w:val="24"/>
          <w:szCs w:val="24"/>
        </w:rPr>
        <w:t xml:space="preserve"> </w:t>
      </w:r>
    </w:p>
    <w:p w14:paraId="60A6E79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EUR-Lex. “</w:t>
      </w:r>
      <w:r w:rsidRPr="001D6484">
        <w:rPr>
          <w:rFonts w:ascii="Times New Roman" w:hAnsi="Times New Roman" w:cs="Times New Roman"/>
          <w:sz w:val="24"/>
          <w:szCs w:val="24"/>
        </w:rPr>
        <w:t xml:space="preserve">Proposal for a REGULATION OF THE EUROPEAN PARLIAMENT AND OF THE COUNCIL amending Regulation (EC) No 1829/2003 as regards the possibility for the Member States to restrict or prohibit the use of genetically modified food and feed on their territory” </w:t>
      </w:r>
      <w:r w:rsidRPr="001D6484">
        <w:rPr>
          <w:rFonts w:ascii="Times New Roman" w:hAnsi="Times New Roman" w:cs="Times New Roman"/>
          <w:color w:val="000000" w:themeColor="text1"/>
          <w:sz w:val="24"/>
          <w:szCs w:val="24"/>
        </w:rPr>
        <w:t xml:space="preserve">COM/2015/0177 final - 2015/0093 (COD). April 22, 2015. </w:t>
      </w:r>
      <w:hyperlink r:id="rId29" w:history="1">
        <w:r w:rsidRPr="001D6484">
          <w:rPr>
            <w:rStyle w:val="Hyperlink"/>
            <w:rFonts w:ascii="Times New Roman" w:hAnsi="Times New Roman" w:cs="Times New Roman"/>
            <w:sz w:val="24"/>
            <w:szCs w:val="24"/>
          </w:rPr>
          <w:t>https://eur-lex.europa.eu/legal-content/EN/TXT/?uri=celex:52015PC0177</w:t>
        </w:r>
      </w:hyperlink>
      <w:r w:rsidRPr="001D6484">
        <w:rPr>
          <w:rFonts w:ascii="Times New Roman" w:hAnsi="Times New Roman" w:cs="Times New Roman"/>
          <w:sz w:val="24"/>
          <w:szCs w:val="24"/>
        </w:rPr>
        <w:t xml:space="preserve"> </w:t>
      </w:r>
    </w:p>
    <w:p w14:paraId="7E0ECE4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Eurobarometer. “Biotechnology – Report.” </w:t>
      </w:r>
      <w:r w:rsidRPr="001D6484">
        <w:rPr>
          <w:rFonts w:ascii="Times New Roman" w:hAnsi="Times New Roman" w:cs="Times New Roman"/>
          <w:i/>
          <w:color w:val="000000" w:themeColor="text1"/>
          <w:sz w:val="24"/>
          <w:szCs w:val="24"/>
        </w:rPr>
        <w:t>Special Eurobarometer</w:t>
      </w:r>
      <w:r w:rsidRPr="001D6484">
        <w:rPr>
          <w:rFonts w:ascii="Times New Roman" w:hAnsi="Times New Roman" w:cs="Times New Roman"/>
          <w:color w:val="000000" w:themeColor="text1"/>
          <w:sz w:val="24"/>
          <w:szCs w:val="24"/>
        </w:rPr>
        <w:t xml:space="preserve"> 341 / Wave 73.1 – TNS Opinion &amp; Social. Eurobarometer Survey 73.1 of the European Parliament, 2010. </w:t>
      </w:r>
      <w:hyperlink r:id="rId30" w:history="1">
        <w:r w:rsidRPr="001D6484">
          <w:rPr>
            <w:rStyle w:val="Hyperlink"/>
            <w:rFonts w:ascii="Times New Roman" w:hAnsi="Times New Roman" w:cs="Times New Roman"/>
            <w:sz w:val="24"/>
            <w:szCs w:val="24"/>
          </w:rPr>
          <w:t xml:space="preserve">ec.europa.eu/commfrontoffice/publicopinion/archives/ebs/ebs_341_en.pdf </w:t>
        </w:r>
      </w:hyperlink>
      <w:r w:rsidRPr="001D6484">
        <w:rPr>
          <w:rFonts w:ascii="Times New Roman" w:hAnsi="Times New Roman" w:cs="Times New Roman"/>
          <w:sz w:val="24"/>
          <w:szCs w:val="24"/>
        </w:rPr>
        <w:t xml:space="preserve"> </w:t>
      </w:r>
    </w:p>
    <w:p w14:paraId="190BD4B5" w14:textId="77777777" w:rsidR="001D6484" w:rsidRPr="001D6484" w:rsidRDefault="001D6484" w:rsidP="008A4BFB">
      <w:pPr>
        <w:pStyle w:val="FootnoteText"/>
        <w:spacing w:before="240"/>
        <w:ind w:left="720" w:hanging="720"/>
        <w:rPr>
          <w:rFonts w:ascii="Times New Roman" w:hAnsi="Times New Roman" w:cs="Times New Roman"/>
          <w:sz w:val="24"/>
          <w:szCs w:val="24"/>
        </w:rPr>
      </w:pPr>
      <w:r w:rsidRPr="001D6484">
        <w:rPr>
          <w:rFonts w:ascii="Times New Roman" w:hAnsi="Times New Roman" w:cs="Times New Roman"/>
          <w:color w:val="000000" w:themeColor="text1"/>
          <w:sz w:val="24"/>
          <w:szCs w:val="24"/>
        </w:rPr>
        <w:t xml:space="preserve">Eurobarometer. “Democracy on the Move: European Elections – One Year to Go.” </w:t>
      </w:r>
      <w:r w:rsidRPr="001D6484">
        <w:rPr>
          <w:rFonts w:ascii="Times New Roman" w:hAnsi="Times New Roman" w:cs="Times New Roman"/>
          <w:i/>
          <w:color w:val="000000" w:themeColor="text1"/>
          <w:sz w:val="24"/>
          <w:szCs w:val="24"/>
        </w:rPr>
        <w:t>Eurobarometer Survey</w:t>
      </w:r>
      <w:r w:rsidRPr="001D6484">
        <w:rPr>
          <w:rFonts w:ascii="Times New Roman" w:hAnsi="Times New Roman" w:cs="Times New Roman"/>
          <w:color w:val="000000" w:themeColor="text1"/>
          <w:sz w:val="24"/>
          <w:szCs w:val="24"/>
        </w:rPr>
        <w:t xml:space="preserve"> 89.2 of the European Parliament, 2018. </w:t>
      </w:r>
      <w:hyperlink r:id="rId31" w:history="1">
        <w:r w:rsidRPr="001D6484">
          <w:rPr>
            <w:rStyle w:val="Hyperlink"/>
            <w:rFonts w:ascii="Times New Roman" w:hAnsi="Times New Roman" w:cs="Times New Roman"/>
            <w:sz w:val="24"/>
            <w:szCs w:val="24"/>
          </w:rPr>
          <w:t>http://www.europarl.europa.eu/pdf/eurobarometre/2018/oneyearbefore2019/eb89_one_year_before_2019_eurobarometer_en_opt.pdf</w:t>
        </w:r>
      </w:hyperlink>
      <w:r w:rsidRPr="001D6484">
        <w:rPr>
          <w:rFonts w:ascii="Times New Roman" w:hAnsi="Times New Roman" w:cs="Times New Roman"/>
          <w:sz w:val="24"/>
          <w:szCs w:val="24"/>
        </w:rPr>
        <w:t xml:space="preserve"> </w:t>
      </w:r>
    </w:p>
    <w:p w14:paraId="75EBDAAC" w14:textId="77777777" w:rsidR="001D6484" w:rsidRPr="001D6484" w:rsidRDefault="001D6484" w:rsidP="00A02734">
      <w:pPr>
        <w:pStyle w:val="FootnoteText"/>
        <w:spacing w:before="240"/>
        <w:rPr>
          <w:rFonts w:ascii="Times New Roman" w:hAnsi="Times New Roman" w:cs="Times New Roman"/>
          <w:sz w:val="24"/>
          <w:szCs w:val="24"/>
        </w:rPr>
      </w:pPr>
      <w:r w:rsidRPr="001D6484">
        <w:rPr>
          <w:rFonts w:ascii="Times New Roman" w:hAnsi="Times New Roman" w:cs="Times New Roman"/>
          <w:sz w:val="24"/>
          <w:szCs w:val="24"/>
        </w:rPr>
        <w:t xml:space="preserve">European Biotechnology. “European Biotechnology Science and Industry Guide.” </w:t>
      </w:r>
      <w:hyperlink r:id="rId32" w:history="1">
        <w:r w:rsidRPr="001D6484">
          <w:rPr>
            <w:rStyle w:val="Hyperlink"/>
            <w:rFonts w:ascii="Times New Roman" w:hAnsi="Times New Roman" w:cs="Times New Roman"/>
            <w:sz w:val="24"/>
            <w:szCs w:val="24"/>
          </w:rPr>
          <w:t>https://european-biotechnology.com/euro-guide-2019.html</w:t>
        </w:r>
      </w:hyperlink>
    </w:p>
    <w:p w14:paraId="7430FE27" w14:textId="77777777" w:rsidR="001D6484" w:rsidRPr="001D6484" w:rsidRDefault="001D6484" w:rsidP="008A4BFB">
      <w:pPr>
        <w:spacing w:before="240"/>
        <w:ind w:left="720" w:hanging="720"/>
        <w:rPr>
          <w:rFonts w:ascii="Times New Roman" w:hAnsi="Times New Roman" w:cs="Times New Roman"/>
          <w:sz w:val="24"/>
          <w:szCs w:val="24"/>
        </w:rPr>
      </w:pPr>
      <w:r w:rsidRPr="001D6484">
        <w:rPr>
          <w:rFonts w:ascii="Times New Roman" w:hAnsi="Times New Roman" w:cs="Times New Roman"/>
          <w:sz w:val="24"/>
          <w:szCs w:val="24"/>
        </w:rPr>
        <w:t xml:space="preserve">European Commission Health and Food Safety Directorate-General. “Summary Report of the Standing Committee on Plants, Animals, Food and Feed Held in Brussels On 27 March 2017.” March 27, 2017. </w:t>
      </w:r>
      <w:hyperlink r:id="rId33" w:history="1">
        <w:r w:rsidRPr="001D6484">
          <w:rPr>
            <w:rStyle w:val="Hyperlink"/>
            <w:rFonts w:ascii="Times New Roman" w:hAnsi="Times New Roman" w:cs="Times New Roman"/>
            <w:sz w:val="24"/>
            <w:szCs w:val="24"/>
          </w:rPr>
          <w:t>https://circabc.europa.eu/w/browse/8440f2ea-e2ad-4ce2-b520-d2f3b03f8c22</w:t>
        </w:r>
      </w:hyperlink>
      <w:r w:rsidRPr="001D6484">
        <w:rPr>
          <w:rFonts w:ascii="Times New Roman" w:hAnsi="Times New Roman" w:cs="Times New Roman"/>
          <w:sz w:val="24"/>
          <w:szCs w:val="24"/>
        </w:rPr>
        <w:t xml:space="preserve"> </w:t>
      </w:r>
    </w:p>
    <w:p w14:paraId="1693202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European Commission Health and Food Safety Directorate-General. “Summary Report of the Standing Committee on Plants, Animals, Food and Feed Held in Brussels On 17 March 2017.” January 17, 2017. </w:t>
      </w:r>
      <w:hyperlink r:id="rId34" w:history="1">
        <w:r w:rsidRPr="001D6484">
          <w:rPr>
            <w:rStyle w:val="Hyperlink"/>
            <w:rFonts w:ascii="Times New Roman" w:hAnsi="Times New Roman" w:cs="Times New Roman"/>
            <w:sz w:val="24"/>
            <w:szCs w:val="24"/>
          </w:rPr>
          <w:t>https://ec.europa.eu/food/sites/food/files/plant/.../sc_plant-health_20170126_sum.pdf</w:t>
        </w:r>
      </w:hyperlink>
      <w:r w:rsidRPr="001D6484">
        <w:rPr>
          <w:rFonts w:ascii="Times New Roman" w:hAnsi="Times New Roman" w:cs="Times New Roman"/>
          <w:sz w:val="24"/>
          <w:szCs w:val="24"/>
        </w:rPr>
        <w:t xml:space="preserve"> </w:t>
      </w:r>
    </w:p>
    <w:p w14:paraId="2545F128"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Commission Press Release. “Appointment of Chief Scientific Advisor.” Modified December 5, 2011. </w:t>
      </w:r>
      <w:hyperlink r:id="rId35" w:history="1">
        <w:r w:rsidRPr="001D6484">
          <w:rPr>
            <w:rStyle w:val="Hyperlink"/>
            <w:rFonts w:ascii="Times New Roman" w:hAnsi="Times New Roman" w:cs="Times New Roman"/>
            <w:sz w:val="24"/>
            <w:szCs w:val="24"/>
          </w:rPr>
          <w:t>http://europa.eu/rapid/press-release_IP-11-1497_en.htm</w:t>
        </w:r>
      </w:hyperlink>
      <w:r w:rsidRPr="001D6484">
        <w:rPr>
          <w:rStyle w:val="Hyperlink"/>
          <w:rFonts w:ascii="Times New Roman" w:hAnsi="Times New Roman" w:cs="Times New Roman"/>
          <w:color w:val="000000" w:themeColor="text1"/>
          <w:sz w:val="24"/>
          <w:szCs w:val="24"/>
        </w:rPr>
        <w:t xml:space="preserve">  </w:t>
      </w:r>
    </w:p>
    <w:p w14:paraId="074155B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Commission Press Release. “Comitology: Commission proposes more transparency and accountability in procedures for implementing EU law.” </w:t>
      </w:r>
      <w:r w:rsidRPr="001D6484">
        <w:rPr>
          <w:rStyle w:val="Hyperlink"/>
          <w:rFonts w:ascii="Times New Roman" w:hAnsi="Times New Roman" w:cs="Times New Roman"/>
          <w:color w:val="000000" w:themeColor="text1"/>
          <w:sz w:val="24"/>
          <w:szCs w:val="24"/>
          <w:u w:val="none"/>
        </w:rPr>
        <w:t>Retrieved November 6, 2018</w:t>
      </w:r>
      <w:r w:rsidRPr="001D6484">
        <w:rPr>
          <w:rFonts w:ascii="Times New Roman" w:hAnsi="Times New Roman" w:cs="Times New Roman"/>
          <w:color w:val="000000" w:themeColor="text1"/>
          <w:sz w:val="24"/>
          <w:szCs w:val="24"/>
        </w:rPr>
        <w:t xml:space="preserve">. </w:t>
      </w:r>
      <w:hyperlink r:id="rId36" w:history="1">
        <w:r w:rsidRPr="001D6484">
          <w:rPr>
            <w:rStyle w:val="Hyperlink"/>
            <w:rFonts w:ascii="Times New Roman" w:hAnsi="Times New Roman" w:cs="Times New Roman"/>
            <w:sz w:val="24"/>
            <w:szCs w:val="24"/>
          </w:rPr>
          <w:t>http://europa.eu/rapid/press-release_IP-17-264_en.htm</w:t>
        </w:r>
      </w:hyperlink>
      <w:r w:rsidRPr="001D6484">
        <w:rPr>
          <w:rStyle w:val="Hyperlink"/>
          <w:rFonts w:ascii="Times New Roman" w:hAnsi="Times New Roman" w:cs="Times New Roman"/>
          <w:color w:val="000000" w:themeColor="text1"/>
          <w:sz w:val="24"/>
          <w:szCs w:val="24"/>
        </w:rPr>
        <w:t xml:space="preserve"> </w:t>
      </w:r>
    </w:p>
    <w:p w14:paraId="7081FA36" w14:textId="77777777" w:rsidR="001D6484" w:rsidRPr="001D6484" w:rsidRDefault="001D6484" w:rsidP="008A4BFB">
      <w:pPr>
        <w:spacing w:before="240"/>
        <w:ind w:left="720" w:hanging="720"/>
        <w:rPr>
          <w:rFonts w:ascii="Times New Roman" w:hAnsi="Times New Roman" w:cs="Times New Roman"/>
          <w:sz w:val="24"/>
          <w:szCs w:val="24"/>
        </w:rPr>
      </w:pPr>
      <w:r w:rsidRPr="001D6484">
        <w:rPr>
          <w:rFonts w:ascii="Times New Roman" w:hAnsi="Times New Roman" w:cs="Times New Roman"/>
          <w:color w:val="000000" w:themeColor="text1"/>
          <w:sz w:val="24"/>
          <w:szCs w:val="24"/>
        </w:rPr>
        <w:lastRenderedPageBreak/>
        <w:t>European Commission Press Release. “Relocation and Resettlement: EU Member States Urgently Need to Deliver.” Brussels, March 16, 2016.</w:t>
      </w:r>
      <w:r w:rsidRPr="001D6484">
        <w:rPr>
          <w:rFonts w:ascii="Times New Roman" w:hAnsi="Times New Roman" w:cs="Times New Roman"/>
          <w:sz w:val="24"/>
          <w:szCs w:val="24"/>
        </w:rPr>
        <w:t xml:space="preserve"> </w:t>
      </w:r>
      <w:hyperlink r:id="rId37" w:history="1">
        <w:r w:rsidRPr="001D6484">
          <w:rPr>
            <w:rStyle w:val="Hyperlink"/>
            <w:rFonts w:ascii="Times New Roman" w:hAnsi="Times New Roman" w:cs="Times New Roman"/>
            <w:sz w:val="24"/>
            <w:szCs w:val="24"/>
          </w:rPr>
          <w:t>http://europa.eu/rapid/press-release_IP-16-829_en.htm</w:t>
        </w:r>
      </w:hyperlink>
      <w:r w:rsidRPr="001D6484">
        <w:rPr>
          <w:rFonts w:ascii="Times New Roman" w:hAnsi="Times New Roman" w:cs="Times New Roman"/>
          <w:sz w:val="24"/>
          <w:szCs w:val="24"/>
        </w:rPr>
        <w:t xml:space="preserve"> </w:t>
      </w:r>
    </w:p>
    <w:p w14:paraId="4568D451" w14:textId="77777777" w:rsidR="001D6484" w:rsidRPr="001D6484" w:rsidRDefault="001D6484" w:rsidP="00A02734">
      <w:pPr>
        <w:pStyle w:val="FootnoteText"/>
        <w:rPr>
          <w:rFonts w:ascii="Times New Roman" w:hAnsi="Times New Roman" w:cs="Times New Roman"/>
          <w:sz w:val="24"/>
          <w:szCs w:val="24"/>
        </w:rPr>
      </w:pPr>
      <w:r w:rsidRPr="001D6484">
        <w:rPr>
          <w:rFonts w:ascii="Times New Roman" w:hAnsi="Times New Roman" w:cs="Times New Roman"/>
          <w:sz w:val="24"/>
          <w:szCs w:val="24"/>
        </w:rPr>
        <w:t xml:space="preserve">European Commission.  “Key Enabling Technologies.” </w:t>
      </w:r>
      <w:hyperlink r:id="rId38" w:history="1">
        <w:r w:rsidRPr="001D6484">
          <w:rPr>
            <w:rStyle w:val="Hyperlink"/>
            <w:rFonts w:ascii="Times New Roman" w:hAnsi="Times New Roman" w:cs="Times New Roman"/>
            <w:sz w:val="24"/>
            <w:szCs w:val="24"/>
          </w:rPr>
          <w:t>http://ec.europa.eu/programmes/horizon2020/en/area/key-enabling-technologies</w:t>
        </w:r>
      </w:hyperlink>
      <w:r w:rsidRPr="001D6484">
        <w:rPr>
          <w:rFonts w:ascii="Times New Roman" w:hAnsi="Times New Roman" w:cs="Times New Roman"/>
          <w:sz w:val="24"/>
          <w:szCs w:val="24"/>
        </w:rPr>
        <w:t>.</w:t>
      </w:r>
    </w:p>
    <w:p w14:paraId="61A5F413" w14:textId="77777777" w:rsidR="001D6484" w:rsidRPr="001D6484" w:rsidRDefault="001D6484" w:rsidP="008A4BFB">
      <w:pPr>
        <w:pStyle w:val="FootnoteText"/>
        <w:spacing w:before="240"/>
        <w:ind w:left="720" w:hanging="720"/>
        <w:rPr>
          <w:rFonts w:ascii="Times New Roman" w:hAnsi="Times New Roman" w:cs="Times New Roman"/>
          <w:sz w:val="24"/>
          <w:szCs w:val="24"/>
        </w:rPr>
      </w:pPr>
      <w:r w:rsidRPr="001D6484">
        <w:rPr>
          <w:rFonts w:ascii="Times New Roman" w:hAnsi="Times New Roman" w:cs="Times New Roman"/>
          <w:color w:val="000000" w:themeColor="text1"/>
          <w:sz w:val="24"/>
          <w:szCs w:val="24"/>
        </w:rPr>
        <w:t xml:space="preserve">European Commission. “Comitology Procedure Reforms: Questions &amp; Answers.” Uploaded February 14, 2017. </w:t>
      </w:r>
      <w:hyperlink r:id="rId39" w:history="1">
        <w:r w:rsidRPr="001D6484">
          <w:rPr>
            <w:rStyle w:val="Hyperlink"/>
            <w:rFonts w:ascii="Times New Roman" w:hAnsi="Times New Roman" w:cs="Times New Roman"/>
            <w:sz w:val="24"/>
            <w:szCs w:val="24"/>
          </w:rPr>
          <w:t>http://europa.eu/rapid/press-release_MEMO-17-273_en.htm</w:t>
        </w:r>
      </w:hyperlink>
      <w:r w:rsidRPr="001D6484">
        <w:rPr>
          <w:rFonts w:ascii="Times New Roman" w:hAnsi="Times New Roman" w:cs="Times New Roman"/>
          <w:sz w:val="24"/>
          <w:szCs w:val="24"/>
        </w:rPr>
        <w:t xml:space="preserve"> </w:t>
      </w:r>
    </w:p>
    <w:p w14:paraId="3691762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European Commission. “Comitology.” Retrieved November 2018. </w:t>
      </w:r>
      <w:hyperlink r:id="rId40" w:history="1">
        <w:r w:rsidRPr="001D6484">
          <w:rPr>
            <w:rStyle w:val="Hyperlink"/>
            <w:rFonts w:ascii="Times New Roman" w:hAnsi="Times New Roman" w:cs="Times New Roman"/>
            <w:sz w:val="24"/>
            <w:szCs w:val="24"/>
          </w:rPr>
          <w:t>https://ec.europa.eu/info/implementing-and-delegated-acts/comitology_en</w:t>
        </w:r>
      </w:hyperlink>
      <w:r w:rsidRPr="001D6484">
        <w:rPr>
          <w:rFonts w:ascii="Times New Roman" w:hAnsi="Times New Roman" w:cs="Times New Roman"/>
          <w:sz w:val="24"/>
          <w:szCs w:val="24"/>
        </w:rPr>
        <w:t>.</w:t>
      </w:r>
    </w:p>
    <w:p w14:paraId="056DF28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Commission. </w:t>
      </w:r>
      <w:r w:rsidRPr="001D6484">
        <w:rPr>
          <w:rFonts w:ascii="Times New Roman" w:hAnsi="Times New Roman" w:cs="Times New Roman"/>
          <w:sz w:val="24"/>
          <w:szCs w:val="24"/>
        </w:rPr>
        <w:t xml:space="preserve">“European Commission – Daily News 04/07/2017.” </w:t>
      </w:r>
      <w:r w:rsidRPr="001D6484">
        <w:rPr>
          <w:rFonts w:ascii="Times New Roman" w:hAnsi="Times New Roman" w:cs="Times New Roman"/>
          <w:i/>
          <w:sz w:val="24"/>
          <w:szCs w:val="24"/>
        </w:rPr>
        <w:t>European</w:t>
      </w:r>
      <w:r w:rsidRPr="001D6484">
        <w:rPr>
          <w:rFonts w:ascii="Times New Roman" w:hAnsi="Times New Roman" w:cs="Times New Roman"/>
          <w:sz w:val="24"/>
          <w:szCs w:val="24"/>
        </w:rPr>
        <w:t xml:space="preserve"> </w:t>
      </w:r>
      <w:r w:rsidRPr="001D6484">
        <w:rPr>
          <w:rFonts w:ascii="Times New Roman" w:hAnsi="Times New Roman" w:cs="Times New Roman"/>
          <w:i/>
          <w:color w:val="000000" w:themeColor="text1"/>
          <w:sz w:val="24"/>
          <w:szCs w:val="24"/>
        </w:rPr>
        <w:t>Commission Daily News</w:t>
      </w:r>
      <w:r w:rsidRPr="001D6484">
        <w:rPr>
          <w:rFonts w:ascii="Times New Roman" w:hAnsi="Times New Roman" w:cs="Times New Roman"/>
          <w:color w:val="000000" w:themeColor="text1"/>
          <w:sz w:val="24"/>
          <w:szCs w:val="24"/>
        </w:rPr>
        <w:t>. July 4, 2017.</w:t>
      </w:r>
      <w:r w:rsidRPr="001D6484">
        <w:rPr>
          <w:rFonts w:ascii="Times New Roman" w:hAnsi="Times New Roman" w:cs="Times New Roman"/>
          <w:sz w:val="24"/>
          <w:szCs w:val="24"/>
        </w:rPr>
        <w:t xml:space="preserve"> </w:t>
      </w:r>
      <w:hyperlink r:id="rId41" w:history="1">
        <w:r w:rsidRPr="001D6484">
          <w:rPr>
            <w:rStyle w:val="Hyperlink"/>
            <w:rFonts w:ascii="Times New Roman" w:hAnsi="Times New Roman" w:cs="Times New Roman"/>
            <w:sz w:val="24"/>
            <w:szCs w:val="24"/>
          </w:rPr>
          <w:t>http://europa.eu/rapid/press-release_MEX-17-1908_en.htm</w:t>
        </w:r>
      </w:hyperlink>
      <w:r w:rsidRPr="001D6484">
        <w:rPr>
          <w:rFonts w:ascii="Times New Roman" w:hAnsi="Times New Roman" w:cs="Times New Roman"/>
          <w:sz w:val="24"/>
          <w:szCs w:val="24"/>
        </w:rPr>
        <w:t xml:space="preserve"> </w:t>
      </w:r>
    </w:p>
    <w:p w14:paraId="65FD3E3D" w14:textId="77777777" w:rsidR="001D6484" w:rsidRPr="001D6484" w:rsidRDefault="001D6484" w:rsidP="00313C1D">
      <w:pPr>
        <w:spacing w:before="240"/>
        <w:ind w:left="720" w:hanging="720"/>
        <w:rPr>
          <w:rFonts w:ascii="Times New Roman" w:hAnsi="Times New Roman" w:cs="Times New Roman"/>
          <w:sz w:val="24"/>
          <w:szCs w:val="24"/>
        </w:rPr>
      </w:pPr>
      <w:r w:rsidRPr="001D6484">
        <w:rPr>
          <w:rFonts w:ascii="Times New Roman" w:hAnsi="Times New Roman" w:cs="Times New Roman"/>
          <w:color w:val="000000" w:themeColor="text1"/>
          <w:sz w:val="24"/>
          <w:szCs w:val="24"/>
        </w:rPr>
        <w:t xml:space="preserve">European Commission. </w:t>
      </w:r>
      <w:r w:rsidRPr="001D6484">
        <w:rPr>
          <w:rFonts w:ascii="Times New Roman" w:hAnsi="Times New Roman" w:cs="Times New Roman"/>
          <w:sz w:val="24"/>
          <w:szCs w:val="24"/>
        </w:rPr>
        <w:t xml:space="preserve">“European Commission – Daily News 12 / 22 / 2017,” </w:t>
      </w:r>
      <w:r w:rsidRPr="001D6484">
        <w:rPr>
          <w:rFonts w:ascii="Times New Roman" w:hAnsi="Times New Roman" w:cs="Times New Roman"/>
          <w:i/>
          <w:sz w:val="24"/>
          <w:szCs w:val="24"/>
        </w:rPr>
        <w:t>European Commission Daily News</w:t>
      </w:r>
      <w:r w:rsidRPr="001D6484">
        <w:rPr>
          <w:rFonts w:ascii="Times New Roman" w:hAnsi="Times New Roman" w:cs="Times New Roman"/>
          <w:sz w:val="24"/>
          <w:szCs w:val="24"/>
        </w:rPr>
        <w:t xml:space="preserve">. December 22, 2017. </w:t>
      </w:r>
      <w:hyperlink r:id="rId42" w:history="1">
        <w:r w:rsidRPr="001D6484">
          <w:rPr>
            <w:rStyle w:val="Hyperlink"/>
            <w:rFonts w:ascii="Times New Roman" w:hAnsi="Times New Roman" w:cs="Times New Roman"/>
            <w:sz w:val="24"/>
            <w:szCs w:val="24"/>
          </w:rPr>
          <w:t>http://europa.eu/rapid/press-release_MEX-17-5421_en.htm</w:t>
        </w:r>
      </w:hyperlink>
      <w:r w:rsidRPr="001D6484">
        <w:rPr>
          <w:rFonts w:ascii="Times New Roman" w:hAnsi="Times New Roman" w:cs="Times New Roman"/>
          <w:sz w:val="24"/>
          <w:szCs w:val="24"/>
        </w:rPr>
        <w:t xml:space="preserve"> </w:t>
      </w:r>
    </w:p>
    <w:p w14:paraId="3F49A245" w14:textId="77777777" w:rsidR="001D6484" w:rsidRPr="001D6484" w:rsidRDefault="001D6484" w:rsidP="008A4BFB">
      <w:pPr>
        <w:pStyle w:val="FootnoteText"/>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Commission. “GMOs: EU Decision-making process explained.” Accessed November 21, 2018. </w:t>
      </w:r>
      <w:hyperlink r:id="rId43" w:history="1">
        <w:r w:rsidRPr="001D6484">
          <w:rPr>
            <w:rStyle w:val="Hyperlink"/>
            <w:rFonts w:ascii="Times New Roman" w:hAnsi="Times New Roman" w:cs="Times New Roman"/>
            <w:sz w:val="24"/>
            <w:szCs w:val="24"/>
          </w:rPr>
          <w:t>https://ec.europa.eu/food/plant/gmo/authorisation/decision_making_process_en</w:t>
        </w:r>
      </w:hyperlink>
      <w:r w:rsidRPr="001D6484">
        <w:rPr>
          <w:rFonts w:ascii="Times New Roman" w:hAnsi="Times New Roman" w:cs="Times New Roman"/>
          <w:color w:val="000000" w:themeColor="text1"/>
          <w:sz w:val="24"/>
          <w:szCs w:val="24"/>
        </w:rPr>
        <w:t xml:space="preserve"> </w:t>
      </w:r>
    </w:p>
    <w:p w14:paraId="06E3116E"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Commission. “Temporary Reintroduction of Border Controls.” Last Updated August 9, 2018. </w:t>
      </w:r>
      <w:hyperlink r:id="rId44" w:history="1">
        <w:r w:rsidRPr="001D6484">
          <w:rPr>
            <w:rStyle w:val="Hyperlink"/>
            <w:rFonts w:ascii="Times New Roman" w:hAnsi="Times New Roman" w:cs="Times New Roman"/>
            <w:sz w:val="24"/>
            <w:szCs w:val="24"/>
          </w:rPr>
          <w:t>https://ec.europa.eu/home-affairs/what-we-do/policies/borders-and-visas/schengen/reintroduction-border-control_en.htm</w:t>
        </w:r>
      </w:hyperlink>
      <w:r w:rsidRPr="001D6484">
        <w:rPr>
          <w:rStyle w:val="Hyperlink"/>
          <w:rFonts w:ascii="Times New Roman" w:hAnsi="Times New Roman" w:cs="Times New Roman"/>
          <w:color w:val="000000" w:themeColor="text1"/>
          <w:sz w:val="24"/>
          <w:szCs w:val="24"/>
        </w:rPr>
        <w:t xml:space="preserve">  </w:t>
      </w:r>
    </w:p>
    <w:p w14:paraId="50204CB3" w14:textId="77777777" w:rsidR="001D6484" w:rsidRPr="001D6484" w:rsidRDefault="001D6484" w:rsidP="008A4BFB">
      <w:pPr>
        <w:spacing w:before="240"/>
        <w:ind w:left="720" w:hanging="720"/>
        <w:rPr>
          <w:rStyle w:val="Hyperlink"/>
          <w:rFonts w:ascii="Times New Roman" w:hAnsi="Times New Roman" w:cs="Times New Roman"/>
          <w:sz w:val="24"/>
          <w:szCs w:val="24"/>
        </w:rPr>
      </w:pPr>
      <w:r w:rsidRPr="001D6484">
        <w:rPr>
          <w:rFonts w:ascii="Times New Roman" w:hAnsi="Times New Roman" w:cs="Times New Roman"/>
          <w:color w:val="000000" w:themeColor="text1"/>
          <w:sz w:val="24"/>
          <w:szCs w:val="24"/>
        </w:rPr>
        <w:t xml:space="preserve">European Court of Justice. “Judgement of the Court. Case C-111/16. September 13, 2017.” European Court of Justice. Issued September 13, 2017. </w:t>
      </w:r>
      <w:hyperlink r:id="rId45" w:history="1">
        <w:r w:rsidRPr="001D6484">
          <w:rPr>
            <w:rStyle w:val="Hyperlink"/>
            <w:rFonts w:ascii="Times New Roman" w:hAnsi="Times New Roman" w:cs="Times New Roman"/>
            <w:sz w:val="24"/>
            <w:szCs w:val="24"/>
          </w:rPr>
          <w:t>http://curia.europa.eu/juris/document/document_print.jsf;jsessionid=9ea7d2dc30d692a45d3ac71e48c3834cb31c14de1ec4.e34KaxiLc3qMb40Rch0SaxyMbxj0?doclang=EN&amp;text=&amp;pageIndex=0&amp;part=1&amp;mode=DOC&amp;docid=194406&amp;occ=first&amp;dir=&amp;cid=230658</w:t>
        </w:r>
      </w:hyperlink>
    </w:p>
    <w:p w14:paraId="022B6186"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Parliament. “Free movement of goods.” October 2018. </w:t>
      </w:r>
      <w:hyperlink r:id="rId46" w:history="1">
        <w:r w:rsidRPr="001D6484">
          <w:rPr>
            <w:rStyle w:val="Hyperlink"/>
            <w:rFonts w:ascii="Times New Roman" w:hAnsi="Times New Roman" w:cs="Times New Roman"/>
            <w:sz w:val="24"/>
            <w:szCs w:val="24"/>
          </w:rPr>
          <w:t>http://www.europarl.europa.eu/factsheets/en/sheet/38/free-movement-of-goods</w:t>
        </w:r>
      </w:hyperlink>
      <w:r w:rsidRPr="001D6484">
        <w:rPr>
          <w:rFonts w:ascii="Times New Roman" w:hAnsi="Times New Roman" w:cs="Times New Roman"/>
          <w:color w:val="000000" w:themeColor="text1"/>
          <w:sz w:val="24"/>
          <w:szCs w:val="24"/>
        </w:rPr>
        <w:t xml:space="preserve"> </w:t>
      </w:r>
    </w:p>
    <w:p w14:paraId="5548F3C5" w14:textId="77777777" w:rsidR="001D6484" w:rsidRPr="001D6484" w:rsidRDefault="001D6484" w:rsidP="006F68C3">
      <w:pPr>
        <w:spacing w:before="240"/>
        <w:ind w:left="720" w:hanging="720"/>
        <w:rPr>
          <w:rStyle w:val="Hyperlink"/>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Parliament. “Parliament rejects national GMO bans proposal.” Released October 22, 2015. </w:t>
      </w:r>
      <w:hyperlink r:id="rId47" w:history="1">
        <w:r w:rsidRPr="001D6484">
          <w:rPr>
            <w:rStyle w:val="Hyperlink"/>
            <w:rFonts w:ascii="Times New Roman" w:hAnsi="Times New Roman" w:cs="Times New Roman"/>
            <w:sz w:val="24"/>
            <w:szCs w:val="24"/>
          </w:rPr>
          <w:t>http://www.europarl.europa.eu/news/en/press-room/20151022IPR98805/parliament-rejects-national-gmo-bans-proposal</w:t>
        </w:r>
      </w:hyperlink>
      <w:r w:rsidRPr="001D6484">
        <w:rPr>
          <w:rStyle w:val="Hyperlink"/>
          <w:rFonts w:ascii="Times New Roman" w:hAnsi="Times New Roman" w:cs="Times New Roman"/>
          <w:color w:val="000000" w:themeColor="text1"/>
          <w:sz w:val="24"/>
          <w:szCs w:val="24"/>
        </w:rPr>
        <w:t xml:space="preserve"> </w:t>
      </w:r>
    </w:p>
    <w:p w14:paraId="6ABCBF35" w14:textId="77777777" w:rsidR="001D6484" w:rsidRPr="001D6484" w:rsidRDefault="001D6484" w:rsidP="006F68C3">
      <w:pPr>
        <w:spacing w:before="240"/>
        <w:ind w:left="720" w:hanging="720"/>
        <w:rPr>
          <w:rFonts w:ascii="Times New Roman" w:hAnsi="Times New Roman" w:cs="Times New Roman"/>
          <w:color w:val="000000" w:themeColor="text1"/>
          <w:sz w:val="24"/>
          <w:szCs w:val="24"/>
          <w:u w:val="single"/>
        </w:rPr>
      </w:pPr>
      <w:r w:rsidRPr="001D6484">
        <w:rPr>
          <w:rFonts w:ascii="Times New Roman" w:hAnsi="Times New Roman" w:cs="Times New Roman"/>
          <w:color w:val="000000" w:themeColor="text1"/>
          <w:sz w:val="24"/>
          <w:szCs w:val="24"/>
        </w:rPr>
        <w:t xml:space="preserve">European Parliament. “Technopolis Report” (IP/A/STOA/FWC/2008-096/LOT8/C1). Released April 2014. </w:t>
      </w:r>
      <w:hyperlink r:id="rId48" w:history="1">
        <w:r w:rsidRPr="001D6484">
          <w:rPr>
            <w:rStyle w:val="Hyperlink"/>
            <w:rFonts w:ascii="Times New Roman" w:hAnsi="Times New Roman" w:cs="Times New Roman"/>
            <w:sz w:val="24"/>
            <w:szCs w:val="24"/>
          </w:rPr>
          <w:t>http://www.europarl.europa.eu/RegData/etudes/etudes/join/2012/488798/IPOL-JOIN_ET(2012)488798_EN.pdf</w:t>
        </w:r>
      </w:hyperlink>
      <w:r w:rsidRPr="001D6484">
        <w:rPr>
          <w:rFonts w:ascii="Times New Roman" w:hAnsi="Times New Roman" w:cs="Times New Roman"/>
          <w:sz w:val="24"/>
          <w:szCs w:val="24"/>
        </w:rPr>
        <w:t xml:space="preserve"> </w:t>
      </w:r>
    </w:p>
    <w:p w14:paraId="660041A6" w14:textId="77777777" w:rsidR="001D6484" w:rsidRPr="001D6484" w:rsidRDefault="001D6484" w:rsidP="008A4BFB">
      <w:pPr>
        <w:spacing w:before="240"/>
        <w:ind w:left="720" w:hanging="720"/>
        <w:rPr>
          <w:rStyle w:val="Hyperlink"/>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Parliament. “The Principle of Subsidiarity.” </w:t>
      </w:r>
      <w:r w:rsidRPr="001D6484">
        <w:rPr>
          <w:rStyle w:val="Hyperlink"/>
          <w:rFonts w:ascii="Times New Roman" w:hAnsi="Times New Roman" w:cs="Times New Roman"/>
          <w:color w:val="000000" w:themeColor="text1"/>
          <w:sz w:val="24"/>
          <w:szCs w:val="24"/>
          <w:u w:val="none"/>
        </w:rPr>
        <w:t xml:space="preserve">Retrieved November 6, 2018. </w:t>
      </w:r>
      <w:hyperlink r:id="rId49" w:history="1">
        <w:r w:rsidRPr="001D6484">
          <w:rPr>
            <w:rStyle w:val="Hyperlink"/>
            <w:rFonts w:ascii="Times New Roman" w:hAnsi="Times New Roman" w:cs="Times New Roman"/>
            <w:sz w:val="24"/>
            <w:szCs w:val="24"/>
          </w:rPr>
          <w:t>http://www.europarl.europa.eu/factsheets/en/sheet/7/the-principle-of-subsidiarity</w:t>
        </w:r>
      </w:hyperlink>
      <w:r w:rsidRPr="001D6484">
        <w:rPr>
          <w:rStyle w:val="Hyperlink"/>
          <w:rFonts w:ascii="Times New Roman" w:hAnsi="Times New Roman" w:cs="Times New Roman"/>
          <w:color w:val="000000" w:themeColor="text1"/>
          <w:sz w:val="24"/>
          <w:szCs w:val="24"/>
        </w:rPr>
        <w:t xml:space="preserve">  </w:t>
      </w:r>
    </w:p>
    <w:p w14:paraId="32E35EA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lastRenderedPageBreak/>
        <w:t xml:space="preserve">European Union Website. “European Commission.” Retrieved November 5, 2018. </w:t>
      </w:r>
      <w:hyperlink r:id="rId50" w:history="1">
        <w:r w:rsidRPr="001D6484">
          <w:rPr>
            <w:rStyle w:val="Hyperlink"/>
            <w:rFonts w:ascii="Times New Roman" w:hAnsi="Times New Roman" w:cs="Times New Roman"/>
            <w:sz w:val="24"/>
            <w:szCs w:val="24"/>
          </w:rPr>
          <w:t>https://europa.eu/european-union/about-eu/institutions-bodies/european-commission_en</w:t>
        </w:r>
      </w:hyperlink>
      <w:r w:rsidRPr="001D6484">
        <w:rPr>
          <w:rFonts w:ascii="Times New Roman" w:hAnsi="Times New Roman" w:cs="Times New Roman"/>
          <w:color w:val="000000" w:themeColor="text1"/>
          <w:sz w:val="24"/>
          <w:szCs w:val="24"/>
        </w:rPr>
        <w:t xml:space="preserve"> </w:t>
      </w:r>
    </w:p>
    <w:p w14:paraId="57B26B2E"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European Union Website. “European Council.” Retrieved November 5, 2018. </w:t>
      </w:r>
      <w:hyperlink r:id="rId51" w:history="1">
        <w:r w:rsidRPr="001D6484">
          <w:rPr>
            <w:rStyle w:val="Hyperlink"/>
            <w:rFonts w:ascii="Times New Roman" w:hAnsi="Times New Roman" w:cs="Times New Roman"/>
            <w:sz w:val="24"/>
            <w:szCs w:val="24"/>
          </w:rPr>
          <w:t>https://europa.eu/european-union/about-eu/institutions-bodies/european-council_en</w:t>
        </w:r>
      </w:hyperlink>
    </w:p>
    <w:p w14:paraId="72C6A6FD" w14:textId="77777777" w:rsidR="001D6484" w:rsidRPr="001D6484" w:rsidRDefault="001D6484" w:rsidP="00A50C64">
      <w:pPr>
        <w:spacing w:before="240"/>
        <w:ind w:left="720" w:hanging="720"/>
        <w:rPr>
          <w:rFonts w:ascii="Times New Roman" w:hAnsi="Times New Roman" w:cs="Times New Roman"/>
          <w:sz w:val="24"/>
          <w:szCs w:val="24"/>
        </w:rPr>
      </w:pPr>
      <w:r w:rsidRPr="001D6484">
        <w:rPr>
          <w:rFonts w:ascii="Times New Roman" w:hAnsi="Times New Roman" w:cs="Times New Roman"/>
          <w:color w:val="000000" w:themeColor="text1"/>
          <w:sz w:val="24"/>
          <w:szCs w:val="24"/>
        </w:rPr>
        <w:t xml:space="preserve">European Union. “DIRECTIVE (EU) 2015/412 OF THE EUROPEAN PARLIAMENT AND OF THE COUNCIL of 11 March 2015.” Official Journal of the European Union, 68 no. 1 (March </w:t>
      </w:r>
      <w:proofErr w:type="gramStart"/>
      <w:r w:rsidRPr="001D6484">
        <w:rPr>
          <w:rFonts w:ascii="Times New Roman" w:hAnsi="Times New Roman" w:cs="Times New Roman"/>
          <w:color w:val="000000" w:themeColor="text1"/>
          <w:sz w:val="24"/>
          <w:szCs w:val="24"/>
        </w:rPr>
        <w:t>13</w:t>
      </w:r>
      <w:proofErr w:type="gramEnd"/>
      <w:r w:rsidRPr="001D6484">
        <w:rPr>
          <w:rFonts w:ascii="Times New Roman" w:hAnsi="Times New Roman" w:cs="Times New Roman"/>
          <w:color w:val="000000" w:themeColor="text1"/>
          <w:sz w:val="24"/>
          <w:szCs w:val="24"/>
        </w:rPr>
        <w:t xml:space="preserve"> 2015). </w:t>
      </w:r>
      <w:hyperlink r:id="rId52" w:history="1">
        <w:r w:rsidRPr="001D6484">
          <w:rPr>
            <w:rFonts w:ascii="Times New Roman" w:hAnsi="Times New Roman" w:cs="Times New Roman"/>
            <w:color w:val="000000" w:themeColor="text1"/>
            <w:sz w:val="24"/>
            <w:szCs w:val="24"/>
          </w:rPr>
          <w:t>https://eur-lex.europa.eu/legal-content/EN/TXT/PDF/?uri=CELEX:32015L0412&amp;from=EN</w:t>
        </w:r>
      </w:hyperlink>
      <w:r w:rsidRPr="001D6484">
        <w:rPr>
          <w:rFonts w:ascii="Times New Roman" w:hAnsi="Times New Roman" w:cs="Times New Roman"/>
          <w:sz w:val="24"/>
          <w:szCs w:val="24"/>
        </w:rPr>
        <w:t xml:space="preserve"> </w:t>
      </w:r>
    </w:p>
    <w:p w14:paraId="4A012B9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Eurostat. “Graduates by education level, </w:t>
      </w:r>
      <w:proofErr w:type="spellStart"/>
      <w:r w:rsidRPr="001D6484">
        <w:rPr>
          <w:rFonts w:ascii="Times New Roman" w:hAnsi="Times New Roman" w:cs="Times New Roman"/>
          <w:color w:val="000000" w:themeColor="text1"/>
          <w:sz w:val="24"/>
          <w:szCs w:val="24"/>
        </w:rPr>
        <w:t>programme</w:t>
      </w:r>
      <w:proofErr w:type="spellEnd"/>
      <w:r w:rsidRPr="001D6484">
        <w:rPr>
          <w:rFonts w:ascii="Times New Roman" w:hAnsi="Times New Roman" w:cs="Times New Roman"/>
          <w:color w:val="000000" w:themeColor="text1"/>
          <w:sz w:val="24"/>
          <w:szCs w:val="24"/>
        </w:rPr>
        <w:t xml:space="preserve"> orientation, sex and field of education[educ_uoe_grad02].” Last Updated August 15, 2018. </w:t>
      </w:r>
      <w:hyperlink r:id="rId53" w:history="1">
        <w:r w:rsidRPr="001D6484">
          <w:rPr>
            <w:rStyle w:val="Hyperlink"/>
            <w:rFonts w:ascii="Times New Roman" w:hAnsi="Times New Roman" w:cs="Times New Roman"/>
            <w:sz w:val="24"/>
            <w:szCs w:val="24"/>
          </w:rPr>
          <w:t>https://ec.europa.eu/eurostat/web/education-and-training/data/database</w:t>
        </w:r>
      </w:hyperlink>
      <w:r w:rsidRPr="001D6484">
        <w:rPr>
          <w:rFonts w:ascii="Times New Roman" w:hAnsi="Times New Roman" w:cs="Times New Roman"/>
          <w:sz w:val="24"/>
          <w:szCs w:val="24"/>
        </w:rPr>
        <w:t xml:space="preserve"> </w:t>
      </w:r>
    </w:p>
    <w:p w14:paraId="29F277CE" w14:textId="77777777" w:rsidR="001D6484" w:rsidRPr="001D6484" w:rsidRDefault="001D6484" w:rsidP="005D7C12">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Fijnaut</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Cyrille</w:t>
      </w:r>
      <w:proofErr w:type="spellEnd"/>
      <w:r w:rsidRPr="001D6484">
        <w:rPr>
          <w:rFonts w:ascii="Times New Roman" w:hAnsi="Times New Roman" w:cs="Times New Roman"/>
          <w:color w:val="000000" w:themeColor="text1"/>
          <w:sz w:val="24"/>
          <w:szCs w:val="24"/>
        </w:rPr>
        <w:t xml:space="preserve">. “The Refugee Crisis: The End of Schengen?” In </w:t>
      </w:r>
      <w:r w:rsidRPr="001D6484">
        <w:rPr>
          <w:rFonts w:ascii="Times New Roman" w:hAnsi="Times New Roman" w:cs="Times New Roman"/>
          <w:i/>
          <w:color w:val="000000" w:themeColor="text1"/>
          <w:sz w:val="24"/>
          <w:szCs w:val="24"/>
        </w:rPr>
        <w:t>European Journal of Crime, Criminal Law, and Criminal Justice</w:t>
      </w:r>
      <w:r w:rsidRPr="001D6484">
        <w:rPr>
          <w:rFonts w:ascii="Times New Roman" w:hAnsi="Times New Roman" w:cs="Times New Roman"/>
          <w:color w:val="000000" w:themeColor="text1"/>
          <w:sz w:val="24"/>
          <w:szCs w:val="24"/>
        </w:rPr>
        <w:t xml:space="preserve"> 23, no. 4 (November 2015): 313-332.</w:t>
      </w:r>
    </w:p>
    <w:p w14:paraId="55EAF0E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Fisher, Elizabeth et al. (authors and editors) </w:t>
      </w:r>
      <w:r w:rsidRPr="001D6484">
        <w:rPr>
          <w:rFonts w:ascii="Times New Roman" w:hAnsi="Times New Roman" w:cs="Times New Roman"/>
          <w:i/>
          <w:color w:val="000000" w:themeColor="text1"/>
          <w:sz w:val="24"/>
          <w:szCs w:val="24"/>
        </w:rPr>
        <w:t>Implementing the precautionary principle: perspectives and prospects</w:t>
      </w:r>
      <w:r w:rsidRPr="001D6484">
        <w:rPr>
          <w:rFonts w:ascii="Times New Roman" w:hAnsi="Times New Roman" w:cs="Times New Roman"/>
          <w:color w:val="000000" w:themeColor="text1"/>
          <w:sz w:val="24"/>
          <w:szCs w:val="24"/>
        </w:rPr>
        <w:t xml:space="preserve">. Northampton, MA: Edward Elgar Publishing, 2006. </w:t>
      </w:r>
    </w:p>
    <w:p w14:paraId="3128AA4E"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Follesdal</w:t>
      </w:r>
      <w:proofErr w:type="spellEnd"/>
      <w:r w:rsidRPr="001D6484">
        <w:rPr>
          <w:rFonts w:ascii="Times New Roman" w:hAnsi="Times New Roman" w:cs="Times New Roman"/>
          <w:color w:val="000000" w:themeColor="text1"/>
          <w:sz w:val="24"/>
          <w:szCs w:val="24"/>
        </w:rPr>
        <w:t xml:space="preserve">, Andreas. “Survey Article: Subsidiarity.” </w:t>
      </w:r>
      <w:r w:rsidRPr="001D6484">
        <w:rPr>
          <w:rFonts w:ascii="Times New Roman" w:hAnsi="Times New Roman" w:cs="Times New Roman"/>
          <w:i/>
          <w:color w:val="000000" w:themeColor="text1"/>
          <w:sz w:val="24"/>
          <w:szCs w:val="24"/>
        </w:rPr>
        <w:t>The Journal of Political Philosophy</w:t>
      </w:r>
      <w:r w:rsidRPr="001D6484">
        <w:rPr>
          <w:rFonts w:ascii="Times New Roman" w:hAnsi="Times New Roman" w:cs="Times New Roman"/>
          <w:color w:val="000000" w:themeColor="text1"/>
          <w:sz w:val="24"/>
          <w:szCs w:val="24"/>
        </w:rPr>
        <w:t xml:space="preserve"> 6, no. 2 (1998): 190-218. </w:t>
      </w:r>
    </w:p>
    <w:p w14:paraId="001A4AC1"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Foster, Peter and Matthew </w:t>
      </w:r>
      <w:proofErr w:type="spellStart"/>
      <w:r w:rsidRPr="001D6484">
        <w:rPr>
          <w:rFonts w:ascii="Times New Roman" w:hAnsi="Times New Roman" w:cs="Times New Roman"/>
          <w:sz w:val="24"/>
          <w:szCs w:val="24"/>
        </w:rPr>
        <w:t>Holehouse</w:t>
      </w:r>
      <w:proofErr w:type="spellEnd"/>
      <w:r w:rsidRPr="001D6484">
        <w:rPr>
          <w:rFonts w:ascii="Times New Roman" w:hAnsi="Times New Roman" w:cs="Times New Roman"/>
          <w:sz w:val="24"/>
          <w:szCs w:val="24"/>
        </w:rPr>
        <w:t>. “State of the Union: Europe in the last chance saloon, warns EU president Jean-Claude Juncker.” The Telegraph, September 8, 2015. https://www.telegraph.co.uk/news/worldnews/europe/eu/11852158/State-of-the-Union-Europe-in-the-last-chance-saloon-warns-EU-president-Jean-Claude-Juncker.html</w:t>
      </w:r>
    </w:p>
    <w:p w14:paraId="0BB28E7B" w14:textId="77777777" w:rsidR="001D6484" w:rsidRPr="001D6484" w:rsidRDefault="001D6484" w:rsidP="008A4BFB">
      <w:pPr>
        <w:spacing w:before="240"/>
        <w:ind w:left="720" w:hanging="720"/>
        <w:rPr>
          <w:rFonts w:ascii="Times New Roman" w:hAnsi="Times New Roman" w:cs="Times New Roman"/>
          <w:color w:val="000000" w:themeColor="text1"/>
          <w:sz w:val="24"/>
          <w:szCs w:val="24"/>
          <w:lang w:val="fr-FR"/>
        </w:rPr>
      </w:pPr>
      <w:r w:rsidRPr="001D6484">
        <w:rPr>
          <w:rFonts w:ascii="Times New Roman" w:hAnsi="Times New Roman" w:cs="Times New Roman"/>
          <w:color w:val="000000" w:themeColor="text1"/>
          <w:sz w:val="24"/>
          <w:szCs w:val="24"/>
        </w:rPr>
        <w:t xml:space="preserve">Friedman, Uri. “The Mathematical Equations That Could Decide the Fate of refugees.” </w:t>
      </w:r>
      <w:r w:rsidRPr="001D6484">
        <w:rPr>
          <w:rFonts w:ascii="Times New Roman" w:hAnsi="Times New Roman" w:cs="Times New Roman"/>
          <w:i/>
          <w:color w:val="000000" w:themeColor="text1"/>
          <w:sz w:val="24"/>
          <w:szCs w:val="24"/>
          <w:lang w:val="fr-FR"/>
        </w:rPr>
        <w:t>The Atlantic</w:t>
      </w:r>
      <w:r w:rsidRPr="001D6484">
        <w:rPr>
          <w:rFonts w:ascii="Times New Roman" w:hAnsi="Times New Roman" w:cs="Times New Roman"/>
          <w:color w:val="000000" w:themeColor="text1"/>
          <w:sz w:val="24"/>
          <w:szCs w:val="24"/>
          <w:lang w:val="fr-FR"/>
        </w:rPr>
        <w:t xml:space="preserve">, </w:t>
      </w:r>
      <w:proofErr w:type="spellStart"/>
      <w:r w:rsidRPr="001D6484">
        <w:rPr>
          <w:rFonts w:ascii="Times New Roman" w:hAnsi="Times New Roman" w:cs="Times New Roman"/>
          <w:color w:val="000000" w:themeColor="text1"/>
          <w:sz w:val="24"/>
          <w:szCs w:val="24"/>
          <w:lang w:val="fr-FR"/>
        </w:rPr>
        <w:t>September</w:t>
      </w:r>
      <w:proofErr w:type="spellEnd"/>
      <w:r w:rsidRPr="001D6484">
        <w:rPr>
          <w:rFonts w:ascii="Times New Roman" w:hAnsi="Times New Roman" w:cs="Times New Roman"/>
          <w:color w:val="000000" w:themeColor="text1"/>
          <w:sz w:val="24"/>
          <w:szCs w:val="24"/>
          <w:lang w:val="fr-FR"/>
        </w:rPr>
        <w:t xml:space="preserve"> 9, 2015. </w:t>
      </w:r>
    </w:p>
    <w:p w14:paraId="5C10B94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lang w:val="fr-FR"/>
        </w:rPr>
        <w:t>Greenpeace “Le Luxembourg interdit la pomme de terre OGM “</w:t>
      </w:r>
      <w:proofErr w:type="spellStart"/>
      <w:r w:rsidRPr="001D6484">
        <w:rPr>
          <w:rFonts w:ascii="Times New Roman" w:hAnsi="Times New Roman" w:cs="Times New Roman"/>
          <w:color w:val="000000" w:themeColor="text1"/>
          <w:sz w:val="24"/>
          <w:szCs w:val="24"/>
          <w:lang w:val="fr-FR"/>
        </w:rPr>
        <w:t>Amflora</w:t>
      </w:r>
      <w:proofErr w:type="spellEnd"/>
      <w:r w:rsidRPr="001D6484">
        <w:rPr>
          <w:rFonts w:ascii="Times New Roman" w:hAnsi="Times New Roman" w:cs="Times New Roman"/>
          <w:color w:val="000000" w:themeColor="text1"/>
          <w:sz w:val="24"/>
          <w:szCs w:val="24"/>
          <w:lang w:val="fr-FR"/>
        </w:rPr>
        <w:t xml:space="preserve">.” </w:t>
      </w:r>
      <w:r w:rsidRPr="001D6484">
        <w:rPr>
          <w:rFonts w:ascii="Times New Roman" w:hAnsi="Times New Roman" w:cs="Times New Roman"/>
          <w:color w:val="000000" w:themeColor="text1"/>
          <w:sz w:val="24"/>
          <w:szCs w:val="24"/>
        </w:rPr>
        <w:t xml:space="preserve">Greenpeace, June </w:t>
      </w:r>
      <w:proofErr w:type="gramStart"/>
      <w:r w:rsidRPr="001D6484">
        <w:rPr>
          <w:rFonts w:ascii="Times New Roman" w:hAnsi="Times New Roman" w:cs="Times New Roman"/>
          <w:color w:val="000000" w:themeColor="text1"/>
          <w:sz w:val="24"/>
          <w:szCs w:val="24"/>
        </w:rPr>
        <w:t>16</w:t>
      </w:r>
      <w:proofErr w:type="gramEnd"/>
      <w:r w:rsidRPr="001D6484">
        <w:rPr>
          <w:rFonts w:ascii="Times New Roman" w:hAnsi="Times New Roman" w:cs="Times New Roman"/>
          <w:color w:val="000000" w:themeColor="text1"/>
          <w:sz w:val="24"/>
          <w:szCs w:val="24"/>
        </w:rPr>
        <w:t xml:space="preserve"> 2010. Retrieved November 7, 2018. </w:t>
      </w:r>
      <w:hyperlink r:id="rId54" w:history="1">
        <w:r w:rsidRPr="001D6484">
          <w:rPr>
            <w:rStyle w:val="Hyperlink"/>
            <w:rFonts w:ascii="Times New Roman" w:hAnsi="Times New Roman" w:cs="Times New Roman"/>
            <w:sz w:val="24"/>
            <w:szCs w:val="24"/>
          </w:rPr>
          <w:t>https://www.greenpeace.fr/le-luxembourg-interdit-la-pomme-de-terre-ogm-amflora/</w:t>
        </w:r>
      </w:hyperlink>
      <w:r w:rsidRPr="001D6484">
        <w:rPr>
          <w:rFonts w:ascii="Times New Roman" w:hAnsi="Times New Roman" w:cs="Times New Roman"/>
          <w:color w:val="000000" w:themeColor="text1"/>
          <w:sz w:val="24"/>
          <w:szCs w:val="24"/>
        </w:rPr>
        <w:t xml:space="preserve"> </w:t>
      </w:r>
    </w:p>
    <w:p w14:paraId="08A0FB02"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Greenpeace. “Juncker breaks promise to make EU GMO decisions more democratic.” Released April 22, 2015. </w:t>
      </w:r>
      <w:hyperlink r:id="rId55" w:history="1">
        <w:r w:rsidRPr="001D6484">
          <w:rPr>
            <w:rStyle w:val="Hyperlink"/>
            <w:rFonts w:ascii="Times New Roman" w:hAnsi="Times New Roman" w:cs="Times New Roman"/>
            <w:sz w:val="24"/>
            <w:szCs w:val="24"/>
          </w:rPr>
          <w:t>https://www.greenpeace.org/eu-unit/en/Publications/2015/Juncker-breaks-promise-to-make-EU-GMO-decisions-more-democratic/</w:t>
        </w:r>
      </w:hyperlink>
      <w:r w:rsidRPr="001D6484">
        <w:rPr>
          <w:rStyle w:val="Hyperlink"/>
          <w:rFonts w:ascii="Times New Roman" w:hAnsi="Times New Roman" w:cs="Times New Roman"/>
          <w:color w:val="000000" w:themeColor="text1"/>
          <w:sz w:val="24"/>
          <w:szCs w:val="24"/>
        </w:rPr>
        <w:t xml:space="preserve"> </w:t>
      </w:r>
      <w:r w:rsidRPr="001D6484">
        <w:rPr>
          <w:rFonts w:ascii="Times New Roman" w:hAnsi="Times New Roman" w:cs="Times New Roman"/>
          <w:color w:val="000000" w:themeColor="text1"/>
          <w:sz w:val="24"/>
          <w:szCs w:val="24"/>
        </w:rPr>
        <w:t xml:space="preserve"> </w:t>
      </w:r>
    </w:p>
    <w:p w14:paraId="22CA2996"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Greenpeace. “The position of Chief Scientific Advisor to the President of the European Commission.” Retrieved July 7, 2017. </w:t>
      </w:r>
      <w:hyperlink r:id="rId56" w:history="1">
        <w:r w:rsidRPr="001D6484">
          <w:rPr>
            <w:rStyle w:val="Hyperlink"/>
            <w:rFonts w:ascii="Times New Roman" w:hAnsi="Times New Roman" w:cs="Times New Roman"/>
            <w:sz w:val="24"/>
            <w:szCs w:val="24"/>
          </w:rPr>
          <w:t>http://www.greenpeace.org/eu-unit/Global/eu-unit/reports-briefings/2014/20140722%20NGO%20letter%20on%20EU%20chief%20scientific%20adviser.pdf</w:t>
        </w:r>
      </w:hyperlink>
      <w:r w:rsidRPr="001D6484">
        <w:rPr>
          <w:rFonts w:ascii="Times New Roman" w:hAnsi="Times New Roman" w:cs="Times New Roman"/>
          <w:color w:val="000000" w:themeColor="text1"/>
          <w:sz w:val="24"/>
          <w:szCs w:val="24"/>
        </w:rPr>
        <w:t xml:space="preserve">. </w:t>
      </w:r>
    </w:p>
    <w:p w14:paraId="40AA1943" w14:textId="77777777" w:rsidR="001D6484" w:rsidRPr="001D6484" w:rsidRDefault="001D6484" w:rsidP="007E460C">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Group of Chief Scientific Advisors. “A Scientific Perspective on the Regulatory Status of Products Derived from Gene Editing and the Implications for the GMO Directive.” </w:t>
      </w:r>
      <w:r w:rsidRPr="001D6484">
        <w:rPr>
          <w:rFonts w:ascii="Times New Roman" w:hAnsi="Times New Roman" w:cs="Times New Roman"/>
          <w:color w:val="000000" w:themeColor="text1"/>
          <w:sz w:val="24"/>
          <w:szCs w:val="24"/>
        </w:rPr>
        <w:lastRenderedPageBreak/>
        <w:t xml:space="preserve">European Commission, November 13, 2018. </w:t>
      </w:r>
      <w:r w:rsidRPr="001D6484">
        <w:rPr>
          <w:rFonts w:ascii="Times New Roman" w:hAnsi="Times New Roman" w:cs="Times New Roman"/>
          <w:sz w:val="24"/>
          <w:szCs w:val="24"/>
        </w:rPr>
        <w:t>ec.europa.eu/info/publications/status-products-derived-gene-editing-and-implications-gmo-directive_en.</w:t>
      </w:r>
    </w:p>
    <w:p w14:paraId="5897FAE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Guegen</w:t>
      </w:r>
      <w:proofErr w:type="spellEnd"/>
      <w:r w:rsidRPr="001D6484">
        <w:rPr>
          <w:rFonts w:ascii="Times New Roman" w:hAnsi="Times New Roman" w:cs="Times New Roman"/>
          <w:color w:val="000000" w:themeColor="text1"/>
          <w:sz w:val="24"/>
          <w:szCs w:val="24"/>
        </w:rPr>
        <w:t xml:space="preserve">, Daniel. “Comitology reform: Doing, undoing, and redoing is still hard work.” </w:t>
      </w:r>
      <w:proofErr w:type="spellStart"/>
      <w:r w:rsidRPr="001D6484">
        <w:rPr>
          <w:rFonts w:ascii="Times New Roman" w:hAnsi="Times New Roman" w:cs="Times New Roman"/>
          <w:i/>
          <w:color w:val="000000" w:themeColor="text1"/>
          <w:sz w:val="24"/>
          <w:szCs w:val="24"/>
        </w:rPr>
        <w:t>Euractiv</w:t>
      </w:r>
      <w:proofErr w:type="spellEnd"/>
      <w:r w:rsidRPr="001D6484">
        <w:rPr>
          <w:rFonts w:ascii="Times New Roman" w:hAnsi="Times New Roman" w:cs="Times New Roman"/>
          <w:color w:val="000000" w:themeColor="text1"/>
          <w:sz w:val="24"/>
          <w:szCs w:val="24"/>
        </w:rPr>
        <w:t xml:space="preserve">, February 16, 2017. </w:t>
      </w:r>
      <w:hyperlink r:id="rId57" w:history="1">
        <w:r w:rsidRPr="001D6484">
          <w:rPr>
            <w:rStyle w:val="Hyperlink"/>
            <w:rFonts w:ascii="Times New Roman" w:hAnsi="Times New Roman" w:cs="Times New Roman"/>
            <w:sz w:val="24"/>
            <w:szCs w:val="24"/>
          </w:rPr>
          <w:t>https://www.euractiv.com/section/public-affairs/opinion/comitology-reform-doing-undoing-and-redoing-is-still-hard-work/</w:t>
        </w:r>
      </w:hyperlink>
      <w:r w:rsidRPr="001D6484">
        <w:rPr>
          <w:rFonts w:ascii="Times New Roman" w:hAnsi="Times New Roman" w:cs="Times New Roman"/>
          <w:color w:val="000000" w:themeColor="text1"/>
          <w:sz w:val="24"/>
          <w:szCs w:val="24"/>
        </w:rPr>
        <w:t xml:space="preserve"> </w:t>
      </w:r>
    </w:p>
    <w:p w14:paraId="59814868"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Gurri</w:t>
      </w:r>
      <w:proofErr w:type="spellEnd"/>
      <w:r w:rsidRPr="001D6484">
        <w:rPr>
          <w:rFonts w:ascii="Times New Roman" w:hAnsi="Times New Roman" w:cs="Times New Roman"/>
          <w:color w:val="000000" w:themeColor="text1"/>
          <w:sz w:val="24"/>
          <w:szCs w:val="24"/>
        </w:rPr>
        <w:t xml:space="preserve">, Martin. </w:t>
      </w:r>
      <w:r w:rsidRPr="001D6484">
        <w:rPr>
          <w:rFonts w:ascii="Times New Roman" w:hAnsi="Times New Roman" w:cs="Times New Roman"/>
          <w:i/>
          <w:color w:val="000000" w:themeColor="text1"/>
          <w:sz w:val="24"/>
          <w:szCs w:val="24"/>
        </w:rPr>
        <w:t>The Revolt of the Public and the Crisis of Authority in the New Millennium</w:t>
      </w:r>
      <w:r w:rsidRPr="001D6484">
        <w:rPr>
          <w:rFonts w:ascii="Times New Roman" w:hAnsi="Times New Roman" w:cs="Times New Roman"/>
          <w:color w:val="000000" w:themeColor="text1"/>
          <w:sz w:val="24"/>
          <w:szCs w:val="24"/>
        </w:rPr>
        <w:t xml:space="preserve"> (2018 Update)</w:t>
      </w:r>
      <w:r w:rsidRPr="001D6484">
        <w:rPr>
          <w:rFonts w:ascii="Times New Roman" w:hAnsi="Times New Roman" w:cs="Times New Roman"/>
          <w:i/>
          <w:color w:val="000000" w:themeColor="text1"/>
          <w:sz w:val="24"/>
          <w:szCs w:val="24"/>
        </w:rPr>
        <w:t>.</w:t>
      </w:r>
      <w:r w:rsidRPr="001D6484">
        <w:rPr>
          <w:rFonts w:ascii="Times New Roman" w:hAnsi="Times New Roman" w:cs="Times New Roman"/>
          <w:color w:val="000000" w:themeColor="text1"/>
          <w:sz w:val="24"/>
          <w:szCs w:val="24"/>
        </w:rPr>
        <w:t xml:space="preserve"> Stripe Press, 2018.</w:t>
      </w:r>
    </w:p>
    <w:p w14:paraId="4FC3AB7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Habermas, Jürgen. “’The Political’: The Rational Meaning of a Questionable Inheritance of Political Theology.” In </w:t>
      </w:r>
      <w:proofErr w:type="gramStart"/>
      <w:r w:rsidRPr="001D6484">
        <w:rPr>
          <w:rFonts w:ascii="Times New Roman" w:hAnsi="Times New Roman" w:cs="Times New Roman"/>
          <w:i/>
          <w:color w:val="000000" w:themeColor="text1"/>
          <w:sz w:val="24"/>
          <w:szCs w:val="24"/>
        </w:rPr>
        <w:t>The</w:t>
      </w:r>
      <w:proofErr w:type="gramEnd"/>
      <w:r w:rsidRPr="001D6484">
        <w:rPr>
          <w:rFonts w:ascii="Times New Roman" w:hAnsi="Times New Roman" w:cs="Times New Roman"/>
          <w:i/>
          <w:color w:val="000000" w:themeColor="text1"/>
          <w:sz w:val="24"/>
          <w:szCs w:val="24"/>
        </w:rPr>
        <w:t xml:space="preserve"> Power of Religion in the Public Sphere </w:t>
      </w:r>
      <w:proofErr w:type="spellStart"/>
      <w:r w:rsidRPr="001D6484">
        <w:rPr>
          <w:rFonts w:ascii="Times New Roman" w:hAnsi="Times New Roman" w:cs="Times New Roman"/>
          <w:i/>
          <w:color w:val="000000" w:themeColor="text1"/>
          <w:sz w:val="24"/>
          <w:szCs w:val="24"/>
        </w:rPr>
        <w:t>Medieta</w:t>
      </w:r>
      <w:proofErr w:type="spellEnd"/>
      <w:r w:rsidRPr="001D6484">
        <w:rPr>
          <w:rFonts w:ascii="Times New Roman" w:hAnsi="Times New Roman" w:cs="Times New Roman"/>
          <w:color w:val="000000" w:themeColor="text1"/>
          <w:sz w:val="24"/>
          <w:szCs w:val="24"/>
        </w:rPr>
        <w:t xml:space="preserve">, edited by Eduardo and Jonathan </w:t>
      </w:r>
      <w:proofErr w:type="spellStart"/>
      <w:r w:rsidRPr="001D6484">
        <w:rPr>
          <w:rFonts w:ascii="Times New Roman" w:hAnsi="Times New Roman" w:cs="Times New Roman"/>
          <w:color w:val="000000" w:themeColor="text1"/>
          <w:sz w:val="24"/>
          <w:szCs w:val="24"/>
        </w:rPr>
        <w:t>Vanantewerpen</w:t>
      </w:r>
      <w:proofErr w:type="spellEnd"/>
      <w:r w:rsidRPr="001D6484">
        <w:rPr>
          <w:rFonts w:ascii="Times New Roman" w:hAnsi="Times New Roman" w:cs="Times New Roman"/>
          <w:color w:val="000000" w:themeColor="text1"/>
          <w:sz w:val="24"/>
          <w:szCs w:val="24"/>
        </w:rPr>
        <w:t xml:space="preserve">, 15-33. New York: Columbia University Press, 2011. </w:t>
      </w:r>
    </w:p>
    <w:p w14:paraId="20963E2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Habermas, Jürgen. </w:t>
      </w:r>
      <w:r w:rsidRPr="001D6484">
        <w:rPr>
          <w:rFonts w:ascii="Times New Roman" w:hAnsi="Times New Roman" w:cs="Times New Roman"/>
          <w:i/>
          <w:color w:val="000000" w:themeColor="text1"/>
          <w:sz w:val="24"/>
          <w:szCs w:val="24"/>
        </w:rPr>
        <w:t>The Crisis of the European Union: A Response</w:t>
      </w:r>
      <w:r w:rsidRPr="001D6484">
        <w:rPr>
          <w:rFonts w:ascii="Times New Roman" w:hAnsi="Times New Roman" w:cs="Times New Roman"/>
          <w:color w:val="000000" w:themeColor="text1"/>
          <w:sz w:val="24"/>
          <w:szCs w:val="24"/>
        </w:rPr>
        <w:t>. Translated by Ciaran Cronin. Cambridge: Polity Press, 2012.</w:t>
      </w:r>
    </w:p>
    <w:p w14:paraId="3EDB98BD"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Habermas, Jürgen. </w:t>
      </w:r>
      <w:r w:rsidRPr="001D6484">
        <w:rPr>
          <w:rFonts w:ascii="Times New Roman" w:hAnsi="Times New Roman" w:cs="Times New Roman"/>
          <w:i/>
          <w:color w:val="000000" w:themeColor="text1"/>
          <w:sz w:val="24"/>
          <w:szCs w:val="24"/>
        </w:rPr>
        <w:t>The Lure of Technocracy.</w:t>
      </w:r>
      <w:r w:rsidRPr="001D6484">
        <w:rPr>
          <w:rFonts w:ascii="Times New Roman" w:hAnsi="Times New Roman" w:cs="Times New Roman"/>
          <w:color w:val="000000" w:themeColor="text1"/>
          <w:sz w:val="24"/>
          <w:szCs w:val="24"/>
        </w:rPr>
        <w:t xml:space="preserve"> Cambridge: Polity Press, 2013.</w:t>
      </w:r>
    </w:p>
    <w:p w14:paraId="097F6F71"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Habermas, Jürgen. </w:t>
      </w:r>
      <w:r w:rsidRPr="001D6484">
        <w:rPr>
          <w:rFonts w:ascii="Times New Roman" w:hAnsi="Times New Roman" w:cs="Times New Roman"/>
          <w:i/>
          <w:color w:val="000000" w:themeColor="text1"/>
          <w:sz w:val="24"/>
          <w:szCs w:val="24"/>
        </w:rPr>
        <w:t>Theory of Communicative Action, Vol. I: Reason and the Rationalization of Society</w:t>
      </w:r>
      <w:r w:rsidRPr="001D6484">
        <w:rPr>
          <w:rFonts w:ascii="Times New Roman" w:hAnsi="Times New Roman" w:cs="Times New Roman"/>
          <w:color w:val="000000" w:themeColor="text1"/>
          <w:sz w:val="24"/>
          <w:szCs w:val="24"/>
        </w:rPr>
        <w:t xml:space="preserve">. </w:t>
      </w:r>
      <w:r w:rsidRPr="001D6484">
        <w:rPr>
          <w:rFonts w:ascii="Times New Roman" w:hAnsi="Times New Roman" w:cs="Times New Roman"/>
          <w:sz w:val="24"/>
          <w:szCs w:val="24"/>
        </w:rPr>
        <w:t>Boston: Beacon Press, 1985.</w:t>
      </w:r>
    </w:p>
    <w:p w14:paraId="78E3014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Habermas, Jürgen. </w:t>
      </w:r>
      <w:r w:rsidRPr="001D6484">
        <w:rPr>
          <w:rFonts w:ascii="Times New Roman" w:hAnsi="Times New Roman" w:cs="Times New Roman"/>
          <w:i/>
          <w:color w:val="000000" w:themeColor="text1"/>
          <w:sz w:val="24"/>
          <w:szCs w:val="24"/>
        </w:rPr>
        <w:t>Toward a Rational Society: Student Protest, Science, and Politics.</w:t>
      </w:r>
      <w:r w:rsidRPr="001D6484">
        <w:rPr>
          <w:rFonts w:ascii="Times New Roman" w:hAnsi="Times New Roman" w:cs="Times New Roman"/>
          <w:color w:val="000000" w:themeColor="text1"/>
          <w:sz w:val="24"/>
          <w:szCs w:val="24"/>
        </w:rPr>
        <w:t xml:space="preserve"> Boston: Polity Press, 1991.</w:t>
      </w:r>
    </w:p>
    <w:p w14:paraId="37B5596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Hancock, Tom. “Chinese investment into US biotech start-ups soars.” </w:t>
      </w:r>
      <w:r w:rsidRPr="001D6484">
        <w:rPr>
          <w:rFonts w:ascii="Times New Roman" w:hAnsi="Times New Roman" w:cs="Times New Roman"/>
          <w:i/>
          <w:color w:val="000000" w:themeColor="text1"/>
          <w:sz w:val="24"/>
          <w:szCs w:val="24"/>
        </w:rPr>
        <w:t>Financial Times</w:t>
      </w:r>
      <w:r w:rsidRPr="001D6484">
        <w:rPr>
          <w:rFonts w:ascii="Times New Roman" w:hAnsi="Times New Roman" w:cs="Times New Roman"/>
          <w:color w:val="000000" w:themeColor="text1"/>
          <w:sz w:val="24"/>
          <w:szCs w:val="24"/>
        </w:rPr>
        <w:t xml:space="preserve">, July 1, 2018. </w:t>
      </w:r>
      <w:hyperlink r:id="rId58" w:history="1">
        <w:r w:rsidRPr="001D6484">
          <w:rPr>
            <w:rStyle w:val="Hyperlink"/>
            <w:rFonts w:ascii="Times New Roman" w:hAnsi="Times New Roman" w:cs="Times New Roman"/>
            <w:sz w:val="24"/>
            <w:szCs w:val="24"/>
          </w:rPr>
          <w:t>https://www.ft.com/content/7b045aa2-7cef-11e8-bc55-50daf11b720d</w:t>
        </w:r>
      </w:hyperlink>
      <w:r w:rsidRPr="001D6484">
        <w:rPr>
          <w:rFonts w:ascii="Times New Roman" w:hAnsi="Times New Roman" w:cs="Times New Roman"/>
          <w:color w:val="000000" w:themeColor="text1"/>
          <w:sz w:val="24"/>
          <w:szCs w:val="24"/>
        </w:rPr>
        <w:t xml:space="preserve"> </w:t>
      </w:r>
    </w:p>
    <w:p w14:paraId="4333EFC7" w14:textId="77777777" w:rsidR="001D6484" w:rsidRPr="001D6484" w:rsidRDefault="001D6484" w:rsidP="008A4BFB">
      <w:pPr>
        <w:spacing w:before="240"/>
        <w:ind w:left="720" w:hanging="720"/>
        <w:rPr>
          <w:rFonts w:ascii="Times New Roman" w:hAnsi="Times New Roman" w:cs="Times New Roman"/>
          <w:sz w:val="24"/>
          <w:szCs w:val="24"/>
        </w:rPr>
      </w:pPr>
      <w:r w:rsidRPr="001D6484">
        <w:rPr>
          <w:rFonts w:ascii="Times New Roman" w:hAnsi="Times New Roman" w:cs="Times New Roman"/>
          <w:color w:val="000000" w:themeColor="text1"/>
          <w:sz w:val="24"/>
          <w:szCs w:val="24"/>
        </w:rPr>
        <w:t xml:space="preserve">Heinrichs, Harald. “Advisory Systems in Pluralistic </w:t>
      </w:r>
      <w:r w:rsidRPr="001D6484">
        <w:rPr>
          <w:rFonts w:ascii="Times New Roman" w:hAnsi="Times New Roman" w:cs="Times New Roman"/>
          <w:sz w:val="24"/>
          <w:szCs w:val="24"/>
        </w:rPr>
        <w:t xml:space="preserve">Knowledge Societies: A Criteria-Based Typology to Assess and Optimize Environmental Policy Advice.” In </w:t>
      </w:r>
      <w:r w:rsidRPr="001D6484">
        <w:rPr>
          <w:rFonts w:ascii="Times New Roman" w:hAnsi="Times New Roman" w:cs="Times New Roman"/>
          <w:i/>
          <w:sz w:val="24"/>
          <w:szCs w:val="24"/>
        </w:rPr>
        <w:t>Democratization of Expertise? Exploring Novel Forms of Scientific Advice in Political Decision-Making</w:t>
      </w:r>
      <w:r w:rsidRPr="001D6484">
        <w:rPr>
          <w:rFonts w:ascii="Times New Roman" w:hAnsi="Times New Roman" w:cs="Times New Roman"/>
          <w:sz w:val="24"/>
          <w:szCs w:val="24"/>
        </w:rPr>
        <w:t xml:space="preserve">, edited by Sabine </w:t>
      </w:r>
      <w:proofErr w:type="spellStart"/>
      <w:r w:rsidRPr="001D6484">
        <w:rPr>
          <w:rFonts w:ascii="Times New Roman" w:hAnsi="Times New Roman" w:cs="Times New Roman"/>
          <w:sz w:val="24"/>
          <w:szCs w:val="24"/>
        </w:rPr>
        <w:t>Maasen</w:t>
      </w:r>
      <w:proofErr w:type="spellEnd"/>
      <w:r w:rsidRPr="001D6484">
        <w:rPr>
          <w:rFonts w:ascii="Times New Roman" w:hAnsi="Times New Roman" w:cs="Times New Roman"/>
          <w:sz w:val="24"/>
          <w:szCs w:val="24"/>
        </w:rPr>
        <w:t xml:space="preserve"> and Peter </w:t>
      </w:r>
      <w:proofErr w:type="spellStart"/>
      <w:r w:rsidRPr="001D6484">
        <w:rPr>
          <w:rFonts w:ascii="Times New Roman" w:hAnsi="Times New Roman" w:cs="Times New Roman"/>
          <w:sz w:val="24"/>
          <w:szCs w:val="24"/>
        </w:rPr>
        <w:t>Weingart</w:t>
      </w:r>
      <w:proofErr w:type="spellEnd"/>
      <w:r w:rsidRPr="001D6484">
        <w:rPr>
          <w:rFonts w:ascii="Times New Roman" w:hAnsi="Times New Roman" w:cs="Times New Roman"/>
          <w:sz w:val="24"/>
          <w:szCs w:val="24"/>
        </w:rPr>
        <w:t>. Dordrecht, The Netherlands: Springer, 2005.</w:t>
      </w:r>
    </w:p>
    <w:p w14:paraId="3A828EF1" w14:textId="77777777" w:rsidR="001D6484" w:rsidRPr="001D6484" w:rsidRDefault="001D6484" w:rsidP="008A4BFB">
      <w:pPr>
        <w:spacing w:before="240"/>
        <w:ind w:left="720" w:hanging="720"/>
        <w:rPr>
          <w:rFonts w:ascii="Times New Roman" w:hAnsi="Times New Roman" w:cs="Times New Roman"/>
          <w:sz w:val="24"/>
          <w:szCs w:val="24"/>
        </w:rPr>
      </w:pPr>
      <w:r w:rsidRPr="001D6484">
        <w:rPr>
          <w:rFonts w:ascii="Times New Roman" w:hAnsi="Times New Roman" w:cs="Times New Roman"/>
          <w:sz w:val="24"/>
          <w:szCs w:val="24"/>
        </w:rPr>
        <w:t xml:space="preserve">Hennen, Leonhard. “Why do we still need participatory technology assessment?” </w:t>
      </w:r>
      <w:proofErr w:type="spellStart"/>
      <w:r w:rsidRPr="001D6484">
        <w:rPr>
          <w:rFonts w:ascii="Times New Roman" w:hAnsi="Times New Roman" w:cs="Times New Roman"/>
          <w:i/>
          <w:sz w:val="24"/>
          <w:szCs w:val="24"/>
        </w:rPr>
        <w:t>Poiesis</w:t>
      </w:r>
      <w:proofErr w:type="spellEnd"/>
      <w:r w:rsidRPr="001D6484">
        <w:rPr>
          <w:rFonts w:ascii="Times New Roman" w:hAnsi="Times New Roman" w:cs="Times New Roman"/>
          <w:i/>
          <w:sz w:val="24"/>
          <w:szCs w:val="24"/>
        </w:rPr>
        <w:t xml:space="preserve"> </w:t>
      </w:r>
      <w:proofErr w:type="spellStart"/>
      <w:r w:rsidRPr="001D6484">
        <w:rPr>
          <w:rFonts w:ascii="Times New Roman" w:hAnsi="Times New Roman" w:cs="Times New Roman"/>
          <w:i/>
          <w:sz w:val="24"/>
          <w:szCs w:val="24"/>
        </w:rPr>
        <w:t>Prax</w:t>
      </w:r>
      <w:proofErr w:type="spellEnd"/>
      <w:r w:rsidRPr="001D6484">
        <w:rPr>
          <w:rFonts w:ascii="Times New Roman" w:hAnsi="Times New Roman" w:cs="Times New Roman"/>
          <w:sz w:val="24"/>
          <w:szCs w:val="24"/>
        </w:rPr>
        <w:t xml:space="preserve"> 9 (2012): 27–41.</w:t>
      </w:r>
    </w:p>
    <w:p w14:paraId="3DB291B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Hirst, Paul. “Carl Schmitt’s Decisionism.” In </w:t>
      </w:r>
      <w:proofErr w:type="gramStart"/>
      <w:r w:rsidRPr="001D6484">
        <w:rPr>
          <w:rFonts w:ascii="Times New Roman" w:hAnsi="Times New Roman" w:cs="Times New Roman"/>
          <w:i/>
          <w:sz w:val="24"/>
          <w:szCs w:val="24"/>
        </w:rPr>
        <w:t>The</w:t>
      </w:r>
      <w:proofErr w:type="gramEnd"/>
      <w:r w:rsidRPr="001D6484">
        <w:rPr>
          <w:rFonts w:ascii="Times New Roman" w:hAnsi="Times New Roman" w:cs="Times New Roman"/>
          <w:i/>
          <w:sz w:val="24"/>
          <w:szCs w:val="24"/>
        </w:rPr>
        <w:t xml:space="preserve"> Challenge of Carl Schmitt</w:t>
      </w:r>
      <w:r w:rsidRPr="001D6484">
        <w:rPr>
          <w:rFonts w:ascii="Times New Roman" w:hAnsi="Times New Roman" w:cs="Times New Roman"/>
          <w:sz w:val="24"/>
          <w:szCs w:val="24"/>
        </w:rPr>
        <w:t>, edited</w:t>
      </w:r>
      <w:r w:rsidRPr="001D6484">
        <w:rPr>
          <w:rFonts w:ascii="Times New Roman" w:hAnsi="Times New Roman" w:cs="Times New Roman"/>
          <w:color w:val="000000" w:themeColor="text1"/>
          <w:sz w:val="24"/>
          <w:szCs w:val="24"/>
        </w:rPr>
        <w:t xml:space="preserve"> by Chantal </w:t>
      </w:r>
      <w:proofErr w:type="spellStart"/>
      <w:r w:rsidRPr="001D6484">
        <w:rPr>
          <w:rFonts w:ascii="Times New Roman" w:hAnsi="Times New Roman" w:cs="Times New Roman"/>
          <w:color w:val="000000" w:themeColor="text1"/>
          <w:sz w:val="24"/>
          <w:szCs w:val="24"/>
        </w:rPr>
        <w:t>Mouffe</w:t>
      </w:r>
      <w:proofErr w:type="spellEnd"/>
      <w:r w:rsidRPr="001D6484">
        <w:rPr>
          <w:rFonts w:ascii="Times New Roman" w:hAnsi="Times New Roman" w:cs="Times New Roman"/>
          <w:color w:val="000000" w:themeColor="text1"/>
          <w:sz w:val="24"/>
          <w:szCs w:val="24"/>
        </w:rPr>
        <w:t>. New York: Verso, 1999.</w:t>
      </w:r>
    </w:p>
    <w:p w14:paraId="068DBF81" w14:textId="77777777" w:rsidR="001D6484" w:rsidRPr="001D6484" w:rsidRDefault="001D6484" w:rsidP="0076603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ISAAA. “Global Status of Commercialized Biotech/GM Crops in 2017” ISAAA Brief No 53-2017. Retrieved October 2018.</w:t>
      </w:r>
      <w:hyperlink r:id="rId59" w:history="1">
        <w:r w:rsidRPr="001D6484">
          <w:rPr>
            <w:rStyle w:val="Hyperlink"/>
            <w:rFonts w:ascii="Times New Roman" w:hAnsi="Times New Roman" w:cs="Times New Roman"/>
            <w:sz w:val="24"/>
            <w:szCs w:val="24"/>
          </w:rPr>
          <w:t>https://www.isaaa.org/resources/publications/briefs/53/</w:t>
        </w:r>
      </w:hyperlink>
      <w:r w:rsidRPr="001D6484">
        <w:rPr>
          <w:rFonts w:ascii="Times New Roman" w:hAnsi="Times New Roman" w:cs="Times New Roman"/>
          <w:color w:val="000000" w:themeColor="text1"/>
          <w:sz w:val="24"/>
          <w:szCs w:val="24"/>
        </w:rPr>
        <w:t xml:space="preserve"> </w:t>
      </w:r>
    </w:p>
    <w:p w14:paraId="06F8620D"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Jensen, Thomas. “The Democratic Deficit of the European Union.” </w:t>
      </w:r>
      <w:r w:rsidRPr="001D6484">
        <w:rPr>
          <w:rFonts w:ascii="Times New Roman" w:hAnsi="Times New Roman" w:cs="Times New Roman"/>
          <w:i/>
          <w:color w:val="000000" w:themeColor="text1"/>
          <w:sz w:val="24"/>
          <w:szCs w:val="24"/>
        </w:rPr>
        <w:t>Living Reviews in Democracy</w:t>
      </w:r>
      <w:r w:rsidRPr="001D6484">
        <w:rPr>
          <w:rFonts w:ascii="Times New Roman" w:hAnsi="Times New Roman" w:cs="Times New Roman"/>
          <w:color w:val="000000" w:themeColor="text1"/>
          <w:sz w:val="24"/>
          <w:szCs w:val="24"/>
        </w:rPr>
        <w:t xml:space="preserve">, (2009). </w:t>
      </w:r>
      <w:hyperlink r:id="rId60" w:history="1">
        <w:r w:rsidRPr="001D6484">
          <w:rPr>
            <w:rStyle w:val="Hyperlink"/>
            <w:rFonts w:ascii="Times New Roman" w:hAnsi="Times New Roman" w:cs="Times New Roman"/>
            <w:sz w:val="24"/>
            <w:szCs w:val="24"/>
          </w:rPr>
          <w:t>https://www.ethz.ch/content/dam/ethz/special-interest/gess/cis/cis-dam/CIS_DAM_2015/WorkingPapers/Living_Reviews_Democracy/Jensen.pdf</w:t>
        </w:r>
      </w:hyperlink>
      <w:r w:rsidRPr="001D6484">
        <w:rPr>
          <w:rFonts w:ascii="Times New Roman" w:hAnsi="Times New Roman" w:cs="Times New Roman"/>
          <w:sz w:val="24"/>
          <w:szCs w:val="24"/>
        </w:rPr>
        <w:t xml:space="preserve"> </w:t>
      </w:r>
    </w:p>
    <w:p w14:paraId="01D64A51"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lastRenderedPageBreak/>
        <w:t xml:space="preserve">Juncker, Jean-Claude. “Opening speech on GMOs”. Speech. European Parliament. Plenary meeting. Strasbourg, October 28, 2015. </w:t>
      </w:r>
      <w:hyperlink r:id="rId61" w:history="1">
        <w:r w:rsidRPr="001D6484">
          <w:rPr>
            <w:rStyle w:val="Hyperlink"/>
            <w:rFonts w:ascii="Times New Roman" w:hAnsi="Times New Roman" w:cs="Times New Roman"/>
            <w:sz w:val="24"/>
            <w:szCs w:val="24"/>
          </w:rPr>
          <w:t>https://ec.europa.eu/commission/commissioners/2014-2019/andriukaitis/announcements/opening-speech-gmos-plenary-meeting-28102015-european-parliament-strasbourg_en</w:t>
        </w:r>
      </w:hyperlink>
      <w:r w:rsidRPr="001D6484">
        <w:rPr>
          <w:rFonts w:ascii="Times New Roman" w:hAnsi="Times New Roman" w:cs="Times New Roman"/>
          <w:color w:val="000000" w:themeColor="text1"/>
          <w:sz w:val="24"/>
          <w:szCs w:val="24"/>
        </w:rPr>
        <w:t xml:space="preserve"> </w:t>
      </w:r>
    </w:p>
    <w:p w14:paraId="14EDC4BE"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Juncker, Jean-Claude. “Political Guidelines as Candidate for President of the European Commission.” Strasbourg, July 15, 2014. </w:t>
      </w:r>
      <w:hyperlink r:id="rId62" w:history="1">
        <w:r w:rsidRPr="001D6484">
          <w:rPr>
            <w:rStyle w:val="Hyperlink"/>
            <w:rFonts w:ascii="Times New Roman" w:hAnsi="Times New Roman" w:cs="Times New Roman"/>
            <w:sz w:val="24"/>
            <w:szCs w:val="24"/>
          </w:rPr>
          <w:t>https://ec.europa.eu/commission/publications/president-junckers-political-guidelines_en</w:t>
        </w:r>
      </w:hyperlink>
      <w:r w:rsidRPr="001D6484">
        <w:rPr>
          <w:rFonts w:ascii="Times New Roman" w:hAnsi="Times New Roman" w:cs="Times New Roman"/>
          <w:color w:val="000000" w:themeColor="text1"/>
          <w:sz w:val="24"/>
          <w:szCs w:val="24"/>
        </w:rPr>
        <w:t xml:space="preserve"> </w:t>
      </w:r>
    </w:p>
    <w:p w14:paraId="00A1732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Juncker, Jean-Claude. “State of the European Union.” Speech. September 9, 2015. </w:t>
      </w:r>
      <w:hyperlink r:id="rId63" w:history="1">
        <w:r w:rsidRPr="001D6484">
          <w:rPr>
            <w:rStyle w:val="Hyperlink"/>
            <w:rFonts w:ascii="Times New Roman" w:hAnsi="Times New Roman" w:cs="Times New Roman"/>
            <w:sz w:val="24"/>
            <w:szCs w:val="24"/>
          </w:rPr>
          <w:t>https://ec.europa.eu/commission/sites/beta-political/files/state_of_the_union_2015_en.pdf</w:t>
        </w:r>
      </w:hyperlink>
      <w:r w:rsidRPr="001D6484">
        <w:rPr>
          <w:rFonts w:ascii="Times New Roman" w:hAnsi="Times New Roman" w:cs="Times New Roman"/>
          <w:color w:val="000000" w:themeColor="text1"/>
          <w:sz w:val="24"/>
          <w:szCs w:val="24"/>
        </w:rPr>
        <w:t xml:space="preserve"> </w:t>
      </w:r>
    </w:p>
    <w:p w14:paraId="4CCBB6F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Kapstein</w:t>
      </w:r>
      <w:proofErr w:type="spellEnd"/>
      <w:r w:rsidRPr="001D6484">
        <w:rPr>
          <w:rFonts w:ascii="Times New Roman" w:hAnsi="Times New Roman" w:cs="Times New Roman"/>
          <w:color w:val="000000" w:themeColor="text1"/>
          <w:sz w:val="24"/>
          <w:szCs w:val="24"/>
        </w:rPr>
        <w:t xml:space="preserve">, Ethan. “Resolving the Regulator’s Dilemma: International </w:t>
      </w:r>
      <w:r w:rsidRPr="001D6484">
        <w:rPr>
          <w:rFonts w:ascii="Times New Roman" w:hAnsi="Times New Roman" w:cs="Times New Roman"/>
          <w:sz w:val="24"/>
          <w:szCs w:val="24"/>
        </w:rPr>
        <w:t xml:space="preserve">Coordination of Banking Regulations.” </w:t>
      </w:r>
      <w:r w:rsidRPr="001D6484">
        <w:rPr>
          <w:rFonts w:ascii="Times New Roman" w:hAnsi="Times New Roman" w:cs="Times New Roman"/>
          <w:i/>
          <w:sz w:val="24"/>
          <w:szCs w:val="24"/>
        </w:rPr>
        <w:t>International Organization</w:t>
      </w:r>
      <w:r w:rsidRPr="001D6484">
        <w:rPr>
          <w:rFonts w:ascii="Times New Roman" w:hAnsi="Times New Roman" w:cs="Times New Roman"/>
          <w:sz w:val="24"/>
          <w:szCs w:val="24"/>
        </w:rPr>
        <w:t xml:space="preserve"> 42, no. 2 (Spring 1989): </w:t>
      </w:r>
      <w:r w:rsidRPr="001D6484">
        <w:rPr>
          <w:rStyle w:val="Date1"/>
          <w:rFonts w:ascii="Times New Roman" w:hAnsi="Times New Roman" w:cs="Times New Roman"/>
          <w:sz w:val="24"/>
          <w:szCs w:val="24"/>
        </w:rPr>
        <w:t>323-347.</w:t>
      </w:r>
    </w:p>
    <w:p w14:paraId="3E374873" w14:textId="77777777" w:rsidR="001D6484" w:rsidRPr="001D6484" w:rsidRDefault="001D6484" w:rsidP="00094987">
      <w:pPr>
        <w:spacing w:before="240"/>
        <w:ind w:left="720" w:hanging="720"/>
        <w:rPr>
          <w:rFonts w:ascii="Times New Roman" w:hAnsi="Times New Roman" w:cs="Times New Roman"/>
          <w:color w:val="000000" w:themeColor="text1"/>
          <w:sz w:val="24"/>
          <w:szCs w:val="24"/>
          <w:lang w:val="fr-FR"/>
        </w:rPr>
      </w:pPr>
      <w:r w:rsidRPr="001D6484">
        <w:rPr>
          <w:rFonts w:ascii="Times New Roman" w:hAnsi="Times New Roman" w:cs="Times New Roman"/>
          <w:color w:val="000000" w:themeColor="text1"/>
          <w:sz w:val="24"/>
          <w:szCs w:val="24"/>
        </w:rPr>
        <w:t xml:space="preserve">Keating, Dave. “All eyes on Juncker for GM crops decision.” </w:t>
      </w:r>
      <w:r w:rsidRPr="001D6484">
        <w:rPr>
          <w:rFonts w:ascii="Times New Roman" w:hAnsi="Times New Roman" w:cs="Times New Roman"/>
          <w:i/>
          <w:color w:val="000000" w:themeColor="text1"/>
          <w:sz w:val="24"/>
          <w:szCs w:val="24"/>
          <w:lang w:val="fr-FR"/>
        </w:rPr>
        <w:t>Politico, Europe Edition</w:t>
      </w:r>
      <w:r w:rsidRPr="001D6484">
        <w:rPr>
          <w:rFonts w:ascii="Times New Roman" w:hAnsi="Times New Roman" w:cs="Times New Roman"/>
          <w:color w:val="000000" w:themeColor="text1"/>
          <w:sz w:val="24"/>
          <w:szCs w:val="24"/>
          <w:lang w:val="fr-FR"/>
        </w:rPr>
        <w:t>. March 5, 2015.</w:t>
      </w:r>
    </w:p>
    <w:p w14:paraId="69E3287C" w14:textId="77777777" w:rsidR="001D6484" w:rsidRPr="001D6484" w:rsidRDefault="001D6484" w:rsidP="008A4BFB">
      <w:pPr>
        <w:pStyle w:val="FootnoteText"/>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lang w:val="fr-FR"/>
        </w:rPr>
        <w:t>Klüver</w:t>
      </w:r>
      <w:proofErr w:type="spellEnd"/>
      <w:r w:rsidRPr="001D6484">
        <w:rPr>
          <w:rFonts w:ascii="Times New Roman" w:hAnsi="Times New Roman" w:cs="Times New Roman"/>
          <w:color w:val="000000" w:themeColor="text1"/>
          <w:sz w:val="24"/>
          <w:szCs w:val="24"/>
          <w:lang w:val="fr-FR"/>
        </w:rPr>
        <w:t xml:space="preserve"> et al. "EUROPTA." </w:t>
      </w:r>
      <w:proofErr w:type="spellStart"/>
      <w:r w:rsidRPr="001D6484">
        <w:rPr>
          <w:rFonts w:ascii="Times New Roman" w:hAnsi="Times New Roman" w:cs="Times New Roman"/>
          <w:i/>
          <w:color w:val="000000" w:themeColor="text1"/>
          <w:sz w:val="24"/>
          <w:szCs w:val="24"/>
          <w:lang w:val="fr-FR"/>
        </w:rPr>
        <w:t>Cordis</w:t>
      </w:r>
      <w:proofErr w:type="spellEnd"/>
      <w:r w:rsidRPr="001D6484">
        <w:rPr>
          <w:rFonts w:ascii="Times New Roman" w:hAnsi="Times New Roman" w:cs="Times New Roman"/>
          <w:i/>
          <w:color w:val="000000" w:themeColor="text1"/>
          <w:sz w:val="24"/>
          <w:szCs w:val="24"/>
          <w:lang w:val="fr-FR"/>
        </w:rPr>
        <w:t xml:space="preserve">, </w:t>
      </w:r>
      <w:proofErr w:type="spellStart"/>
      <w:r w:rsidRPr="001D6484">
        <w:rPr>
          <w:rFonts w:ascii="Times New Roman" w:hAnsi="Times New Roman" w:cs="Times New Roman"/>
          <w:i/>
          <w:color w:val="000000" w:themeColor="text1"/>
          <w:sz w:val="24"/>
          <w:szCs w:val="24"/>
          <w:lang w:val="fr-FR"/>
        </w:rPr>
        <w:t>European</w:t>
      </w:r>
      <w:proofErr w:type="spellEnd"/>
      <w:r w:rsidRPr="001D6484">
        <w:rPr>
          <w:rFonts w:ascii="Times New Roman" w:hAnsi="Times New Roman" w:cs="Times New Roman"/>
          <w:i/>
          <w:color w:val="000000" w:themeColor="text1"/>
          <w:sz w:val="24"/>
          <w:szCs w:val="24"/>
          <w:lang w:val="fr-FR"/>
        </w:rPr>
        <w:t xml:space="preserve"> Commission</w:t>
      </w:r>
      <w:r w:rsidRPr="001D6484">
        <w:rPr>
          <w:rFonts w:ascii="Times New Roman" w:hAnsi="Times New Roman" w:cs="Times New Roman"/>
          <w:color w:val="000000" w:themeColor="text1"/>
          <w:sz w:val="24"/>
          <w:szCs w:val="24"/>
          <w:lang w:val="fr-FR"/>
        </w:rPr>
        <w:t xml:space="preserve">.  </w:t>
      </w:r>
      <w:hyperlink r:id="rId64" w:history="1">
        <w:r w:rsidRPr="001D6484">
          <w:rPr>
            <w:rStyle w:val="Hyperlink"/>
            <w:rFonts w:ascii="Times New Roman" w:hAnsi="Times New Roman" w:cs="Times New Roman"/>
            <w:sz w:val="24"/>
            <w:szCs w:val="24"/>
          </w:rPr>
          <w:t>https://cordis.europa.eu/docs/publications/7078/70781441-6_en.pdf</w:t>
        </w:r>
      </w:hyperlink>
    </w:p>
    <w:p w14:paraId="4A950C8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Koenig, Robert. “Research Chief Wants to Make Science Matter.” </w:t>
      </w:r>
      <w:r w:rsidRPr="001D6484">
        <w:rPr>
          <w:rFonts w:ascii="Times New Roman" w:hAnsi="Times New Roman" w:cs="Times New Roman"/>
          <w:i/>
          <w:color w:val="000000" w:themeColor="text1"/>
          <w:sz w:val="24"/>
          <w:szCs w:val="24"/>
        </w:rPr>
        <w:t>Science Magazine</w:t>
      </w:r>
      <w:r w:rsidRPr="001D6484">
        <w:rPr>
          <w:rFonts w:ascii="Times New Roman" w:hAnsi="Times New Roman" w:cs="Times New Roman"/>
          <w:color w:val="000000" w:themeColor="text1"/>
          <w:sz w:val="24"/>
          <w:szCs w:val="24"/>
        </w:rPr>
        <w:t xml:space="preserve"> 286, 5447 (December 10, 1999): 2065-2067. </w:t>
      </w:r>
      <w:hyperlink r:id="rId65" w:history="1">
        <w:r w:rsidRPr="001D6484">
          <w:rPr>
            <w:rStyle w:val="Hyperlink"/>
            <w:rFonts w:ascii="Times New Roman" w:hAnsi="Times New Roman" w:cs="Times New Roman"/>
            <w:sz w:val="24"/>
            <w:szCs w:val="24"/>
          </w:rPr>
          <w:t>http://science.sciencemag.org/content/286/5447/2065</w:t>
        </w:r>
      </w:hyperlink>
      <w:r w:rsidRPr="001D6484">
        <w:rPr>
          <w:rFonts w:ascii="Times New Roman" w:hAnsi="Times New Roman" w:cs="Times New Roman"/>
          <w:color w:val="000000" w:themeColor="text1"/>
          <w:sz w:val="24"/>
          <w:szCs w:val="24"/>
        </w:rPr>
        <w:t xml:space="preserve"> </w:t>
      </w:r>
    </w:p>
    <w:p w14:paraId="530EEEC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Kurzer</w:t>
      </w:r>
      <w:proofErr w:type="spellEnd"/>
      <w:r w:rsidRPr="001D6484">
        <w:rPr>
          <w:rFonts w:ascii="Times New Roman" w:hAnsi="Times New Roman" w:cs="Times New Roman"/>
          <w:color w:val="000000" w:themeColor="text1"/>
          <w:sz w:val="24"/>
          <w:szCs w:val="24"/>
        </w:rPr>
        <w:t xml:space="preserve">, Paulette and Alice Cooper. “Consumer Activism, EU Institutions and Global Markets: The Struggle over Biotech Foods.” </w:t>
      </w:r>
      <w:r w:rsidRPr="001D6484">
        <w:rPr>
          <w:rFonts w:ascii="Times New Roman" w:hAnsi="Times New Roman" w:cs="Times New Roman"/>
          <w:i/>
          <w:color w:val="000000" w:themeColor="text1"/>
          <w:sz w:val="24"/>
          <w:szCs w:val="24"/>
        </w:rPr>
        <w:t>Journal of Public Policy</w:t>
      </w:r>
      <w:r w:rsidRPr="001D6484">
        <w:rPr>
          <w:rFonts w:ascii="Times New Roman" w:hAnsi="Times New Roman" w:cs="Times New Roman"/>
          <w:color w:val="000000" w:themeColor="text1"/>
          <w:sz w:val="24"/>
          <w:szCs w:val="24"/>
        </w:rPr>
        <w:t xml:space="preserve"> 27, no. 2 (May-Aug 2007): 103-128.</w:t>
      </w:r>
    </w:p>
    <w:p w14:paraId="7EEA8681"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Lackey, Robert. “Science, Scientists, and Policy Advocacy.” </w:t>
      </w:r>
      <w:r w:rsidRPr="001D6484">
        <w:rPr>
          <w:rFonts w:ascii="Times New Roman" w:hAnsi="Times New Roman" w:cs="Times New Roman"/>
          <w:i/>
          <w:color w:val="000000" w:themeColor="text1"/>
          <w:sz w:val="24"/>
          <w:szCs w:val="24"/>
        </w:rPr>
        <w:t>Conservation Biology</w:t>
      </w:r>
      <w:r w:rsidRPr="001D6484">
        <w:rPr>
          <w:rFonts w:ascii="Times New Roman" w:hAnsi="Times New Roman" w:cs="Times New Roman"/>
          <w:color w:val="000000" w:themeColor="text1"/>
          <w:sz w:val="24"/>
          <w:szCs w:val="24"/>
        </w:rPr>
        <w:t xml:space="preserve"> 21, no. 1 (February 2007): 12–17.</w:t>
      </w:r>
    </w:p>
    <w:p w14:paraId="0636F0A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Löfstedt</w:t>
      </w:r>
      <w:proofErr w:type="spellEnd"/>
      <w:r w:rsidRPr="001D6484">
        <w:rPr>
          <w:rFonts w:ascii="Times New Roman" w:hAnsi="Times New Roman" w:cs="Times New Roman"/>
          <w:color w:val="000000" w:themeColor="text1"/>
          <w:sz w:val="24"/>
          <w:szCs w:val="24"/>
        </w:rPr>
        <w:t xml:space="preserve">, Ragnar. “The precautionary principle in the EU: Why a formal review is long overdue,” </w:t>
      </w:r>
      <w:r w:rsidRPr="001D6484">
        <w:rPr>
          <w:rFonts w:ascii="Times New Roman" w:hAnsi="Times New Roman" w:cs="Times New Roman"/>
          <w:i/>
          <w:color w:val="000000" w:themeColor="text1"/>
          <w:sz w:val="24"/>
          <w:szCs w:val="24"/>
        </w:rPr>
        <w:t>Risk Management</w:t>
      </w:r>
      <w:r w:rsidRPr="001D6484">
        <w:rPr>
          <w:rFonts w:ascii="Times New Roman" w:hAnsi="Times New Roman" w:cs="Times New Roman"/>
          <w:color w:val="000000" w:themeColor="text1"/>
          <w:sz w:val="24"/>
          <w:szCs w:val="24"/>
        </w:rPr>
        <w:t xml:space="preserve"> 16, 3 (2014): 137–163.</w:t>
      </w:r>
    </w:p>
    <w:p w14:paraId="04BA54BE"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Löfstedt</w:t>
      </w:r>
      <w:proofErr w:type="spellEnd"/>
      <w:r w:rsidRPr="001D6484">
        <w:rPr>
          <w:rFonts w:ascii="Times New Roman" w:hAnsi="Times New Roman" w:cs="Times New Roman"/>
          <w:color w:val="000000" w:themeColor="text1"/>
          <w:sz w:val="24"/>
          <w:szCs w:val="24"/>
        </w:rPr>
        <w:t>, Ragnar. “The Swing of the Regulatory Pendulum in Europe: From Precautionary Principle to (Regulatory) Impact Analysis.” Journal of Risk and Uncertainty, 28 no. 3 (May 2004): 237-260.</w:t>
      </w:r>
    </w:p>
    <w:p w14:paraId="7B51A0F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Louch</w:t>
      </w:r>
      <w:proofErr w:type="spellEnd"/>
      <w:r w:rsidRPr="001D6484">
        <w:rPr>
          <w:rFonts w:ascii="Times New Roman" w:hAnsi="Times New Roman" w:cs="Times New Roman"/>
          <w:color w:val="000000" w:themeColor="text1"/>
          <w:sz w:val="24"/>
          <w:szCs w:val="24"/>
        </w:rPr>
        <w:t xml:space="preserve">, William. “MEPs reject 'half-baked' EU Commission GMO opt-out plans,” </w:t>
      </w:r>
      <w:r w:rsidRPr="001D6484">
        <w:rPr>
          <w:rFonts w:ascii="Times New Roman" w:hAnsi="Times New Roman" w:cs="Times New Roman"/>
          <w:i/>
          <w:color w:val="000000" w:themeColor="text1"/>
          <w:sz w:val="24"/>
          <w:szCs w:val="24"/>
        </w:rPr>
        <w:t>The Parliament Magazine,</w:t>
      </w:r>
      <w:r w:rsidRPr="001D6484">
        <w:rPr>
          <w:rFonts w:ascii="Times New Roman" w:hAnsi="Times New Roman" w:cs="Times New Roman"/>
          <w:color w:val="000000" w:themeColor="text1"/>
          <w:sz w:val="24"/>
          <w:szCs w:val="24"/>
        </w:rPr>
        <w:t xml:space="preserve"> October 28, 2015. </w:t>
      </w:r>
      <w:hyperlink r:id="rId66" w:history="1">
        <w:r w:rsidRPr="001D6484">
          <w:rPr>
            <w:rStyle w:val="Hyperlink"/>
            <w:rFonts w:ascii="Times New Roman" w:hAnsi="Times New Roman" w:cs="Times New Roman"/>
            <w:sz w:val="24"/>
            <w:szCs w:val="24"/>
          </w:rPr>
          <w:t>https://www.theparliamentmagazine.eu/articles/news/meps-reject-half-baked-eu-commission-gmo-opt-out-plans</w:t>
        </w:r>
      </w:hyperlink>
    </w:p>
    <w:p w14:paraId="0599EAF2"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Lynas</w:t>
      </w:r>
      <w:proofErr w:type="spellEnd"/>
      <w:r w:rsidRPr="001D6484">
        <w:rPr>
          <w:rFonts w:ascii="Times New Roman" w:hAnsi="Times New Roman" w:cs="Times New Roman"/>
          <w:color w:val="000000" w:themeColor="text1"/>
          <w:sz w:val="24"/>
          <w:szCs w:val="24"/>
        </w:rPr>
        <w:t xml:space="preserve">, Mark. “With G.M.O. Policies, Europe Turns Against Science,” </w:t>
      </w:r>
      <w:r w:rsidRPr="001D6484">
        <w:rPr>
          <w:rFonts w:ascii="Times New Roman" w:hAnsi="Times New Roman" w:cs="Times New Roman"/>
          <w:i/>
          <w:color w:val="000000" w:themeColor="text1"/>
          <w:sz w:val="24"/>
          <w:szCs w:val="24"/>
        </w:rPr>
        <w:t>The New York Times</w:t>
      </w:r>
      <w:r w:rsidRPr="001D6484">
        <w:rPr>
          <w:rFonts w:ascii="Times New Roman" w:hAnsi="Times New Roman" w:cs="Times New Roman"/>
          <w:color w:val="000000" w:themeColor="text1"/>
          <w:sz w:val="24"/>
          <w:szCs w:val="24"/>
        </w:rPr>
        <w:t xml:space="preserve">, October 24, 2015. </w:t>
      </w:r>
      <w:hyperlink r:id="rId67" w:history="1">
        <w:r w:rsidRPr="001D6484">
          <w:rPr>
            <w:rStyle w:val="Hyperlink"/>
            <w:rFonts w:ascii="Times New Roman" w:hAnsi="Times New Roman" w:cs="Times New Roman"/>
            <w:sz w:val="24"/>
            <w:szCs w:val="24"/>
          </w:rPr>
          <w:t>http://www.nytimes.com/2015/10/25/opinion/sunday/with-gmo-policies-europe-turns-against-science.html</w:t>
        </w:r>
      </w:hyperlink>
      <w:r w:rsidRPr="001D6484">
        <w:rPr>
          <w:rStyle w:val="Hyperlink"/>
          <w:rFonts w:ascii="Times New Roman" w:hAnsi="Times New Roman" w:cs="Times New Roman"/>
          <w:color w:val="000000" w:themeColor="text1"/>
          <w:sz w:val="24"/>
          <w:szCs w:val="24"/>
        </w:rPr>
        <w:t xml:space="preserve"> </w:t>
      </w:r>
    </w:p>
    <w:p w14:paraId="7CD70214"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lastRenderedPageBreak/>
        <w:t xml:space="preserve">Lynch, </w:t>
      </w:r>
      <w:proofErr w:type="spellStart"/>
      <w:r w:rsidRPr="001D6484">
        <w:rPr>
          <w:rFonts w:ascii="Times New Roman" w:hAnsi="Times New Roman" w:cs="Times New Roman"/>
          <w:color w:val="000000" w:themeColor="text1"/>
          <w:sz w:val="24"/>
          <w:szCs w:val="24"/>
        </w:rPr>
        <w:t>Diahanna</w:t>
      </w:r>
      <w:proofErr w:type="spellEnd"/>
      <w:r w:rsidRPr="001D6484">
        <w:rPr>
          <w:rFonts w:ascii="Times New Roman" w:hAnsi="Times New Roman" w:cs="Times New Roman"/>
          <w:color w:val="000000" w:themeColor="text1"/>
          <w:sz w:val="24"/>
          <w:szCs w:val="24"/>
        </w:rPr>
        <w:t xml:space="preserve"> and David Vogel. “The Regulation of GMOs in Europe and the United States: A Case-Study of Contemporary European Regulatory Politics.” </w:t>
      </w:r>
      <w:r w:rsidRPr="001D6484">
        <w:rPr>
          <w:rFonts w:ascii="Times New Roman" w:hAnsi="Times New Roman" w:cs="Times New Roman"/>
          <w:i/>
          <w:color w:val="000000" w:themeColor="text1"/>
          <w:sz w:val="24"/>
          <w:szCs w:val="24"/>
        </w:rPr>
        <w:t>Council on Foreign Relations Press</w:t>
      </w:r>
      <w:r w:rsidRPr="001D6484">
        <w:rPr>
          <w:rFonts w:ascii="Times New Roman" w:hAnsi="Times New Roman" w:cs="Times New Roman"/>
          <w:color w:val="000000" w:themeColor="text1"/>
          <w:sz w:val="24"/>
          <w:szCs w:val="24"/>
        </w:rPr>
        <w:t>, April 5, 2001.</w:t>
      </w:r>
    </w:p>
    <w:p w14:paraId="5F77B3FF"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Machiavelli, Niccolò. </w:t>
      </w:r>
      <w:r w:rsidRPr="001D6484">
        <w:rPr>
          <w:rFonts w:ascii="Times New Roman" w:hAnsi="Times New Roman" w:cs="Times New Roman"/>
          <w:i/>
          <w:color w:val="000000" w:themeColor="text1"/>
          <w:sz w:val="24"/>
          <w:szCs w:val="24"/>
        </w:rPr>
        <w:t>The Prince</w:t>
      </w:r>
      <w:r w:rsidRPr="001D6484">
        <w:rPr>
          <w:rFonts w:ascii="Times New Roman" w:hAnsi="Times New Roman" w:cs="Times New Roman"/>
          <w:color w:val="000000" w:themeColor="text1"/>
          <w:sz w:val="24"/>
          <w:szCs w:val="24"/>
        </w:rPr>
        <w:t xml:space="preserve">. Italy: Antonio </w:t>
      </w:r>
      <w:proofErr w:type="spellStart"/>
      <w:r w:rsidRPr="001D6484">
        <w:rPr>
          <w:rFonts w:ascii="Times New Roman" w:hAnsi="Times New Roman" w:cs="Times New Roman"/>
          <w:color w:val="000000" w:themeColor="text1"/>
          <w:sz w:val="24"/>
          <w:szCs w:val="24"/>
        </w:rPr>
        <w:t>Blado</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d’Asola</w:t>
      </w:r>
      <w:proofErr w:type="spellEnd"/>
      <w:r w:rsidRPr="001D6484">
        <w:rPr>
          <w:rFonts w:ascii="Times New Roman" w:hAnsi="Times New Roman" w:cs="Times New Roman"/>
          <w:color w:val="000000" w:themeColor="text1"/>
          <w:sz w:val="24"/>
          <w:szCs w:val="24"/>
        </w:rPr>
        <w:t>, 1532.</w:t>
      </w:r>
    </w:p>
    <w:p w14:paraId="0E412BD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Madison, James and Alexander Hamilton. </w:t>
      </w:r>
      <w:r w:rsidRPr="001D6484">
        <w:rPr>
          <w:rFonts w:ascii="Times New Roman" w:hAnsi="Times New Roman" w:cs="Times New Roman"/>
          <w:i/>
          <w:color w:val="000000" w:themeColor="text1"/>
          <w:sz w:val="24"/>
          <w:szCs w:val="24"/>
        </w:rPr>
        <w:t>The Federalist Papers</w:t>
      </w:r>
      <w:r w:rsidRPr="001D6484">
        <w:rPr>
          <w:rFonts w:ascii="Times New Roman" w:hAnsi="Times New Roman" w:cs="Times New Roman"/>
          <w:color w:val="000000" w:themeColor="text1"/>
          <w:sz w:val="24"/>
          <w:szCs w:val="24"/>
        </w:rPr>
        <w:t>, (esp. “No. 51”). Various Publishers (The Independent Journal, New York Packet, The Daily Advertiser, J &amp; A McLean): 1787-1788.</w:t>
      </w:r>
    </w:p>
    <w:p w14:paraId="753C51D0"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Michalopoulous</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Sarantis</w:t>
      </w:r>
      <w:proofErr w:type="spellEnd"/>
      <w:r w:rsidRPr="001D6484">
        <w:rPr>
          <w:rFonts w:ascii="Times New Roman" w:hAnsi="Times New Roman" w:cs="Times New Roman"/>
          <w:color w:val="000000" w:themeColor="text1"/>
          <w:sz w:val="24"/>
          <w:szCs w:val="24"/>
        </w:rPr>
        <w:t xml:space="preserve">. "Nobel Laureate: EU politicians ignore ‘politically unwelcome’ GMO science.” </w:t>
      </w:r>
      <w:proofErr w:type="spellStart"/>
      <w:r w:rsidRPr="001D6484">
        <w:rPr>
          <w:rFonts w:ascii="Times New Roman" w:hAnsi="Times New Roman" w:cs="Times New Roman"/>
          <w:i/>
          <w:color w:val="000000" w:themeColor="text1"/>
          <w:sz w:val="24"/>
          <w:szCs w:val="24"/>
        </w:rPr>
        <w:t>Euractiv</w:t>
      </w:r>
      <w:proofErr w:type="spellEnd"/>
      <w:r w:rsidRPr="001D6484">
        <w:rPr>
          <w:rFonts w:ascii="Times New Roman" w:hAnsi="Times New Roman" w:cs="Times New Roman"/>
          <w:i/>
          <w:color w:val="000000" w:themeColor="text1"/>
          <w:sz w:val="24"/>
          <w:szCs w:val="24"/>
        </w:rPr>
        <w:t xml:space="preserve">, </w:t>
      </w:r>
      <w:r w:rsidRPr="001D6484">
        <w:rPr>
          <w:rFonts w:ascii="Times New Roman" w:hAnsi="Times New Roman" w:cs="Times New Roman"/>
          <w:color w:val="000000" w:themeColor="text1"/>
          <w:sz w:val="24"/>
          <w:szCs w:val="24"/>
        </w:rPr>
        <w:t xml:space="preserve">September 27, 2016. </w:t>
      </w:r>
    </w:p>
    <w:p w14:paraId="261B8FED"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sz w:val="24"/>
          <w:szCs w:val="24"/>
        </w:rPr>
        <w:t>Micó</w:t>
      </w:r>
      <w:proofErr w:type="spellEnd"/>
      <w:r w:rsidRPr="001D6484">
        <w:rPr>
          <w:rFonts w:ascii="Times New Roman" w:hAnsi="Times New Roman" w:cs="Times New Roman"/>
          <w:sz w:val="24"/>
          <w:szCs w:val="24"/>
        </w:rPr>
        <w:t xml:space="preserve">, </w:t>
      </w:r>
      <w:proofErr w:type="spellStart"/>
      <w:r w:rsidRPr="001D6484">
        <w:rPr>
          <w:rFonts w:ascii="Times New Roman" w:hAnsi="Times New Roman" w:cs="Times New Roman"/>
          <w:sz w:val="24"/>
          <w:szCs w:val="24"/>
        </w:rPr>
        <w:t>Josep-Lluís</w:t>
      </w:r>
      <w:proofErr w:type="spellEnd"/>
      <w:r w:rsidRPr="001D6484">
        <w:rPr>
          <w:rFonts w:ascii="Times New Roman" w:hAnsi="Times New Roman" w:cs="Times New Roman"/>
          <w:sz w:val="24"/>
          <w:szCs w:val="24"/>
        </w:rPr>
        <w:t xml:space="preserve"> and Andreu </w:t>
      </w:r>
      <w:proofErr w:type="spellStart"/>
      <w:r w:rsidRPr="001D6484">
        <w:rPr>
          <w:rFonts w:ascii="Times New Roman" w:hAnsi="Times New Roman" w:cs="Times New Roman"/>
          <w:sz w:val="24"/>
          <w:szCs w:val="24"/>
        </w:rPr>
        <w:t>Casero-Ripollés</w:t>
      </w:r>
      <w:proofErr w:type="spellEnd"/>
      <w:r w:rsidRPr="001D6484">
        <w:rPr>
          <w:rFonts w:ascii="Times New Roman" w:hAnsi="Times New Roman" w:cs="Times New Roman"/>
          <w:sz w:val="24"/>
          <w:szCs w:val="24"/>
        </w:rPr>
        <w:t xml:space="preserve">. “Political activism online: organization and media relations in the case of 15M in Spain.” </w:t>
      </w:r>
      <w:r w:rsidRPr="001D6484">
        <w:rPr>
          <w:rFonts w:ascii="Times New Roman" w:hAnsi="Times New Roman" w:cs="Times New Roman"/>
          <w:i/>
          <w:sz w:val="24"/>
          <w:szCs w:val="24"/>
        </w:rPr>
        <w:t>Information, Communication &amp; Society</w:t>
      </w:r>
      <w:r w:rsidRPr="001D6484">
        <w:rPr>
          <w:rFonts w:ascii="Times New Roman" w:hAnsi="Times New Roman" w:cs="Times New Roman"/>
          <w:sz w:val="24"/>
          <w:szCs w:val="24"/>
        </w:rPr>
        <w:t xml:space="preserve"> 17 (2014): 858-871.</w:t>
      </w:r>
    </w:p>
    <w:p w14:paraId="0A6D383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Mitchell, William C. “Schumpeter and Public Choice, Part I: Precursor to Public Choice?” </w:t>
      </w:r>
      <w:r w:rsidRPr="001D6484">
        <w:rPr>
          <w:rFonts w:ascii="Times New Roman" w:hAnsi="Times New Roman" w:cs="Times New Roman"/>
          <w:i/>
          <w:color w:val="000000" w:themeColor="text1"/>
          <w:sz w:val="24"/>
          <w:szCs w:val="24"/>
        </w:rPr>
        <w:t>Public Choice</w:t>
      </w:r>
      <w:r w:rsidRPr="001D6484">
        <w:rPr>
          <w:rFonts w:ascii="Times New Roman" w:hAnsi="Times New Roman" w:cs="Times New Roman"/>
          <w:color w:val="000000" w:themeColor="text1"/>
          <w:sz w:val="24"/>
          <w:szCs w:val="24"/>
        </w:rPr>
        <w:t xml:space="preserve"> 42, no. 1 (1984): 73-88.</w:t>
      </w:r>
    </w:p>
    <w:p w14:paraId="1B12438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Mratinelli</w:t>
      </w:r>
      <w:proofErr w:type="spellEnd"/>
      <w:r w:rsidRPr="001D6484">
        <w:rPr>
          <w:rFonts w:ascii="Times New Roman" w:hAnsi="Times New Roman" w:cs="Times New Roman"/>
          <w:color w:val="000000" w:themeColor="text1"/>
          <w:sz w:val="24"/>
          <w:szCs w:val="24"/>
        </w:rPr>
        <w:t xml:space="preserve">, César. “Rational ignorance and voting behavior.” </w:t>
      </w:r>
      <w:r w:rsidRPr="001D6484">
        <w:rPr>
          <w:rFonts w:ascii="Times New Roman" w:hAnsi="Times New Roman" w:cs="Times New Roman"/>
          <w:i/>
          <w:color w:val="000000" w:themeColor="text1"/>
          <w:sz w:val="24"/>
          <w:szCs w:val="24"/>
        </w:rPr>
        <w:t>International Journal of Game Theory</w:t>
      </w:r>
      <w:r w:rsidRPr="001D6484">
        <w:rPr>
          <w:rFonts w:ascii="Times New Roman" w:hAnsi="Times New Roman" w:cs="Times New Roman"/>
          <w:color w:val="000000" w:themeColor="text1"/>
          <w:sz w:val="24"/>
          <w:szCs w:val="24"/>
        </w:rPr>
        <w:t xml:space="preserve"> 35 (2007): 315-335.</w:t>
      </w:r>
    </w:p>
    <w:p w14:paraId="26B5C965"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Nyborg</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Karine</w:t>
      </w:r>
      <w:proofErr w:type="spellEnd"/>
      <w:r w:rsidRPr="001D6484">
        <w:rPr>
          <w:rFonts w:ascii="Times New Roman" w:hAnsi="Times New Roman" w:cs="Times New Roman"/>
          <w:color w:val="000000" w:themeColor="text1"/>
          <w:sz w:val="24"/>
          <w:szCs w:val="24"/>
        </w:rPr>
        <w:t xml:space="preserve">. “I don’t want to hear about it: Rational ignorance among duty-oriented consumers.” </w:t>
      </w:r>
      <w:r w:rsidRPr="001D6484">
        <w:rPr>
          <w:rFonts w:ascii="Times New Roman" w:hAnsi="Times New Roman" w:cs="Times New Roman"/>
          <w:i/>
          <w:color w:val="000000" w:themeColor="text1"/>
          <w:sz w:val="24"/>
          <w:szCs w:val="24"/>
        </w:rPr>
        <w:t>Journal of Economic Behavior &amp; Organization</w:t>
      </w:r>
      <w:r w:rsidRPr="001D6484">
        <w:rPr>
          <w:rFonts w:ascii="Times New Roman" w:hAnsi="Times New Roman" w:cs="Times New Roman"/>
          <w:color w:val="000000" w:themeColor="text1"/>
          <w:sz w:val="24"/>
          <w:szCs w:val="24"/>
        </w:rPr>
        <w:t>, 79 (2011): 263-274.</w:t>
      </w:r>
    </w:p>
    <w:p w14:paraId="26FBED60"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OECD Directorate for Science Technology and Innovation. “Key biotechnology indicators.” Most recent data (2015). Last update November 2017. oe.cd/</w:t>
      </w:r>
      <w:proofErr w:type="spellStart"/>
      <w:r w:rsidRPr="001D6484">
        <w:rPr>
          <w:rFonts w:ascii="Times New Roman" w:hAnsi="Times New Roman" w:cs="Times New Roman"/>
          <w:color w:val="000000" w:themeColor="text1"/>
          <w:sz w:val="24"/>
          <w:szCs w:val="24"/>
        </w:rPr>
        <w:t>kbi</w:t>
      </w:r>
      <w:proofErr w:type="spellEnd"/>
      <w:r w:rsidRPr="001D6484">
        <w:rPr>
          <w:rFonts w:ascii="Times New Roman" w:hAnsi="Times New Roman" w:cs="Times New Roman"/>
          <w:color w:val="000000" w:themeColor="text1"/>
          <w:sz w:val="24"/>
          <w:szCs w:val="24"/>
        </w:rPr>
        <w:t xml:space="preserve">  </w:t>
      </w:r>
    </w:p>
    <w:p w14:paraId="29CE52DE" w14:textId="77777777" w:rsidR="001D6484" w:rsidRPr="001D6484" w:rsidRDefault="001D6484" w:rsidP="008A4BFB">
      <w:pPr>
        <w:spacing w:before="240"/>
        <w:ind w:left="720" w:hanging="720"/>
        <w:rPr>
          <w:rFonts w:ascii="Times New Roman" w:hAnsi="Times New Roman" w:cs="Times New Roman"/>
          <w:color w:val="000000" w:themeColor="text1"/>
          <w:sz w:val="24"/>
          <w:szCs w:val="24"/>
          <w:lang w:val="fr-FR"/>
        </w:rPr>
      </w:pPr>
      <w:proofErr w:type="spellStart"/>
      <w:r w:rsidRPr="001D6484">
        <w:rPr>
          <w:rFonts w:ascii="Times New Roman" w:hAnsi="Times New Roman" w:cs="Times New Roman"/>
          <w:color w:val="000000" w:themeColor="text1"/>
          <w:sz w:val="24"/>
          <w:szCs w:val="24"/>
        </w:rPr>
        <w:t>Orntzeder</w:t>
      </w:r>
      <w:proofErr w:type="spellEnd"/>
      <w:r w:rsidRPr="001D6484">
        <w:rPr>
          <w:rFonts w:ascii="Times New Roman" w:hAnsi="Times New Roman" w:cs="Times New Roman"/>
          <w:color w:val="000000" w:themeColor="text1"/>
          <w:sz w:val="24"/>
          <w:szCs w:val="24"/>
        </w:rPr>
        <w:t xml:space="preserve">, Michael and Karen </w:t>
      </w:r>
      <w:proofErr w:type="spellStart"/>
      <w:r w:rsidRPr="001D6484">
        <w:rPr>
          <w:rFonts w:ascii="Times New Roman" w:hAnsi="Times New Roman" w:cs="Times New Roman"/>
          <w:color w:val="000000" w:themeColor="text1"/>
          <w:sz w:val="24"/>
          <w:szCs w:val="24"/>
        </w:rPr>
        <w:t>Kastenhofer</w:t>
      </w:r>
      <w:proofErr w:type="spellEnd"/>
      <w:r w:rsidRPr="001D6484">
        <w:rPr>
          <w:rFonts w:ascii="Times New Roman" w:hAnsi="Times New Roman" w:cs="Times New Roman"/>
          <w:color w:val="000000" w:themeColor="text1"/>
          <w:sz w:val="24"/>
          <w:szCs w:val="24"/>
        </w:rPr>
        <w:t xml:space="preserve">. “Old problems, new directions and upcoming requirements in participatory technology assessment.” </w:t>
      </w:r>
      <w:r w:rsidRPr="001D6484">
        <w:rPr>
          <w:rFonts w:ascii="Times New Roman" w:hAnsi="Times New Roman" w:cs="Times New Roman"/>
          <w:color w:val="000000" w:themeColor="text1"/>
          <w:sz w:val="24"/>
          <w:szCs w:val="24"/>
          <w:lang w:val="fr-FR"/>
        </w:rPr>
        <w:t xml:space="preserve">Editorial in </w:t>
      </w:r>
      <w:proofErr w:type="spellStart"/>
      <w:r w:rsidRPr="001D6484">
        <w:rPr>
          <w:rFonts w:ascii="Times New Roman" w:hAnsi="Times New Roman" w:cs="Times New Roman"/>
          <w:i/>
          <w:color w:val="000000" w:themeColor="text1"/>
          <w:sz w:val="24"/>
          <w:szCs w:val="24"/>
          <w:lang w:val="fr-FR"/>
        </w:rPr>
        <w:t>Poiesis</w:t>
      </w:r>
      <w:proofErr w:type="spellEnd"/>
      <w:r w:rsidRPr="001D6484">
        <w:rPr>
          <w:rFonts w:ascii="Times New Roman" w:hAnsi="Times New Roman" w:cs="Times New Roman"/>
          <w:i/>
          <w:color w:val="000000" w:themeColor="text1"/>
          <w:sz w:val="24"/>
          <w:szCs w:val="24"/>
          <w:lang w:val="fr-FR"/>
        </w:rPr>
        <w:t xml:space="preserve"> </w:t>
      </w:r>
      <w:proofErr w:type="spellStart"/>
      <w:r w:rsidRPr="001D6484">
        <w:rPr>
          <w:rFonts w:ascii="Times New Roman" w:hAnsi="Times New Roman" w:cs="Times New Roman"/>
          <w:i/>
          <w:color w:val="000000" w:themeColor="text1"/>
          <w:sz w:val="24"/>
          <w:szCs w:val="24"/>
          <w:lang w:val="fr-FR"/>
        </w:rPr>
        <w:t>Prax</w:t>
      </w:r>
      <w:proofErr w:type="spellEnd"/>
      <w:r w:rsidRPr="001D6484">
        <w:rPr>
          <w:rFonts w:ascii="Times New Roman" w:hAnsi="Times New Roman" w:cs="Times New Roman"/>
          <w:i/>
          <w:color w:val="000000" w:themeColor="text1"/>
          <w:sz w:val="24"/>
          <w:szCs w:val="24"/>
          <w:lang w:val="fr-FR"/>
        </w:rPr>
        <w:t xml:space="preserve"> 9</w:t>
      </w:r>
      <w:r w:rsidRPr="001D6484">
        <w:rPr>
          <w:rFonts w:ascii="Times New Roman" w:hAnsi="Times New Roman" w:cs="Times New Roman"/>
          <w:color w:val="000000" w:themeColor="text1"/>
          <w:sz w:val="24"/>
          <w:szCs w:val="24"/>
          <w:lang w:val="fr-FR"/>
        </w:rPr>
        <w:t xml:space="preserve"> (2012</w:t>
      </w:r>
      <w:proofErr w:type="gramStart"/>
      <w:r w:rsidRPr="001D6484">
        <w:rPr>
          <w:rFonts w:ascii="Times New Roman" w:hAnsi="Times New Roman" w:cs="Times New Roman"/>
          <w:color w:val="000000" w:themeColor="text1"/>
          <w:sz w:val="24"/>
          <w:szCs w:val="24"/>
          <w:lang w:val="fr-FR"/>
        </w:rPr>
        <w:t>):</w:t>
      </w:r>
      <w:proofErr w:type="gramEnd"/>
      <w:r w:rsidRPr="001D6484">
        <w:rPr>
          <w:rFonts w:ascii="Times New Roman" w:hAnsi="Times New Roman" w:cs="Times New Roman"/>
          <w:color w:val="000000" w:themeColor="text1"/>
          <w:sz w:val="24"/>
          <w:szCs w:val="24"/>
          <w:lang w:val="fr-FR"/>
        </w:rPr>
        <w:t xml:space="preserve"> 1–5. DOI 10.1007/s10202-012-0116-3 </w:t>
      </w:r>
    </w:p>
    <w:p w14:paraId="6B4DE410"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lang w:val="fr-FR"/>
        </w:rPr>
        <w:t xml:space="preserve">Ouest France. “Sondage. Les OGM inquiètent de plus en plus les Français.” </w:t>
      </w:r>
      <w:r w:rsidRPr="001D6484">
        <w:rPr>
          <w:rFonts w:ascii="Times New Roman" w:hAnsi="Times New Roman" w:cs="Times New Roman"/>
          <w:i/>
          <w:color w:val="000000" w:themeColor="text1"/>
          <w:sz w:val="24"/>
          <w:szCs w:val="24"/>
        </w:rPr>
        <w:t>Ouest France</w:t>
      </w:r>
      <w:r w:rsidRPr="001D6484">
        <w:rPr>
          <w:rFonts w:ascii="Times New Roman" w:hAnsi="Times New Roman" w:cs="Times New Roman"/>
          <w:color w:val="000000" w:themeColor="text1"/>
          <w:sz w:val="24"/>
          <w:szCs w:val="24"/>
        </w:rPr>
        <w:t>, September 27, 2013.</w:t>
      </w:r>
    </w:p>
    <w:p w14:paraId="26333CB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Plato. </w:t>
      </w:r>
      <w:r w:rsidRPr="001D6484">
        <w:rPr>
          <w:rFonts w:ascii="Times New Roman" w:hAnsi="Times New Roman" w:cs="Times New Roman"/>
          <w:i/>
          <w:color w:val="000000" w:themeColor="text1"/>
          <w:sz w:val="24"/>
          <w:szCs w:val="24"/>
        </w:rPr>
        <w:t>Republic</w:t>
      </w:r>
      <w:r w:rsidRPr="001D6484">
        <w:rPr>
          <w:rFonts w:ascii="Times New Roman" w:hAnsi="Times New Roman" w:cs="Times New Roman"/>
          <w:color w:val="000000" w:themeColor="text1"/>
          <w:sz w:val="24"/>
          <w:szCs w:val="24"/>
        </w:rPr>
        <w:t>. Greece: Self, ca. 380 BCE.</w:t>
      </w:r>
    </w:p>
    <w:p w14:paraId="16ACF88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Randour</w:t>
      </w:r>
      <w:proofErr w:type="spellEnd"/>
      <w:r w:rsidRPr="001D6484">
        <w:rPr>
          <w:rFonts w:ascii="Times New Roman" w:hAnsi="Times New Roman" w:cs="Times New Roman"/>
          <w:color w:val="000000" w:themeColor="text1"/>
          <w:sz w:val="24"/>
          <w:szCs w:val="24"/>
        </w:rPr>
        <w:t xml:space="preserve">, François et al. “The Cultivation of Genetically Modified Organisms in the European Union: A Necessary Trade-Off?” </w:t>
      </w:r>
      <w:r w:rsidRPr="001D6484">
        <w:rPr>
          <w:rFonts w:ascii="Times New Roman" w:hAnsi="Times New Roman" w:cs="Times New Roman"/>
          <w:i/>
          <w:color w:val="000000" w:themeColor="text1"/>
          <w:sz w:val="24"/>
          <w:szCs w:val="24"/>
        </w:rPr>
        <w:t>Journal of Common Market Studies</w:t>
      </w:r>
      <w:r w:rsidRPr="001D6484">
        <w:rPr>
          <w:rFonts w:ascii="Times New Roman" w:hAnsi="Times New Roman" w:cs="Times New Roman"/>
          <w:color w:val="000000" w:themeColor="text1"/>
          <w:sz w:val="24"/>
          <w:szCs w:val="24"/>
        </w:rPr>
        <w:t xml:space="preserve"> 52, no. 6 (2014): 1307-1323.</w:t>
      </w:r>
    </w:p>
    <w:p w14:paraId="04C7D1F4" w14:textId="77777777" w:rsidR="001D6484" w:rsidRPr="001D6484" w:rsidRDefault="001D6484" w:rsidP="00C94985">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Saiedi</w:t>
      </w:r>
      <w:proofErr w:type="spellEnd"/>
      <w:r w:rsidRPr="001D6484">
        <w:rPr>
          <w:rFonts w:ascii="Times New Roman" w:hAnsi="Times New Roman" w:cs="Times New Roman"/>
          <w:color w:val="000000" w:themeColor="text1"/>
          <w:sz w:val="24"/>
          <w:szCs w:val="24"/>
        </w:rPr>
        <w:t xml:space="preserve">, Nader. “A Critique of Habermas’ theory of Practical Rationality.” </w:t>
      </w:r>
      <w:r w:rsidRPr="001D6484">
        <w:rPr>
          <w:rFonts w:ascii="Times New Roman" w:hAnsi="Times New Roman" w:cs="Times New Roman"/>
          <w:i/>
          <w:color w:val="000000" w:themeColor="text1"/>
          <w:sz w:val="24"/>
          <w:szCs w:val="24"/>
        </w:rPr>
        <w:t>Studies in Soviet Thought</w:t>
      </w:r>
      <w:r w:rsidRPr="001D6484">
        <w:rPr>
          <w:rFonts w:ascii="Times New Roman" w:hAnsi="Times New Roman" w:cs="Times New Roman"/>
          <w:color w:val="000000" w:themeColor="text1"/>
          <w:sz w:val="24"/>
          <w:szCs w:val="24"/>
        </w:rPr>
        <w:t xml:space="preserve"> 33 (1987): 251-265.</w:t>
      </w:r>
    </w:p>
    <w:p w14:paraId="00CE2EDF"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Schumpeter, Joseph. </w:t>
      </w:r>
      <w:r w:rsidRPr="001D6484">
        <w:rPr>
          <w:rFonts w:ascii="Times New Roman" w:hAnsi="Times New Roman" w:cs="Times New Roman"/>
          <w:i/>
          <w:color w:val="000000" w:themeColor="text1"/>
          <w:sz w:val="24"/>
          <w:szCs w:val="24"/>
        </w:rPr>
        <w:t>Capitalism, Socialism, and Democracy</w:t>
      </w:r>
      <w:r w:rsidRPr="001D6484">
        <w:rPr>
          <w:rFonts w:ascii="Times New Roman" w:hAnsi="Times New Roman" w:cs="Times New Roman"/>
          <w:color w:val="000000" w:themeColor="text1"/>
          <w:sz w:val="24"/>
          <w:szCs w:val="24"/>
        </w:rPr>
        <w:t>, 3rd ed. New York: Harper &amp; Brothers, 1950.</w:t>
      </w:r>
    </w:p>
    <w:p w14:paraId="00E8E174" w14:textId="77777777" w:rsidR="001D6484" w:rsidRPr="001D6484" w:rsidRDefault="001D6484" w:rsidP="005510C0">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lastRenderedPageBreak/>
        <w:t xml:space="preserve">Scott, Joanne and Vos, Ellen. “The </w:t>
      </w:r>
      <w:proofErr w:type="spellStart"/>
      <w:r w:rsidRPr="001D6484">
        <w:rPr>
          <w:rFonts w:ascii="Times New Roman" w:hAnsi="Times New Roman" w:cs="Times New Roman"/>
          <w:sz w:val="24"/>
          <w:szCs w:val="24"/>
        </w:rPr>
        <w:t>Juridification</w:t>
      </w:r>
      <w:proofErr w:type="spellEnd"/>
      <w:r w:rsidRPr="001D6484">
        <w:rPr>
          <w:rFonts w:ascii="Times New Roman" w:hAnsi="Times New Roman" w:cs="Times New Roman"/>
          <w:sz w:val="24"/>
          <w:szCs w:val="24"/>
        </w:rPr>
        <w:t xml:space="preserve"> of Uncertainty: Observations on the Ambivalence of the Precautionary Principle within the EU and the WTO.” In </w:t>
      </w:r>
      <w:r w:rsidRPr="001D6484">
        <w:rPr>
          <w:rFonts w:ascii="Times New Roman" w:hAnsi="Times New Roman" w:cs="Times New Roman"/>
          <w:i/>
          <w:sz w:val="24"/>
          <w:szCs w:val="24"/>
        </w:rPr>
        <w:t>Good governance in Europe's integrated market</w:t>
      </w:r>
      <w:r w:rsidRPr="001D6484">
        <w:rPr>
          <w:rFonts w:ascii="Times New Roman" w:hAnsi="Times New Roman" w:cs="Times New Roman"/>
          <w:sz w:val="24"/>
          <w:szCs w:val="24"/>
        </w:rPr>
        <w:t xml:space="preserve">, edited by Christian </w:t>
      </w:r>
      <w:proofErr w:type="spellStart"/>
      <w:r w:rsidRPr="001D6484">
        <w:rPr>
          <w:rFonts w:ascii="Times New Roman" w:hAnsi="Times New Roman" w:cs="Times New Roman"/>
          <w:sz w:val="24"/>
          <w:szCs w:val="24"/>
        </w:rPr>
        <w:t>Joerges</w:t>
      </w:r>
      <w:proofErr w:type="spellEnd"/>
      <w:r w:rsidRPr="001D6484">
        <w:rPr>
          <w:rFonts w:ascii="Times New Roman" w:hAnsi="Times New Roman" w:cs="Times New Roman"/>
          <w:sz w:val="24"/>
          <w:szCs w:val="24"/>
        </w:rPr>
        <w:t xml:space="preserve"> and Renaud </w:t>
      </w:r>
      <w:proofErr w:type="spellStart"/>
      <w:r w:rsidRPr="001D6484">
        <w:rPr>
          <w:rFonts w:ascii="Times New Roman" w:hAnsi="Times New Roman" w:cs="Times New Roman"/>
          <w:sz w:val="24"/>
          <w:szCs w:val="24"/>
        </w:rPr>
        <w:t>Dehousse</w:t>
      </w:r>
      <w:proofErr w:type="spellEnd"/>
      <w:r w:rsidRPr="001D6484">
        <w:rPr>
          <w:rFonts w:ascii="Times New Roman" w:hAnsi="Times New Roman" w:cs="Times New Roman"/>
          <w:sz w:val="24"/>
          <w:szCs w:val="24"/>
        </w:rPr>
        <w:t xml:space="preserve">, </w:t>
      </w:r>
      <w:r w:rsidRPr="001D6484">
        <w:rPr>
          <w:rFonts w:ascii="Times New Roman" w:hAnsi="Times New Roman" w:cs="Times New Roman"/>
          <w:color w:val="000000" w:themeColor="text1"/>
          <w:sz w:val="24"/>
          <w:szCs w:val="24"/>
        </w:rPr>
        <w:t xml:space="preserve">253-286. </w:t>
      </w:r>
      <w:r w:rsidRPr="001D6484">
        <w:rPr>
          <w:rFonts w:ascii="Times New Roman" w:hAnsi="Times New Roman" w:cs="Times New Roman"/>
          <w:sz w:val="24"/>
          <w:szCs w:val="24"/>
        </w:rPr>
        <w:t>Oxford: Oxford Scholarship Online, 2002</w:t>
      </w:r>
      <w:r w:rsidRPr="001D6484">
        <w:rPr>
          <w:rFonts w:ascii="Times New Roman" w:hAnsi="Times New Roman" w:cs="Times New Roman"/>
          <w:color w:val="000000" w:themeColor="text1"/>
          <w:sz w:val="24"/>
          <w:szCs w:val="24"/>
        </w:rPr>
        <w:t>.</w:t>
      </w:r>
    </w:p>
    <w:p w14:paraId="011DDAB7"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Skogstad</w:t>
      </w:r>
      <w:proofErr w:type="spellEnd"/>
      <w:r w:rsidRPr="001D6484">
        <w:rPr>
          <w:rFonts w:ascii="Times New Roman" w:hAnsi="Times New Roman" w:cs="Times New Roman"/>
          <w:color w:val="000000" w:themeColor="text1"/>
          <w:sz w:val="24"/>
          <w:szCs w:val="24"/>
        </w:rPr>
        <w:t xml:space="preserve">, Grace. “Contested Accountability Claims and GMO Regulation in the European Union.” </w:t>
      </w:r>
      <w:r w:rsidRPr="001D6484">
        <w:rPr>
          <w:rFonts w:ascii="Times New Roman" w:hAnsi="Times New Roman" w:cs="Times New Roman"/>
          <w:i/>
          <w:color w:val="000000" w:themeColor="text1"/>
          <w:sz w:val="24"/>
          <w:szCs w:val="24"/>
        </w:rPr>
        <w:t>Journal of Common Market Studies</w:t>
      </w:r>
      <w:r w:rsidRPr="001D6484">
        <w:rPr>
          <w:rFonts w:ascii="Times New Roman" w:hAnsi="Times New Roman" w:cs="Times New Roman"/>
          <w:color w:val="000000" w:themeColor="text1"/>
          <w:sz w:val="24"/>
          <w:szCs w:val="24"/>
        </w:rPr>
        <w:t xml:space="preserve"> 49, no. 4 (2011): 697-922.</w:t>
      </w:r>
    </w:p>
    <w:p w14:paraId="715C469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Smith, Mitchell P. </w:t>
      </w:r>
      <w:r w:rsidRPr="001D6484">
        <w:rPr>
          <w:rFonts w:ascii="Times New Roman" w:hAnsi="Times New Roman" w:cs="Times New Roman"/>
          <w:i/>
          <w:color w:val="000000" w:themeColor="text1"/>
          <w:sz w:val="24"/>
          <w:szCs w:val="24"/>
        </w:rPr>
        <w:t xml:space="preserve">Environmental and Health Regulation in the United States and the European Union. </w:t>
      </w:r>
      <w:r w:rsidRPr="001D6484">
        <w:rPr>
          <w:rFonts w:ascii="Times New Roman" w:hAnsi="Times New Roman" w:cs="Times New Roman"/>
          <w:color w:val="000000" w:themeColor="text1"/>
          <w:sz w:val="24"/>
          <w:szCs w:val="24"/>
        </w:rPr>
        <w:t>New York: Palgrave Macmillan, 2012.</w:t>
      </w:r>
    </w:p>
    <w:p w14:paraId="7C0D6245"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Tagliabue, Giovanni. “The EU Legislation on ‘GMOs’ between nonsense and protectionism: An ongoing Schumpeterian chain of public choices.” </w:t>
      </w:r>
      <w:r w:rsidRPr="001D6484">
        <w:rPr>
          <w:rFonts w:ascii="Times New Roman" w:hAnsi="Times New Roman" w:cs="Times New Roman"/>
          <w:i/>
          <w:color w:val="000000" w:themeColor="text1"/>
          <w:sz w:val="24"/>
          <w:szCs w:val="24"/>
        </w:rPr>
        <w:t>GM Crops Food</w:t>
      </w:r>
      <w:r w:rsidRPr="001D6484">
        <w:rPr>
          <w:rFonts w:ascii="Times New Roman" w:hAnsi="Times New Roman" w:cs="Times New Roman"/>
          <w:color w:val="000000" w:themeColor="text1"/>
          <w:sz w:val="24"/>
          <w:szCs w:val="24"/>
        </w:rPr>
        <w:t xml:space="preserve"> 8, no. 1 (2017): 57-73.</w:t>
      </w:r>
    </w:p>
    <w:p w14:paraId="287FF504"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Teffer</w:t>
      </w:r>
      <w:proofErr w:type="spellEnd"/>
      <w:r w:rsidRPr="001D6484">
        <w:rPr>
          <w:rFonts w:ascii="Times New Roman" w:hAnsi="Times New Roman" w:cs="Times New Roman"/>
          <w:color w:val="000000" w:themeColor="text1"/>
          <w:sz w:val="24"/>
          <w:szCs w:val="24"/>
        </w:rPr>
        <w:t xml:space="preserve">, Peter. “Commission and council dig in on GMO opt-outs.” </w:t>
      </w:r>
      <w:r w:rsidRPr="001D6484">
        <w:rPr>
          <w:rFonts w:ascii="Times New Roman" w:hAnsi="Times New Roman" w:cs="Times New Roman"/>
          <w:i/>
          <w:color w:val="000000" w:themeColor="text1"/>
          <w:sz w:val="24"/>
          <w:szCs w:val="24"/>
        </w:rPr>
        <w:t>EU Observer</w:t>
      </w:r>
      <w:r w:rsidRPr="001D6484">
        <w:rPr>
          <w:rFonts w:ascii="Times New Roman" w:hAnsi="Times New Roman" w:cs="Times New Roman"/>
          <w:color w:val="000000" w:themeColor="text1"/>
          <w:sz w:val="24"/>
          <w:szCs w:val="24"/>
        </w:rPr>
        <w:t xml:space="preserve">, January 17, 2018. </w:t>
      </w:r>
      <w:hyperlink r:id="rId68" w:history="1">
        <w:r w:rsidRPr="001D6484">
          <w:rPr>
            <w:rStyle w:val="Hyperlink"/>
            <w:rFonts w:ascii="Times New Roman" w:hAnsi="Times New Roman" w:cs="Times New Roman"/>
            <w:sz w:val="24"/>
            <w:szCs w:val="24"/>
          </w:rPr>
          <w:t>https://euobserver.com/institutional/140583</w:t>
        </w:r>
      </w:hyperlink>
      <w:r w:rsidRPr="001D6484">
        <w:rPr>
          <w:rStyle w:val="Hyperlink"/>
          <w:rFonts w:ascii="Times New Roman" w:hAnsi="Times New Roman" w:cs="Times New Roman"/>
          <w:color w:val="000000" w:themeColor="text1"/>
          <w:sz w:val="24"/>
          <w:szCs w:val="24"/>
        </w:rPr>
        <w:t xml:space="preserve"> </w:t>
      </w:r>
    </w:p>
    <w:p w14:paraId="4FE76F59"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Thomson, Stephanie. “Is this the end of Schengen?” </w:t>
      </w:r>
      <w:r w:rsidRPr="001D6484">
        <w:rPr>
          <w:rFonts w:ascii="Times New Roman" w:hAnsi="Times New Roman" w:cs="Times New Roman"/>
          <w:i/>
          <w:color w:val="000000" w:themeColor="text1"/>
          <w:sz w:val="24"/>
          <w:szCs w:val="24"/>
        </w:rPr>
        <w:t>World Economic Forum</w:t>
      </w:r>
      <w:r w:rsidRPr="001D6484">
        <w:rPr>
          <w:rFonts w:ascii="Times New Roman" w:hAnsi="Times New Roman" w:cs="Times New Roman"/>
          <w:color w:val="000000" w:themeColor="text1"/>
          <w:sz w:val="24"/>
          <w:szCs w:val="24"/>
        </w:rPr>
        <w:t xml:space="preserve">, September 26, 2015. </w:t>
      </w:r>
      <w:hyperlink r:id="rId69" w:history="1">
        <w:r w:rsidRPr="001D6484">
          <w:rPr>
            <w:rStyle w:val="Hyperlink"/>
            <w:rFonts w:ascii="Times New Roman" w:hAnsi="Times New Roman" w:cs="Times New Roman"/>
            <w:sz w:val="24"/>
            <w:szCs w:val="24"/>
          </w:rPr>
          <w:t>https://www.weforum.org/agenda/2015/09/is-this-the-end-of-schengen/</w:t>
        </w:r>
      </w:hyperlink>
      <w:r w:rsidRPr="001D6484">
        <w:rPr>
          <w:rFonts w:ascii="Times New Roman" w:hAnsi="Times New Roman" w:cs="Times New Roman"/>
          <w:color w:val="000000" w:themeColor="text1"/>
          <w:sz w:val="24"/>
          <w:szCs w:val="24"/>
        </w:rPr>
        <w:t xml:space="preserve">  </w:t>
      </w:r>
    </w:p>
    <w:p w14:paraId="7CA77B73"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Tickner, Joel and David </w:t>
      </w:r>
      <w:proofErr w:type="spellStart"/>
      <w:r w:rsidRPr="001D6484">
        <w:rPr>
          <w:rFonts w:ascii="Times New Roman" w:hAnsi="Times New Roman" w:cs="Times New Roman"/>
          <w:color w:val="000000" w:themeColor="text1"/>
          <w:sz w:val="24"/>
          <w:szCs w:val="24"/>
        </w:rPr>
        <w:t>Kriebel</w:t>
      </w:r>
      <w:proofErr w:type="spellEnd"/>
      <w:r w:rsidRPr="001D6484">
        <w:rPr>
          <w:rFonts w:ascii="Times New Roman" w:hAnsi="Times New Roman" w:cs="Times New Roman"/>
          <w:color w:val="000000" w:themeColor="text1"/>
          <w:sz w:val="24"/>
          <w:szCs w:val="24"/>
        </w:rPr>
        <w:t xml:space="preserve">. “The Role of Science and Precaution in Environmental and Public Health Policy.” In </w:t>
      </w:r>
      <w:r w:rsidRPr="001D6484">
        <w:rPr>
          <w:rFonts w:ascii="Times New Roman" w:hAnsi="Times New Roman" w:cs="Times New Roman"/>
          <w:i/>
          <w:color w:val="000000" w:themeColor="text1"/>
          <w:sz w:val="24"/>
          <w:szCs w:val="24"/>
        </w:rPr>
        <w:t xml:space="preserve">Implementing the Precautionary Principle, </w:t>
      </w:r>
      <w:r w:rsidRPr="001D6484">
        <w:rPr>
          <w:rFonts w:ascii="Times New Roman" w:hAnsi="Times New Roman" w:cs="Times New Roman"/>
          <w:color w:val="000000" w:themeColor="text1"/>
          <w:sz w:val="24"/>
          <w:szCs w:val="24"/>
        </w:rPr>
        <w:t xml:space="preserve">edited by Elizabeth Fisher et al. Cheltenham, UK: Edward Elgar, 2006. </w:t>
      </w:r>
    </w:p>
    <w:p w14:paraId="4037EDFA"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Tlili</w:t>
      </w:r>
      <w:proofErr w:type="spellEnd"/>
      <w:r w:rsidRPr="001D6484">
        <w:rPr>
          <w:rFonts w:ascii="Times New Roman" w:hAnsi="Times New Roman" w:cs="Times New Roman"/>
          <w:color w:val="000000" w:themeColor="text1"/>
          <w:sz w:val="24"/>
          <w:szCs w:val="24"/>
        </w:rPr>
        <w:t xml:space="preserve">, Anwar and Emily Dawson. “Mediating Science and Society in the EU and UK: From Information-Transmission to Deliberative Democracy?” </w:t>
      </w:r>
      <w:r w:rsidRPr="001D6484">
        <w:rPr>
          <w:rFonts w:ascii="Times New Roman" w:hAnsi="Times New Roman" w:cs="Times New Roman"/>
          <w:i/>
          <w:color w:val="000000" w:themeColor="text1"/>
          <w:sz w:val="24"/>
          <w:szCs w:val="24"/>
        </w:rPr>
        <w:t>Minerva</w:t>
      </w:r>
      <w:r w:rsidRPr="001D6484">
        <w:rPr>
          <w:rFonts w:ascii="Times New Roman" w:hAnsi="Times New Roman" w:cs="Times New Roman"/>
          <w:color w:val="000000" w:themeColor="text1"/>
          <w:sz w:val="24"/>
          <w:szCs w:val="24"/>
        </w:rPr>
        <w:t xml:space="preserve"> 48, no. 4 (December 2010): 429-461.</w:t>
      </w:r>
    </w:p>
    <w:p w14:paraId="3CB16BC2"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Toke, David. </w:t>
      </w:r>
      <w:r w:rsidRPr="001D6484">
        <w:rPr>
          <w:rFonts w:ascii="Times New Roman" w:hAnsi="Times New Roman" w:cs="Times New Roman"/>
          <w:i/>
          <w:color w:val="000000" w:themeColor="text1"/>
          <w:sz w:val="24"/>
          <w:szCs w:val="24"/>
        </w:rPr>
        <w:t>The Politics of GM Food: A Comparative Study of the UK, USA, and EU</w:t>
      </w:r>
      <w:r w:rsidRPr="001D6484">
        <w:rPr>
          <w:rFonts w:ascii="Times New Roman" w:hAnsi="Times New Roman" w:cs="Times New Roman"/>
          <w:color w:val="000000" w:themeColor="text1"/>
          <w:sz w:val="24"/>
          <w:szCs w:val="24"/>
        </w:rPr>
        <w:t>. New York: Routledge, 2004.</w:t>
      </w:r>
    </w:p>
    <w:p w14:paraId="7D7FC671"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t>Tosun</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Jale</w:t>
      </w:r>
      <w:proofErr w:type="spellEnd"/>
      <w:r w:rsidRPr="001D6484">
        <w:rPr>
          <w:rFonts w:ascii="Times New Roman" w:hAnsi="Times New Roman" w:cs="Times New Roman"/>
          <w:color w:val="000000" w:themeColor="text1"/>
          <w:sz w:val="24"/>
          <w:szCs w:val="24"/>
        </w:rPr>
        <w:t xml:space="preserve">. “How the EU Handles Uncertain Risks: Understanding the Role of the Precautionary Principle,” </w:t>
      </w:r>
      <w:r w:rsidRPr="001D6484">
        <w:rPr>
          <w:rFonts w:ascii="Times New Roman" w:hAnsi="Times New Roman" w:cs="Times New Roman"/>
          <w:i/>
          <w:color w:val="000000" w:themeColor="text1"/>
          <w:sz w:val="24"/>
          <w:szCs w:val="24"/>
        </w:rPr>
        <w:t>Journal of European Public Policy</w:t>
      </w:r>
      <w:r w:rsidRPr="001D6484">
        <w:rPr>
          <w:rFonts w:ascii="Times New Roman" w:hAnsi="Times New Roman" w:cs="Times New Roman"/>
          <w:color w:val="000000" w:themeColor="text1"/>
          <w:sz w:val="24"/>
          <w:szCs w:val="24"/>
        </w:rPr>
        <w:t xml:space="preserve"> 20, no. 10 (2013): 1517–1528.</w:t>
      </w:r>
    </w:p>
    <w:p w14:paraId="29ECDC81" w14:textId="77777777" w:rsidR="001D6484" w:rsidRPr="001D6484" w:rsidRDefault="001D6484" w:rsidP="008A4BFB">
      <w:pPr>
        <w:spacing w:before="240"/>
        <w:ind w:left="720" w:hanging="720"/>
        <w:rPr>
          <w:rFonts w:ascii="Times New Roman" w:hAnsi="Times New Roman" w:cs="Times New Roman"/>
          <w:sz w:val="24"/>
          <w:szCs w:val="24"/>
        </w:rPr>
      </w:pPr>
      <w:r w:rsidRPr="001D6484">
        <w:rPr>
          <w:rFonts w:ascii="Times New Roman" w:hAnsi="Times New Roman" w:cs="Times New Roman"/>
          <w:sz w:val="24"/>
          <w:szCs w:val="24"/>
        </w:rPr>
        <w:t xml:space="preserve">UBS Chief Investment </w:t>
      </w:r>
      <w:proofErr w:type="spellStart"/>
      <w:r w:rsidRPr="001D6484">
        <w:rPr>
          <w:rFonts w:ascii="Times New Roman" w:hAnsi="Times New Roman" w:cs="Times New Roman"/>
          <w:sz w:val="24"/>
          <w:szCs w:val="24"/>
        </w:rPr>
        <w:t>Office</w:t>
      </w:r>
      <w:proofErr w:type="spellEnd"/>
      <w:r w:rsidRPr="001D6484">
        <w:rPr>
          <w:rFonts w:ascii="Times New Roman" w:hAnsi="Times New Roman" w:cs="Times New Roman"/>
          <w:sz w:val="24"/>
          <w:szCs w:val="24"/>
        </w:rPr>
        <w:t>. “China’s Biotech Revolution.” Retrieved August 2018.</w:t>
      </w:r>
      <w:hyperlink r:id="rId70" w:history="1">
        <w:r w:rsidRPr="001D6484">
          <w:rPr>
            <w:rStyle w:val="Hyperlink"/>
            <w:rFonts w:ascii="Times New Roman" w:hAnsi="Times New Roman" w:cs="Times New Roman"/>
            <w:sz w:val="24"/>
            <w:szCs w:val="24"/>
          </w:rPr>
          <w:t>https://www.ubs.com/global/en/wealth-management/chief-investment-office/our-research/discover-more/2017/china-biotech.html</w:t>
        </w:r>
      </w:hyperlink>
      <w:r w:rsidRPr="001D6484">
        <w:rPr>
          <w:rFonts w:ascii="Times New Roman" w:hAnsi="Times New Roman" w:cs="Times New Roman"/>
          <w:sz w:val="24"/>
          <w:szCs w:val="24"/>
        </w:rPr>
        <w:t xml:space="preserve">. </w:t>
      </w:r>
    </w:p>
    <w:p w14:paraId="7ED419A6"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US FDA website. “About Advisory Committees.” </w:t>
      </w:r>
      <w:r w:rsidRPr="001D6484">
        <w:rPr>
          <w:rStyle w:val="Hyperlink"/>
          <w:rFonts w:ascii="Times New Roman" w:hAnsi="Times New Roman" w:cs="Times New Roman"/>
          <w:color w:val="000000" w:themeColor="text1"/>
          <w:sz w:val="24"/>
          <w:szCs w:val="24"/>
          <w:u w:val="none"/>
        </w:rPr>
        <w:t>Retrieved December 10, 2015</w:t>
      </w:r>
      <w:r w:rsidRPr="001D6484">
        <w:rPr>
          <w:rFonts w:ascii="Times New Roman" w:hAnsi="Times New Roman" w:cs="Times New Roman"/>
          <w:color w:val="000000" w:themeColor="text1"/>
          <w:sz w:val="24"/>
          <w:szCs w:val="24"/>
        </w:rPr>
        <w:t xml:space="preserve">. </w:t>
      </w:r>
      <w:hyperlink r:id="rId71" w:history="1">
        <w:r w:rsidRPr="001D6484">
          <w:rPr>
            <w:rStyle w:val="Hyperlink"/>
            <w:rFonts w:ascii="Times New Roman" w:hAnsi="Times New Roman" w:cs="Times New Roman"/>
            <w:sz w:val="24"/>
            <w:szCs w:val="24"/>
          </w:rPr>
          <w:t>http://www.fda.gov/AdvisoryCommittees/AboutAdvisoryCommittees/default.htm</w:t>
        </w:r>
      </w:hyperlink>
      <w:r w:rsidRPr="001D6484">
        <w:rPr>
          <w:rStyle w:val="Hyperlink"/>
          <w:rFonts w:ascii="Times New Roman" w:hAnsi="Times New Roman" w:cs="Times New Roman"/>
          <w:color w:val="000000" w:themeColor="text1"/>
          <w:sz w:val="24"/>
          <w:szCs w:val="24"/>
        </w:rPr>
        <w:t xml:space="preserve">  </w:t>
      </w:r>
    </w:p>
    <w:p w14:paraId="29E8FEE0"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Waterfield, Bruno, “Jean-Claude Juncker 'sacks' EU scientific adviser over her pro-GM views,” </w:t>
      </w:r>
      <w:r w:rsidRPr="001D6484">
        <w:rPr>
          <w:rFonts w:ascii="Times New Roman" w:hAnsi="Times New Roman" w:cs="Times New Roman"/>
          <w:i/>
          <w:color w:val="000000" w:themeColor="text1"/>
          <w:sz w:val="24"/>
          <w:szCs w:val="24"/>
        </w:rPr>
        <w:t>The Telegraph</w:t>
      </w:r>
      <w:r w:rsidRPr="001D6484">
        <w:rPr>
          <w:rFonts w:ascii="Times New Roman" w:hAnsi="Times New Roman" w:cs="Times New Roman"/>
          <w:color w:val="000000" w:themeColor="text1"/>
          <w:sz w:val="24"/>
          <w:szCs w:val="24"/>
        </w:rPr>
        <w:t xml:space="preserve">, November 13, 2014. </w:t>
      </w:r>
      <w:hyperlink r:id="rId72" w:history="1">
        <w:r w:rsidRPr="001D6484">
          <w:rPr>
            <w:rStyle w:val="Hyperlink"/>
            <w:rFonts w:ascii="Times New Roman" w:hAnsi="Times New Roman" w:cs="Times New Roman"/>
            <w:sz w:val="24"/>
            <w:szCs w:val="24"/>
          </w:rPr>
          <w:t>http://www.telegraph.co.uk/news/worldnews/europe/eu/11229774/Jean-Claude-Juncker-sacks-EU-scientific-adviser-over-her-pro-GM-views.html</w:t>
        </w:r>
      </w:hyperlink>
      <w:r w:rsidRPr="001D6484">
        <w:rPr>
          <w:rStyle w:val="Hyperlink"/>
          <w:rFonts w:ascii="Times New Roman" w:hAnsi="Times New Roman" w:cs="Times New Roman"/>
          <w:color w:val="000000" w:themeColor="text1"/>
          <w:sz w:val="24"/>
          <w:szCs w:val="24"/>
          <w:u w:val="none"/>
        </w:rPr>
        <w:t xml:space="preserve">  </w:t>
      </w:r>
    </w:p>
    <w:p w14:paraId="6A869DBB"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proofErr w:type="spellStart"/>
      <w:r w:rsidRPr="001D6484">
        <w:rPr>
          <w:rFonts w:ascii="Times New Roman" w:hAnsi="Times New Roman" w:cs="Times New Roman"/>
          <w:color w:val="000000" w:themeColor="text1"/>
          <w:sz w:val="24"/>
          <w:szCs w:val="24"/>
        </w:rPr>
        <w:lastRenderedPageBreak/>
        <w:t>Winterfeldt</w:t>
      </w:r>
      <w:proofErr w:type="spellEnd"/>
      <w:r w:rsidRPr="001D6484">
        <w:rPr>
          <w:rFonts w:ascii="Times New Roman" w:hAnsi="Times New Roman" w:cs="Times New Roman"/>
          <w:color w:val="000000" w:themeColor="text1"/>
          <w:sz w:val="24"/>
          <w:szCs w:val="24"/>
        </w:rPr>
        <w:t xml:space="preserve">, </w:t>
      </w:r>
      <w:proofErr w:type="spellStart"/>
      <w:r w:rsidRPr="001D6484">
        <w:rPr>
          <w:rFonts w:ascii="Times New Roman" w:hAnsi="Times New Roman" w:cs="Times New Roman"/>
          <w:color w:val="000000" w:themeColor="text1"/>
          <w:sz w:val="24"/>
          <w:szCs w:val="24"/>
        </w:rPr>
        <w:t>Detlof</w:t>
      </w:r>
      <w:proofErr w:type="spellEnd"/>
      <w:r w:rsidRPr="001D6484">
        <w:rPr>
          <w:rFonts w:ascii="Times New Roman" w:hAnsi="Times New Roman" w:cs="Times New Roman"/>
          <w:color w:val="000000" w:themeColor="text1"/>
          <w:sz w:val="24"/>
          <w:szCs w:val="24"/>
        </w:rPr>
        <w:t xml:space="preserve">. “Bridging the gap between science and decision making.” </w:t>
      </w:r>
      <w:r w:rsidRPr="001D6484">
        <w:rPr>
          <w:rFonts w:ascii="Times New Roman" w:hAnsi="Times New Roman" w:cs="Times New Roman"/>
          <w:i/>
          <w:color w:val="000000" w:themeColor="text1"/>
          <w:sz w:val="24"/>
          <w:szCs w:val="24"/>
        </w:rPr>
        <w:t>Proceedings of the National Academy of Sciences</w:t>
      </w:r>
      <w:r w:rsidRPr="001D6484">
        <w:rPr>
          <w:rFonts w:ascii="Times New Roman" w:hAnsi="Times New Roman" w:cs="Times New Roman"/>
          <w:color w:val="000000" w:themeColor="text1"/>
          <w:sz w:val="24"/>
          <w:szCs w:val="24"/>
        </w:rPr>
        <w:t>, 110 (August 20, 2013):</w:t>
      </w:r>
      <w:r w:rsidRPr="001D6484">
        <w:rPr>
          <w:rFonts w:ascii="Times New Roman" w:hAnsi="Times New Roman" w:cs="Times New Roman"/>
          <w:sz w:val="24"/>
          <w:szCs w:val="24"/>
        </w:rPr>
        <w:t xml:space="preserve"> </w:t>
      </w:r>
      <w:r w:rsidRPr="001D6484">
        <w:rPr>
          <w:rStyle w:val="highwire-cite-metadata-pages"/>
          <w:rFonts w:ascii="Times New Roman" w:hAnsi="Times New Roman" w:cs="Times New Roman"/>
          <w:sz w:val="24"/>
          <w:szCs w:val="24"/>
        </w:rPr>
        <w:t>14055-14061.</w:t>
      </w:r>
      <w:r w:rsidRPr="001D6484">
        <w:rPr>
          <w:rFonts w:ascii="Times New Roman" w:hAnsi="Times New Roman" w:cs="Times New Roman"/>
          <w:color w:val="000000" w:themeColor="text1"/>
          <w:sz w:val="24"/>
          <w:szCs w:val="24"/>
        </w:rPr>
        <w:t xml:space="preserve"> </w:t>
      </w:r>
      <w:hyperlink r:id="rId73" w:history="1">
        <w:r w:rsidRPr="001D6484">
          <w:rPr>
            <w:rStyle w:val="Hyperlink"/>
            <w:rFonts w:ascii="Times New Roman" w:hAnsi="Times New Roman" w:cs="Times New Roman"/>
            <w:sz w:val="24"/>
            <w:szCs w:val="24"/>
          </w:rPr>
          <w:t>https://doi.org/10.1073/pnas.1213532110</w:t>
        </w:r>
      </w:hyperlink>
      <w:r w:rsidRPr="001D6484">
        <w:rPr>
          <w:rStyle w:val="highwire-cite-metadata-doi"/>
          <w:rFonts w:ascii="Times New Roman" w:hAnsi="Times New Roman" w:cs="Times New Roman"/>
          <w:sz w:val="24"/>
          <w:szCs w:val="24"/>
        </w:rPr>
        <w:t xml:space="preserve"> </w:t>
      </w:r>
    </w:p>
    <w:p w14:paraId="495DFE47" w14:textId="77777777" w:rsidR="001D6484" w:rsidRPr="001D6484" w:rsidRDefault="001D6484" w:rsidP="00F81235">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World Bank Data Tool. Retrieved September 2018. </w:t>
      </w:r>
      <w:hyperlink r:id="rId74" w:history="1">
        <w:r w:rsidRPr="001D6484">
          <w:rPr>
            <w:rStyle w:val="Hyperlink"/>
            <w:rFonts w:ascii="Times New Roman" w:hAnsi="Times New Roman" w:cs="Times New Roman"/>
            <w:sz w:val="24"/>
            <w:szCs w:val="24"/>
          </w:rPr>
          <w:t>https://data.worldbank.org/</w:t>
        </w:r>
      </w:hyperlink>
    </w:p>
    <w:p w14:paraId="35F0C07C"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World Trade Organization. “Dispute Settlement DS291: European Communities — Measures Affecting the Approval and Marketing of Biotech Products.” Retrieved September 2018. </w:t>
      </w:r>
      <w:hyperlink r:id="rId75" w:history="1">
        <w:r w:rsidRPr="001D6484">
          <w:rPr>
            <w:rStyle w:val="Hyperlink"/>
            <w:rFonts w:ascii="Times New Roman" w:hAnsi="Times New Roman" w:cs="Times New Roman"/>
            <w:sz w:val="24"/>
            <w:szCs w:val="24"/>
          </w:rPr>
          <w:t>https://www.wto.org/english/tratop_e/dispu_e/cases_e/ds291_e.htm</w:t>
        </w:r>
      </w:hyperlink>
    </w:p>
    <w:p w14:paraId="701534F4" w14:textId="77777777" w:rsidR="001D6484" w:rsidRPr="001D6484" w:rsidRDefault="001D6484" w:rsidP="008A4BFB">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sz w:val="24"/>
          <w:szCs w:val="24"/>
        </w:rPr>
        <w:t xml:space="preserve">World Trade Organization. “United States – Subsidies on Upland Cotton: Notification of a Mutually Agreed Solution.” </w:t>
      </w:r>
      <w:hyperlink r:id="rId76" w:history="1">
        <w:r w:rsidRPr="001D6484">
          <w:rPr>
            <w:rStyle w:val="Hyperlink"/>
            <w:rFonts w:ascii="Times New Roman" w:hAnsi="Times New Roman" w:cs="Times New Roman"/>
            <w:sz w:val="24"/>
            <w:szCs w:val="24"/>
          </w:rPr>
          <w:t>https://www.wto.org/english/tratop_e/dispu_e/cases_e/ds267_e.htm</w:t>
        </w:r>
      </w:hyperlink>
      <w:r w:rsidRPr="001D6484">
        <w:rPr>
          <w:rFonts w:ascii="Times New Roman" w:hAnsi="Times New Roman" w:cs="Times New Roman"/>
          <w:sz w:val="24"/>
          <w:szCs w:val="24"/>
        </w:rPr>
        <w:t xml:space="preserve"> </w:t>
      </w:r>
      <w:r w:rsidRPr="001D6484">
        <w:rPr>
          <w:rFonts w:ascii="Times New Roman" w:hAnsi="Times New Roman" w:cs="Times New Roman"/>
          <w:color w:val="000000" w:themeColor="text1"/>
          <w:sz w:val="24"/>
          <w:szCs w:val="24"/>
        </w:rPr>
        <w:t xml:space="preserve"> </w:t>
      </w:r>
    </w:p>
    <w:p w14:paraId="789D61A8" w14:textId="77777777" w:rsidR="001D6484" w:rsidRPr="001D6484" w:rsidRDefault="001D6484" w:rsidP="003E342A">
      <w:pPr>
        <w:spacing w:before="240"/>
        <w:ind w:left="720" w:hanging="720"/>
        <w:rPr>
          <w:rFonts w:ascii="Times New Roman" w:hAnsi="Times New Roman" w:cs="Times New Roman"/>
          <w:color w:val="000000" w:themeColor="text1"/>
          <w:sz w:val="24"/>
          <w:szCs w:val="24"/>
        </w:rPr>
      </w:pPr>
      <w:r w:rsidRPr="001D6484">
        <w:rPr>
          <w:rFonts w:ascii="Times New Roman" w:hAnsi="Times New Roman" w:cs="Times New Roman"/>
          <w:color w:val="000000" w:themeColor="text1"/>
          <w:sz w:val="24"/>
          <w:szCs w:val="24"/>
        </w:rPr>
        <w:t xml:space="preserve">World Trade Organization. “US – Poultry (China). DS392. One-page summary.” November 8, 2010. </w:t>
      </w:r>
      <w:hyperlink r:id="rId77" w:history="1">
        <w:r w:rsidRPr="001D6484">
          <w:rPr>
            <w:rStyle w:val="Hyperlink"/>
            <w:rFonts w:ascii="Times New Roman" w:hAnsi="Times New Roman" w:cs="Times New Roman"/>
            <w:sz w:val="24"/>
            <w:szCs w:val="24"/>
          </w:rPr>
          <w:t>https://www.wto.org/english/tratop_e/dispu_e/cases_e/1pagesum_e/ds392sum_e.pdf</w:t>
        </w:r>
      </w:hyperlink>
      <w:r w:rsidRPr="001D6484">
        <w:rPr>
          <w:rStyle w:val="Hyperlink"/>
          <w:rFonts w:ascii="Times New Roman" w:hAnsi="Times New Roman" w:cs="Times New Roman"/>
          <w:color w:val="000000" w:themeColor="text1"/>
          <w:sz w:val="24"/>
          <w:szCs w:val="24"/>
        </w:rPr>
        <w:t xml:space="preserve"> </w:t>
      </w:r>
    </w:p>
    <w:sectPr w:rsidR="001D6484" w:rsidRPr="001D6484" w:rsidSect="008C28B2">
      <w:headerReference w:type="default" r:id="rId78"/>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CB661" w14:textId="77777777" w:rsidR="00A220C4" w:rsidRDefault="00A220C4" w:rsidP="000904CE">
      <w:r>
        <w:separator/>
      </w:r>
    </w:p>
  </w:endnote>
  <w:endnote w:type="continuationSeparator" w:id="0">
    <w:p w14:paraId="3FA3AFE5" w14:textId="77777777" w:rsidR="00A220C4" w:rsidRDefault="00A220C4" w:rsidP="000904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2"/>
    <w:family w:val="auto"/>
    <w:pitch w:val="default"/>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ArialUnicodeMS">
    <w:altName w:val="Arial"/>
    <w:panose1 w:val="00000000000000000000"/>
    <w:charset w:val="00"/>
    <w:family w:val="roman"/>
    <w:notTrueType/>
    <w:pitch w:val="default"/>
  </w:font>
  <w:font w:name="Liberation Serif">
    <w:altName w:val="Times New Roman"/>
    <w:charset w:val="00"/>
    <w:family w:val="roman"/>
    <w:pitch w:val="variable"/>
  </w:font>
  <w:font w:name="Noto Sans CJK SC Regular">
    <w:charset w:val="00"/>
    <w:family w:val="auto"/>
    <w:pitch w:val="variable"/>
  </w:font>
  <w:font w:name="FreeSans">
    <w:altName w:val="Cambria"/>
    <w:charset w:val="00"/>
    <w:family w:val="auto"/>
    <w:pitch w:val="variable"/>
  </w:font>
  <w:font w:name="Segoe UI">
    <w:panose1 w:val="020B0502040204020203"/>
    <w:charset w:val="00"/>
    <w:family w:val="swiss"/>
    <w:pitch w:val="variable"/>
    <w:sig w:usb0="E4002EFF" w:usb1="C000E47F" w:usb2="00000009" w:usb3="00000000" w:csb0="000001FF" w:csb1="00000000"/>
  </w:font>
  <w:font w:name="Gotham">
    <w:altName w:val="Gotham"/>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586320"/>
      <w:docPartObj>
        <w:docPartGallery w:val="Page Numbers (Bottom of Page)"/>
        <w:docPartUnique/>
      </w:docPartObj>
    </w:sdtPr>
    <w:sdtEndPr>
      <w:rPr>
        <w:noProof/>
      </w:rPr>
    </w:sdtEndPr>
    <w:sdtContent>
      <w:p w14:paraId="4AEF7234" w14:textId="2DAAD7D0" w:rsidR="00E3149C" w:rsidRDefault="00E314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B052E3" w14:textId="77777777" w:rsidR="00E3149C" w:rsidRDefault="00E314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CF4B44" w14:textId="77777777" w:rsidR="00A220C4" w:rsidRDefault="00A220C4" w:rsidP="000904CE">
      <w:r>
        <w:separator/>
      </w:r>
    </w:p>
  </w:footnote>
  <w:footnote w:type="continuationSeparator" w:id="0">
    <w:p w14:paraId="302B5F03" w14:textId="77777777" w:rsidR="00A220C4" w:rsidRDefault="00A220C4" w:rsidP="000904CE">
      <w:r>
        <w:continuationSeparator/>
      </w:r>
    </w:p>
  </w:footnote>
  <w:footnote w:id="1">
    <w:p w14:paraId="5243768F" w14:textId="264E1259" w:rsidR="00E3149C" w:rsidRPr="001D6484" w:rsidRDefault="00E3149C">
      <w:pPr>
        <w:pStyle w:val="FootnoteText"/>
        <w:rPr>
          <w:rFonts w:cstheme="minorHAnsi"/>
        </w:rPr>
      </w:pPr>
      <w:r>
        <w:rPr>
          <w:rStyle w:val="FootnoteReference"/>
        </w:rPr>
        <w:footnoteRef/>
      </w:r>
      <w:r>
        <w:t xml:space="preserve"> “Jud</w:t>
      </w:r>
      <w:r w:rsidRPr="001D6484">
        <w:rPr>
          <w:rFonts w:cstheme="minorHAnsi"/>
        </w:rPr>
        <w:t>gment of the Court of 20 February 1979,” EUR-Lex, https://eur-lex.europa.eu/legal-content/EN/TXT/?uri=CELEX%3A61978CJ0120 .</w:t>
      </w:r>
    </w:p>
  </w:footnote>
  <w:footnote w:id="2">
    <w:p w14:paraId="5ED3990A" w14:textId="476FC7B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“Dispute Settlement DS292: European Communities — Measures Affecting the Approval and Marketing of Biotech Products,” World Trade Organization, </w:t>
      </w:r>
      <w:hyperlink r:id="rId1" w:history="1">
        <w:r w:rsidRPr="001D6484">
          <w:rPr>
            <w:rStyle w:val="Hyperlink"/>
            <w:rFonts w:cstheme="minorHAnsi"/>
          </w:rPr>
          <w:t>https://www.wto.org/english/tratop_e/dispu_e/cases_e/ds292_e.htm</w:t>
        </w:r>
      </w:hyperlink>
      <w:r w:rsidRPr="001D6484">
        <w:rPr>
          <w:rFonts w:cstheme="minorHAnsi"/>
        </w:rPr>
        <w:t xml:space="preserve"> </w:t>
      </w:r>
    </w:p>
  </w:footnote>
  <w:footnote w:id="3">
    <w:p w14:paraId="48530181" w14:textId="4E357B21"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Tagliabue, Giovanni, “The EU Legislation on ‘GMOs’ between nonsense and protectionism: An ongoing Schumpeterian chain of public choices,” </w:t>
      </w:r>
      <w:r w:rsidRPr="001D6484">
        <w:rPr>
          <w:rFonts w:cstheme="minorHAnsi"/>
          <w:i/>
        </w:rPr>
        <w:t>GM Crops Food</w:t>
      </w:r>
      <w:r w:rsidRPr="001D6484">
        <w:rPr>
          <w:rFonts w:cstheme="minorHAnsi"/>
        </w:rPr>
        <w:t>, (2017): 57-73.</w:t>
      </w:r>
    </w:p>
  </w:footnote>
  <w:footnote w:id="4">
    <w:p w14:paraId="4776C7B2" w14:textId="7EB96A04" w:rsidR="00E3149C" w:rsidRPr="001D6484" w:rsidRDefault="00E3149C" w:rsidP="00DD31A2">
      <w:pPr>
        <w:pStyle w:val="FootnoteText"/>
        <w:rPr>
          <w:rFonts w:cstheme="minorHAnsi"/>
        </w:rPr>
      </w:pPr>
      <w:r w:rsidRPr="001D6484">
        <w:rPr>
          <w:rStyle w:val="FootnoteReference"/>
          <w:rFonts w:cstheme="minorHAnsi"/>
        </w:rPr>
        <w:footnoteRef/>
      </w:r>
      <w:r w:rsidRPr="001D6484">
        <w:rPr>
          <w:rFonts w:cstheme="minorHAnsi"/>
        </w:rPr>
        <w:t xml:space="preserve"> Idem.</w:t>
      </w:r>
    </w:p>
  </w:footnote>
  <w:footnote w:id="5">
    <w:p w14:paraId="51E0019D" w14:textId="7F1833B6"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Barbara Berthoud, “The Precautionary Principle in EU Risk Regulation: A Matter of Priorities,” (Anchor Academic Publishing, 2014).</w:t>
      </w:r>
    </w:p>
  </w:footnote>
  <w:footnote w:id="6">
    <w:p w14:paraId="19AACA17" w14:textId="09EAB76E" w:rsidR="00E3149C" w:rsidRPr="001D6484" w:rsidRDefault="00E3149C" w:rsidP="0048261E">
      <w:pPr>
        <w:pStyle w:val="FootnoteText"/>
        <w:rPr>
          <w:rFonts w:cstheme="minorHAnsi"/>
          <w:color w:val="000000" w:themeColor="text1"/>
        </w:rPr>
      </w:pPr>
      <w:r w:rsidRPr="001D6484">
        <w:rPr>
          <w:rStyle w:val="FootnoteReference"/>
          <w:rFonts w:cstheme="minorHAnsi"/>
          <w:color w:val="000000" w:themeColor="text1"/>
        </w:rPr>
        <w:footnoteRef/>
      </w:r>
      <w:r w:rsidRPr="001D6484">
        <w:rPr>
          <w:rFonts w:cstheme="minorHAnsi"/>
          <w:color w:val="000000" w:themeColor="text1"/>
        </w:rPr>
        <w:t xml:space="preserve"> Anwar Tlili and Emily Dawson, “Mediating Science and Society in the EU and UK: From Information-Transmission to Deliberative Democracy?” </w:t>
      </w:r>
      <w:r w:rsidRPr="001D6484">
        <w:rPr>
          <w:rFonts w:cstheme="minorHAnsi"/>
          <w:i/>
          <w:iCs/>
          <w:color w:val="000000" w:themeColor="text1"/>
        </w:rPr>
        <w:t>Minerva</w:t>
      </w:r>
      <w:r w:rsidRPr="001D6484">
        <w:rPr>
          <w:rFonts w:cstheme="minorHAnsi"/>
          <w:color w:val="000000" w:themeColor="text1"/>
        </w:rPr>
        <w:t xml:space="preserve"> 48, no 4 (2010): 436.</w:t>
      </w:r>
    </w:p>
  </w:footnote>
  <w:footnote w:id="7">
    <w:p w14:paraId="481796F7" w14:textId="3EBAD320"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Robert Koenig, “Research Chief Wants to Make Science Matter,” </w:t>
      </w:r>
      <w:r w:rsidRPr="001D6484">
        <w:rPr>
          <w:rFonts w:cstheme="minorHAnsi"/>
          <w:i/>
        </w:rPr>
        <w:t>Science Magazine</w:t>
      </w:r>
      <w:r w:rsidRPr="001D6484">
        <w:rPr>
          <w:rFonts w:cstheme="minorHAnsi"/>
        </w:rPr>
        <w:t xml:space="preserve"> 286, no. 10 (December 1999).</w:t>
      </w:r>
    </w:p>
  </w:footnote>
  <w:footnote w:id="8">
    <w:p w14:paraId="4C076DED" w14:textId="5C5F135C"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“Appointment of Chief Scientific Advisor,” EU Commission Press Release (December 5, 2011), </w:t>
      </w:r>
      <w:hyperlink r:id="rId2" w:history="1">
        <w:r w:rsidRPr="001D6484">
          <w:rPr>
            <w:rStyle w:val="Hyperlink"/>
            <w:rFonts w:cstheme="minorHAnsi"/>
          </w:rPr>
          <w:t>http://europa.eu/rapid/press-release_IP-11-1497_en.htm</w:t>
        </w:r>
      </w:hyperlink>
    </w:p>
  </w:footnote>
  <w:footnote w:id="9">
    <w:p w14:paraId="54110206" w14:textId="5DED465C" w:rsidR="00E3149C" w:rsidRPr="001D6484" w:rsidRDefault="00E3149C" w:rsidP="00291943">
      <w:pPr>
        <w:rPr>
          <w:rFonts w:cstheme="minorHAnsi"/>
          <w:bCs/>
          <w:sz w:val="20"/>
          <w:szCs w:val="20"/>
        </w:rPr>
      </w:pPr>
      <w:r w:rsidRPr="001D6484">
        <w:rPr>
          <w:rStyle w:val="FootnoteReference"/>
          <w:rFonts w:cstheme="minorHAnsi"/>
          <w:sz w:val="20"/>
          <w:szCs w:val="20"/>
        </w:rPr>
        <w:footnoteRef/>
      </w:r>
      <w:r w:rsidRPr="001D6484">
        <w:rPr>
          <w:rFonts w:cstheme="minorHAnsi"/>
          <w:sz w:val="20"/>
          <w:szCs w:val="20"/>
        </w:rPr>
        <w:t xml:space="preserve"> “</w:t>
      </w:r>
      <w:r w:rsidRPr="001D6484">
        <w:rPr>
          <w:rFonts w:cstheme="minorHAnsi"/>
          <w:bCs/>
          <w:sz w:val="20"/>
          <w:szCs w:val="20"/>
        </w:rPr>
        <w:t xml:space="preserve">Better regulation for better results - An EU agenda,” European Commission, </w:t>
      </w:r>
      <w:hyperlink r:id="rId3" w:history="1">
        <w:r w:rsidRPr="001D6484">
          <w:rPr>
            <w:rStyle w:val="Hyperlink"/>
            <w:rFonts w:cstheme="minorHAnsi"/>
            <w:bCs/>
            <w:sz w:val="20"/>
            <w:szCs w:val="20"/>
          </w:rPr>
          <w:t>ec.europa.eu/smart-regulation/better_regulation/documents/com_2015_215_en.pdf</w:t>
        </w:r>
      </w:hyperlink>
      <w:r w:rsidRPr="001D6484">
        <w:rPr>
          <w:rFonts w:cstheme="minorHAnsi"/>
          <w:bCs/>
          <w:sz w:val="20"/>
          <w:szCs w:val="20"/>
        </w:rPr>
        <w:t xml:space="preserve"> </w:t>
      </w:r>
    </w:p>
  </w:footnote>
  <w:footnote w:id="10">
    <w:p w14:paraId="2B8793B8" w14:textId="3FF970C7"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11">
    <w:p w14:paraId="0B3AD722" w14:textId="7FF06A46"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“The position of Chief Scientific Advisor to the President of the European Commission,” Greenpeace, </w:t>
      </w:r>
      <w:hyperlink r:id="rId4" w:history="1">
        <w:r w:rsidRPr="001D6484">
          <w:rPr>
            <w:rStyle w:val="Hyperlink"/>
            <w:rFonts w:cstheme="minorHAnsi"/>
          </w:rPr>
          <w:t>http://www.greenpeace.org/eu-unit/Global/eu-unit/reports-briefings/2014/20140722%20NGO%20letter%20on%20EU%20chief%20scientific%20adviser.pdf</w:t>
        </w:r>
      </w:hyperlink>
      <w:r w:rsidRPr="001D6484">
        <w:rPr>
          <w:rFonts w:cstheme="minorHAnsi"/>
        </w:rPr>
        <w:t xml:space="preserve"> </w:t>
      </w:r>
    </w:p>
  </w:footnote>
  <w:footnote w:id="12">
    <w:p w14:paraId="6B5BEC4B" w14:textId="452A0ACC"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Bruno Waterfield, “Jean-Claude Juncker 'sacks' EU scientific adviser over her pro-GM views,” </w:t>
      </w:r>
      <w:r w:rsidRPr="001D6484">
        <w:rPr>
          <w:rFonts w:cstheme="minorHAnsi"/>
          <w:i/>
        </w:rPr>
        <w:t>The Telegraph</w:t>
      </w:r>
      <w:r w:rsidRPr="001D6484">
        <w:rPr>
          <w:rFonts w:cstheme="minorHAnsi"/>
        </w:rPr>
        <w:t>, 13 November 2014.</w:t>
      </w:r>
    </w:p>
  </w:footnote>
  <w:footnote w:id="13">
    <w:p w14:paraId="4084FB3F" w14:textId="1A2B5011" w:rsidR="00E3149C" w:rsidRPr="001D6484" w:rsidRDefault="00E3149C" w:rsidP="0048261E">
      <w:pPr>
        <w:pStyle w:val="FootnoteText"/>
        <w:rPr>
          <w:rFonts w:cstheme="minorHAnsi"/>
        </w:rPr>
      </w:pPr>
      <w:r w:rsidRPr="001D6484">
        <w:rPr>
          <w:rStyle w:val="FootnoteReference"/>
          <w:rFonts w:cstheme="minorHAnsi"/>
        </w:rPr>
        <w:footnoteRef/>
      </w:r>
      <w:r w:rsidRPr="001D6484">
        <w:rPr>
          <w:rFonts w:cstheme="minorHAnsi"/>
        </w:rPr>
        <w:t xml:space="preserve"> Idem.</w:t>
      </w:r>
    </w:p>
  </w:footnote>
  <w:footnote w:id="14">
    <w:p w14:paraId="439E3AE9" w14:textId="1465DC7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François Randour et al, “The Cultivation of Genetically Modified Organisms in the European Union: A Necessary Trade-Off?” </w:t>
      </w:r>
      <w:r w:rsidRPr="001D6484">
        <w:rPr>
          <w:rFonts w:cstheme="minorHAnsi"/>
          <w:i/>
        </w:rPr>
        <w:t>Journal of Common Market Studies</w:t>
      </w:r>
      <w:r w:rsidRPr="001D6484">
        <w:rPr>
          <w:rFonts w:cstheme="minorHAnsi"/>
        </w:rPr>
        <w:t xml:space="preserve"> 52, no. 6 (2014): 1316.</w:t>
      </w:r>
    </w:p>
  </w:footnote>
  <w:footnote w:id="15">
    <w:p w14:paraId="2846DA3B" w14:textId="60014F5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“Key biotechnology indicators,” OECD Directorate for Science Technology and Innovation, oe.cd/kbi Last update November 2017.</w:t>
      </w:r>
    </w:p>
  </w:footnote>
  <w:footnote w:id="16">
    <w:p w14:paraId="412EDE41" w14:textId="44B3DA3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Randour 1316.</w:t>
      </w:r>
    </w:p>
  </w:footnote>
  <w:footnote w:id="17">
    <w:p w14:paraId="6AA13771" w14:textId="537C255B"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Paul Sabatier, “The Advocacy Coalition Framework: Revisions and Relevance for Europe,” Journal of European Public Policy, 5, no. 1 (1988):98-130. 139.</w:t>
      </w:r>
    </w:p>
  </w:footnote>
  <w:footnote w:id="18">
    <w:p w14:paraId="6971A1ED" w14:textId="438B269E"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Cairney 488</w:t>
      </w:r>
    </w:p>
  </w:footnote>
  <w:footnote w:id="19">
    <w:p w14:paraId="4767CF3C" w14:textId="7CADB1DE"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Ibid 489.</w:t>
      </w:r>
    </w:p>
  </w:footnote>
  <w:footnote w:id="20">
    <w:p w14:paraId="3AA3659C" w14:textId="0098B929" w:rsidR="00E3149C" w:rsidRPr="001D6484" w:rsidRDefault="00E3149C" w:rsidP="0045021F">
      <w:pPr>
        <w:pStyle w:val="FootnoteText"/>
        <w:rPr>
          <w:rFonts w:cstheme="minorHAnsi"/>
        </w:rPr>
      </w:pPr>
      <w:r w:rsidRPr="001D6484">
        <w:rPr>
          <w:rStyle w:val="FootnoteReference"/>
          <w:rFonts w:cstheme="minorHAnsi"/>
        </w:rPr>
        <w:footnoteRef/>
      </w:r>
      <w:r w:rsidRPr="001D6484">
        <w:rPr>
          <w:rFonts w:cstheme="minorHAnsi"/>
        </w:rPr>
        <w:t xml:space="preserve"> Eleanor Brooks, “Using the Advocacy Coalition Framework to understand EU pharmaceutical policy,” European Journal of Public Health 28, no. 3 (2018): 11-14.</w:t>
      </w:r>
    </w:p>
  </w:footnote>
  <w:footnote w:id="21">
    <w:p w14:paraId="17192D9B" w14:textId="263A5A5C"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“Key Enabling Technologies,” European Commission, </w:t>
      </w:r>
      <w:hyperlink r:id="rId5" w:history="1">
        <w:r w:rsidRPr="001D6484">
          <w:rPr>
            <w:rStyle w:val="Hyperlink"/>
            <w:rFonts w:cstheme="minorHAnsi"/>
          </w:rPr>
          <w:t>http://ec.europa.eu/programmes/horizon2020/en/area/key-enabling-technologies</w:t>
        </w:r>
      </w:hyperlink>
      <w:r w:rsidRPr="001D6484">
        <w:rPr>
          <w:rFonts w:cstheme="minorHAnsi"/>
        </w:rPr>
        <w:t>.</w:t>
      </w:r>
    </w:p>
  </w:footnote>
  <w:footnote w:id="22">
    <w:p w14:paraId="75CE93FB" w14:textId="42DFAEB4"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“About BBI JU,” Bio-Based Industries, https://bbi-europe.eu/about/about-bbi.</w:t>
      </w:r>
    </w:p>
  </w:footnote>
  <w:footnote w:id="23">
    <w:p w14:paraId="658777C5" w14:textId="1EC0A3EF"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Data on private companies was not available. “European Biotechnology Science and Industry Guide,” European Biotechnology, </w:t>
      </w:r>
      <w:hyperlink r:id="rId6" w:history="1">
        <w:r w:rsidRPr="001D6484">
          <w:rPr>
            <w:rStyle w:val="Hyperlink"/>
            <w:rFonts w:cstheme="minorHAnsi"/>
          </w:rPr>
          <w:t>https://european-biotechnology.com/euro-guide-2019.html</w:t>
        </w:r>
      </w:hyperlink>
      <w:r w:rsidRPr="001D6484">
        <w:rPr>
          <w:rFonts w:cstheme="minorHAnsi"/>
        </w:rPr>
        <w:t xml:space="preserve"> </w:t>
      </w:r>
    </w:p>
  </w:footnote>
  <w:footnote w:id="24">
    <w:p w14:paraId="04401AC2" w14:textId="7D6BB75D"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OECD Key Biotechnology Indicators</w:t>
      </w:r>
    </w:p>
  </w:footnote>
  <w:footnote w:id="25">
    <w:p w14:paraId="30EF3E0C" w14:textId="400DD43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EuropaBio. “Jobs and Growth Generated by Industrial Biotechnology in Europe”</w:t>
      </w:r>
    </w:p>
  </w:footnote>
  <w:footnote w:id="26">
    <w:p w14:paraId="14B4A720" w14:textId="55BB052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“Since Europe didn’t need GMOs and in general were suspicious of big agri-business, it became easy for Green parties, notably Greenpeace, to conflate the two issues,” Nobel Laureate Sir Richard Roberts. Sarantis Michalopoulous, "Nobel Laureate: EU politicians ignore ‘politically unwelcome’ GMO science,” </w:t>
      </w:r>
      <w:r w:rsidRPr="001D6484">
        <w:rPr>
          <w:rFonts w:cstheme="minorHAnsi"/>
          <w:i/>
        </w:rPr>
        <w:t>Euractiv</w:t>
      </w:r>
      <w:r w:rsidRPr="001D6484">
        <w:rPr>
          <w:rFonts w:cstheme="minorHAnsi"/>
        </w:rPr>
        <w:t xml:space="preserve"> September 27, 2016, </w:t>
      </w:r>
      <w:hyperlink r:id="rId7" w:history="1">
        <w:r w:rsidRPr="001D6484">
          <w:rPr>
            <w:rStyle w:val="Hyperlink"/>
            <w:rFonts w:cstheme="minorHAnsi"/>
          </w:rPr>
          <w:t>https://www.euractiv.com/section/science-policymaking/interview/nobelist-eu-politicians-ignore-politically-unwelcome-science/</w:t>
        </w:r>
      </w:hyperlink>
      <w:r w:rsidRPr="001D6484">
        <w:rPr>
          <w:rFonts w:cstheme="minorHAnsi"/>
        </w:rPr>
        <w:t xml:space="preserve">  </w:t>
      </w:r>
    </w:p>
  </w:footnote>
  <w:footnote w:id="27">
    <w:p w14:paraId="626B51B1" w14:textId="77777777" w:rsidR="00E3149C" w:rsidRPr="001D6484" w:rsidRDefault="00E3149C" w:rsidP="00271AE9">
      <w:pPr>
        <w:pStyle w:val="FootnoteText"/>
        <w:rPr>
          <w:rFonts w:cstheme="minorHAnsi"/>
        </w:rPr>
      </w:pPr>
      <w:r w:rsidRPr="001D6484">
        <w:rPr>
          <w:rStyle w:val="FootnoteReference"/>
          <w:rFonts w:cstheme="minorHAnsi"/>
        </w:rPr>
        <w:footnoteRef/>
      </w:r>
      <w:r w:rsidRPr="001D6484">
        <w:rPr>
          <w:rFonts w:cstheme="minorHAnsi"/>
        </w:rPr>
        <w:t xml:space="preserve"> Paulette Kurzer and Alice Cooper, “Consumer Activism, EU Institutions and Global Markets: The Struggle over Biotech Foods,” </w:t>
      </w:r>
      <w:r w:rsidRPr="001D6484">
        <w:rPr>
          <w:rFonts w:cstheme="minorHAnsi"/>
          <w:i/>
        </w:rPr>
        <w:t>Journal of Public Policy</w:t>
      </w:r>
      <w:r w:rsidRPr="001D6484">
        <w:rPr>
          <w:rFonts w:cstheme="minorHAnsi"/>
        </w:rPr>
        <w:t xml:space="preserve"> 27, no. 2 (May-Aug 2007): 108.</w:t>
      </w:r>
    </w:p>
  </w:footnote>
  <w:footnote w:id="28">
    <w:p w14:paraId="4A29E9E9" w14:textId="77777777" w:rsidR="00E3149C" w:rsidRPr="001D6484" w:rsidRDefault="00E3149C" w:rsidP="00271AE9">
      <w:pPr>
        <w:pStyle w:val="FootnoteText"/>
        <w:rPr>
          <w:rFonts w:cstheme="minorHAnsi"/>
        </w:rPr>
      </w:pPr>
      <w:r w:rsidRPr="001D6484">
        <w:rPr>
          <w:rStyle w:val="FootnoteReference"/>
          <w:rFonts w:cstheme="minorHAnsi"/>
        </w:rPr>
        <w:footnoteRef/>
      </w:r>
      <w:r w:rsidRPr="001D6484">
        <w:rPr>
          <w:rFonts w:cstheme="minorHAnsi"/>
        </w:rPr>
        <w:t xml:space="preserve"> Sylvie Bonny, “Why are most Europeans opposed to GMOs? Factors explaining rejection in France and Europe,” </w:t>
      </w:r>
      <w:bookmarkStart w:id="10" w:name="_Hlk529527344"/>
      <w:r w:rsidRPr="001D6484">
        <w:rPr>
          <w:rFonts w:cstheme="minorHAnsi"/>
          <w:i/>
        </w:rPr>
        <w:t>Electronic Journal of Biotechnology</w:t>
      </w:r>
      <w:r w:rsidRPr="001D6484">
        <w:rPr>
          <w:rFonts w:cstheme="minorHAnsi"/>
        </w:rPr>
        <w:t xml:space="preserve"> 6, no. 1, (April 15, 2003</w:t>
      </w:r>
      <w:bookmarkEnd w:id="10"/>
      <w:r w:rsidRPr="001D6484">
        <w:rPr>
          <w:rFonts w:cstheme="minorHAnsi"/>
        </w:rPr>
        <w:t>).</w:t>
      </w:r>
      <w:r w:rsidRPr="001D6484">
        <w:rPr>
          <w:rFonts w:cstheme="minorHAnsi"/>
        </w:rPr>
        <w:br/>
      </w:r>
      <w:r w:rsidRPr="001D6484">
        <w:rPr>
          <w:rFonts w:cstheme="minorHAnsi"/>
          <w:lang w:val="fr-FR"/>
        </w:rPr>
        <w:t xml:space="preserve">Ouest France, “Sondage. Les OGM inquietent de plus en plus les Francais,” </w:t>
      </w:r>
      <w:r w:rsidRPr="001D6484">
        <w:rPr>
          <w:rFonts w:cstheme="minorHAnsi"/>
          <w:i/>
          <w:lang w:val="fr-FR"/>
        </w:rPr>
        <w:t>Ouest France</w:t>
      </w:r>
      <w:r w:rsidRPr="001D6484">
        <w:rPr>
          <w:rFonts w:cstheme="minorHAnsi"/>
          <w:lang w:val="fr-FR"/>
        </w:rPr>
        <w:t xml:space="preserve">, September 27, 2013, </w:t>
      </w:r>
      <w:hyperlink r:id="rId8" w:history="1">
        <w:r w:rsidRPr="001D6484">
          <w:rPr>
            <w:rStyle w:val="Hyperlink"/>
            <w:rFonts w:cstheme="minorHAnsi"/>
            <w:lang w:val="fr-FR"/>
          </w:rPr>
          <w:t>https://www.ouest-france.fr/europe/france/sondage-les-ogm-inquietent-de-plus-en-plus-les-francais-420229</w:t>
        </w:r>
      </w:hyperlink>
      <w:r w:rsidRPr="001D6484">
        <w:rPr>
          <w:rFonts w:cstheme="minorHAnsi"/>
          <w:lang w:val="fr-FR"/>
        </w:rPr>
        <w:t>.</w:t>
      </w:r>
      <w:r w:rsidRPr="001D6484">
        <w:rPr>
          <w:rFonts w:cstheme="minorHAnsi"/>
          <w:lang w:val="fr-FR"/>
        </w:rPr>
        <w:br/>
      </w:r>
      <w:r w:rsidRPr="001D6484">
        <w:rPr>
          <w:rFonts w:cstheme="minorHAnsi"/>
        </w:rPr>
        <w:t xml:space="preserve">"Eurobarometer, Biotechnology – Report," European Parliament Eurobarometer Survey, </w:t>
      </w:r>
      <w:hyperlink r:id="rId9" w:history="1">
        <w:r w:rsidRPr="001D6484">
          <w:rPr>
            <w:rStyle w:val="Hyperlink"/>
            <w:rFonts w:cstheme="minorHAnsi"/>
          </w:rPr>
          <w:t>ec.europa.eu/commfrontoffice/publicopinion/archives/ebs/ebs_341_en.pdf</w:t>
        </w:r>
      </w:hyperlink>
      <w:r w:rsidRPr="001D6484">
        <w:rPr>
          <w:rFonts w:cstheme="minorHAnsi"/>
        </w:rPr>
        <w:t xml:space="preserve"> </w:t>
      </w:r>
    </w:p>
  </w:footnote>
  <w:footnote w:id="29">
    <w:p w14:paraId="44FF7E17" w14:textId="77777777" w:rsidR="00E3149C" w:rsidRPr="001D6484" w:rsidRDefault="00E3149C" w:rsidP="00271AE9">
      <w:pPr>
        <w:pStyle w:val="FootnoteText"/>
        <w:rPr>
          <w:rFonts w:cstheme="minorHAnsi"/>
        </w:rPr>
      </w:pPr>
      <w:r w:rsidRPr="001D6484">
        <w:rPr>
          <w:rStyle w:val="FootnoteReference"/>
          <w:rFonts w:cstheme="minorHAnsi"/>
        </w:rPr>
        <w:footnoteRef/>
      </w:r>
      <w:r w:rsidRPr="001D6484">
        <w:rPr>
          <w:rFonts w:cstheme="minorHAnsi"/>
        </w:rPr>
        <w:t xml:space="preserve"> “Democracy on the Move,” </w:t>
      </w:r>
      <w:r w:rsidRPr="001D6484">
        <w:rPr>
          <w:rFonts w:cstheme="minorHAnsi"/>
          <w:i/>
        </w:rPr>
        <w:t>European Parliament</w:t>
      </w:r>
      <w:r w:rsidRPr="001D6484">
        <w:rPr>
          <w:rFonts w:cstheme="minorHAnsi"/>
        </w:rPr>
        <w:t xml:space="preserve"> Eurobarometer Survey, </w:t>
      </w:r>
      <w:hyperlink r:id="rId10" w:history="1">
        <w:r w:rsidRPr="001D6484">
          <w:rPr>
            <w:rStyle w:val="Hyperlink"/>
            <w:rFonts w:cstheme="minorHAnsi"/>
          </w:rPr>
          <w:t>http://www.europarl.europa.eu/pdf/eurobarometre/2018/oneyearbefore2019/eb89_one_year_before_2019_eurobarometer_en_opt.pdf</w:t>
        </w:r>
      </w:hyperlink>
      <w:r w:rsidRPr="001D6484">
        <w:rPr>
          <w:rFonts w:cstheme="minorHAnsi"/>
        </w:rPr>
        <w:t xml:space="preserve">  </w:t>
      </w:r>
    </w:p>
  </w:footnote>
  <w:footnote w:id="30">
    <w:p w14:paraId="717C4213" w14:textId="5B584A0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r w:rsidRPr="001D6484">
        <w:rPr>
          <w:rFonts w:cstheme="minorHAnsi"/>
          <w:color w:val="000000" w:themeColor="text1"/>
        </w:rPr>
        <w:t xml:space="preserve">Paulette Kurzer and Alice Cooper, “Consumer Activism, EU Institutions and Global Markets: The Struggle over Biotech Foods.” </w:t>
      </w:r>
      <w:r w:rsidRPr="001D6484">
        <w:rPr>
          <w:rFonts w:cstheme="minorHAnsi"/>
          <w:i/>
          <w:color w:val="000000" w:themeColor="text1"/>
        </w:rPr>
        <w:t>Journal of Public Policy</w:t>
      </w:r>
      <w:r w:rsidRPr="001D6484">
        <w:rPr>
          <w:rFonts w:cstheme="minorHAnsi"/>
          <w:color w:val="000000" w:themeColor="text1"/>
        </w:rPr>
        <w:t xml:space="preserve"> 27, no. 2 (May-Aug 2007): </w:t>
      </w:r>
      <w:r w:rsidRPr="001D6484">
        <w:rPr>
          <w:rFonts w:cstheme="minorHAnsi"/>
        </w:rPr>
        <w:t>104-5.</w:t>
      </w:r>
    </w:p>
  </w:footnote>
  <w:footnote w:id="31">
    <w:p w14:paraId="46FFCFBC" w14:textId="49C0AA5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110.</w:t>
      </w:r>
    </w:p>
  </w:footnote>
  <w:footnote w:id="32">
    <w:p w14:paraId="31CDF6F3" w14:textId="27F13C3E"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Idem</w:t>
      </w:r>
    </w:p>
  </w:footnote>
  <w:footnote w:id="33">
    <w:p w14:paraId="2728A4A8" w14:textId="77777777" w:rsidR="00E3149C" w:rsidRPr="001D6484" w:rsidRDefault="00E3149C" w:rsidP="00647C20">
      <w:pPr>
        <w:pStyle w:val="FootnoteText"/>
        <w:rPr>
          <w:rFonts w:cstheme="minorHAnsi"/>
        </w:rPr>
      </w:pPr>
      <w:r w:rsidRPr="001D6484">
        <w:rPr>
          <w:rStyle w:val="FootnoteReference"/>
          <w:rFonts w:cstheme="minorHAnsi"/>
        </w:rPr>
        <w:footnoteRef/>
      </w:r>
      <w:r w:rsidRPr="001D6484">
        <w:rPr>
          <w:rFonts w:cstheme="minorHAnsi"/>
        </w:rPr>
        <w:t xml:space="preserve"> See e.g. Robert Lackey, “Science, Scientists, and Policy Advocacy,” </w:t>
      </w:r>
      <w:r w:rsidRPr="001D6484">
        <w:rPr>
          <w:rFonts w:cstheme="minorHAnsi"/>
          <w:i/>
        </w:rPr>
        <w:t xml:space="preserve">Conservation Biology </w:t>
      </w:r>
      <w:r w:rsidRPr="001D6484">
        <w:rPr>
          <w:rFonts w:cstheme="minorHAnsi"/>
        </w:rPr>
        <w:t>21, no. 1 (2007): 12-17.</w:t>
      </w:r>
    </w:p>
  </w:footnote>
  <w:footnote w:id="34">
    <w:p w14:paraId="0B16A466" w14:textId="0BC2F39B"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EASAC, “European Academies inform MEPs on GMO legislation,” EASAC, October 24, 2014. https://easac.eu/news/details/european-academies-inform-meps-on-gmo-legislation/</w:t>
      </w:r>
    </w:p>
  </w:footnote>
  <w:footnote w:id="35">
    <w:p w14:paraId="76324CFF" w14:textId="77777777" w:rsidR="00E3149C" w:rsidRPr="001D6484" w:rsidRDefault="00E3149C" w:rsidP="004329AD">
      <w:pPr>
        <w:pStyle w:val="FootnoteText"/>
        <w:rPr>
          <w:rFonts w:cstheme="minorHAnsi"/>
        </w:rPr>
      </w:pPr>
      <w:r w:rsidRPr="001D6484">
        <w:rPr>
          <w:rStyle w:val="FootnoteReference"/>
          <w:rFonts w:cstheme="minorHAnsi"/>
        </w:rPr>
        <w:footnoteRef/>
      </w:r>
      <w:r w:rsidRPr="001D6484">
        <w:rPr>
          <w:rFonts w:cstheme="minorHAnsi"/>
        </w:rPr>
        <w:t xml:space="preserve"> Chief Science Advisors of the European Commission, “A Scientific Perspective on the Regulatory Status of Products…,” European Commission, November 13, 2018. https://ec.europa.eu/info/publications/status-products-derived-gene-editing-and-implications-gmo-directive_en</w:t>
      </w:r>
    </w:p>
  </w:footnote>
  <w:footnote w:id="36">
    <w:p w14:paraId="5ED12A73" w14:textId="1A85C68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Jale Tosun, “How the EU Handles Uncertain Risks: Understanding The Role Of The Precautionary Principle,” </w:t>
      </w:r>
      <w:r w:rsidRPr="001D6484">
        <w:rPr>
          <w:rFonts w:cstheme="minorHAnsi"/>
          <w:i/>
        </w:rPr>
        <w:t>Journal of European Public Policy</w:t>
      </w:r>
      <w:r w:rsidRPr="001D6484">
        <w:rPr>
          <w:rFonts w:cstheme="minorHAnsi"/>
        </w:rPr>
        <w:t xml:space="preserve"> 20, no. 10 (2013): 1517–1528.</w:t>
      </w:r>
    </w:p>
  </w:footnote>
  <w:footnote w:id="37">
    <w:p w14:paraId="19565EBD" w14:textId="3C655ECC"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Ragnar Löfstedt, “The precautionary principle in the EU: Why a formal review is long overdue,” </w:t>
      </w:r>
      <w:r w:rsidRPr="001D6484">
        <w:rPr>
          <w:rFonts w:cstheme="minorHAnsi"/>
          <w:i/>
        </w:rPr>
        <w:t xml:space="preserve">Risk Management </w:t>
      </w:r>
      <w:r w:rsidRPr="001D6484">
        <w:rPr>
          <w:rFonts w:cstheme="minorHAnsi"/>
        </w:rPr>
        <w:t>16, no. 3 (2004): 137–163.</w:t>
      </w:r>
    </w:p>
  </w:footnote>
  <w:footnote w:id="38">
    <w:p w14:paraId="217D2DC9" w14:textId="084ABE9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Ibidem.</w:t>
      </w:r>
    </w:p>
  </w:footnote>
  <w:footnote w:id="39">
    <w:p w14:paraId="5A52498A" w14:textId="6A3686F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Elizabeth Fisher et al, (authors and editors) </w:t>
      </w:r>
      <w:r w:rsidRPr="001D6484">
        <w:rPr>
          <w:rFonts w:cstheme="minorHAnsi"/>
          <w:i/>
        </w:rPr>
        <w:t>Implementing the precautionary principle: perspectives and prospects,</w:t>
      </w:r>
      <w:r w:rsidRPr="001D6484">
        <w:rPr>
          <w:rFonts w:cstheme="minorHAnsi"/>
        </w:rPr>
        <w:t xml:space="preserve"> (Northampton, MA: Edward Elgar Publishing, 2006), 3.</w:t>
      </w:r>
    </w:p>
  </w:footnote>
  <w:footnote w:id="40">
    <w:p w14:paraId="21DC24F3" w14:textId="1E57834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Joel Tickner and David Kriebel, “The role of science and precaution in the environmental and public health policy,” in </w:t>
      </w:r>
      <w:r w:rsidRPr="001D6484">
        <w:rPr>
          <w:rFonts w:cstheme="minorHAnsi"/>
          <w:i/>
        </w:rPr>
        <w:t>Implementing the Precautionary Principle</w:t>
      </w:r>
      <w:r w:rsidRPr="001D6484">
        <w:rPr>
          <w:rFonts w:cstheme="minorHAnsi"/>
        </w:rPr>
        <w:t>, ed. Elizabeth Fisher et al, (Northampton, MA: Edward Elgar Publishing, 2006), 44.</w:t>
      </w:r>
    </w:p>
  </w:footnote>
  <w:footnote w:id="41">
    <w:p w14:paraId="158254BF" w14:textId="1D164E19"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55.</w:t>
      </w:r>
    </w:p>
  </w:footnote>
  <w:footnote w:id="42">
    <w:p w14:paraId="43F9EE64" w14:textId="4D85D4C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w:t>
      </w:r>
    </w:p>
  </w:footnote>
  <w:footnote w:id="43">
    <w:p w14:paraId="663B4559" w14:textId="7777777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w:t>
      </w:r>
    </w:p>
  </w:footnote>
  <w:footnote w:id="44">
    <w:p w14:paraId="0AE04B11" w14:textId="1BA5DBC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Joanne Scott and Ellen Vos, “The Juridification of Uncertainty: Observations on the Ambivalence of the Precautionary Principle within the EU and the WTO,” in </w:t>
      </w:r>
      <w:r w:rsidRPr="001D6484">
        <w:rPr>
          <w:rFonts w:cstheme="minorHAnsi"/>
          <w:i/>
        </w:rPr>
        <w:t xml:space="preserve">Good governance in Europe's integrated market, </w:t>
      </w:r>
      <w:r w:rsidRPr="001D6484">
        <w:rPr>
          <w:rFonts w:cstheme="minorHAnsi"/>
        </w:rPr>
        <w:t>ed. Christian Joerges and Renaud Dehousse (Oxford: Oxford Scholarship Online, 2002).</w:t>
      </w:r>
    </w:p>
  </w:footnote>
  <w:footnote w:id="45">
    <w:p w14:paraId="02B781A3" w14:textId="530ACDD6"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“Judgment of the Court (Third Chamber),” European Court of Justice, September 13, 2017, </w:t>
      </w:r>
      <w:hyperlink r:id="rId11" w:history="1">
        <w:r w:rsidRPr="001D6484">
          <w:rPr>
            <w:rStyle w:val="Hyperlink"/>
            <w:rFonts w:cstheme="minorHAnsi"/>
          </w:rPr>
          <w:t>http://curia.europa.eu/juris/document/document_print.jsf;jsessionid=9ea7d2dc30d692a45d3ac71e48c3834cb31c14de1ec4.e34KaxiLc3qMb40Rch0SaxyMbxj0?doclang=EN&amp;text=&amp;pageIndex=0&amp;part=1&amp;mode=DOC&amp;docid=194406&amp;occ=first&amp;dir=&amp;cid=230658</w:t>
        </w:r>
      </w:hyperlink>
    </w:p>
  </w:footnote>
  <w:footnote w:id="46">
    <w:p w14:paraId="68B7BE75" w14:textId="04E6A822" w:rsidR="00E3149C" w:rsidRPr="001D6484" w:rsidRDefault="00E3149C" w:rsidP="00C41691">
      <w:pPr>
        <w:pStyle w:val="FootnoteText"/>
        <w:rPr>
          <w:rFonts w:cstheme="minorHAnsi"/>
        </w:rPr>
      </w:pPr>
      <w:r w:rsidRPr="001D6484">
        <w:rPr>
          <w:rStyle w:val="FootnoteReference"/>
          <w:rFonts w:cstheme="minorHAnsi"/>
        </w:rPr>
        <w:footnoteRef/>
      </w:r>
      <w:r w:rsidRPr="001D6484">
        <w:rPr>
          <w:rFonts w:cstheme="minorHAnsi"/>
        </w:rPr>
        <w:t xml:space="preserve"> Ragnar Löfstedt, “The precautionary principle in the EU: Why a formal review is long overdue,” Risk Management 16, no. 3 (2014): 137-163: 157</w:t>
      </w:r>
    </w:p>
  </w:footnote>
  <w:footnote w:id="47">
    <w:p w14:paraId="36B0084C" w14:textId="4ACB47E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w:t>
      </w:r>
      <w:bookmarkStart w:id="11" w:name="_Hlk529528001"/>
      <w:r w:rsidRPr="001D6484">
        <w:rPr>
          <w:rFonts w:cstheme="minorHAnsi"/>
        </w:rPr>
        <w:t xml:space="preserve">Grace Skogstad, “Contested Accountabiity Claims and GMO Regulation in the European Union,” </w:t>
      </w:r>
      <w:r w:rsidRPr="001D6484">
        <w:rPr>
          <w:rFonts w:cstheme="minorHAnsi"/>
          <w:i/>
        </w:rPr>
        <w:t>Journal of Common Market Studies</w:t>
      </w:r>
      <w:r w:rsidRPr="001D6484">
        <w:rPr>
          <w:rFonts w:cstheme="minorHAnsi"/>
        </w:rPr>
        <w:t xml:space="preserve"> 49, no. 4 (2011)</w:t>
      </w:r>
      <w:bookmarkEnd w:id="11"/>
      <w:r w:rsidRPr="001D6484">
        <w:rPr>
          <w:rFonts w:cstheme="minorHAnsi"/>
        </w:rPr>
        <w:t>: 901.</w:t>
      </w:r>
    </w:p>
  </w:footnote>
  <w:footnote w:id="48">
    <w:p w14:paraId="59AC7595" w14:textId="7392AC2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Matthew Cotton, “Ethics and Technology Assessment: A Participatory Approach,” </w:t>
      </w:r>
      <w:r w:rsidRPr="001D6484">
        <w:rPr>
          <w:rFonts w:cstheme="minorHAnsi"/>
          <w:i/>
        </w:rPr>
        <w:t>Studies in Applied Philosophy, Epistemology and Rational Ethics</w:t>
      </w:r>
      <w:r w:rsidRPr="001D6484">
        <w:rPr>
          <w:rFonts w:cstheme="minorHAnsi"/>
        </w:rPr>
        <w:t xml:space="preserve">, </w:t>
      </w:r>
      <w:r w:rsidRPr="001D6484">
        <w:rPr>
          <w:rFonts w:cstheme="minorHAnsi"/>
          <w:i/>
        </w:rPr>
        <w:t>Volume 13</w:t>
      </w:r>
      <w:r w:rsidRPr="001D6484">
        <w:rPr>
          <w:rFonts w:cstheme="minorHAnsi"/>
        </w:rPr>
        <w:t xml:space="preserve">, (Berlin Heidelberg: Springer–Verlag July 2014). </w:t>
      </w:r>
      <w:r w:rsidRPr="001D6484">
        <w:rPr>
          <w:rFonts w:cstheme="minorHAnsi"/>
        </w:rPr>
        <w:br/>
        <w:t xml:space="preserve">Mitchell P. Smith, </w:t>
      </w:r>
      <w:r w:rsidRPr="001D6484">
        <w:rPr>
          <w:rFonts w:cstheme="minorHAnsi"/>
          <w:i/>
        </w:rPr>
        <w:t>Environmental and Health Regulation in the United States and the European Union</w:t>
      </w:r>
      <w:r w:rsidRPr="001D6484">
        <w:rPr>
          <w:rFonts w:cstheme="minorHAnsi"/>
        </w:rPr>
        <w:t xml:space="preserve"> (New York: Palgrave Macmillan, 2012), 42.</w:t>
      </w:r>
    </w:p>
  </w:footnote>
  <w:footnote w:id="49">
    <w:p w14:paraId="4827CDFD" w14:textId="1C787209"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Marion Dreyer and Ortwin Renn, </w:t>
      </w:r>
      <w:r w:rsidRPr="001D6484">
        <w:rPr>
          <w:rFonts w:cstheme="minorHAnsi"/>
          <w:i/>
        </w:rPr>
        <w:t>Food Safety and Governance: Integrating Science, Precaution, and Public Involvment</w:t>
      </w:r>
      <w:r w:rsidRPr="001D6484">
        <w:rPr>
          <w:rFonts w:cstheme="minorHAnsi"/>
        </w:rPr>
        <w:t xml:space="preserve"> (Berlin Heidelberg: Springer-Verlag, 2009), 3.</w:t>
      </w:r>
    </w:p>
  </w:footnote>
  <w:footnote w:id="50">
    <w:p w14:paraId="21D00434" w14:textId="7C2BFDBB"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Though sometimes in other documents rendered as “pTA” or “participatory TA”.</w:t>
      </w:r>
    </w:p>
  </w:footnote>
  <w:footnote w:id="51">
    <w:p w14:paraId="3A163C3A" w14:textId="64DDAE61" w:rsidR="00E3149C" w:rsidRPr="001D6484" w:rsidRDefault="00E3149C" w:rsidP="00477457">
      <w:pPr>
        <w:pStyle w:val="FootnoteText"/>
        <w:rPr>
          <w:rFonts w:cstheme="minorHAnsi"/>
          <w:lang w:val="fr-FR"/>
        </w:rPr>
      </w:pPr>
      <w:r w:rsidRPr="001D6484">
        <w:rPr>
          <w:rStyle w:val="FootnoteReference"/>
          <w:rFonts w:cstheme="minorHAnsi"/>
        </w:rPr>
        <w:footnoteRef/>
      </w:r>
      <w:r w:rsidRPr="001D6484">
        <w:rPr>
          <w:rFonts w:cstheme="minorHAnsi"/>
          <w:lang w:val="fr-FR"/>
        </w:rPr>
        <w:t xml:space="preserve"> </w:t>
      </w:r>
      <w:bookmarkStart w:id="12" w:name="_Hlk529527644"/>
      <w:r w:rsidRPr="001D6484">
        <w:rPr>
          <w:rFonts w:cstheme="minorHAnsi"/>
          <w:lang w:val="fr-FR"/>
        </w:rPr>
        <w:t xml:space="preserve">"EUROPTA," Cordis, European Commission, </w:t>
      </w:r>
      <w:hyperlink r:id="rId12" w:history="1">
        <w:r w:rsidRPr="001D6484">
          <w:rPr>
            <w:rStyle w:val="Hyperlink"/>
            <w:rFonts w:cstheme="minorHAnsi"/>
            <w:lang w:val="fr-FR"/>
          </w:rPr>
          <w:t>https://cordis.europa.eu/docs/publications/7078/70781441-6_en.pdf</w:t>
        </w:r>
      </w:hyperlink>
      <w:r w:rsidRPr="001D6484">
        <w:rPr>
          <w:rFonts w:cstheme="minorHAnsi"/>
          <w:lang w:val="fr-FR"/>
        </w:rPr>
        <w:t>, 53.</w:t>
      </w:r>
    </w:p>
    <w:bookmarkEnd w:id="12"/>
  </w:footnote>
  <w:footnote w:id="52">
    <w:p w14:paraId="02114455" w14:textId="38AB3F2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“Advisory Committees,” US FDA website, </w:t>
      </w:r>
      <w:hyperlink r:id="rId13" w:history="1">
        <w:r w:rsidRPr="001D6484">
          <w:rPr>
            <w:rStyle w:val="Hyperlink"/>
            <w:rFonts w:cstheme="minorHAnsi"/>
          </w:rPr>
          <w:t>http://www.fda.gov/AdvisoryCommittees/AboutAdvisoryCommittees/default.htm</w:t>
        </w:r>
      </w:hyperlink>
      <w:r w:rsidRPr="001D6484">
        <w:rPr>
          <w:rFonts w:cstheme="minorHAnsi"/>
        </w:rPr>
        <w:t>.  Retrieved December 10, 2015.</w:t>
      </w:r>
    </w:p>
  </w:footnote>
  <w:footnote w:id="53">
    <w:p w14:paraId="6B771A63" w14:textId="6861428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“EUROPTA” 50.</w:t>
      </w:r>
    </w:p>
  </w:footnote>
  <w:footnote w:id="54">
    <w:p w14:paraId="533C39EF" w14:textId="24617769"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Michael Orntzeder and Karen Kastenhofer, “Old problems, new directions and upcoming</w:t>
      </w:r>
    </w:p>
    <w:p w14:paraId="48875ADE" w14:textId="4A2EB03D" w:rsidR="00E3149C" w:rsidRPr="001D6484" w:rsidRDefault="00E3149C" w:rsidP="00477457">
      <w:pPr>
        <w:pStyle w:val="FootnoteText"/>
        <w:rPr>
          <w:rFonts w:cstheme="minorHAnsi"/>
        </w:rPr>
      </w:pPr>
      <w:r w:rsidRPr="001D6484">
        <w:rPr>
          <w:rFonts w:cstheme="minorHAnsi"/>
        </w:rPr>
        <w:t>requirements in participatory technology assessment,” Editorial in Poiesis Prax (2012): 1–5.</w:t>
      </w:r>
    </w:p>
  </w:footnote>
  <w:footnote w:id="55">
    <w:p w14:paraId="0BB5D6B6" w14:textId="7777777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“CORDIS is the European Commission's primary public repository and portal to disseminate information on all EU-funded research projects and their results in the broadest sense.”</w:t>
      </w:r>
    </w:p>
  </w:footnote>
  <w:footnote w:id="56">
    <w:p w14:paraId="59FAB259" w14:textId="07EB97A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“EUROPTA.”</w:t>
      </w:r>
    </w:p>
  </w:footnote>
  <w:footnote w:id="57">
    <w:p w14:paraId="0198DCF3" w14:textId="14BC27DC"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bookmarkStart w:id="13" w:name="_Hlk529527773"/>
      <w:r w:rsidRPr="001D6484">
        <w:rPr>
          <w:rFonts w:cstheme="minorHAnsi"/>
        </w:rPr>
        <w:t>“Technopolis Report,” European Parliament, April 2014</w:t>
      </w:r>
      <w:bookmarkEnd w:id="13"/>
      <w:r w:rsidRPr="001D6484">
        <w:rPr>
          <w:rFonts w:cstheme="minorHAnsi"/>
        </w:rPr>
        <w:t xml:space="preserve">, </w:t>
      </w:r>
      <w:hyperlink r:id="rId14" w:history="1">
        <w:r w:rsidRPr="001D6484">
          <w:rPr>
            <w:rStyle w:val="Hyperlink"/>
            <w:rFonts w:cstheme="minorHAnsi"/>
          </w:rPr>
          <w:t>http://www.europarl.europa.eu/RegData/etudes/etudes/join/2012/488798/IPOL-JOIN_ET(2012)488798_EN.pdf</w:t>
        </w:r>
      </w:hyperlink>
      <w:r w:rsidRPr="001D6484">
        <w:rPr>
          <w:rFonts w:cstheme="minorHAnsi"/>
        </w:rPr>
        <w:t xml:space="preserve"> </w:t>
      </w:r>
    </w:p>
  </w:footnote>
  <w:footnote w:id="58">
    <w:p w14:paraId="4D055F7D" w14:textId="0F21E8A1"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“European Council,” European Union Website, </w:t>
      </w:r>
      <w:hyperlink r:id="rId15" w:history="1">
        <w:r w:rsidRPr="001D6484">
          <w:rPr>
            <w:rStyle w:val="Hyperlink"/>
            <w:rFonts w:cstheme="minorHAnsi"/>
          </w:rPr>
          <w:t>https://europa.eu/european-union/about-eu/institutions-bodies/european-council_en</w:t>
        </w:r>
      </w:hyperlink>
      <w:r w:rsidRPr="001D6484">
        <w:rPr>
          <w:rFonts w:cstheme="minorHAnsi"/>
        </w:rPr>
        <w:t>, retrieved November 11, 2018.</w:t>
      </w:r>
    </w:p>
  </w:footnote>
  <w:footnote w:id="59">
    <w:p w14:paraId="715566DB" w14:textId="41679AF4"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“The European Commission,” European Parliament Website, </w:t>
      </w:r>
      <w:hyperlink r:id="rId16" w:history="1">
        <w:r w:rsidRPr="001D6484">
          <w:rPr>
            <w:rStyle w:val="Hyperlink"/>
            <w:rFonts w:cstheme="minorHAnsi"/>
          </w:rPr>
          <w:t>http://www.europarl.europa.eu/factsheets/en/sheet/25/the-european-commission</w:t>
        </w:r>
      </w:hyperlink>
      <w:r w:rsidRPr="001D6484">
        <w:rPr>
          <w:rFonts w:cstheme="minorHAnsi"/>
        </w:rPr>
        <w:t>, Retrieved November 11, 2018.</w:t>
      </w:r>
    </w:p>
  </w:footnote>
  <w:footnote w:id="60">
    <w:p w14:paraId="6060F6DF" w14:textId="184C877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Ross 9.</w:t>
      </w:r>
    </w:p>
  </w:footnote>
  <w:footnote w:id="61">
    <w:p w14:paraId="02EBA361" w14:textId="17DB3F6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62">
    <w:p w14:paraId="24E7816E" w14:textId="4AF48D2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9-10.</w:t>
      </w:r>
    </w:p>
  </w:footnote>
  <w:footnote w:id="63">
    <w:p w14:paraId="605D0D7D" w14:textId="22D81D9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10.</w:t>
      </w:r>
    </w:p>
  </w:footnote>
  <w:footnote w:id="64">
    <w:p w14:paraId="6CDB4B8D" w14:textId="3EB05F0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r w:rsidRPr="001D6484">
        <w:rPr>
          <w:rFonts w:cstheme="minorHAnsi"/>
          <w:color w:val="000000" w:themeColor="text1"/>
        </w:rPr>
        <w:t xml:space="preserve">Randour 1310. </w:t>
      </w:r>
      <w:r w:rsidRPr="001D6484">
        <w:rPr>
          <w:rFonts w:cstheme="minorHAnsi"/>
          <w:color w:val="000000" w:themeColor="text1"/>
        </w:rPr>
        <w:br/>
        <w:t>Skogstad 901.</w:t>
      </w:r>
    </w:p>
  </w:footnote>
  <w:footnote w:id="65">
    <w:p w14:paraId="33EE4394" w14:textId="7D80D76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Skogstad 902.</w:t>
      </w:r>
    </w:p>
  </w:footnote>
  <w:footnote w:id="66">
    <w:p w14:paraId="56A35935" w14:textId="1483E58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paraphrase of Randour 1311. Skogstad 901.</w:t>
      </w:r>
    </w:p>
  </w:footnote>
  <w:footnote w:id="67">
    <w:p w14:paraId="53A23B4B" w14:textId="2309941C"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Randour 1408.</w:t>
      </w:r>
    </w:p>
  </w:footnote>
  <w:footnote w:id="68">
    <w:p w14:paraId="11C97B73" w14:textId="4183B9C2"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Skogstad 902.</w:t>
      </w:r>
    </w:p>
  </w:footnote>
  <w:footnote w:id="69">
    <w:p w14:paraId="79919E06" w14:textId="757A1B2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Skogstad</w:t>
      </w:r>
      <w:r w:rsidRPr="001D6484">
        <w:rPr>
          <w:rFonts w:cstheme="minorHAnsi"/>
          <w:color w:val="242021"/>
        </w:rPr>
        <w:t xml:space="preserve"> 896.</w:t>
      </w:r>
    </w:p>
  </w:footnote>
  <w:footnote w:id="70">
    <w:p w14:paraId="626855AC" w14:textId="68713CB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w:t>
      </w:r>
      <w:r w:rsidRPr="001D6484">
        <w:rPr>
          <w:rFonts w:cstheme="minorHAnsi"/>
          <w:color w:val="242021"/>
        </w:rPr>
        <w:t>899.</w:t>
      </w:r>
    </w:p>
  </w:footnote>
  <w:footnote w:id="71">
    <w:p w14:paraId="57AB8D50" w14:textId="7777777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72">
    <w:p w14:paraId="6B590A21" w14:textId="5B32977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Skogstad 903.</w:t>
      </w:r>
    </w:p>
  </w:footnote>
  <w:footnote w:id="73">
    <w:p w14:paraId="432FA4BA" w14:textId="24F8BB6D"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74">
    <w:p w14:paraId="5BD8DCCC" w14:textId="4B8EA6CD"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Ethan Kapstein, “Resolving the Regulator’s Dilemma: International Coordination of Banking Regulations,” </w:t>
      </w:r>
      <w:r w:rsidRPr="001D6484">
        <w:rPr>
          <w:rFonts w:cstheme="minorHAnsi"/>
          <w:i/>
        </w:rPr>
        <w:t>International Organization</w:t>
      </w:r>
      <w:r w:rsidRPr="001D6484">
        <w:rPr>
          <w:rFonts w:cstheme="minorHAnsi"/>
        </w:rPr>
        <w:t xml:space="preserve"> 42, no. 2 (Spring 1989): 324.</w:t>
      </w:r>
    </w:p>
  </w:footnote>
  <w:footnote w:id="75">
    <w:p w14:paraId="6A183A6D" w14:textId="7920A3F9"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Ragnar Löfstedt, “The Swing of the Regulatory Pendulum in Europe: From Precautionary Principle to (Regulatory) Impact Analysis,” Journal of Risk and Uncertainty, 28 no. 3 (May 2004): 237-260.</w:t>
      </w:r>
    </w:p>
  </w:footnote>
  <w:footnote w:id="76">
    <w:p w14:paraId="1296752A" w14:textId="5E8074C3"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Mitchel P. Smith, </w:t>
      </w:r>
      <w:r w:rsidRPr="001D6484">
        <w:rPr>
          <w:rFonts w:cstheme="minorHAnsi"/>
          <w:i/>
        </w:rPr>
        <w:t>Environmental and Health Regulation in the United States and the European Union: Protecting Public and Planet</w:t>
      </w:r>
      <w:r w:rsidRPr="001D6484">
        <w:rPr>
          <w:rFonts w:cstheme="minorHAnsi"/>
        </w:rPr>
        <w:t>, (New York: Palgrave MacMillan, 2012).</w:t>
      </w:r>
    </w:p>
  </w:footnote>
  <w:footnote w:id="77">
    <w:p w14:paraId="40353FE3" w14:textId="42879360"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“Comitology,” European Commission Website, </w:t>
      </w:r>
      <w:hyperlink r:id="rId17" w:history="1">
        <w:r w:rsidRPr="001D6484">
          <w:rPr>
            <w:rStyle w:val="Hyperlink"/>
            <w:rFonts w:cstheme="minorHAnsi"/>
          </w:rPr>
          <w:t>https://ec.europa.eu/info/implementing-and-delegated-acts/comitology_en</w:t>
        </w:r>
      </w:hyperlink>
      <w:r w:rsidRPr="001D6484">
        <w:rPr>
          <w:rFonts w:cstheme="minorHAnsi"/>
        </w:rPr>
        <w:t xml:space="preserve">. </w:t>
      </w:r>
    </w:p>
  </w:footnote>
  <w:footnote w:id="78">
    <w:p w14:paraId="3A7943D7" w14:textId="4A500F1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“Principles,” EFSA Website, </w:t>
      </w:r>
      <w:hyperlink r:id="rId18" w:history="1">
        <w:r w:rsidRPr="001D6484">
          <w:rPr>
            <w:rStyle w:val="Hyperlink"/>
            <w:rFonts w:cstheme="minorHAnsi"/>
          </w:rPr>
          <w:t>http://www.efsa.europa.eu/en/aboutefsa</w:t>
        </w:r>
      </w:hyperlink>
      <w:r w:rsidRPr="001D6484">
        <w:rPr>
          <w:rFonts w:cstheme="minorHAnsi"/>
        </w:rPr>
        <w:t xml:space="preserve"> and </w:t>
      </w:r>
      <w:hyperlink r:id="rId19" w:history="1">
        <w:r w:rsidRPr="001D6484">
          <w:rPr>
            <w:rStyle w:val="Hyperlink"/>
            <w:rFonts w:cstheme="minorHAnsi"/>
          </w:rPr>
          <w:t>http://ec.europa.eu/food/safety/general_food_law/principles/index_en.htm</w:t>
        </w:r>
      </w:hyperlink>
      <w:r w:rsidRPr="001D6484">
        <w:rPr>
          <w:rFonts w:cstheme="minorHAnsi"/>
        </w:rPr>
        <w:t xml:space="preserve"> </w:t>
      </w:r>
    </w:p>
  </w:footnote>
  <w:footnote w:id="79">
    <w:p w14:paraId="592C6ECA" w14:textId="37F2017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80">
    <w:p w14:paraId="18A31380" w14:textId="5A2EE55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Randour 1310.</w:t>
      </w:r>
    </w:p>
  </w:footnote>
  <w:footnote w:id="81">
    <w:p w14:paraId="0C7C3A46" w14:textId="6688D3B0"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Randour 1312</w:t>
      </w:r>
    </w:p>
  </w:footnote>
  <w:footnote w:id="82">
    <w:p w14:paraId="6D796EA0" w14:textId="23C4E328"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“GMO Decision-Making Process Explained,” EU Commission, https://ec.europa.eu/food/plant/gmo/authorisation/decision_making_process_en.</w:t>
      </w:r>
    </w:p>
  </w:footnote>
  <w:footnote w:id="83">
    <w:p w14:paraId="432FE05A" w14:textId="6D58BEE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bookmarkStart w:id="20" w:name="_Hlk529530750"/>
      <w:r w:rsidRPr="001D6484">
        <w:rPr>
          <w:rFonts w:cstheme="minorHAnsi"/>
        </w:rPr>
        <w:t xml:space="preserve">“Regulation (EU) No 182/2011 of the European Parliament and of the Council…,” EUR-Lex, </w:t>
      </w:r>
      <w:hyperlink r:id="rId20" w:history="1">
        <w:r w:rsidRPr="001D6484">
          <w:rPr>
            <w:rStyle w:val="Hyperlink"/>
            <w:rFonts w:cstheme="minorHAnsi"/>
          </w:rPr>
          <w:t>https://eur-lex.europa.eu/legal-content/EN/TXT/?uri=uriserv:OJ.L_.2011.055.01.0013.01.ENG&amp;toc=OJ:L:2011:055:TOC13–18</w:t>
        </w:r>
      </w:hyperlink>
      <w:r w:rsidRPr="001D6484">
        <w:rPr>
          <w:rStyle w:val="Emphasis"/>
          <w:rFonts w:cstheme="minorHAnsi"/>
          <w:i w:val="0"/>
        </w:rPr>
        <w:t>.</w:t>
      </w:r>
    </w:p>
    <w:bookmarkEnd w:id="20"/>
  </w:footnote>
  <w:footnote w:id="84">
    <w:p w14:paraId="1EBEC825" w14:textId="6E9B8D92"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Jean-Claude Juncker, “Opening speech on GMOs - Plenary meeting,” Speech, European Parliament, Strasbourg, October 28, 2015. </w:t>
      </w:r>
      <w:hyperlink r:id="rId21" w:history="1">
        <w:r w:rsidRPr="001D6484">
          <w:rPr>
            <w:rStyle w:val="Hyperlink"/>
            <w:rFonts w:cstheme="minorHAnsi"/>
          </w:rPr>
          <w:t>https://ec.europa.eu/commission/commissioners/2014-2019/andriukaitis/announcements/opening-speech-gmos-plenary-meeting-28102015-european-parliament-strasbourg_en</w:t>
        </w:r>
      </w:hyperlink>
      <w:r w:rsidRPr="001D6484">
        <w:rPr>
          <w:rFonts w:cstheme="minorHAnsi"/>
        </w:rPr>
        <w:t xml:space="preserve"> </w:t>
      </w:r>
    </w:p>
  </w:footnote>
  <w:footnote w:id="85">
    <w:p w14:paraId="1810F90D" w14:textId="1B142E2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Skogstad 904.</w:t>
      </w:r>
    </w:p>
  </w:footnote>
  <w:footnote w:id="86">
    <w:p w14:paraId="5E2F37BF" w14:textId="5D78ABB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Juncker, October 28, 2015.</w:t>
      </w:r>
    </w:p>
  </w:footnote>
  <w:footnote w:id="87">
    <w:p w14:paraId="7A1BDF56" w14:textId="77777777" w:rsidR="00E3149C" w:rsidRPr="001D6484" w:rsidRDefault="00E3149C" w:rsidP="00A50C64">
      <w:pPr>
        <w:pStyle w:val="FootnoteText"/>
        <w:rPr>
          <w:rFonts w:cstheme="minorHAnsi"/>
        </w:rPr>
      </w:pPr>
      <w:r w:rsidRPr="001D6484">
        <w:rPr>
          <w:rStyle w:val="FootnoteReference"/>
          <w:rFonts w:cstheme="minorHAnsi"/>
        </w:rPr>
        <w:footnoteRef/>
      </w:r>
      <w:r w:rsidRPr="001D6484">
        <w:rPr>
          <w:rFonts w:cstheme="minorHAnsi"/>
        </w:rPr>
        <w:t xml:space="preserve"> European Union, “DIRECTIVE (EU) 2015/412 OF THE EUROPEAN PARLIAMENT AND OF THE COUNCIL</w:t>
      </w:r>
    </w:p>
    <w:p w14:paraId="0B9A9028" w14:textId="5EB769BF" w:rsidR="00E3149C" w:rsidRPr="001D6484" w:rsidRDefault="00E3149C" w:rsidP="00A50C64">
      <w:pPr>
        <w:pStyle w:val="FootnoteText"/>
        <w:rPr>
          <w:rFonts w:cstheme="minorHAnsi"/>
        </w:rPr>
      </w:pPr>
      <w:r w:rsidRPr="001D6484">
        <w:rPr>
          <w:rFonts w:cstheme="minorHAnsi"/>
        </w:rPr>
        <w:t>of 11 March 2015,” Official Journal of the European Union, 68 no. 1 (March 13 2015). https://eur-lex.europa.eu/legal-content/EN/TXT/PDF/?uri=CELEX:32015L0412&amp;from=EN</w:t>
      </w:r>
    </w:p>
  </w:footnote>
  <w:footnote w:id="88">
    <w:p w14:paraId="547A73ED" w14:textId="67FB3D6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1</w:t>
      </w:r>
      <w:r w:rsidRPr="001D6484">
        <w:rPr>
          <w:rFonts w:cstheme="minorHAnsi"/>
          <w:vertAlign w:val="superscript"/>
        </w:rPr>
        <w:t>st</w:t>
      </w:r>
      <w:r w:rsidRPr="001D6484">
        <w:rPr>
          <w:rFonts w:cstheme="minorHAnsi"/>
        </w:rPr>
        <w:t xml:space="preserve"> quote from </w:t>
      </w:r>
      <w:bookmarkStart w:id="21" w:name="_Hlk529530859"/>
      <w:r w:rsidRPr="001D6484">
        <w:rPr>
          <w:rFonts w:cstheme="minorHAnsi"/>
        </w:rPr>
        <w:t>European Commission, “Proposal for a REGULATION OF THE EUROPEAN PARLIAMENT AND OF THE COUNCIL…restrict or prohibit the use of genetically modified food and feed on their territory,”</w:t>
      </w:r>
      <w:bookmarkEnd w:id="21"/>
      <w:r w:rsidRPr="001D6484">
        <w:rPr>
          <w:rFonts w:cstheme="minorHAnsi"/>
        </w:rPr>
        <w:t xml:space="preserve"> EUR-Lex, https://eur-lex.europa.eu/legal-content/EN/TXT/?uri=celex:52015PC0177. </w:t>
      </w:r>
      <w:r w:rsidRPr="001D6484">
        <w:rPr>
          <w:rFonts w:cstheme="minorHAnsi"/>
        </w:rPr>
        <w:br/>
        <w:t>2</w:t>
      </w:r>
      <w:r w:rsidRPr="001D6484">
        <w:rPr>
          <w:rFonts w:cstheme="minorHAnsi"/>
          <w:vertAlign w:val="superscript"/>
        </w:rPr>
        <w:t>nd</w:t>
      </w:r>
      <w:r w:rsidRPr="001D6484">
        <w:rPr>
          <w:rFonts w:cstheme="minorHAnsi"/>
        </w:rPr>
        <w:t xml:space="preserve"> “Why the EU's GMO Vote Matters to Farmers,” AgWeb,  </w:t>
      </w:r>
      <w:hyperlink r:id="rId22" w:history="1">
        <w:r w:rsidRPr="001D6484">
          <w:rPr>
            <w:rStyle w:val="Hyperlink"/>
            <w:rFonts w:cstheme="minorHAnsi"/>
          </w:rPr>
          <w:t>http://www.agweb.com/article/why-the-eus-gmo-vote-matters-to-farmers-naa-tanner-ehmke/</w:t>
        </w:r>
      </w:hyperlink>
      <w:r w:rsidRPr="001D6484">
        <w:rPr>
          <w:rFonts w:cstheme="minorHAnsi"/>
        </w:rPr>
        <w:t xml:space="preserve"> </w:t>
      </w:r>
    </w:p>
  </w:footnote>
  <w:footnote w:id="89">
    <w:p w14:paraId="78BE2742" w14:textId="4881882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bookmarkStart w:id="22" w:name="_Hlk529530911"/>
      <w:r w:rsidRPr="001D6484">
        <w:rPr>
          <w:rFonts w:cstheme="minorHAnsi"/>
        </w:rPr>
        <w:t>Jean-Claude Juncker , “2015 State of the European Union,</w:t>
      </w:r>
      <w:bookmarkEnd w:id="22"/>
      <w:r w:rsidRPr="001D6484">
        <w:rPr>
          <w:rFonts w:cstheme="minorHAnsi"/>
        </w:rPr>
        <w:t xml:space="preserve">” Speech, European Union, September 9, 2015, </w:t>
      </w:r>
      <w:hyperlink r:id="rId23" w:history="1">
        <w:r w:rsidRPr="001D6484">
          <w:rPr>
            <w:rStyle w:val="Hyperlink"/>
            <w:rFonts w:cstheme="minorHAnsi"/>
          </w:rPr>
          <w:t>https://ec.europa.eu/commission/sites/beta-political/files/state_of_the_union_2015_en.pdf</w:t>
        </w:r>
      </w:hyperlink>
      <w:r w:rsidRPr="001D6484">
        <w:rPr>
          <w:rFonts w:cstheme="minorHAnsi"/>
        </w:rPr>
        <w:t xml:space="preserve"> </w:t>
      </w:r>
    </w:p>
  </w:footnote>
  <w:footnote w:id="90">
    <w:p w14:paraId="31F4F8DA" w14:textId="739179BF"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Austria, Bulgaria, Croatia, Cyprus, Denmark, France, Greece, Hungary, Italy, Latvia, Lithuania, Luxembourg, Malta, the Netherlands, Poland, and Slovenia requested full opt-outs; Germany requested a partial opt-out, </w:t>
      </w:r>
      <w:bookmarkStart w:id="23" w:name="_Hlk529531453"/>
      <w:r w:rsidRPr="001D6484">
        <w:rPr>
          <w:rFonts w:cstheme="minorHAnsi"/>
        </w:rPr>
        <w:t xml:space="preserve">“Nineteen EU Countries Seek GMO Opt-Out,” </w:t>
      </w:r>
      <w:r w:rsidRPr="001D6484">
        <w:rPr>
          <w:rFonts w:cstheme="minorHAnsi"/>
          <w:i/>
        </w:rPr>
        <w:t>Deutsche Welle</w:t>
      </w:r>
      <w:r w:rsidRPr="001D6484">
        <w:rPr>
          <w:rFonts w:cstheme="minorHAnsi"/>
        </w:rPr>
        <w:t xml:space="preserve">, October 4, 2015, </w:t>
      </w:r>
      <w:hyperlink r:id="rId24" w:history="1">
        <w:r w:rsidRPr="001D6484">
          <w:rPr>
            <w:rStyle w:val="Hyperlink"/>
            <w:rFonts w:cstheme="minorHAnsi"/>
          </w:rPr>
          <w:t>https://www.dw.com/en/nineteen-eu-countries-seek-gmo-opt-out/a-18760718</w:t>
        </w:r>
      </w:hyperlink>
      <w:r w:rsidRPr="001D6484">
        <w:rPr>
          <w:rFonts w:cstheme="minorHAnsi"/>
        </w:rPr>
        <w:t xml:space="preserve"> </w:t>
      </w:r>
    </w:p>
    <w:bookmarkEnd w:id="23"/>
  </w:footnote>
  <w:footnote w:id="91">
    <w:p w14:paraId="1DFB9000" w14:textId="1C2657E2"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Lynas, Mark, “With G.M.O. Policies, Europe Turns Against Science,” </w:t>
      </w:r>
      <w:r w:rsidRPr="001D6484">
        <w:rPr>
          <w:rFonts w:cstheme="minorHAnsi"/>
          <w:i/>
        </w:rPr>
        <w:t>The New York Times</w:t>
      </w:r>
      <w:r w:rsidRPr="001D6484">
        <w:rPr>
          <w:rFonts w:cstheme="minorHAnsi"/>
        </w:rPr>
        <w:t xml:space="preserve">, October 24, 2015, </w:t>
      </w:r>
      <w:hyperlink r:id="rId25" w:history="1">
        <w:r w:rsidRPr="001D6484">
          <w:rPr>
            <w:rStyle w:val="Hyperlink"/>
            <w:rFonts w:cstheme="minorHAnsi"/>
          </w:rPr>
          <w:t>http://www.nytimes.com/2015/10/25/opinion/sunday/with-gmo-policies-europe-turns-against-science.html</w:t>
        </w:r>
      </w:hyperlink>
      <w:r w:rsidRPr="001D6484">
        <w:rPr>
          <w:rFonts w:cstheme="minorHAnsi"/>
        </w:rPr>
        <w:t xml:space="preserve"> </w:t>
      </w:r>
    </w:p>
  </w:footnote>
  <w:footnote w:id="92">
    <w:p w14:paraId="56D00A71" w14:textId="0D630A8B" w:rsidR="00E3149C" w:rsidRPr="001D6484" w:rsidRDefault="00E3149C" w:rsidP="00477457">
      <w:pPr>
        <w:pStyle w:val="FootnoteText"/>
        <w:rPr>
          <w:rFonts w:cstheme="minorHAnsi"/>
        </w:rPr>
      </w:pPr>
      <w:r w:rsidRPr="001D6484">
        <w:rPr>
          <w:rStyle w:val="FootnoteReference"/>
          <w:rFonts w:cstheme="minorHAnsi"/>
        </w:rPr>
        <w:footnoteRef/>
      </w:r>
      <w:bookmarkStart w:id="24" w:name="_Hlk529531499"/>
      <w:r w:rsidRPr="001D6484">
        <w:rPr>
          <w:rFonts w:cstheme="minorHAnsi"/>
        </w:rPr>
        <w:t xml:space="preserve">“Parliament Rejects National GMO Bans Proposal,” European Parliament, </w:t>
      </w:r>
      <w:hyperlink r:id="rId26" w:history="1">
        <w:r w:rsidRPr="001D6484">
          <w:rPr>
            <w:rStyle w:val="Hyperlink"/>
            <w:rFonts w:cstheme="minorHAnsi"/>
          </w:rPr>
          <w:t>http://www.europarl.europa.eu/news/en/press-room/20151022IPR98805/parliament-rejects-national-gmo-bans-proposal</w:t>
        </w:r>
      </w:hyperlink>
      <w:bookmarkEnd w:id="24"/>
      <w:r w:rsidRPr="001D6484">
        <w:rPr>
          <w:rFonts w:cstheme="minorHAnsi"/>
        </w:rPr>
        <w:t xml:space="preserve"> </w:t>
      </w:r>
    </w:p>
  </w:footnote>
  <w:footnote w:id="93">
    <w:p w14:paraId="062D84F8" w14:textId="210813AD"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Louch, William, “MEPs reject 'half-baked' EU Commission GMO opt-out plans,” </w:t>
      </w:r>
      <w:r w:rsidRPr="001D6484">
        <w:rPr>
          <w:rFonts w:cstheme="minorHAnsi"/>
          <w:i/>
        </w:rPr>
        <w:t>The Parliament Magazine</w:t>
      </w:r>
      <w:r w:rsidRPr="001D6484">
        <w:rPr>
          <w:rFonts w:cstheme="minorHAnsi"/>
        </w:rPr>
        <w:t xml:space="preserve">, October 28, 2015, </w:t>
      </w:r>
      <w:hyperlink r:id="rId27" w:history="1">
        <w:r w:rsidRPr="001D6484">
          <w:rPr>
            <w:rStyle w:val="Hyperlink"/>
            <w:rFonts w:cstheme="minorHAnsi"/>
          </w:rPr>
          <w:t>https://www.theparliamentmagazine.eu/articles/news/meps-reject-half-baked-eu-commission-gmo-opt-out-plans</w:t>
        </w:r>
      </w:hyperlink>
      <w:r w:rsidRPr="001D6484">
        <w:rPr>
          <w:rFonts w:cstheme="minorHAnsi"/>
        </w:rPr>
        <w:t xml:space="preserve"> </w:t>
      </w:r>
    </w:p>
  </w:footnote>
  <w:footnote w:id="94">
    <w:p w14:paraId="66634C3A" w14:textId="2CA002B0" w:rsidR="00E3149C" w:rsidRPr="001D6484" w:rsidRDefault="00E3149C" w:rsidP="009F2161">
      <w:pPr>
        <w:rPr>
          <w:rFonts w:cstheme="minorHAnsi"/>
          <w:sz w:val="20"/>
          <w:szCs w:val="20"/>
        </w:rPr>
      </w:pPr>
      <w:r w:rsidRPr="001D6484">
        <w:rPr>
          <w:rStyle w:val="FootnoteReference"/>
          <w:rFonts w:cstheme="minorHAnsi"/>
          <w:sz w:val="20"/>
          <w:szCs w:val="20"/>
        </w:rPr>
        <w:footnoteRef/>
      </w:r>
      <w:r w:rsidRPr="001D6484">
        <w:rPr>
          <w:rFonts w:cstheme="minorHAnsi"/>
          <w:sz w:val="20"/>
          <w:szCs w:val="20"/>
        </w:rPr>
        <w:t xml:space="preserve"> “Summary Report of the Standing Committee on Plants, Animals, Food and Feed Held in Brussels On 17 January 2017,” European Commission Health and Food Safety Directorate-General, </w:t>
      </w:r>
      <w:hyperlink r:id="rId28" w:history="1">
        <w:r w:rsidRPr="001D6484">
          <w:rPr>
            <w:rStyle w:val="Hyperlink"/>
            <w:rFonts w:cstheme="minorHAnsi"/>
            <w:sz w:val="20"/>
            <w:szCs w:val="20"/>
          </w:rPr>
          <w:t>https://ec.europa.eu/food/sites/food/files/plant/.../sc_plant-health_20170126_sum.pdf</w:t>
        </w:r>
      </w:hyperlink>
      <w:r w:rsidRPr="001D6484">
        <w:rPr>
          <w:rFonts w:cstheme="minorHAnsi"/>
          <w:sz w:val="20"/>
          <w:szCs w:val="20"/>
        </w:rPr>
        <w:t>.</w:t>
      </w:r>
    </w:p>
    <w:p w14:paraId="1B52D17F" w14:textId="7FD661D7" w:rsidR="00E3149C" w:rsidRPr="001D6484" w:rsidRDefault="00E3149C" w:rsidP="00477457">
      <w:pPr>
        <w:pStyle w:val="FootnoteText"/>
        <w:rPr>
          <w:rFonts w:cstheme="minorHAnsi"/>
        </w:rPr>
      </w:pPr>
      <w:r w:rsidRPr="001D6484">
        <w:rPr>
          <w:rFonts w:cstheme="minorHAnsi"/>
        </w:rPr>
        <w:t xml:space="preserve"> </w:t>
      </w:r>
      <w:r w:rsidRPr="001D6484">
        <w:rPr>
          <w:rFonts w:cstheme="minorHAnsi"/>
          <w:iCs/>
          <w:color w:val="000000"/>
        </w:rPr>
        <w:t xml:space="preserve">The Swedish objection cuts to an important issue in the GMO debate, namely that while many EU Citizens view genetic modification as inherently untested and unsafe, others may view the genetic modification technology as safe </w:t>
      </w:r>
      <w:r w:rsidRPr="001D6484">
        <w:rPr>
          <w:rFonts w:cstheme="minorHAnsi"/>
          <w:i/>
          <w:iCs/>
          <w:color w:val="000000"/>
        </w:rPr>
        <w:t>per se</w:t>
      </w:r>
      <w:r w:rsidRPr="001D6484">
        <w:rPr>
          <w:rFonts w:cstheme="minorHAnsi"/>
        </w:rPr>
        <w:t xml:space="preserve"> but feel intense reservation regarding the externalities, such as increased ability to use pesticides, herbicides, or monocropping technologies. Others yet take a “don’t throw the baby out with the bathwater” approach, acknowledge the potential negative externalities but arguing for the GMOs for their potential to be perfected and improved, transcending the negative externalities.</w:t>
      </w:r>
    </w:p>
  </w:footnote>
  <w:footnote w:id="95">
    <w:p w14:paraId="4B35FAC8" w14:textId="5CE2181D"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Idem</w:t>
      </w:r>
    </w:p>
  </w:footnote>
  <w:footnote w:id="96">
    <w:p w14:paraId="533BBFD7" w14:textId="0860334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bookmarkStart w:id="26" w:name="_Hlk529531572"/>
      <w:r w:rsidRPr="001D6484">
        <w:rPr>
          <w:rFonts w:cstheme="minorHAnsi"/>
        </w:rPr>
        <w:t xml:space="preserve">“Comitology Procedure Reforms: Questions &amp; Answers,” European Commission, </w:t>
      </w:r>
      <w:hyperlink r:id="rId29" w:history="1">
        <w:r w:rsidRPr="001D6484">
          <w:rPr>
            <w:rStyle w:val="Hyperlink"/>
            <w:rFonts w:cstheme="minorHAnsi"/>
          </w:rPr>
          <w:t>http://europa.eu/rapid/press-release_MEMO-17-273_en.htm</w:t>
        </w:r>
      </w:hyperlink>
      <w:r w:rsidRPr="001D6484">
        <w:rPr>
          <w:rFonts w:cstheme="minorHAnsi"/>
        </w:rPr>
        <w:t>.</w:t>
      </w:r>
    </w:p>
    <w:bookmarkEnd w:id="26"/>
  </w:footnote>
  <w:footnote w:id="97">
    <w:p w14:paraId="45840CBE" w14:textId="51A46DF9"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“Comitology: Commission proposes more transparency and accountability in procedures for implementing EU law,” European Commission Press Release, </w:t>
      </w:r>
      <w:hyperlink r:id="rId30" w:history="1">
        <w:r w:rsidRPr="001D6484">
          <w:rPr>
            <w:rStyle w:val="Hyperlink"/>
            <w:rFonts w:cstheme="minorHAnsi"/>
          </w:rPr>
          <w:t>http://europa.eu/rapid/press-release_IP-17-264_en.htm</w:t>
        </w:r>
      </w:hyperlink>
      <w:r w:rsidRPr="001D6484">
        <w:rPr>
          <w:rStyle w:val="Hyperlink"/>
          <w:rFonts w:cstheme="minorHAnsi"/>
        </w:rPr>
        <w:t>,</w:t>
      </w:r>
      <w:r w:rsidRPr="001D6484">
        <w:rPr>
          <w:rFonts w:cstheme="minorHAnsi"/>
        </w:rPr>
        <w:t xml:space="preserve"> Retrieved November 6, 2018.</w:t>
      </w:r>
    </w:p>
  </w:footnote>
  <w:footnote w:id="98">
    <w:p w14:paraId="363B789E" w14:textId="5B173D3C"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Batra, Karen, “EU’s Anti-Science Comitology Reform Threatens Innovation,” </w:t>
      </w:r>
      <w:r w:rsidRPr="001D6484">
        <w:rPr>
          <w:rFonts w:cstheme="minorHAnsi"/>
          <w:i/>
        </w:rPr>
        <w:t xml:space="preserve">Biotechnology Innovation Organization, </w:t>
      </w:r>
      <w:r w:rsidRPr="001D6484">
        <w:rPr>
          <w:rFonts w:cstheme="minorHAnsi"/>
        </w:rPr>
        <w:t xml:space="preserve">February 14, 2017, </w:t>
      </w:r>
      <w:hyperlink r:id="rId31" w:history="1">
        <w:r w:rsidRPr="001D6484">
          <w:rPr>
            <w:rStyle w:val="Hyperlink"/>
            <w:rFonts w:cstheme="minorHAnsi"/>
          </w:rPr>
          <w:t>https://www.bio.org/press-release/eu%E2%80%99s-anti-science-comitology-reform-threatens-innovation</w:t>
        </w:r>
      </w:hyperlink>
      <w:r w:rsidRPr="001D6484">
        <w:rPr>
          <w:rFonts w:cstheme="minorHAnsi"/>
        </w:rPr>
        <w:t>.</w:t>
      </w:r>
    </w:p>
  </w:footnote>
  <w:footnote w:id="99">
    <w:p w14:paraId="228F1340" w14:textId="3B8D40B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Guegen, Daniel, “Comitology reform: Doing, undoing, and redoing is still hard work,” </w:t>
      </w:r>
      <w:r w:rsidRPr="001D6484">
        <w:rPr>
          <w:rFonts w:cstheme="minorHAnsi"/>
          <w:i/>
        </w:rPr>
        <w:t>Euractiv</w:t>
      </w:r>
      <w:r w:rsidRPr="001D6484">
        <w:rPr>
          <w:rFonts w:cstheme="minorHAnsi"/>
        </w:rPr>
        <w:t xml:space="preserve">, February 16, 2017, </w:t>
      </w:r>
      <w:hyperlink r:id="rId32" w:history="1">
        <w:r w:rsidRPr="001D6484">
          <w:rPr>
            <w:rStyle w:val="Hyperlink"/>
            <w:rFonts w:cstheme="minorHAnsi"/>
          </w:rPr>
          <w:t>https://www.euractiv.com/section/public-affairs/opinion/comitology-reform-doing-undoing-and-redoing-is-still-hard-work/</w:t>
        </w:r>
      </w:hyperlink>
      <w:r w:rsidRPr="001D6484">
        <w:rPr>
          <w:rFonts w:cstheme="minorHAnsi"/>
        </w:rPr>
        <w:t>.</w:t>
      </w:r>
    </w:p>
  </w:footnote>
  <w:footnote w:id="100">
    <w:p w14:paraId="1CD04849" w14:textId="3FC2CEA9"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“Summary Report of the Standing Committee on Plants, Animals, Food and Feed Held in Brussels On 27 March 2017,” European Commission Health and Food Safety Directorate-General, </w:t>
      </w:r>
      <w:hyperlink r:id="rId33" w:history="1">
        <w:r w:rsidRPr="001D6484">
          <w:rPr>
            <w:rStyle w:val="Hyperlink"/>
            <w:rFonts w:cstheme="minorHAnsi"/>
          </w:rPr>
          <w:t>https://circabc.europa.eu/w/browse/8440f2ea-e2ad-4ce2-b520-d2f3b03f8c22</w:t>
        </w:r>
      </w:hyperlink>
      <w:r w:rsidRPr="001D6484">
        <w:rPr>
          <w:rFonts w:cstheme="minorHAnsi"/>
        </w:rPr>
        <w:t>.</w:t>
      </w:r>
    </w:p>
  </w:footnote>
  <w:footnote w:id="101">
    <w:p w14:paraId="65E24D86" w14:textId="74D52D5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Chow, Lorraine, “16 European Nations Vote Against GMO Crops,” </w:t>
      </w:r>
      <w:r w:rsidRPr="001D6484">
        <w:rPr>
          <w:rFonts w:cstheme="minorHAnsi"/>
          <w:i/>
        </w:rPr>
        <w:t>EcoWatch,</w:t>
      </w:r>
      <w:r w:rsidRPr="001D6484">
        <w:rPr>
          <w:rFonts w:cstheme="minorHAnsi"/>
        </w:rPr>
        <w:t xml:space="preserve"> March 27, 2017, </w:t>
      </w:r>
      <w:hyperlink r:id="rId34" w:history="1">
        <w:r w:rsidRPr="001D6484">
          <w:rPr>
            <w:rStyle w:val="Hyperlink"/>
            <w:rFonts w:cstheme="minorHAnsi"/>
          </w:rPr>
          <w:t>https://www.ecowatch.com/eu-nations-vote-against-gmo-crops-2332080511.html</w:t>
        </w:r>
      </w:hyperlink>
      <w:r w:rsidRPr="001D6484">
        <w:rPr>
          <w:rFonts w:cstheme="minorHAnsi"/>
        </w:rPr>
        <w:t>.</w:t>
      </w:r>
    </w:p>
  </w:footnote>
  <w:footnote w:id="102">
    <w:p w14:paraId="35C4EE43" w14:textId="1701AB02"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bookmarkStart w:id="27" w:name="_Hlk529531849"/>
      <w:r w:rsidRPr="001D6484">
        <w:rPr>
          <w:rFonts w:cstheme="minorHAnsi"/>
        </w:rPr>
        <w:t>“European Commission – Daily News 04 / 07 / 2017,” European Commission,</w:t>
      </w:r>
      <w:bookmarkEnd w:id="27"/>
      <w:r w:rsidRPr="001D6484">
        <w:rPr>
          <w:rFonts w:cstheme="minorHAnsi"/>
        </w:rPr>
        <w:t xml:space="preserve"> </w:t>
      </w:r>
      <w:hyperlink r:id="rId35" w:history="1">
        <w:r w:rsidRPr="001D6484">
          <w:rPr>
            <w:rStyle w:val="Hyperlink"/>
            <w:rFonts w:cstheme="minorHAnsi"/>
          </w:rPr>
          <w:t>http://europa.eu/rapid/press-release_MEX-17-1908_en.htm</w:t>
        </w:r>
      </w:hyperlink>
      <w:r w:rsidRPr="001D6484">
        <w:rPr>
          <w:rFonts w:cstheme="minorHAnsi"/>
        </w:rPr>
        <w:t>.</w:t>
      </w:r>
    </w:p>
  </w:footnote>
  <w:footnote w:id="103">
    <w:p w14:paraId="5EF55F59" w14:textId="713FAEA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“European Commission – Daily News 12 / 22 / 2017,” European Commission, </w:t>
      </w:r>
      <w:hyperlink r:id="rId36" w:history="1">
        <w:r w:rsidRPr="001D6484">
          <w:rPr>
            <w:rStyle w:val="Hyperlink"/>
            <w:rFonts w:cstheme="minorHAnsi"/>
          </w:rPr>
          <w:t>http://europa.eu/rapid/press-release_MEX-17-5421_en.htm</w:t>
        </w:r>
      </w:hyperlink>
      <w:r w:rsidRPr="001D6484">
        <w:rPr>
          <w:rFonts w:cstheme="minorHAnsi"/>
        </w:rPr>
        <w:t xml:space="preserve"> </w:t>
      </w:r>
    </w:p>
  </w:footnote>
  <w:footnote w:id="104">
    <w:p w14:paraId="41FADB9F" w14:textId="483E95D1"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“personally not a supporter of GMs.” Dave Keating, “All eyes on Juncker for GM crops decision,” </w:t>
      </w:r>
      <w:r w:rsidRPr="001D6484">
        <w:rPr>
          <w:rFonts w:cstheme="minorHAnsi"/>
          <w:i/>
        </w:rPr>
        <w:t>Politico, Europe Edition</w:t>
      </w:r>
      <w:r w:rsidRPr="001D6484">
        <w:rPr>
          <w:rFonts w:cstheme="minorHAnsi"/>
        </w:rPr>
        <w:t xml:space="preserve">, March 5, 2015. Additionally under Juncker’s Prime Minstership of Luxembourg, the principality banned cultivation of several GMOs – “Le Luxembourg interdit la pomme de terre OGM “Amflora,” </w:t>
      </w:r>
      <w:r w:rsidRPr="001D6484">
        <w:rPr>
          <w:rFonts w:cstheme="minorHAnsi"/>
          <w:i/>
        </w:rPr>
        <w:t>Greenpeace</w:t>
      </w:r>
      <w:r w:rsidRPr="001D6484">
        <w:rPr>
          <w:rFonts w:cstheme="minorHAnsi"/>
        </w:rPr>
        <w:t xml:space="preserve">, (June 16, 2010), </w:t>
      </w:r>
      <w:hyperlink r:id="rId37" w:history="1">
        <w:r w:rsidRPr="001D6484">
          <w:rPr>
            <w:rStyle w:val="Hyperlink"/>
            <w:rFonts w:cstheme="minorHAnsi"/>
          </w:rPr>
          <w:t>https://www.greenpeace.fr/le-luxembourg-interdit-la-pomme-de-terre-ogm-amflora/</w:t>
        </w:r>
      </w:hyperlink>
      <w:r w:rsidRPr="001D6484">
        <w:rPr>
          <w:rFonts w:cstheme="minorHAnsi"/>
        </w:rPr>
        <w:t xml:space="preserve"> Retrieved November 7 2018.</w:t>
      </w:r>
    </w:p>
  </w:footnote>
  <w:footnote w:id="105">
    <w:p w14:paraId="00A4341D" w14:textId="3FF4A5A9"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Thomas Jensen, “The Democratic Deficit of the European Union,” </w:t>
      </w:r>
      <w:r w:rsidRPr="001D6484">
        <w:rPr>
          <w:rFonts w:cstheme="minorHAnsi"/>
          <w:i/>
        </w:rPr>
        <w:t>Living Reviews in Democracy</w:t>
      </w:r>
      <w:r w:rsidRPr="001D6484">
        <w:rPr>
          <w:rFonts w:cstheme="minorHAnsi"/>
        </w:rPr>
        <w:t xml:space="preserve"> (2009),  </w:t>
      </w:r>
      <w:hyperlink r:id="rId38" w:history="1">
        <w:r w:rsidRPr="001D6484">
          <w:rPr>
            <w:rStyle w:val="Hyperlink"/>
            <w:rFonts w:cstheme="minorHAnsi"/>
          </w:rPr>
          <w:t>https://www.ethz.ch/content/dam/ethz/special-interest/gess/cis/cis-dam/CIS_DAM_2015/WorkingPapers/Living_Reviews_Democracy/Jensen.pdf</w:t>
        </w:r>
      </w:hyperlink>
      <w:r w:rsidRPr="001D6484">
        <w:rPr>
          <w:rFonts w:cstheme="minorHAnsi"/>
        </w:rPr>
        <w:t xml:space="preserve"> </w:t>
      </w:r>
      <w:r w:rsidRPr="001D6484">
        <w:rPr>
          <w:rFonts w:cstheme="minorHAnsi"/>
        </w:rPr>
        <w:br/>
        <w:t xml:space="preserve">Joachim Blatter et al., “Democratic Deficits in Europe: The Overlooked Exclusiveness of Nation-States and the Positive Role of the European Union,” </w:t>
      </w:r>
      <w:r w:rsidRPr="001D6484">
        <w:rPr>
          <w:rFonts w:cstheme="minorHAnsi"/>
          <w:i/>
        </w:rPr>
        <w:t>Journal of Common Market Studies</w:t>
      </w:r>
      <w:r w:rsidRPr="001D6484">
        <w:rPr>
          <w:rFonts w:cstheme="minorHAnsi"/>
        </w:rPr>
        <w:t xml:space="preserve"> 55, no. 33 (2017): 449-467.</w:t>
      </w:r>
    </w:p>
  </w:footnote>
  <w:footnote w:id="106">
    <w:p w14:paraId="2539DFD7" w14:textId="76535A2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Andreas Follesdal, “Survey Article: Subsidiarity,” </w:t>
      </w:r>
      <w:r w:rsidRPr="001D6484">
        <w:rPr>
          <w:rFonts w:cstheme="minorHAnsi"/>
          <w:i/>
        </w:rPr>
        <w:t>The Journal of Political Philosophy</w:t>
      </w:r>
      <w:r w:rsidRPr="001D6484">
        <w:rPr>
          <w:rFonts w:cstheme="minorHAnsi"/>
        </w:rPr>
        <w:t xml:space="preserve"> 6, no. 2 (1998): 190-218. </w:t>
      </w:r>
      <w:r w:rsidRPr="001D6484">
        <w:rPr>
          <w:rFonts w:cstheme="minorHAnsi"/>
        </w:rPr>
        <w:br/>
        <w:t xml:space="preserve">European Parliament Website, “The Principle of Subsidiarity,” </w:t>
      </w:r>
      <w:hyperlink r:id="rId39" w:history="1">
        <w:r w:rsidRPr="001D6484">
          <w:rPr>
            <w:rStyle w:val="Hyperlink"/>
            <w:rFonts w:cstheme="minorHAnsi"/>
          </w:rPr>
          <w:t>http://www.europarl.europa.eu/factsheets/en/sheet/7/the-principle-of-subsidiarity</w:t>
        </w:r>
      </w:hyperlink>
      <w:r w:rsidRPr="001D6484">
        <w:rPr>
          <w:rFonts w:cstheme="minorHAnsi"/>
        </w:rPr>
        <w:t>, Retrieved 6 November 2018.</w:t>
      </w:r>
    </w:p>
  </w:footnote>
  <w:footnote w:id="107">
    <w:p w14:paraId="366FF46F" w14:textId="56FF65A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Leighton Andrews, “How can we demonstrate the public value of evidence-based policy making when government ministers declare that the people ‘have had enough of experts’?” </w:t>
      </w:r>
      <w:r w:rsidRPr="001D6484">
        <w:rPr>
          <w:rFonts w:cstheme="minorHAnsi"/>
          <w:i/>
        </w:rPr>
        <w:t>Palgrave Communications</w:t>
      </w:r>
      <w:r w:rsidRPr="001D6484">
        <w:rPr>
          <w:rFonts w:cstheme="minorHAnsi"/>
        </w:rPr>
        <w:t xml:space="preserve"> 3, 11 (2017). </w:t>
      </w:r>
      <w:r w:rsidRPr="001D6484">
        <w:rPr>
          <w:rFonts w:cstheme="minorHAnsi"/>
        </w:rPr>
        <w:br/>
        <w:t xml:space="preserve">William Easterly, </w:t>
      </w:r>
      <w:r w:rsidRPr="001D6484">
        <w:rPr>
          <w:rFonts w:cstheme="minorHAnsi"/>
          <w:i/>
        </w:rPr>
        <w:t>The Tyranny of Experts</w:t>
      </w:r>
      <w:r w:rsidRPr="001D6484">
        <w:rPr>
          <w:rFonts w:cstheme="minorHAnsi"/>
        </w:rPr>
        <w:t xml:space="preserve"> (New York: Basic Books, 2013).</w:t>
      </w:r>
    </w:p>
  </w:footnote>
  <w:footnote w:id="108">
    <w:p w14:paraId="00010D23" w14:textId="0635EEA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Jürgen Habermas, </w:t>
      </w:r>
      <w:r w:rsidRPr="001D6484">
        <w:rPr>
          <w:rFonts w:cstheme="minorHAnsi"/>
          <w:i/>
        </w:rPr>
        <w:t>Theory of Communicative Action, Vol. I: Reason and the Rationalization of Society</w:t>
      </w:r>
      <w:r w:rsidRPr="001D6484">
        <w:rPr>
          <w:rFonts w:cstheme="minorHAnsi"/>
        </w:rPr>
        <w:t xml:space="preserve"> (Boston: Beacon Press, 1985).</w:t>
      </w:r>
    </w:p>
  </w:footnote>
  <w:footnote w:id="109">
    <w:p w14:paraId="44B30B14" w14:textId="33EE45F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“Relocation and Resettlement: EU Member States Urgently Need to Deliver,” European Commission, </w:t>
      </w:r>
      <w:hyperlink r:id="rId40" w:history="1">
        <w:r w:rsidRPr="001D6484">
          <w:rPr>
            <w:rStyle w:val="Hyperlink"/>
            <w:rFonts w:cstheme="minorHAnsi"/>
          </w:rPr>
          <w:t>http://europa.eu/rapid/press-release_IP-16-829_en.htm</w:t>
        </w:r>
      </w:hyperlink>
      <w:r w:rsidRPr="001D6484">
        <w:rPr>
          <w:rFonts w:cstheme="minorHAnsi"/>
        </w:rPr>
        <w:t xml:space="preserve">. </w:t>
      </w:r>
      <w:r w:rsidRPr="001D6484">
        <w:rPr>
          <w:rFonts w:cstheme="minorHAnsi"/>
        </w:rPr>
        <w:br/>
        <w:t xml:space="preserve">Uri Friedman, “The Mathematical Equations That Could Decide the Fate of refugees,” </w:t>
      </w:r>
      <w:r w:rsidRPr="001D6484">
        <w:rPr>
          <w:rFonts w:cstheme="minorHAnsi"/>
          <w:i/>
        </w:rPr>
        <w:t>The Atlantic</w:t>
      </w:r>
      <w:r w:rsidRPr="001D6484">
        <w:rPr>
          <w:rFonts w:cstheme="minorHAnsi"/>
        </w:rPr>
        <w:t xml:space="preserve"> (September 9, 2015). </w:t>
      </w:r>
      <w:r w:rsidRPr="001D6484">
        <w:rPr>
          <w:rFonts w:cstheme="minorHAnsi"/>
        </w:rPr>
        <w:br/>
        <w:t xml:space="preserve">Quote from James Caporaso, “Europe’s Triple Crisis and the Uneven Role of Institutions: The Euro, Refugees, and Brexit,” </w:t>
      </w:r>
      <w:r w:rsidRPr="001D6484">
        <w:rPr>
          <w:rFonts w:cstheme="minorHAnsi"/>
          <w:i/>
        </w:rPr>
        <w:t>Journal of Common Market Studies</w:t>
      </w:r>
      <w:r w:rsidRPr="001D6484">
        <w:rPr>
          <w:rFonts w:cstheme="minorHAnsi"/>
        </w:rPr>
        <w:t>, (2018): 14.</w:t>
      </w:r>
    </w:p>
  </w:footnote>
  <w:footnote w:id="110">
    <w:p w14:paraId="4361A93E" w14:textId="491053E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w:t>
      </w:r>
      <w:r w:rsidRPr="001D6484">
        <w:rPr>
          <w:rFonts w:cstheme="minorHAnsi"/>
        </w:rPr>
        <w:br/>
        <w:t xml:space="preserve">Steve Fuller, “Brexit as the Unlikely Leading Edge of the Anti-Expert Revolution,” </w:t>
      </w:r>
      <w:r w:rsidRPr="001D6484">
        <w:rPr>
          <w:rFonts w:cstheme="minorHAnsi"/>
          <w:i/>
        </w:rPr>
        <w:t>European Management Journal</w:t>
      </w:r>
      <w:r w:rsidRPr="001D6484">
        <w:rPr>
          <w:rFonts w:cstheme="minorHAnsi"/>
        </w:rPr>
        <w:t>, 35 (2017): 575-580.</w:t>
      </w:r>
    </w:p>
  </w:footnote>
  <w:footnote w:id="111">
    <w:p w14:paraId="14A68BD7" w14:textId="5672E15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r w:rsidRPr="001D6484">
        <w:rPr>
          <w:rFonts w:cstheme="minorHAnsi"/>
          <w:color w:val="242021"/>
        </w:rPr>
        <w:t>Skogstad 902.</w:t>
      </w:r>
    </w:p>
  </w:footnote>
  <w:footnote w:id="112">
    <w:p w14:paraId="544F700D" w14:textId="25B5E8A9"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Marion Dreyer and Ortwin Renn, </w:t>
      </w:r>
      <w:r w:rsidRPr="001D6484">
        <w:rPr>
          <w:rFonts w:cstheme="minorHAnsi"/>
          <w:i/>
        </w:rPr>
        <w:t>Food Safety and Governance: Integrating Science, Precaution, and Public Involvement</w:t>
      </w:r>
      <w:r w:rsidRPr="001D6484">
        <w:rPr>
          <w:rFonts w:cstheme="minorHAnsi"/>
        </w:rPr>
        <w:t xml:space="preserve"> (Berlin Heidelberg: Springer-Verlag, 2009), 3.</w:t>
      </w:r>
    </w:p>
  </w:footnote>
  <w:footnote w:id="113">
    <w:p w14:paraId="068A7E5D" w14:textId="7777777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114">
    <w:p w14:paraId="0A1E6EE2" w14:textId="23BA75E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Smith 116-117.</w:t>
      </w:r>
    </w:p>
  </w:footnote>
  <w:footnote w:id="115">
    <w:p w14:paraId="4C909750" w14:textId="74720BC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Kurzer and Cooper 103-106.</w:t>
      </w:r>
    </w:p>
  </w:footnote>
  <w:footnote w:id="116">
    <w:p w14:paraId="6209AF47" w14:textId="35D43D9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Juncker, “Opening speech on GMOs - Plenary meeting,” Speech, European Parliament, Strasbourg October 28, 2015.</w:t>
      </w:r>
    </w:p>
  </w:footnote>
  <w:footnote w:id="117">
    <w:p w14:paraId="2896211E" w14:textId="4312602C"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Jürgen Habermas, </w:t>
      </w:r>
      <w:r w:rsidRPr="001D6484">
        <w:rPr>
          <w:rFonts w:cstheme="minorHAnsi"/>
          <w:i/>
        </w:rPr>
        <w:t xml:space="preserve">The Lure of Technocracy </w:t>
      </w:r>
      <w:r w:rsidRPr="001D6484">
        <w:rPr>
          <w:rFonts w:cstheme="minorHAnsi"/>
        </w:rPr>
        <w:t>(Cambridge: Polity Press, Cambridge, 2013), 13-17.</w:t>
      </w:r>
    </w:p>
  </w:footnote>
  <w:footnote w:id="118">
    <w:p w14:paraId="22814C13" w14:textId="370D9B1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17.</w:t>
      </w:r>
    </w:p>
  </w:footnote>
  <w:footnote w:id="119">
    <w:p w14:paraId="55503604" w14:textId="236E6ED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For examples, see the 2016 Brexit Referendum, 2017 French Elections, 2018 Italian Elections, and the rise of populist nationalist parties throughout the EU. In a 2018 Eurobarometer poll, when asked about the rise of new parties that “protest[] against the political establishment,” 56% of respondents agreed that “We need a real change and this is what these parties and movements can bring.” In the same poll, 42% of Europeans felt that “things are going in the wrong direction in the EU” – a decrease from 54% in 2016, but an increase from 36% in 2014. </w:t>
      </w:r>
      <w:bookmarkStart w:id="31" w:name="_Hlk529561894"/>
      <w:r w:rsidRPr="001D6484">
        <w:rPr>
          <w:rFonts w:cstheme="minorHAnsi"/>
        </w:rPr>
        <w:t>Eurobarometer, “Democracy on the Move: European Elections – One Year to Go,” Eurobarometer Survey 89.2 of the European Parliament (2018)</w:t>
      </w:r>
      <w:bookmarkEnd w:id="31"/>
      <w:r w:rsidRPr="001D6484">
        <w:rPr>
          <w:rFonts w:cstheme="minorHAnsi"/>
        </w:rPr>
        <w:t xml:space="preserve">, </w:t>
      </w:r>
      <w:hyperlink r:id="rId41" w:history="1">
        <w:r w:rsidRPr="001D6484">
          <w:rPr>
            <w:rStyle w:val="Hyperlink"/>
            <w:rFonts w:cstheme="minorHAnsi"/>
          </w:rPr>
          <w:t>http://www.europarl.europa.eu/pdf/eurobarometre/2018/oneyearbefore2019/eb89_one_year_before_2019_eurobarometer_en_opt.pdf</w:t>
        </w:r>
      </w:hyperlink>
      <w:r w:rsidRPr="001D6484">
        <w:rPr>
          <w:rFonts w:cstheme="minorHAnsi"/>
        </w:rPr>
        <w:t xml:space="preserve"> </w:t>
      </w:r>
    </w:p>
  </w:footnote>
  <w:footnote w:id="120">
    <w:p w14:paraId="01350B61" w14:textId="05401CB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Jürgen Habermas, </w:t>
      </w:r>
      <w:r w:rsidRPr="001D6484">
        <w:rPr>
          <w:rFonts w:cstheme="minorHAnsi"/>
          <w:i/>
        </w:rPr>
        <w:t>Toward a Rational Society: Student Protest, Science, and Politics</w:t>
      </w:r>
      <w:r w:rsidRPr="001D6484">
        <w:rPr>
          <w:rFonts w:cstheme="minorHAnsi"/>
        </w:rPr>
        <w:t>, trans. Jeremy Shapiro (Boston: Polity Press, 1991).</w:t>
      </w:r>
    </w:p>
  </w:footnote>
  <w:footnote w:id="121">
    <w:p w14:paraId="6B022622" w14:textId="3C2D638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Dreyer and Renn 29.</w:t>
      </w:r>
    </w:p>
  </w:footnote>
  <w:footnote w:id="122">
    <w:p w14:paraId="4C7DD266" w14:textId="004B880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Ibidem. </w:t>
      </w:r>
    </w:p>
  </w:footnote>
  <w:footnote w:id="123">
    <w:p w14:paraId="11FD7597" w14:textId="4DDF4AE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Habermas (1969), 68.</w:t>
      </w:r>
    </w:p>
  </w:footnote>
  <w:footnote w:id="124">
    <w:p w14:paraId="4394CFDD" w14:textId="25C858C0" w:rsidR="00E3149C" w:rsidRPr="001D6484" w:rsidRDefault="00E3149C" w:rsidP="00477457">
      <w:pPr>
        <w:pStyle w:val="FootnoteText"/>
        <w:rPr>
          <w:rFonts w:cstheme="minorHAnsi"/>
          <w:highlight w:val="yellow"/>
        </w:rPr>
      </w:pPr>
      <w:r w:rsidRPr="001D6484">
        <w:rPr>
          <w:rStyle w:val="FootnoteReference"/>
          <w:rFonts w:cstheme="minorHAnsi"/>
        </w:rPr>
        <w:footnoteRef/>
      </w:r>
      <w:r w:rsidRPr="001D6484">
        <w:rPr>
          <w:rFonts w:cstheme="minorHAnsi"/>
        </w:rPr>
        <w:t xml:space="preserve"> Paul Hirst, “Carl Schmitt’s Decisionism,” in </w:t>
      </w:r>
      <w:r w:rsidRPr="001D6484">
        <w:rPr>
          <w:rFonts w:cstheme="minorHAnsi"/>
          <w:i/>
        </w:rPr>
        <w:t>The Challenge of Carl Schmitt</w:t>
      </w:r>
      <w:r w:rsidRPr="001D6484">
        <w:rPr>
          <w:rFonts w:cstheme="minorHAnsi"/>
        </w:rPr>
        <w:t>, ed. Chantal Mouffe (New York: Verso, 1999).</w:t>
      </w:r>
    </w:p>
  </w:footnote>
  <w:footnote w:id="125">
    <w:p w14:paraId="3EF718FE" w14:textId="1B00B28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Harald Heinrichs, “Advisory Systems in Pluralistic Knowledge Societies: A Criteria-Based Typology To Assess And Optimize Environmental Policy Advice,” in </w:t>
      </w:r>
      <w:r w:rsidRPr="001D6484">
        <w:rPr>
          <w:rFonts w:cstheme="minorHAnsi"/>
          <w:i/>
        </w:rPr>
        <w:t xml:space="preserve">Democratization of Expertise? Exploring Novel Forms of Scientific Advice in Political Decision-Making, </w:t>
      </w:r>
      <w:r w:rsidRPr="001D6484">
        <w:rPr>
          <w:rFonts w:cstheme="minorHAnsi"/>
        </w:rPr>
        <w:t>eds. Sabine Maasen and Peter Weingart</w:t>
      </w:r>
      <w:r w:rsidRPr="001D6484">
        <w:rPr>
          <w:rFonts w:cstheme="minorHAnsi"/>
          <w:i/>
        </w:rPr>
        <w:t xml:space="preserve"> </w:t>
      </w:r>
      <w:r w:rsidRPr="001D6484">
        <w:rPr>
          <w:rFonts w:cstheme="minorHAnsi"/>
        </w:rPr>
        <w:t>(Dordrecht, Netherlands: Springer, 2005).</w:t>
      </w:r>
    </w:p>
  </w:footnote>
  <w:footnote w:id="126">
    <w:p w14:paraId="28869B98" w14:textId="74552FDF"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Habermas (1969), 66-67. </w:t>
      </w:r>
    </w:p>
  </w:footnote>
  <w:footnote w:id="127">
    <w:p w14:paraId="4F0BEF75" w14:textId="737AD7D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Habermas, Jürgen, “’The Political’: The Rational Meaning of a Questionable Inheritance of Political Theology,” in </w:t>
      </w:r>
      <w:r w:rsidRPr="001D6484">
        <w:rPr>
          <w:rFonts w:cstheme="minorHAnsi"/>
          <w:i/>
        </w:rPr>
        <w:t>The Power of Religion in the Public Sphere</w:t>
      </w:r>
      <w:r w:rsidRPr="001D6484">
        <w:rPr>
          <w:rFonts w:cstheme="minorHAnsi"/>
        </w:rPr>
        <w:t>, eds. Eduardo Medieta and Jonathan Vanantewerpen, (New York: Columbia University Press 2011), 27.</w:t>
      </w:r>
    </w:p>
  </w:footnote>
  <w:footnote w:id="128">
    <w:p w14:paraId="17EE4229" w14:textId="3AA6AD2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Matthew Cotton, </w:t>
      </w:r>
      <w:r w:rsidRPr="001D6484">
        <w:rPr>
          <w:rFonts w:cstheme="minorHAnsi"/>
          <w:i/>
        </w:rPr>
        <w:t>Ethics and Technology Assessment: A Participatory Approach</w:t>
      </w:r>
      <w:r w:rsidRPr="001D6484">
        <w:rPr>
          <w:rFonts w:cstheme="minorHAnsi"/>
        </w:rPr>
        <w:t>, (Berlin Heidelberg: Springer-Verlag, 2014), 11.</w:t>
      </w:r>
    </w:p>
  </w:footnote>
  <w:footnote w:id="129">
    <w:p w14:paraId="78827944" w14:textId="40BDBA7C"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Habermas, Jürgen, </w:t>
      </w:r>
      <w:r w:rsidRPr="001D6484">
        <w:rPr>
          <w:rFonts w:cstheme="minorHAnsi"/>
          <w:i/>
        </w:rPr>
        <w:t>The Crisis of the European Union: A Response</w:t>
      </w:r>
      <w:r w:rsidRPr="001D6484">
        <w:rPr>
          <w:rFonts w:cstheme="minorHAnsi"/>
        </w:rPr>
        <w:t>, Translated by Ciaran Cronin, Cambridge, Polity Press (2012), 7.</w:t>
      </w:r>
    </w:p>
  </w:footnote>
  <w:footnote w:id="130">
    <w:p w14:paraId="2A6CCC87" w14:textId="6CF07D2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See, e.g. Dryer and Renn, 61. or Sally Dalton-Brown, </w:t>
      </w:r>
      <w:r w:rsidRPr="001D6484">
        <w:rPr>
          <w:rFonts w:cstheme="minorHAnsi"/>
          <w:i/>
        </w:rPr>
        <w:t>Nanotechnology and Ethical Governance in the European Union and China</w:t>
      </w:r>
      <w:r w:rsidRPr="001D6484">
        <w:rPr>
          <w:rFonts w:cstheme="minorHAnsi"/>
        </w:rPr>
        <w:t>, (Heidelberg New York Dordrecht London: Springer Cham, 2015), 44.</w:t>
      </w:r>
    </w:p>
  </w:footnote>
  <w:footnote w:id="131">
    <w:p w14:paraId="2AEF2246" w14:textId="46DC56C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Skogstad 897.</w:t>
      </w:r>
    </w:p>
  </w:footnote>
  <w:footnote w:id="132">
    <w:p w14:paraId="5552B9DB" w14:textId="77777777" w:rsidR="00E3149C" w:rsidRPr="001D6484" w:rsidRDefault="00E3149C" w:rsidP="00AA60D2">
      <w:pPr>
        <w:pStyle w:val="Footnote"/>
        <w:rPr>
          <w:rFonts w:asciiTheme="minorHAnsi" w:hAnsiTheme="minorHAnsi" w:cstheme="minorHAnsi"/>
        </w:rPr>
      </w:pPr>
      <w:r w:rsidRPr="001D6484">
        <w:rPr>
          <w:rStyle w:val="FootnoteReference"/>
          <w:rFonts w:asciiTheme="minorHAnsi" w:hAnsiTheme="minorHAnsi" w:cstheme="minorHAnsi"/>
        </w:rPr>
        <w:footnoteRef/>
      </w:r>
      <w:r w:rsidRPr="001D6484">
        <w:rPr>
          <w:rFonts w:asciiTheme="minorHAnsi" w:hAnsiTheme="minorHAnsi" w:cstheme="minorHAnsi"/>
        </w:rPr>
        <w:t>Habermas (2013), 3.</w:t>
      </w:r>
    </w:p>
  </w:footnote>
  <w:footnote w:id="133">
    <w:p w14:paraId="61B0F12E" w14:textId="77777777" w:rsidR="00E3149C" w:rsidRPr="001D6484" w:rsidRDefault="00E3149C" w:rsidP="00AA60D2">
      <w:pPr>
        <w:pStyle w:val="Footnote"/>
        <w:rPr>
          <w:rFonts w:asciiTheme="minorHAnsi" w:hAnsiTheme="minorHAnsi" w:cstheme="minorHAnsi"/>
        </w:rPr>
      </w:pPr>
      <w:r w:rsidRPr="001D6484">
        <w:rPr>
          <w:rStyle w:val="FootnoteReference"/>
          <w:rFonts w:asciiTheme="minorHAnsi" w:hAnsiTheme="minorHAnsi" w:cstheme="minorHAnsi"/>
        </w:rPr>
        <w:footnoteRef/>
      </w:r>
      <w:r w:rsidRPr="001D6484">
        <w:rPr>
          <w:rFonts w:asciiTheme="minorHAnsi" w:hAnsiTheme="minorHAnsi" w:cstheme="minorHAnsi"/>
        </w:rPr>
        <w:t>Idem 4.</w:t>
      </w:r>
    </w:p>
  </w:footnote>
  <w:footnote w:id="134">
    <w:p w14:paraId="24DD911E" w14:textId="25C15ECE"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In a 2015 article his 2015 State of the Union called for “more Europe” and Juncker was likened to a “tone-deaf federalist clown,” though by 2017 he was calling for “multiple speeds” of European integration. </w:t>
      </w:r>
      <w:r w:rsidRPr="001D6484">
        <w:rPr>
          <w:rFonts w:cstheme="minorHAnsi"/>
        </w:rPr>
        <w:br/>
        <w:t>Peter Foster and Matthew Holehouse, “State of the Union: Europe in the last chance saloon, warns EU president Jean-Claude Juncker,” The Telegraph, September 8, 2015, https://www.telegraph.co.uk/news/worldnews/europe/eu/11852158/State-of-the-Union-Europe-in-the-last-chance-saloon-warns-EU-president-Jean-Claude-Juncker.html</w:t>
      </w:r>
      <w:r w:rsidRPr="001D6484">
        <w:rPr>
          <w:rFonts w:cstheme="minorHAnsi"/>
        </w:rPr>
        <w:br/>
        <w:t>Alissa de Carbonnel and Alastair Macdonald, “Juncker says to push for EU at different speeds,” Reuters, February 23, 2017, https://www.reuters.com/article/us-eu-future-juncker-idUSKBN1622GJ</w:t>
      </w:r>
    </w:p>
  </w:footnote>
  <w:footnote w:id="135">
    <w:p w14:paraId="02E0B38C" w14:textId="715A17A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Ethan Kapstein, “Resolving the Regulator’s Dilemma: International Coordination of Banking Regulations,” </w:t>
      </w:r>
      <w:r w:rsidRPr="001D6484">
        <w:rPr>
          <w:rFonts w:cstheme="minorHAnsi"/>
          <w:i/>
        </w:rPr>
        <w:t>International Organization</w:t>
      </w:r>
      <w:r w:rsidRPr="001D6484">
        <w:rPr>
          <w:rFonts w:cstheme="minorHAnsi"/>
        </w:rPr>
        <w:t xml:space="preserve"> 42, no. 2 (Spring 1989): 324.</w:t>
      </w:r>
    </w:p>
  </w:footnote>
  <w:footnote w:id="136">
    <w:p w14:paraId="0154B1BE" w14:textId="26716EF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Diahanna Lynch and David Vogel, “The Regulation of GMOs in Europe and the United States: A Case-Study of Contemporary European Regulatory Politics,” </w:t>
      </w:r>
      <w:r w:rsidRPr="001D6484">
        <w:rPr>
          <w:rFonts w:cstheme="minorHAnsi"/>
          <w:i/>
        </w:rPr>
        <w:t>Council on Foreign Relations Press</w:t>
      </w:r>
      <w:r w:rsidRPr="001D6484">
        <w:rPr>
          <w:rFonts w:cstheme="minorHAnsi"/>
        </w:rPr>
        <w:t xml:space="preserve"> (April 5, 2001).</w:t>
      </w:r>
    </w:p>
  </w:footnote>
  <w:footnote w:id="137">
    <w:p w14:paraId="29337C20" w14:textId="3C2B9B6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Smith, throughout.</w:t>
      </w:r>
    </w:p>
  </w:footnote>
  <w:footnote w:id="138">
    <w:p w14:paraId="441A5194" w14:textId="7A7E9517" w:rsidR="00E3149C" w:rsidRPr="001D6484" w:rsidRDefault="00E3149C" w:rsidP="00752431">
      <w:pPr>
        <w:pStyle w:val="FootnoteText"/>
        <w:rPr>
          <w:rFonts w:cstheme="minorHAnsi"/>
        </w:rPr>
      </w:pPr>
      <w:r w:rsidRPr="001D6484">
        <w:rPr>
          <w:rStyle w:val="FootnoteReference"/>
          <w:rFonts w:cstheme="minorHAnsi"/>
        </w:rPr>
        <w:footnoteRef/>
      </w:r>
      <w:r w:rsidRPr="001D6484">
        <w:rPr>
          <w:rFonts w:cstheme="minorHAnsi"/>
        </w:rPr>
        <w:t xml:space="preserve"> “Parliament rejects national GMO bans proposal,” European Parliament, </w:t>
      </w:r>
      <w:hyperlink r:id="rId42" w:history="1">
        <w:r w:rsidRPr="001D6484">
          <w:rPr>
            <w:rStyle w:val="Hyperlink"/>
            <w:rFonts w:cstheme="minorHAnsi"/>
          </w:rPr>
          <w:t>http://www.europarl.europa.eu/news/en/press-room/20151022IPR98805/parliament-rejects-national-gmo-bans-proposal</w:t>
        </w:r>
      </w:hyperlink>
      <w:r w:rsidRPr="001D6484">
        <w:rPr>
          <w:rFonts w:cstheme="minorHAnsi"/>
        </w:rPr>
        <w:t xml:space="preserve"> </w:t>
      </w:r>
    </w:p>
  </w:footnote>
  <w:footnote w:id="139">
    <w:p w14:paraId="6D852B56" w14:textId="4DEFBE5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“Judgment of the Court of 20 February 1979,” EUR-Lex, </w:t>
      </w:r>
      <w:hyperlink r:id="rId43" w:history="1">
        <w:r w:rsidRPr="001D6484">
          <w:rPr>
            <w:rStyle w:val="Hyperlink"/>
            <w:rFonts w:cstheme="minorHAnsi"/>
          </w:rPr>
          <w:t>https://eur-lex.europa.eu/legal-content/EN/TXT/?uri=CELEX%3A61978CJ0120</w:t>
        </w:r>
      </w:hyperlink>
      <w:r w:rsidRPr="001D6484">
        <w:rPr>
          <w:rFonts w:cstheme="minorHAnsi"/>
        </w:rPr>
        <w:t>.</w:t>
      </w:r>
    </w:p>
  </w:footnote>
  <w:footnote w:id="140">
    <w:p w14:paraId="28DC61DA" w14:textId="4186C5C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141">
    <w:p w14:paraId="29A2B958" w14:textId="6A5D9F4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142">
    <w:p w14:paraId="61487A96" w14:textId="4157B156"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“Free movement of goods,” European Parliament. </w:t>
      </w:r>
      <w:hyperlink r:id="rId44" w:history="1">
        <w:r w:rsidRPr="001D6484">
          <w:rPr>
            <w:rStyle w:val="Hyperlink"/>
            <w:rFonts w:cstheme="minorHAnsi"/>
          </w:rPr>
          <w:t>http://www.europarl.europa.eu/factsheets/en/sheet/38/free-movement-of-goods</w:t>
        </w:r>
      </w:hyperlink>
      <w:r w:rsidRPr="001D6484">
        <w:rPr>
          <w:rFonts w:cstheme="minorHAnsi"/>
        </w:rPr>
        <w:t xml:space="preserve"> </w:t>
      </w:r>
    </w:p>
  </w:footnote>
  <w:footnote w:id="143">
    <w:p w14:paraId="5CB1A80F" w14:textId="6D94BF34"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ISAAA, 83</w:t>
      </w:r>
    </w:p>
  </w:footnote>
  <w:footnote w:id="144">
    <w:p w14:paraId="62AD33F1" w14:textId="083CC60A"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Stephanie Thomson, “Is this the end of Schengen?,” </w:t>
      </w:r>
      <w:r w:rsidRPr="001D6484">
        <w:rPr>
          <w:rFonts w:cstheme="minorHAnsi"/>
          <w:i/>
        </w:rPr>
        <w:t>World Economic Forum</w:t>
      </w:r>
      <w:r w:rsidRPr="001D6484">
        <w:rPr>
          <w:rFonts w:cstheme="minorHAnsi"/>
        </w:rPr>
        <w:t xml:space="preserve"> (September 16, 2015), </w:t>
      </w:r>
      <w:hyperlink r:id="rId45" w:history="1">
        <w:r w:rsidRPr="001D6484">
          <w:rPr>
            <w:rStyle w:val="Hyperlink"/>
            <w:rFonts w:cstheme="minorHAnsi"/>
          </w:rPr>
          <w:t>https://www.weforum.org/agenda/2015/09/is-this-the-end-of-schengen/</w:t>
        </w:r>
      </w:hyperlink>
      <w:r w:rsidRPr="001D6484">
        <w:rPr>
          <w:rFonts w:cstheme="minorHAnsi"/>
        </w:rPr>
        <w:t xml:space="preserve">. </w:t>
      </w:r>
      <w:r w:rsidRPr="001D6484">
        <w:rPr>
          <w:rFonts w:cstheme="minorHAnsi"/>
        </w:rPr>
        <w:br/>
        <w:t xml:space="preserve">Cyrille Fijnaut, “The Refugee Crisis: The End of Schengen?,” </w:t>
      </w:r>
      <w:r w:rsidRPr="001D6484">
        <w:rPr>
          <w:rFonts w:cstheme="minorHAnsi"/>
          <w:i/>
        </w:rPr>
        <w:t>European Journal of Crime, Criminal Law, and Criminal Justice</w:t>
      </w:r>
      <w:r w:rsidRPr="001D6484">
        <w:rPr>
          <w:rFonts w:cstheme="minorHAnsi"/>
        </w:rPr>
        <w:t xml:space="preserve"> 23, no. 4 (November 2015): 313-332.</w:t>
      </w:r>
    </w:p>
  </w:footnote>
  <w:footnote w:id="145">
    <w:p w14:paraId="29AE8FA0" w14:textId="340F3132"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“Temporary Reintroduction of Border Controls,” European Commission, Last Updated November 11, 2018, </w:t>
      </w:r>
      <w:hyperlink r:id="rId46" w:history="1">
        <w:r w:rsidRPr="001D6484">
          <w:rPr>
            <w:rStyle w:val="Hyperlink"/>
            <w:rFonts w:cstheme="minorHAnsi"/>
          </w:rPr>
          <w:t>https://ec.europa.eu/home-affairs/what-we-do/policies/borders-and-visas/schengen/reintroduction-border-control_en</w:t>
        </w:r>
      </w:hyperlink>
      <w:r w:rsidRPr="001D6484">
        <w:rPr>
          <w:rFonts w:cstheme="minorHAnsi"/>
        </w:rPr>
        <w:t xml:space="preserve">. Several controls were set to expire November 11, 2018, but others continue until at least December: “Member States’ Notification of the temporary reintroduction of border control at internal borders pursuant to Article 25 et seq. of the Schengen Borders Code,” European Commission, </w:t>
      </w:r>
      <w:hyperlink r:id="rId47" w:history="1">
        <w:r w:rsidRPr="001D6484">
          <w:rPr>
            <w:rStyle w:val="Hyperlink"/>
            <w:rFonts w:cstheme="minorHAnsi"/>
          </w:rPr>
          <w:t>https://ec.europa.eu/home-affairs/sites/homeaffairs/files/what-we-do/policies/borders-and-visas/schengen/reintroduction-border-control/docs/ms_notifications_-_reintroduction_of_border_control_en.pdf</w:t>
        </w:r>
      </w:hyperlink>
      <w:r w:rsidRPr="001D6484">
        <w:rPr>
          <w:rStyle w:val="Hyperlink"/>
          <w:rFonts w:cstheme="minorHAnsi"/>
        </w:rPr>
        <w:t>.</w:t>
      </w:r>
      <w:r w:rsidRPr="001D6484">
        <w:rPr>
          <w:rFonts w:cstheme="minorHAnsi"/>
        </w:rPr>
        <w:t xml:space="preserve"> Retrieved November 11 2018.</w:t>
      </w:r>
    </w:p>
  </w:footnote>
  <w:footnote w:id="146">
    <w:p w14:paraId="28C8B642" w14:textId="3E05ACE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“US – Poultry (China),” World Trade Organization, One-page summary last updated November 8, 2010. </w:t>
      </w:r>
      <w:hyperlink r:id="rId48" w:history="1">
        <w:r w:rsidRPr="001D6484">
          <w:rPr>
            <w:rStyle w:val="Hyperlink"/>
            <w:rFonts w:cstheme="minorHAnsi"/>
          </w:rPr>
          <w:t>https://www.wto.org/english/tratop_e/dispu_e/cases_e/1pagesum_e/ds392sum_e.pdf</w:t>
        </w:r>
      </w:hyperlink>
      <w:r w:rsidRPr="001D6484">
        <w:rPr>
          <w:rFonts w:cstheme="minorHAnsi"/>
        </w:rPr>
        <w:t xml:space="preserve"> </w:t>
      </w:r>
    </w:p>
  </w:footnote>
  <w:footnote w:id="147">
    <w:p w14:paraId="3704C03E" w14:textId="4CB2D6FD"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“Dispute Settlement DS291: European Communities — Measures Affecting the Approval and Marketing of Biotech Products,” World Trade Organization, Retrieved September 2018. </w:t>
      </w:r>
      <w:hyperlink r:id="rId49" w:history="1">
        <w:r w:rsidRPr="001D6484">
          <w:rPr>
            <w:rStyle w:val="Hyperlink"/>
            <w:rFonts w:cstheme="minorHAnsi"/>
          </w:rPr>
          <w:t>https://www.wto.org/english/tratop_e/dispu_e/cases_e/ds291_e.htm</w:t>
        </w:r>
      </w:hyperlink>
      <w:r w:rsidRPr="001D6484">
        <w:rPr>
          <w:rFonts w:cstheme="minorHAnsi"/>
        </w:rPr>
        <w:t xml:space="preserve">,. </w:t>
      </w:r>
    </w:p>
  </w:footnote>
  <w:footnote w:id="148">
    <w:p w14:paraId="4C4FE230" w14:textId="3A82DE8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Ibid.</w:t>
      </w:r>
    </w:p>
  </w:footnote>
  <w:footnote w:id="149">
    <w:p w14:paraId="2FA53935" w14:textId="3E97C92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Investment figure: Tom Hancock, “Chinese investment into US biotech start-ups soars,” </w:t>
      </w:r>
      <w:r w:rsidRPr="001D6484">
        <w:rPr>
          <w:rFonts w:cstheme="minorHAnsi"/>
          <w:i/>
        </w:rPr>
        <w:t>Financial Times</w:t>
      </w:r>
      <w:r w:rsidRPr="001D6484">
        <w:rPr>
          <w:rFonts w:cstheme="minorHAnsi"/>
        </w:rPr>
        <w:t xml:space="preserve"> (July 1, 2018). </w:t>
      </w:r>
      <w:r w:rsidRPr="001D6484">
        <w:rPr>
          <w:rFonts w:cstheme="minorHAnsi"/>
        </w:rPr>
        <w:br/>
        <w:t xml:space="preserve">Growth figure: “China’s Biotech Revolution,” UBS Chief Investment Office, </w:t>
      </w:r>
      <w:hyperlink r:id="rId50" w:history="1">
        <w:r w:rsidRPr="001D6484">
          <w:rPr>
            <w:rStyle w:val="Hyperlink"/>
            <w:rFonts w:cstheme="minorHAnsi"/>
          </w:rPr>
          <w:t>https://www.ubs.com/global/en/wealth-management/chief-investment-office/our-research/discover-more/2017/china-biotech.html</w:t>
        </w:r>
      </w:hyperlink>
      <w:r w:rsidRPr="001D6484">
        <w:rPr>
          <w:rFonts w:cstheme="minorHAnsi"/>
        </w:rPr>
        <w:t>, retrieved August 2018.</w:t>
      </w:r>
    </w:p>
  </w:footnote>
  <w:footnote w:id="150">
    <w:p w14:paraId="70908410" w14:textId="1A147843"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Firm figures: “Biotechnology Indicators,” OECD, </w:t>
      </w:r>
      <w:hyperlink r:id="rId51" w:history="1">
        <w:r w:rsidRPr="001D6484">
          <w:rPr>
            <w:rStyle w:val="Hyperlink"/>
            <w:rFonts w:cstheme="minorHAnsi"/>
          </w:rPr>
          <w:t>https://www.oecd.org/sti/inno/keybiotechnologyindicators.htm</w:t>
        </w:r>
      </w:hyperlink>
      <w:r w:rsidRPr="001D6484">
        <w:rPr>
          <w:rFonts w:cstheme="minorHAnsi"/>
        </w:rPr>
        <w:t xml:space="preserve"> </w:t>
      </w:r>
      <w:r w:rsidRPr="001D6484">
        <w:rPr>
          <w:rFonts w:cstheme="minorHAnsi"/>
        </w:rPr>
        <w:br/>
        <w:t xml:space="preserve">GDP and Population figures: “World Bank Data Tool,” World Bank, </w:t>
      </w:r>
      <w:hyperlink r:id="rId52" w:history="1">
        <w:r w:rsidRPr="001D6484">
          <w:rPr>
            <w:rStyle w:val="Hyperlink"/>
            <w:rFonts w:cstheme="minorHAnsi"/>
          </w:rPr>
          <w:t>https://data.worldbank.org/</w:t>
        </w:r>
      </w:hyperlink>
      <w:r w:rsidRPr="001D6484">
        <w:rPr>
          <w:rFonts w:cstheme="minorHAnsi"/>
        </w:rPr>
        <w:t>.</w:t>
      </w:r>
    </w:p>
  </w:footnote>
  <w:footnote w:id="151">
    <w:p w14:paraId="037DC4C7" w14:textId="7144FC79" w:rsidR="00E3149C" w:rsidRPr="001D6484" w:rsidRDefault="00E3149C" w:rsidP="00B57106">
      <w:pPr>
        <w:pStyle w:val="FootnoteText"/>
        <w:rPr>
          <w:rFonts w:cstheme="minorHAnsi"/>
        </w:rPr>
      </w:pPr>
      <w:r w:rsidRPr="001D6484">
        <w:rPr>
          <w:rStyle w:val="FootnoteReference"/>
          <w:rFonts w:cstheme="minorHAnsi"/>
        </w:rPr>
        <w:footnoteRef/>
      </w:r>
      <w:r w:rsidRPr="001D6484">
        <w:rPr>
          <w:rFonts w:cstheme="minorHAnsi"/>
        </w:rPr>
        <w:t xml:space="preserve"> AgbioInvestor, “The challenges facing agriculture and the plant science industry in the EU,” https://www.europabio.org/sites/default/files/Agbioinvestor-report-press-releaseF_0.pdf.</w:t>
      </w:r>
    </w:p>
  </w:footnote>
  <w:footnote w:id="152">
    <w:p w14:paraId="386B0DAE" w14:textId="434E3566"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w:t>
      </w:r>
      <w:r w:rsidRPr="001D6484">
        <w:rPr>
          <w:rStyle w:val="Strong"/>
          <w:rFonts w:cstheme="minorHAnsi"/>
          <w:b w:val="0"/>
        </w:rPr>
        <w:t xml:space="preserve">Bruno Maçães, “Bruno Maçães on the Spirit of Adventure,” interview with Tyler Cowen, </w:t>
      </w:r>
      <w:r w:rsidRPr="001D6484">
        <w:rPr>
          <w:rStyle w:val="Strong"/>
          <w:rFonts w:cstheme="minorHAnsi"/>
          <w:b w:val="0"/>
          <w:i/>
        </w:rPr>
        <w:t>Conversations with Tyler</w:t>
      </w:r>
      <w:r w:rsidRPr="001D6484">
        <w:rPr>
          <w:rStyle w:val="Strong"/>
          <w:rFonts w:cstheme="minorHAnsi"/>
          <w:b w:val="0"/>
        </w:rPr>
        <w:t>, Mercatus Center at George Mason University, September 26, 2018, 14:57.</w:t>
      </w:r>
    </w:p>
  </w:footnote>
  <w:footnote w:id="153">
    <w:p w14:paraId="4EA2160E" w14:textId="1822C08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William C. Mitchell, “Schumpeter and Public Choice, Part I: Precursor to Public Choice?” </w:t>
      </w:r>
      <w:r w:rsidRPr="001D6484">
        <w:rPr>
          <w:rFonts w:cstheme="minorHAnsi"/>
          <w:i/>
        </w:rPr>
        <w:t>Public Choice</w:t>
      </w:r>
      <w:r w:rsidRPr="001D6484">
        <w:rPr>
          <w:rFonts w:cstheme="minorHAnsi"/>
        </w:rPr>
        <w:t xml:space="preserve"> 42, No. 1 (1984): 73-88.</w:t>
      </w:r>
    </w:p>
  </w:footnote>
  <w:footnote w:id="154">
    <w:p w14:paraId="23FBB669" w14:textId="0642C7FC"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Joseph Schumpeter, </w:t>
      </w:r>
      <w:r w:rsidRPr="001D6484">
        <w:rPr>
          <w:rFonts w:cstheme="minorHAnsi"/>
          <w:i/>
        </w:rPr>
        <w:t>Capitalism, Socialism and Democracy</w:t>
      </w:r>
      <w:r w:rsidRPr="001D6484">
        <w:rPr>
          <w:rFonts w:cstheme="minorHAnsi"/>
        </w:rPr>
        <w:t xml:space="preserve"> Third Edition (New York: Harper &amp; Brothers, 1950), 261-262.</w:t>
      </w:r>
    </w:p>
  </w:footnote>
  <w:footnote w:id="155">
    <w:p w14:paraId="4456C3FF" w14:textId="5766FA32" w:rsidR="00E3149C" w:rsidRPr="001D6484" w:rsidRDefault="00E3149C" w:rsidP="00477457">
      <w:pPr>
        <w:pStyle w:val="FootnoteText"/>
        <w:rPr>
          <w:rFonts w:cstheme="minorHAnsi"/>
        </w:rPr>
      </w:pPr>
      <w:r w:rsidRPr="001D6484">
        <w:rPr>
          <w:rFonts w:cstheme="minorHAnsi"/>
        </w:rPr>
        <w:footnoteRef/>
      </w:r>
      <w:r w:rsidRPr="001D6484">
        <w:rPr>
          <w:rFonts w:cstheme="minorHAnsi"/>
        </w:rPr>
        <w:t xml:space="preserve"> David Toke, </w:t>
      </w:r>
      <w:r w:rsidRPr="001D6484">
        <w:rPr>
          <w:rFonts w:cstheme="minorHAnsi"/>
          <w:i/>
        </w:rPr>
        <w:t>The Politics of GM Food: A Comparative Study of the UK, USA, and EU</w:t>
      </w:r>
      <w:r w:rsidRPr="001D6484">
        <w:rPr>
          <w:rFonts w:cstheme="minorHAnsi"/>
        </w:rPr>
        <w:t xml:space="preserve"> (New York: Routledge, 2004), ii.</w:t>
      </w:r>
    </w:p>
  </w:footnote>
  <w:footnote w:id="156">
    <w:p w14:paraId="4FA9F6C3" w14:textId="044AD748" w:rsidR="00E3149C" w:rsidRPr="001D6484" w:rsidRDefault="00E3149C" w:rsidP="00477457">
      <w:pPr>
        <w:pStyle w:val="FootnoteText"/>
        <w:rPr>
          <w:rFonts w:cstheme="minorHAnsi"/>
        </w:rPr>
      </w:pPr>
      <w:r w:rsidRPr="001D6484">
        <w:rPr>
          <w:rFonts w:cstheme="minorHAnsi"/>
        </w:rPr>
        <w:footnoteRef/>
      </w:r>
      <w:r w:rsidRPr="001D6484">
        <w:rPr>
          <w:rFonts w:cstheme="minorHAnsi"/>
        </w:rPr>
        <w:t xml:space="preserve"> Kurzer and Cooper, 103.</w:t>
      </w:r>
    </w:p>
  </w:footnote>
  <w:footnote w:id="157">
    <w:p w14:paraId="466C6A9C" w14:textId="2CCECCBD" w:rsidR="00E3149C" w:rsidRPr="001D6484" w:rsidRDefault="00E3149C" w:rsidP="005A3B7B">
      <w:pPr>
        <w:spacing w:before="240"/>
        <w:rPr>
          <w:rFonts w:cstheme="minorHAnsi"/>
          <w:color w:val="000000" w:themeColor="text1"/>
          <w:sz w:val="20"/>
          <w:szCs w:val="20"/>
        </w:rPr>
      </w:pPr>
      <w:r w:rsidRPr="001D6484">
        <w:rPr>
          <w:rStyle w:val="FootnoteReference"/>
          <w:rFonts w:cstheme="minorHAnsi"/>
          <w:sz w:val="20"/>
          <w:szCs w:val="20"/>
        </w:rPr>
        <w:footnoteRef/>
      </w:r>
      <w:r w:rsidRPr="001D6484">
        <w:rPr>
          <w:rFonts w:cstheme="minorHAnsi"/>
          <w:sz w:val="20"/>
          <w:szCs w:val="20"/>
        </w:rPr>
        <w:t xml:space="preserve"> </w:t>
      </w:r>
      <w:r w:rsidRPr="001D6484">
        <w:rPr>
          <w:rFonts w:eastAsia="Times New Roman" w:cstheme="minorHAnsi"/>
          <w:sz w:val="20"/>
          <w:szCs w:val="20"/>
          <w:lang w:eastAsia="zh-CN" w:bidi="he-IL"/>
        </w:rPr>
        <w:t xml:space="preserve">See Plato, </w:t>
      </w:r>
      <w:r w:rsidRPr="001D6484">
        <w:rPr>
          <w:rFonts w:eastAsia="Times New Roman" w:cstheme="minorHAnsi"/>
          <w:i/>
          <w:sz w:val="20"/>
          <w:szCs w:val="20"/>
          <w:lang w:eastAsia="zh-CN" w:bidi="he-IL"/>
        </w:rPr>
        <w:t xml:space="preserve">The Republic </w:t>
      </w:r>
      <w:r w:rsidRPr="001D6484">
        <w:rPr>
          <w:rFonts w:eastAsia="Times New Roman" w:cstheme="minorHAnsi"/>
          <w:sz w:val="20"/>
          <w:szCs w:val="20"/>
          <w:lang w:eastAsia="zh-CN" w:bidi="he-IL"/>
        </w:rPr>
        <w:t xml:space="preserve">(Athens: Self, ca. 380BCE); Niccolò Machiavelli, </w:t>
      </w:r>
      <w:r w:rsidRPr="001D6484">
        <w:rPr>
          <w:rFonts w:eastAsia="Times New Roman" w:cstheme="minorHAnsi"/>
          <w:i/>
          <w:sz w:val="20"/>
          <w:szCs w:val="20"/>
          <w:lang w:eastAsia="zh-CN" w:bidi="he-IL"/>
        </w:rPr>
        <w:t xml:space="preserve">The Prince </w:t>
      </w:r>
      <w:r w:rsidRPr="001D6484">
        <w:rPr>
          <w:rFonts w:eastAsia="Times New Roman" w:cstheme="minorHAnsi"/>
          <w:sz w:val="20"/>
          <w:szCs w:val="20"/>
          <w:lang w:eastAsia="zh-CN" w:bidi="he-IL"/>
        </w:rPr>
        <w:t xml:space="preserve">(Italy: </w:t>
      </w:r>
      <w:r w:rsidRPr="001D6484">
        <w:rPr>
          <w:rFonts w:cstheme="minorHAnsi"/>
          <w:color w:val="000000" w:themeColor="text1"/>
          <w:sz w:val="20"/>
          <w:szCs w:val="20"/>
        </w:rPr>
        <w:t>Antonio Blado d’Asola, 1532)</w:t>
      </w:r>
      <w:r w:rsidRPr="001D6484">
        <w:rPr>
          <w:rFonts w:eastAsia="Times New Roman" w:cstheme="minorHAnsi"/>
          <w:sz w:val="20"/>
          <w:szCs w:val="20"/>
          <w:lang w:eastAsia="zh-CN" w:bidi="he-IL"/>
        </w:rPr>
        <w:t xml:space="preserve">; James Madison and Alexander Hamilton, </w:t>
      </w:r>
      <w:r w:rsidRPr="001D6484">
        <w:rPr>
          <w:rFonts w:eastAsia="Times New Roman" w:cstheme="minorHAnsi"/>
          <w:i/>
          <w:sz w:val="20"/>
          <w:szCs w:val="20"/>
          <w:lang w:eastAsia="zh-CN" w:bidi="he-IL"/>
        </w:rPr>
        <w:t>The Federalist Papers</w:t>
      </w:r>
      <w:r w:rsidRPr="001D6484">
        <w:rPr>
          <w:rFonts w:eastAsia="Times New Roman" w:cstheme="minorHAnsi"/>
          <w:sz w:val="20"/>
          <w:szCs w:val="20"/>
          <w:lang w:eastAsia="zh-CN" w:bidi="he-IL"/>
        </w:rPr>
        <w:t>, (esp. “No. 51”) (</w:t>
      </w:r>
      <w:r w:rsidRPr="001D6484">
        <w:rPr>
          <w:rFonts w:cstheme="minorHAnsi"/>
          <w:color w:val="000000" w:themeColor="text1"/>
          <w:sz w:val="20"/>
          <w:szCs w:val="20"/>
        </w:rPr>
        <w:t>The Independent Journal, New York Packet, The Daily Advertiser, J &amp; A McLean, 1787-1788)</w:t>
      </w:r>
      <w:r w:rsidRPr="001D6484">
        <w:rPr>
          <w:rFonts w:eastAsia="Times New Roman" w:cstheme="minorHAnsi"/>
          <w:sz w:val="20"/>
          <w:szCs w:val="20"/>
          <w:lang w:eastAsia="zh-CN" w:bidi="he-IL"/>
        </w:rPr>
        <w:t xml:space="preserve">; or Alexis De Tocqueville, </w:t>
      </w:r>
      <w:r w:rsidRPr="001D6484">
        <w:rPr>
          <w:rFonts w:eastAsia="Times New Roman" w:cstheme="minorHAnsi"/>
          <w:i/>
          <w:sz w:val="20"/>
          <w:szCs w:val="20"/>
          <w:lang w:eastAsia="zh-CN" w:bidi="he-IL"/>
        </w:rPr>
        <w:t>Democracy in America (</w:t>
      </w:r>
      <w:r w:rsidRPr="001D6484">
        <w:rPr>
          <w:rFonts w:cstheme="minorHAnsi"/>
          <w:color w:val="000000" w:themeColor="text1"/>
          <w:sz w:val="20"/>
          <w:szCs w:val="20"/>
        </w:rPr>
        <w:t>London: Saunders and Oatley, 1848)</w:t>
      </w:r>
      <w:r w:rsidRPr="001D6484">
        <w:rPr>
          <w:rFonts w:eastAsia="Times New Roman" w:cstheme="minorHAnsi"/>
          <w:sz w:val="20"/>
          <w:szCs w:val="20"/>
          <w:lang w:eastAsia="zh-CN" w:bidi="he-IL"/>
        </w:rPr>
        <w:t>.</w:t>
      </w:r>
    </w:p>
  </w:footnote>
  <w:footnote w:id="158">
    <w:p w14:paraId="4842BF5C" w14:textId="2CC520F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Schumpeter, 293.</w:t>
      </w:r>
    </w:p>
  </w:footnote>
  <w:footnote w:id="159">
    <w:p w14:paraId="7FE7FA55" w14:textId="4E357132"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Cairney, 486</w:t>
      </w:r>
    </w:p>
  </w:footnote>
  <w:footnote w:id="160">
    <w:p w14:paraId="43B3FA59" w14:textId="47A504DD" w:rsidR="00E3149C" w:rsidRPr="001D6484" w:rsidRDefault="00E3149C" w:rsidP="00477457">
      <w:pPr>
        <w:pStyle w:val="FootnoteText"/>
        <w:rPr>
          <w:rFonts w:cstheme="minorHAnsi"/>
          <w:vertAlign w:val="superscript"/>
        </w:rPr>
      </w:pPr>
      <w:r w:rsidRPr="001D6484">
        <w:rPr>
          <w:rFonts w:cstheme="minorHAnsi"/>
          <w:vertAlign w:val="superscript"/>
        </w:rPr>
        <w:footnoteRef/>
      </w:r>
      <w:r w:rsidRPr="001D6484">
        <w:rPr>
          <w:rFonts w:cstheme="minorHAnsi"/>
          <w:vertAlign w:val="superscript"/>
        </w:rPr>
        <w:t xml:space="preserve"> </w:t>
      </w:r>
      <w:r w:rsidRPr="001D6484">
        <w:rPr>
          <w:rFonts w:cstheme="minorHAnsi"/>
        </w:rPr>
        <w:t>Toke, 31.</w:t>
      </w:r>
    </w:p>
  </w:footnote>
  <w:footnote w:id="161">
    <w:p w14:paraId="2CFFC8BD" w14:textId="5672C48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Josep-Lluís Micó and Andreu Casero-Ripollés, “Political activism online: organization and media relations in the case of 15M in Spain,” </w:t>
      </w:r>
      <w:r w:rsidRPr="001D6484">
        <w:rPr>
          <w:rFonts w:cstheme="minorHAnsi"/>
          <w:i/>
        </w:rPr>
        <w:t>Information, Communication &amp; Society</w:t>
      </w:r>
      <w:r w:rsidRPr="001D6484">
        <w:rPr>
          <w:rFonts w:cstheme="minorHAnsi"/>
        </w:rPr>
        <w:t xml:space="preserve"> 17 (2014).</w:t>
      </w:r>
      <w:r w:rsidRPr="001D6484">
        <w:rPr>
          <w:rFonts w:cstheme="minorHAnsi"/>
        </w:rPr>
        <w:br/>
        <w:t xml:space="preserve">Martin Gurri, </w:t>
      </w:r>
      <w:r w:rsidRPr="001D6484">
        <w:rPr>
          <w:rFonts w:cstheme="minorHAnsi"/>
          <w:i/>
        </w:rPr>
        <w:t>The Revolt of the Public and the Crisis of Authority in the New Millennium</w:t>
      </w:r>
      <w:r w:rsidRPr="001D6484">
        <w:rPr>
          <w:rFonts w:cstheme="minorHAnsi"/>
        </w:rPr>
        <w:t>, Stripe Press (2018).</w:t>
      </w:r>
    </w:p>
  </w:footnote>
  <w:footnote w:id="162">
    <w:p w14:paraId="6A97FE92" w14:textId="6176571D" w:rsidR="00E3149C" w:rsidRPr="001D6484" w:rsidRDefault="00E3149C" w:rsidP="00477457">
      <w:pPr>
        <w:pStyle w:val="Footnote"/>
        <w:rPr>
          <w:rFonts w:asciiTheme="minorHAnsi" w:hAnsiTheme="minorHAnsi" w:cstheme="minorHAnsi"/>
        </w:rPr>
      </w:pPr>
      <w:r w:rsidRPr="001D6484">
        <w:rPr>
          <w:rStyle w:val="FootnoteReference"/>
          <w:rFonts w:asciiTheme="minorHAnsi" w:hAnsiTheme="minorHAnsi" w:cstheme="minorHAnsi"/>
        </w:rPr>
        <w:footnoteRef/>
      </w:r>
      <w:r w:rsidRPr="001D6484">
        <w:rPr>
          <w:rStyle w:val="FootnoteReference"/>
          <w:rFonts w:asciiTheme="minorHAnsi" w:hAnsiTheme="minorHAnsi" w:cstheme="minorHAnsi"/>
        </w:rPr>
        <w:t xml:space="preserve"> </w:t>
      </w:r>
      <w:r w:rsidRPr="001D6484">
        <w:rPr>
          <w:rStyle w:val="FootnoteReference"/>
          <w:rFonts w:asciiTheme="minorHAnsi" w:hAnsiTheme="minorHAnsi" w:cstheme="minorHAnsi"/>
          <w:vertAlign w:val="baseline"/>
        </w:rPr>
        <w:t>Toke</w:t>
      </w:r>
      <w:r w:rsidRPr="001D6484">
        <w:rPr>
          <w:rFonts w:asciiTheme="minorHAnsi" w:hAnsiTheme="minorHAnsi" w:cstheme="minorHAnsi"/>
        </w:rPr>
        <w:t xml:space="preserve">, </w:t>
      </w:r>
      <w:r w:rsidRPr="001D6484">
        <w:rPr>
          <w:rStyle w:val="FootnoteReference"/>
          <w:rFonts w:asciiTheme="minorHAnsi" w:hAnsiTheme="minorHAnsi" w:cstheme="minorHAnsi"/>
          <w:vertAlign w:val="baseline"/>
        </w:rPr>
        <w:t>35</w:t>
      </w:r>
      <w:r w:rsidRPr="001D6484">
        <w:rPr>
          <w:rFonts w:asciiTheme="minorHAnsi" w:hAnsiTheme="minorHAnsi" w:cstheme="minorHAnsi"/>
        </w:rPr>
        <w:t>.</w:t>
      </w:r>
    </w:p>
  </w:footnote>
  <w:footnote w:id="163">
    <w:p w14:paraId="640E29DD" w14:textId="151A762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Detlof Winterfeldt, “Bridging the gap between science and decision making,” </w:t>
      </w:r>
      <w:r w:rsidRPr="001D6484">
        <w:rPr>
          <w:rFonts w:cstheme="minorHAnsi"/>
          <w:i/>
        </w:rPr>
        <w:t>Proceedings of the National Academy of Sciences</w:t>
      </w:r>
      <w:r w:rsidRPr="001D6484">
        <w:rPr>
          <w:rFonts w:cstheme="minorHAnsi"/>
        </w:rPr>
        <w:t xml:space="preserve"> 110 (August 20, 2013).</w:t>
      </w:r>
    </w:p>
  </w:footnote>
  <w:footnote w:id="164">
    <w:p w14:paraId="0E68E2AC" w14:textId="5BC061F0" w:rsidR="00E3149C" w:rsidRPr="001D6484" w:rsidRDefault="00E3149C" w:rsidP="00477457">
      <w:pPr>
        <w:rPr>
          <w:rFonts w:cstheme="minorHAnsi"/>
          <w:sz w:val="20"/>
          <w:szCs w:val="20"/>
        </w:rPr>
      </w:pPr>
      <w:r w:rsidRPr="001D6484">
        <w:rPr>
          <w:rStyle w:val="FootnoteReference"/>
          <w:rFonts w:cstheme="minorHAnsi"/>
          <w:sz w:val="20"/>
          <w:szCs w:val="20"/>
        </w:rPr>
        <w:footnoteRef/>
      </w:r>
      <w:r w:rsidRPr="001D6484">
        <w:rPr>
          <w:rFonts w:cstheme="minorHAnsi"/>
          <w:sz w:val="20"/>
          <w:szCs w:val="20"/>
        </w:rPr>
        <w:t xml:space="preserve"> Tlili and Dawson.</w:t>
      </w:r>
    </w:p>
  </w:footnote>
  <w:footnote w:id="165">
    <w:p w14:paraId="68CC9CB9" w14:textId="7C7C3898"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Michael Decker and Miltos Ladikas, “Optimising the Impact of Future-Oriented Technology Analysis; Methodological Foundations,” Seminar, EU-US Seminar: New Technology Foresight, Forecasting &amp; Assessment Methods, Seville (May 13-14, 2004), </w:t>
      </w:r>
      <w:hyperlink r:id="rId53" w:history="1">
        <w:r w:rsidRPr="001D6484">
          <w:rPr>
            <w:rStyle w:val="Hyperlink"/>
            <w:rFonts w:cstheme="minorHAnsi"/>
          </w:rPr>
          <w:t>http://foresight.jrc.ec.europa.eu/fta/papers/Session%201%20Methodological%20Selection/Optimising%20the%20Impact.pdf</w:t>
        </w:r>
      </w:hyperlink>
    </w:p>
  </w:footnote>
  <w:footnote w:id="166">
    <w:p w14:paraId="0CA566E9" w14:textId="69A20EC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Cotton, 11.</w:t>
      </w:r>
    </w:p>
  </w:footnote>
  <w:footnote w:id="167">
    <w:p w14:paraId="3D5A2BCD" w14:textId="7752C9B1"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Claire Dunlop, “Up and down the pecking order: what matters and when in issue definition: the case of rbST in the EU,” </w:t>
      </w:r>
      <w:r w:rsidRPr="001D6484">
        <w:rPr>
          <w:rFonts w:cstheme="minorHAnsi"/>
          <w:i/>
        </w:rPr>
        <w:t>Journal of European Public Policy</w:t>
      </w:r>
      <w:r w:rsidRPr="001D6484">
        <w:rPr>
          <w:rFonts w:cstheme="minorHAnsi"/>
        </w:rPr>
        <w:t xml:space="preserve"> 14, no. 1 (January 2007): 42.</w:t>
      </w:r>
    </w:p>
  </w:footnote>
  <w:footnote w:id="168">
    <w:p w14:paraId="474F2D57" w14:textId="6DDEB8AF"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Tickner and Kriebel, 32.</w:t>
      </w:r>
    </w:p>
  </w:footnote>
  <w:footnote w:id="169">
    <w:p w14:paraId="438B4297" w14:textId="5211D56D"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Dreyer and Renn 21.</w:t>
      </w:r>
    </w:p>
  </w:footnote>
  <w:footnote w:id="170">
    <w:p w14:paraId="5086687B" w14:textId="146006D7"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Idem., 17-18.</w:t>
      </w:r>
    </w:p>
  </w:footnote>
  <w:footnote w:id="171">
    <w:p w14:paraId="3D879CB6" w14:textId="2659534B"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Cotton, 11.</w:t>
      </w:r>
    </w:p>
  </w:footnote>
  <w:footnote w:id="172">
    <w:p w14:paraId="0C662129" w14:textId="4E751366"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Brooks, 13.</w:t>
      </w:r>
    </w:p>
  </w:footnote>
  <w:footnote w:id="173">
    <w:p w14:paraId="73BADE7D" w14:textId="2E1F478A"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Kurzer and Cooper, 103</w:t>
      </w:r>
    </w:p>
  </w:footnote>
  <w:footnote w:id="174">
    <w:p w14:paraId="418A6046" w14:textId="3A422F7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Peter Teffer, “Commission and council dig in on GMO opt-outs,” </w:t>
      </w:r>
      <w:r w:rsidRPr="001D6484">
        <w:rPr>
          <w:rFonts w:cstheme="minorHAnsi"/>
          <w:i/>
        </w:rPr>
        <w:t>EU Observer</w:t>
      </w:r>
      <w:r w:rsidRPr="001D6484">
        <w:rPr>
          <w:rFonts w:cstheme="minorHAnsi"/>
        </w:rPr>
        <w:t xml:space="preserve"> (January 17, 2018), </w:t>
      </w:r>
      <w:hyperlink r:id="rId54" w:history="1">
        <w:r w:rsidRPr="001D6484">
          <w:rPr>
            <w:rStyle w:val="Hyperlink"/>
            <w:rFonts w:cstheme="minorHAnsi"/>
          </w:rPr>
          <w:t>https://euobserver.com/institutional/140583</w:t>
        </w:r>
      </w:hyperlink>
      <w:r w:rsidRPr="001D6484">
        <w:rPr>
          <w:rFonts w:cstheme="minorHAnsi"/>
        </w:rPr>
        <w:t>.</w:t>
      </w:r>
    </w:p>
  </w:footnote>
  <w:footnote w:id="175">
    <w:p w14:paraId="749C3D69" w14:textId="6F29C2A5"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“Natur | Agrar | Verbraucher,” Alternative für Deutschland, https://www.afd.de/umwelt-agrar-verbraucher/</w:t>
      </w:r>
      <w:r w:rsidRPr="001D6484">
        <w:rPr>
          <w:rFonts w:cstheme="minorHAnsi"/>
        </w:rPr>
        <w:br/>
        <w:t xml:space="preserve">“Juncker breaks promise to make EU GMO decisions more democratic,” </w:t>
      </w:r>
      <w:r w:rsidRPr="001D6484">
        <w:rPr>
          <w:rFonts w:cstheme="minorHAnsi"/>
          <w:i/>
        </w:rPr>
        <w:t>Greenpeace Website</w:t>
      </w:r>
      <w:r w:rsidRPr="001D6484">
        <w:rPr>
          <w:rFonts w:cstheme="minorHAnsi"/>
        </w:rPr>
        <w:t xml:space="preserve"> (April 22, 2015), </w:t>
      </w:r>
      <w:hyperlink r:id="rId55" w:history="1">
        <w:r w:rsidRPr="001D6484">
          <w:rPr>
            <w:rStyle w:val="Hyperlink"/>
            <w:rFonts w:cstheme="minorHAnsi"/>
          </w:rPr>
          <w:t>https://www.greenpeace.org/eu-unit/en/Publications/2015/Juncker-breaks-promise-to-make-EU-GMO-decisions-more-democratic/</w:t>
        </w:r>
      </w:hyperlink>
      <w:r w:rsidRPr="001D6484">
        <w:rPr>
          <w:rFonts w:cstheme="minorHAnsi"/>
        </w:rPr>
        <w:t>.</w:t>
      </w:r>
    </w:p>
  </w:footnote>
  <w:footnote w:id="176">
    <w:p w14:paraId="3E03CDA9" w14:textId="1AD1CB93"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Commission, “Commission Proposes More Transparency”.</w:t>
      </w:r>
    </w:p>
  </w:footnote>
  <w:footnote w:id="177">
    <w:p w14:paraId="71718376" w14:textId="0FA6E818"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EFSA, “EFSA’s Role in the GMO Regulatory Framework,” </w:t>
      </w:r>
      <w:hyperlink r:id="rId56" w:history="1">
        <w:r w:rsidRPr="001D6484">
          <w:rPr>
            <w:rStyle w:val="Hyperlink"/>
            <w:rFonts w:cstheme="minorHAnsi"/>
          </w:rPr>
          <w:t>https://www.efsa.europa.eu/sites/default/files/assets/gmoauthorisation.pdf</w:t>
        </w:r>
      </w:hyperlink>
      <w:r w:rsidRPr="001D6484">
        <w:rPr>
          <w:rFonts w:cstheme="minorHAnsi"/>
        </w:rPr>
        <w:t xml:space="preserve"> </w:t>
      </w:r>
    </w:p>
  </w:footnote>
  <w:footnote w:id="178">
    <w:p w14:paraId="28ECD923" w14:textId="0CED4FDD" w:rsidR="00E3149C" w:rsidRPr="001D6484" w:rsidRDefault="00E3149C" w:rsidP="00477457">
      <w:pPr>
        <w:autoSpaceDE w:val="0"/>
        <w:autoSpaceDN w:val="0"/>
        <w:adjustRightInd w:val="0"/>
        <w:rPr>
          <w:rFonts w:eastAsiaTheme="minorEastAsia" w:cstheme="minorHAnsi"/>
          <w:color w:val="000000"/>
          <w:sz w:val="20"/>
          <w:szCs w:val="20"/>
          <w:lang w:eastAsia="zh-CN"/>
        </w:rPr>
      </w:pPr>
      <w:r w:rsidRPr="001D6484">
        <w:rPr>
          <w:rStyle w:val="FootnoteReference"/>
          <w:rFonts w:cstheme="minorHAnsi"/>
          <w:sz w:val="20"/>
          <w:szCs w:val="20"/>
        </w:rPr>
        <w:footnoteRef/>
      </w:r>
      <w:r w:rsidRPr="001D6484">
        <w:rPr>
          <w:rFonts w:cstheme="minorHAnsi"/>
          <w:sz w:val="20"/>
          <w:szCs w:val="20"/>
        </w:rPr>
        <w:t xml:space="preserve"> “United States – Subsidies on Upland Cotton: Notification of a Mutually Agreed Solution,” World Trade Organization, </w:t>
      </w:r>
      <w:hyperlink r:id="rId57" w:history="1">
        <w:r w:rsidRPr="001D6484">
          <w:rPr>
            <w:rStyle w:val="Hyperlink"/>
            <w:rFonts w:cstheme="minorHAnsi"/>
            <w:sz w:val="20"/>
            <w:szCs w:val="20"/>
          </w:rPr>
          <w:t>https://www.wto.org/english/tratop_e/dispu_e/cases_e/ds267_e.htm</w:t>
        </w:r>
      </w:hyperlink>
      <w:r w:rsidRPr="001D6484">
        <w:rPr>
          <w:rFonts w:eastAsiaTheme="minorEastAsia" w:cstheme="minorHAnsi"/>
          <w:color w:val="000000" w:themeColor="text1"/>
          <w:sz w:val="20"/>
          <w:szCs w:val="20"/>
          <w:lang w:eastAsia="zh-CN"/>
        </w:rPr>
        <w:t xml:space="preserve">. </w:t>
      </w:r>
    </w:p>
  </w:footnote>
  <w:footnote w:id="179">
    <w:p w14:paraId="2152CE16" w14:textId="4358D319"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Shawn Dorius and Carolyn J. Lawrence-Dill, “Sowing the seeds of skepticism: Russian state news and anti-GMO sentiment,” </w:t>
      </w:r>
      <w:r w:rsidRPr="001D6484">
        <w:rPr>
          <w:rFonts w:cstheme="minorHAnsi"/>
          <w:i/>
        </w:rPr>
        <w:t>GM Crops &amp; Food</w:t>
      </w:r>
      <w:r w:rsidRPr="001D6484">
        <w:rPr>
          <w:rFonts w:cstheme="minorHAnsi"/>
        </w:rPr>
        <w:t xml:space="preserve"> 9 (2018): 53-58.</w:t>
      </w:r>
    </w:p>
    <w:p w14:paraId="00B8E894" w14:textId="19AC574A" w:rsidR="00E3149C" w:rsidRPr="001D6484" w:rsidRDefault="00E3149C" w:rsidP="00477457">
      <w:pPr>
        <w:pStyle w:val="FootnoteText"/>
        <w:rPr>
          <w:rFonts w:cstheme="minorHAnsi"/>
        </w:rPr>
      </w:pPr>
      <w:r w:rsidRPr="001D6484">
        <w:rPr>
          <w:rFonts w:cstheme="minorHAnsi"/>
        </w:rPr>
        <w:t xml:space="preserve"> “Global Status of Commercialized Biotech/GM Crops in 2017,” ISAAA, </w:t>
      </w:r>
      <w:hyperlink r:id="rId58" w:history="1">
        <w:r w:rsidRPr="001D6484">
          <w:rPr>
            <w:rStyle w:val="Hyperlink"/>
            <w:rFonts w:cstheme="minorHAnsi"/>
          </w:rPr>
          <w:t>https://www.isaaa.org/resources/publications/briefs/53/</w:t>
        </w:r>
      </w:hyperlink>
      <w:r w:rsidRPr="001D6484">
        <w:rPr>
          <w:rFonts w:cstheme="minorHAnsi"/>
        </w:rPr>
        <w:t>.</w:t>
      </w:r>
    </w:p>
  </w:footnote>
  <w:footnote w:id="180">
    <w:p w14:paraId="5C0C30F9" w14:textId="6CE6F2BB"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Hennen, Leonhard, “Why do we still need participatory technology assessment?” </w:t>
      </w:r>
      <w:r w:rsidRPr="001D6484">
        <w:rPr>
          <w:rFonts w:cstheme="minorHAnsi"/>
          <w:i/>
        </w:rPr>
        <w:t>Poiesis Prax</w:t>
      </w:r>
      <w:r w:rsidRPr="001D6484">
        <w:rPr>
          <w:rFonts w:cstheme="minorHAnsi"/>
        </w:rPr>
        <w:t xml:space="preserve"> (2017): 27–41 </w:t>
      </w:r>
    </w:p>
  </w:footnote>
  <w:footnote w:id="181">
    <w:p w14:paraId="5ABFA383" w14:textId="7157C73E"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Nader Saiedi, “A Critique of Habermas’ theory of Practical Rationality,” </w:t>
      </w:r>
      <w:r w:rsidRPr="001D6484">
        <w:rPr>
          <w:rFonts w:cstheme="minorHAnsi"/>
          <w:i/>
        </w:rPr>
        <w:t>Studies in Soviet Thought</w:t>
      </w:r>
      <w:r w:rsidRPr="001D6484">
        <w:rPr>
          <w:rFonts w:cstheme="minorHAnsi"/>
        </w:rPr>
        <w:t xml:space="preserve"> </w:t>
      </w:r>
      <w:r w:rsidRPr="001D6484">
        <w:rPr>
          <w:rFonts w:cstheme="minorHAnsi"/>
          <w:i/>
        </w:rPr>
        <w:t>33</w:t>
      </w:r>
      <w:r w:rsidRPr="001D6484">
        <w:rPr>
          <w:rFonts w:cstheme="minorHAnsi"/>
        </w:rPr>
        <w:t xml:space="preserve"> (1987): 1.</w:t>
      </w:r>
    </w:p>
  </w:footnote>
  <w:footnote w:id="182">
    <w:p w14:paraId="04F0B761" w14:textId="08F23E36"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Heinrichs.</w:t>
      </w:r>
    </w:p>
  </w:footnote>
  <w:footnote w:id="183">
    <w:p w14:paraId="21B7AF19" w14:textId="62F509B0" w:rsidR="00E3149C" w:rsidRPr="001D6484" w:rsidRDefault="00E3149C" w:rsidP="00477457">
      <w:pPr>
        <w:pStyle w:val="FootnoteText"/>
        <w:rPr>
          <w:rFonts w:cstheme="minorHAnsi"/>
        </w:rPr>
      </w:pPr>
      <w:r w:rsidRPr="001D6484">
        <w:rPr>
          <w:rStyle w:val="FootnoteReference"/>
          <w:rFonts w:cstheme="minorHAnsi"/>
        </w:rPr>
        <w:footnoteRef/>
      </w:r>
      <w:r w:rsidRPr="001D6484">
        <w:rPr>
          <w:rFonts w:cstheme="minorHAnsi"/>
        </w:rPr>
        <w:t xml:space="preserve"> </w:t>
      </w:r>
      <w:r w:rsidRPr="001D6484">
        <w:rPr>
          <w:rFonts w:cstheme="minorHAnsi"/>
          <w:color w:val="131413"/>
        </w:rPr>
        <w:t>Dryer and Renn, 31.</w:t>
      </w:r>
    </w:p>
  </w:footnote>
  <w:footnote w:id="184">
    <w:p w14:paraId="7AB9CC3F" w14:textId="5BA9AA76"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Brooks, 13</w:t>
      </w:r>
    </w:p>
  </w:footnote>
  <w:footnote w:id="185">
    <w:p w14:paraId="7997E0AD" w14:textId="1D055BE2"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Habermas (2012), 20</w:t>
      </w:r>
    </w:p>
  </w:footnote>
  <w:footnote w:id="186">
    <w:p w14:paraId="554F1DA7" w14:textId="7091304B"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Japan Times, “Japan cybersecurity minister who doesn’t use computers says he’s also not familiar with cybersecurity,” The Japan Times, November 23, 2018. </w:t>
      </w:r>
      <w:hyperlink r:id="rId59" w:anchor=".XABIaOInZPY" w:history="1">
        <w:r w:rsidRPr="001D6484">
          <w:rPr>
            <w:rStyle w:val="Hyperlink"/>
            <w:rFonts w:cstheme="minorHAnsi"/>
          </w:rPr>
          <w:t>https://www.japantimes.co.jp/news/2018/11/23/national/politics-diplomacy/japan-cybersecurity-minister-doesnt-use-computers-says-hes-not-familiar-cybersecurity/#.XABIaOInZPY</w:t>
        </w:r>
      </w:hyperlink>
      <w:r w:rsidRPr="001D6484">
        <w:rPr>
          <w:rFonts w:cstheme="minorHAnsi"/>
        </w:rPr>
        <w:t>.</w:t>
      </w:r>
      <w:r w:rsidRPr="001D6484">
        <w:rPr>
          <w:rFonts w:cstheme="minorHAnsi"/>
        </w:rPr>
        <w:br/>
        <w:t xml:space="preserve">Ken Belson, “Senator’s Slip of the Tongue Keeps on Truckin’ Over the Web”, The New York Times, July 17, 2006. </w:t>
      </w:r>
      <w:hyperlink r:id="rId60" w:history="1">
        <w:r w:rsidRPr="001D6484">
          <w:rPr>
            <w:rStyle w:val="Hyperlink"/>
            <w:rFonts w:cstheme="minorHAnsi"/>
          </w:rPr>
          <w:t>https://www.nytimes.com/2006/07/17/business/media/17stevens.html</w:t>
        </w:r>
      </w:hyperlink>
      <w:r w:rsidRPr="001D6484">
        <w:rPr>
          <w:rFonts w:cstheme="minorHAnsi"/>
        </w:rPr>
        <w:t xml:space="preserve">. </w:t>
      </w:r>
    </w:p>
  </w:footnote>
  <w:footnote w:id="187">
    <w:p w14:paraId="71C11C04" w14:textId="0348A3A8" w:rsidR="00E3149C" w:rsidRPr="001D6484" w:rsidRDefault="00E3149C">
      <w:pPr>
        <w:pStyle w:val="FootnoteText"/>
        <w:rPr>
          <w:rFonts w:cstheme="minorHAnsi"/>
        </w:rPr>
      </w:pPr>
      <w:r w:rsidRPr="001D6484">
        <w:rPr>
          <w:rStyle w:val="FootnoteReference"/>
          <w:rFonts w:cstheme="minorHAnsi"/>
        </w:rPr>
        <w:footnoteRef/>
      </w:r>
      <w:r w:rsidRPr="001D6484">
        <w:rPr>
          <w:rFonts w:cstheme="minorHAnsi"/>
        </w:rPr>
        <w:t xml:space="preserve"> Duncan Rolph, “Is Bitcoin A Safe Bet? A Quick Guide To Cryptocurrency,” Forbes, April 23, 2014.</w:t>
      </w:r>
    </w:p>
  </w:footnote>
  <w:footnote w:id="188">
    <w:p w14:paraId="2CDB84F1" w14:textId="77777777" w:rsidR="00E3149C" w:rsidRPr="001D6484" w:rsidRDefault="00E3149C" w:rsidP="002F1E94">
      <w:pPr>
        <w:pStyle w:val="FootnoteText"/>
        <w:rPr>
          <w:rFonts w:cstheme="minorHAnsi"/>
        </w:rPr>
      </w:pPr>
      <w:r w:rsidRPr="001D6484">
        <w:rPr>
          <w:rStyle w:val="FootnoteReference"/>
          <w:rFonts w:cstheme="minorHAnsi"/>
        </w:rPr>
        <w:footnoteRef/>
      </w:r>
      <w:r w:rsidRPr="001D6484">
        <w:rPr>
          <w:rFonts w:cstheme="minorHAnsi"/>
        </w:rPr>
        <w:t xml:space="preserve"> Term coined by Anthony Downs, </w:t>
      </w:r>
      <w:r w:rsidRPr="001D6484">
        <w:rPr>
          <w:rFonts w:cstheme="minorHAnsi"/>
          <w:i/>
        </w:rPr>
        <w:t>An Economic Theory of Democracy</w:t>
      </w:r>
      <w:r w:rsidRPr="001D6484">
        <w:rPr>
          <w:rFonts w:cstheme="minorHAnsi"/>
        </w:rPr>
        <w:t xml:space="preserve"> (New York: Harper and Row, 1957).</w:t>
      </w:r>
    </w:p>
  </w:footnote>
  <w:footnote w:id="189">
    <w:p w14:paraId="7C87CC97" w14:textId="77777777" w:rsidR="00E3149C" w:rsidRPr="001D6484" w:rsidRDefault="00E3149C" w:rsidP="002F1E94">
      <w:pPr>
        <w:pStyle w:val="FootnoteText"/>
        <w:rPr>
          <w:rFonts w:cstheme="minorHAnsi"/>
        </w:rPr>
      </w:pPr>
      <w:r w:rsidRPr="001D6484">
        <w:rPr>
          <w:rStyle w:val="FootnoteReference"/>
          <w:rFonts w:cstheme="minorHAnsi"/>
        </w:rPr>
        <w:footnoteRef/>
      </w:r>
      <w:r w:rsidRPr="001D6484">
        <w:rPr>
          <w:rFonts w:cstheme="minorHAnsi"/>
        </w:rPr>
        <w:t xml:space="preserve"> César Martinelli, “Rational ignorance and voting behavior,” </w:t>
      </w:r>
      <w:r w:rsidRPr="001D6484">
        <w:rPr>
          <w:rFonts w:cstheme="minorHAnsi"/>
          <w:i/>
        </w:rPr>
        <w:t>International Journal of Game Theory</w:t>
      </w:r>
      <w:r w:rsidRPr="001D6484">
        <w:rPr>
          <w:rFonts w:cstheme="minorHAnsi"/>
        </w:rPr>
        <w:t xml:space="preserve"> 35 (2007): 315-335.</w:t>
      </w:r>
      <w:r w:rsidRPr="001D6484">
        <w:rPr>
          <w:rFonts w:cstheme="minorHAnsi"/>
        </w:rPr>
        <w:br/>
        <w:t xml:space="preserve">Karine Nyborg, “I don’t want to hear about it: Rational ignorance among duty-oriented consumers,” </w:t>
      </w:r>
      <w:r w:rsidRPr="001D6484">
        <w:rPr>
          <w:rFonts w:cstheme="minorHAnsi"/>
          <w:i/>
        </w:rPr>
        <w:t>Journal of Economic Behavior &amp; Organization</w:t>
      </w:r>
      <w:r w:rsidRPr="001D6484">
        <w:rPr>
          <w:rFonts w:cstheme="minorHAnsi"/>
        </w:rPr>
        <w:t>, 79 (2011): 263-274.</w:t>
      </w:r>
    </w:p>
  </w:footnote>
  <w:footnote w:id="190">
    <w:p w14:paraId="00C0C228" w14:textId="77777777" w:rsidR="00E3149C" w:rsidRPr="001D6484" w:rsidRDefault="00E3149C" w:rsidP="002F1E94">
      <w:pPr>
        <w:pStyle w:val="FootnoteText"/>
        <w:rPr>
          <w:rFonts w:cstheme="minorHAnsi"/>
        </w:rPr>
      </w:pPr>
      <w:r w:rsidRPr="001D6484">
        <w:rPr>
          <w:rStyle w:val="FootnoteReference"/>
          <w:rFonts w:cstheme="minorHAnsi"/>
        </w:rPr>
        <w:footnoteRef/>
      </w:r>
      <w:r w:rsidRPr="001D6484">
        <w:rPr>
          <w:rFonts w:cstheme="minorHAnsi"/>
        </w:rPr>
        <w:t xml:space="preserve"> “Graduates by education level, programme orientation, sex and field of education  [educ_uoe_grad02],” Eurostat, </w:t>
      </w:r>
      <w:hyperlink r:id="rId61" w:history="1">
        <w:r w:rsidRPr="001D6484">
          <w:rPr>
            <w:rStyle w:val="Hyperlink"/>
            <w:rFonts w:cstheme="minorHAnsi"/>
          </w:rPr>
          <w:t>https://ec.europa.eu/eurostat/web/education-and-training/data/database</w:t>
        </w:r>
      </w:hyperlink>
      <w:r w:rsidRPr="001D6484">
        <w:rPr>
          <w:rFonts w:cstheme="minorHAnsi"/>
        </w:rPr>
        <w:t>. Tertiary taken to be all post-secondary.</w:t>
      </w:r>
    </w:p>
  </w:footnote>
  <w:footnote w:id="191">
    <w:p w14:paraId="7DE53166" w14:textId="77777777" w:rsidR="00E3149C" w:rsidRPr="001D6484" w:rsidRDefault="00E3149C" w:rsidP="002F1E94">
      <w:pPr>
        <w:pStyle w:val="FootnoteText"/>
        <w:rPr>
          <w:rFonts w:cstheme="minorHAnsi"/>
        </w:rPr>
      </w:pPr>
      <w:r w:rsidRPr="001D6484">
        <w:rPr>
          <w:rStyle w:val="FootnoteReference"/>
          <w:rFonts w:cstheme="minorHAnsi"/>
        </w:rPr>
        <w:footnoteRef/>
      </w:r>
      <w:r w:rsidRPr="001D6484">
        <w:rPr>
          <w:rFonts w:cstheme="minorHAnsi"/>
        </w:rPr>
        <w:t xml:space="preserve"> And most likely likewise for issues such as immigration, net neutrality, trade barriers, or any number of public policy issues.</w:t>
      </w:r>
    </w:p>
  </w:footnote>
  <w:footnote w:id="192">
    <w:p w14:paraId="5CA51116" w14:textId="77777777" w:rsidR="00E3149C" w:rsidRDefault="00E3149C" w:rsidP="002F1E94">
      <w:pPr>
        <w:pStyle w:val="FootnoteText"/>
      </w:pPr>
      <w:r w:rsidRPr="001D6484">
        <w:rPr>
          <w:rStyle w:val="FootnoteReference"/>
          <w:rFonts w:cstheme="minorHAnsi"/>
        </w:rPr>
        <w:footnoteRef/>
      </w:r>
      <w:r w:rsidRPr="001D6484">
        <w:rPr>
          <w:rFonts w:cstheme="minorHAnsi"/>
        </w:rPr>
        <w:t xml:space="preserve"> A position akin to that discussed in, e.g. Bryan Caplan, </w:t>
      </w:r>
      <w:r w:rsidRPr="001D6484">
        <w:rPr>
          <w:rFonts w:cstheme="minorHAnsi"/>
          <w:i/>
        </w:rPr>
        <w:t>The Myth of the Rational Voter: Why Democracies Choose Bad Policies</w:t>
      </w:r>
      <w:r w:rsidRPr="001D6484">
        <w:rPr>
          <w:rFonts w:cstheme="minorHAnsi"/>
        </w:rPr>
        <w:t xml:space="preserve"> (Princeton: Princeton University Press,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A9C23" w14:textId="77777777" w:rsidR="00E3149C" w:rsidRDefault="00E314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3F3384"/>
    <w:multiLevelType w:val="hybridMultilevel"/>
    <w:tmpl w:val="0A081B0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 w15:restartNumberingAfterBreak="0">
    <w:nsid w:val="3425382C"/>
    <w:multiLevelType w:val="hybridMultilevel"/>
    <w:tmpl w:val="62888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12E059B"/>
    <w:multiLevelType w:val="hybridMultilevel"/>
    <w:tmpl w:val="582C2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BBC0EB8"/>
    <w:multiLevelType w:val="multilevel"/>
    <w:tmpl w:val="A9A0E2F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4" w15:restartNumberingAfterBreak="0">
    <w:nsid w:val="6968054F"/>
    <w:multiLevelType w:val="hybridMultilevel"/>
    <w:tmpl w:val="89A043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44F44F3"/>
    <w:multiLevelType w:val="hybridMultilevel"/>
    <w:tmpl w:val="C9426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
  </w:num>
  <w:num w:numId="4">
    <w:abstractNumId w:val="2"/>
  </w:num>
  <w:num w:numId="5">
    <w:abstractNumId w:val="3"/>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A96"/>
    <w:rsid w:val="0000176F"/>
    <w:rsid w:val="00003C68"/>
    <w:rsid w:val="00005A95"/>
    <w:rsid w:val="00012641"/>
    <w:rsid w:val="00043654"/>
    <w:rsid w:val="000479E8"/>
    <w:rsid w:val="00057B5C"/>
    <w:rsid w:val="00062348"/>
    <w:rsid w:val="00067CD6"/>
    <w:rsid w:val="00071154"/>
    <w:rsid w:val="00077456"/>
    <w:rsid w:val="000807B8"/>
    <w:rsid w:val="000904CE"/>
    <w:rsid w:val="00092821"/>
    <w:rsid w:val="00093CF6"/>
    <w:rsid w:val="00094987"/>
    <w:rsid w:val="000A5903"/>
    <w:rsid w:val="000A7B54"/>
    <w:rsid w:val="000B3494"/>
    <w:rsid w:val="000B43A6"/>
    <w:rsid w:val="000C381E"/>
    <w:rsid w:val="000C48C1"/>
    <w:rsid w:val="000E0114"/>
    <w:rsid w:val="000E155F"/>
    <w:rsid w:val="000E60FC"/>
    <w:rsid w:val="000E7ECD"/>
    <w:rsid w:val="000F5E02"/>
    <w:rsid w:val="000F60E0"/>
    <w:rsid w:val="001116E0"/>
    <w:rsid w:val="001160D1"/>
    <w:rsid w:val="001242A5"/>
    <w:rsid w:val="00125DFA"/>
    <w:rsid w:val="00131613"/>
    <w:rsid w:val="00134185"/>
    <w:rsid w:val="00141AB1"/>
    <w:rsid w:val="001478D4"/>
    <w:rsid w:val="001535BA"/>
    <w:rsid w:val="001645A7"/>
    <w:rsid w:val="0016613D"/>
    <w:rsid w:val="00166441"/>
    <w:rsid w:val="00170AED"/>
    <w:rsid w:val="00174D96"/>
    <w:rsid w:val="00185F7C"/>
    <w:rsid w:val="001871EA"/>
    <w:rsid w:val="001A3357"/>
    <w:rsid w:val="001B23D4"/>
    <w:rsid w:val="001B3F68"/>
    <w:rsid w:val="001C3EC5"/>
    <w:rsid w:val="001C7B9A"/>
    <w:rsid w:val="001D6484"/>
    <w:rsid w:val="001D72C1"/>
    <w:rsid w:val="001E2EB4"/>
    <w:rsid w:val="001E6938"/>
    <w:rsid w:val="001F2A96"/>
    <w:rsid w:val="002004E5"/>
    <w:rsid w:val="002018C4"/>
    <w:rsid w:val="002033AA"/>
    <w:rsid w:val="00213B1A"/>
    <w:rsid w:val="00225B5D"/>
    <w:rsid w:val="00230B0D"/>
    <w:rsid w:val="0023239E"/>
    <w:rsid w:val="002342F6"/>
    <w:rsid w:val="0024068A"/>
    <w:rsid w:val="00243877"/>
    <w:rsid w:val="00247C1F"/>
    <w:rsid w:val="00252262"/>
    <w:rsid w:val="0025766F"/>
    <w:rsid w:val="00262324"/>
    <w:rsid w:val="002644E2"/>
    <w:rsid w:val="002645CD"/>
    <w:rsid w:val="00271AE9"/>
    <w:rsid w:val="00275A2C"/>
    <w:rsid w:val="00280DE0"/>
    <w:rsid w:val="002847AB"/>
    <w:rsid w:val="0028581B"/>
    <w:rsid w:val="0029164C"/>
    <w:rsid w:val="00291943"/>
    <w:rsid w:val="002A0099"/>
    <w:rsid w:val="002A3AA8"/>
    <w:rsid w:val="002B0DFC"/>
    <w:rsid w:val="002C3B9B"/>
    <w:rsid w:val="002C6B13"/>
    <w:rsid w:val="002D17A8"/>
    <w:rsid w:val="002F0AFB"/>
    <w:rsid w:val="002F1E94"/>
    <w:rsid w:val="00310186"/>
    <w:rsid w:val="00313C1D"/>
    <w:rsid w:val="00316BE3"/>
    <w:rsid w:val="003202F1"/>
    <w:rsid w:val="00322BB4"/>
    <w:rsid w:val="003615F8"/>
    <w:rsid w:val="00377C92"/>
    <w:rsid w:val="00380F41"/>
    <w:rsid w:val="00390D4C"/>
    <w:rsid w:val="00395AEA"/>
    <w:rsid w:val="00395D1B"/>
    <w:rsid w:val="003975D2"/>
    <w:rsid w:val="003A270C"/>
    <w:rsid w:val="003A4F9F"/>
    <w:rsid w:val="003A73C4"/>
    <w:rsid w:val="003B2AB0"/>
    <w:rsid w:val="003B4601"/>
    <w:rsid w:val="003B5916"/>
    <w:rsid w:val="003B6B2C"/>
    <w:rsid w:val="003C1BD6"/>
    <w:rsid w:val="003C2D63"/>
    <w:rsid w:val="003C571B"/>
    <w:rsid w:val="003C7839"/>
    <w:rsid w:val="003D362E"/>
    <w:rsid w:val="003D4BD6"/>
    <w:rsid w:val="003D58C5"/>
    <w:rsid w:val="003E342A"/>
    <w:rsid w:val="003E4938"/>
    <w:rsid w:val="003F5CD9"/>
    <w:rsid w:val="003F7EA2"/>
    <w:rsid w:val="00402A6F"/>
    <w:rsid w:val="004040BB"/>
    <w:rsid w:val="00406029"/>
    <w:rsid w:val="00411C38"/>
    <w:rsid w:val="00412E13"/>
    <w:rsid w:val="00424B06"/>
    <w:rsid w:val="00431C22"/>
    <w:rsid w:val="004329AD"/>
    <w:rsid w:val="0043665A"/>
    <w:rsid w:val="00437A15"/>
    <w:rsid w:val="004423A4"/>
    <w:rsid w:val="00442D63"/>
    <w:rsid w:val="0044643A"/>
    <w:rsid w:val="0045021F"/>
    <w:rsid w:val="004542AA"/>
    <w:rsid w:val="00454C0A"/>
    <w:rsid w:val="004579A0"/>
    <w:rsid w:val="004602F0"/>
    <w:rsid w:val="00470E9A"/>
    <w:rsid w:val="00471FF2"/>
    <w:rsid w:val="00472427"/>
    <w:rsid w:val="00477457"/>
    <w:rsid w:val="0048261E"/>
    <w:rsid w:val="00487E45"/>
    <w:rsid w:val="00495EA5"/>
    <w:rsid w:val="004C480E"/>
    <w:rsid w:val="004C7548"/>
    <w:rsid w:val="004E5811"/>
    <w:rsid w:val="004E633F"/>
    <w:rsid w:val="004F0B96"/>
    <w:rsid w:val="004F69FB"/>
    <w:rsid w:val="0050536F"/>
    <w:rsid w:val="005105B9"/>
    <w:rsid w:val="00511AA8"/>
    <w:rsid w:val="0052008B"/>
    <w:rsid w:val="005203E5"/>
    <w:rsid w:val="00525DDF"/>
    <w:rsid w:val="00527E2D"/>
    <w:rsid w:val="00543A99"/>
    <w:rsid w:val="005510C0"/>
    <w:rsid w:val="00551B3B"/>
    <w:rsid w:val="00555AF0"/>
    <w:rsid w:val="005608D3"/>
    <w:rsid w:val="0056418F"/>
    <w:rsid w:val="005654C9"/>
    <w:rsid w:val="00567075"/>
    <w:rsid w:val="005720C6"/>
    <w:rsid w:val="005734EB"/>
    <w:rsid w:val="00575488"/>
    <w:rsid w:val="005830D6"/>
    <w:rsid w:val="005836AA"/>
    <w:rsid w:val="00585093"/>
    <w:rsid w:val="00592DB6"/>
    <w:rsid w:val="005A3B7B"/>
    <w:rsid w:val="005A48BE"/>
    <w:rsid w:val="005A76A6"/>
    <w:rsid w:val="005B512B"/>
    <w:rsid w:val="005C5717"/>
    <w:rsid w:val="005C71C7"/>
    <w:rsid w:val="005D23E9"/>
    <w:rsid w:val="005D2F52"/>
    <w:rsid w:val="005D3767"/>
    <w:rsid w:val="005D7C12"/>
    <w:rsid w:val="005E38CE"/>
    <w:rsid w:val="005E3C07"/>
    <w:rsid w:val="005F0A0D"/>
    <w:rsid w:val="005F3548"/>
    <w:rsid w:val="005F50AE"/>
    <w:rsid w:val="006067F1"/>
    <w:rsid w:val="00630F1F"/>
    <w:rsid w:val="00640E7E"/>
    <w:rsid w:val="00647C20"/>
    <w:rsid w:val="00652B42"/>
    <w:rsid w:val="0066421A"/>
    <w:rsid w:val="006642DC"/>
    <w:rsid w:val="00673F8C"/>
    <w:rsid w:val="0068058E"/>
    <w:rsid w:val="00680645"/>
    <w:rsid w:val="00681BBF"/>
    <w:rsid w:val="00682682"/>
    <w:rsid w:val="006904AB"/>
    <w:rsid w:val="00692ECC"/>
    <w:rsid w:val="0069567A"/>
    <w:rsid w:val="0069777B"/>
    <w:rsid w:val="006A6DBD"/>
    <w:rsid w:val="006B5F9B"/>
    <w:rsid w:val="006C6D27"/>
    <w:rsid w:val="006D1C28"/>
    <w:rsid w:val="006D376C"/>
    <w:rsid w:val="006D3A23"/>
    <w:rsid w:val="006D5465"/>
    <w:rsid w:val="006D6E05"/>
    <w:rsid w:val="006E06F1"/>
    <w:rsid w:val="006F0047"/>
    <w:rsid w:val="006F482B"/>
    <w:rsid w:val="006F5538"/>
    <w:rsid w:val="006F68C3"/>
    <w:rsid w:val="00711694"/>
    <w:rsid w:val="00723132"/>
    <w:rsid w:val="0072730C"/>
    <w:rsid w:val="0073434A"/>
    <w:rsid w:val="00744D1F"/>
    <w:rsid w:val="00750916"/>
    <w:rsid w:val="00751697"/>
    <w:rsid w:val="00752431"/>
    <w:rsid w:val="00761221"/>
    <w:rsid w:val="00762343"/>
    <w:rsid w:val="0076556E"/>
    <w:rsid w:val="0076603B"/>
    <w:rsid w:val="007668D5"/>
    <w:rsid w:val="00766EB3"/>
    <w:rsid w:val="007702E3"/>
    <w:rsid w:val="00770CDB"/>
    <w:rsid w:val="00771713"/>
    <w:rsid w:val="00776CF1"/>
    <w:rsid w:val="0077734C"/>
    <w:rsid w:val="0078039E"/>
    <w:rsid w:val="007817BD"/>
    <w:rsid w:val="007830F4"/>
    <w:rsid w:val="00791DFC"/>
    <w:rsid w:val="007B01DA"/>
    <w:rsid w:val="007B1BFE"/>
    <w:rsid w:val="007B2E84"/>
    <w:rsid w:val="007C26F3"/>
    <w:rsid w:val="007E460C"/>
    <w:rsid w:val="007F3EB1"/>
    <w:rsid w:val="0080002C"/>
    <w:rsid w:val="0081007D"/>
    <w:rsid w:val="008119DF"/>
    <w:rsid w:val="00814E5C"/>
    <w:rsid w:val="00817649"/>
    <w:rsid w:val="00826611"/>
    <w:rsid w:val="008343D5"/>
    <w:rsid w:val="00836542"/>
    <w:rsid w:val="00836804"/>
    <w:rsid w:val="00836D45"/>
    <w:rsid w:val="00845D12"/>
    <w:rsid w:val="008522A5"/>
    <w:rsid w:val="00853145"/>
    <w:rsid w:val="00856943"/>
    <w:rsid w:val="0087126A"/>
    <w:rsid w:val="00875CEF"/>
    <w:rsid w:val="00876756"/>
    <w:rsid w:val="00876CFE"/>
    <w:rsid w:val="008772EE"/>
    <w:rsid w:val="00883A40"/>
    <w:rsid w:val="00885224"/>
    <w:rsid w:val="008970AB"/>
    <w:rsid w:val="008A4BFB"/>
    <w:rsid w:val="008A5A07"/>
    <w:rsid w:val="008A5C1F"/>
    <w:rsid w:val="008B03A9"/>
    <w:rsid w:val="008C28B2"/>
    <w:rsid w:val="008C4BA5"/>
    <w:rsid w:val="008D649B"/>
    <w:rsid w:val="008D6DF9"/>
    <w:rsid w:val="008E1B83"/>
    <w:rsid w:val="008E302A"/>
    <w:rsid w:val="008E4132"/>
    <w:rsid w:val="008E4622"/>
    <w:rsid w:val="008E5D81"/>
    <w:rsid w:val="009018C2"/>
    <w:rsid w:val="00901DC3"/>
    <w:rsid w:val="0090570C"/>
    <w:rsid w:val="00907939"/>
    <w:rsid w:val="00910879"/>
    <w:rsid w:val="00927D73"/>
    <w:rsid w:val="00933657"/>
    <w:rsid w:val="00935CF6"/>
    <w:rsid w:val="009407AF"/>
    <w:rsid w:val="00943B82"/>
    <w:rsid w:val="00945A79"/>
    <w:rsid w:val="00946312"/>
    <w:rsid w:val="009470FF"/>
    <w:rsid w:val="0094741D"/>
    <w:rsid w:val="009477EE"/>
    <w:rsid w:val="00954AC9"/>
    <w:rsid w:val="00960658"/>
    <w:rsid w:val="009730A5"/>
    <w:rsid w:val="00973CC3"/>
    <w:rsid w:val="00974695"/>
    <w:rsid w:val="0097727B"/>
    <w:rsid w:val="009842FF"/>
    <w:rsid w:val="00987437"/>
    <w:rsid w:val="009928F3"/>
    <w:rsid w:val="009934EB"/>
    <w:rsid w:val="0099656E"/>
    <w:rsid w:val="009A6BBC"/>
    <w:rsid w:val="009B0F05"/>
    <w:rsid w:val="009D547E"/>
    <w:rsid w:val="009E055E"/>
    <w:rsid w:val="009E3C67"/>
    <w:rsid w:val="009F2161"/>
    <w:rsid w:val="00A02734"/>
    <w:rsid w:val="00A06E57"/>
    <w:rsid w:val="00A20079"/>
    <w:rsid w:val="00A2175E"/>
    <w:rsid w:val="00A21BF7"/>
    <w:rsid w:val="00A220C4"/>
    <w:rsid w:val="00A24189"/>
    <w:rsid w:val="00A305B2"/>
    <w:rsid w:val="00A30C79"/>
    <w:rsid w:val="00A41D24"/>
    <w:rsid w:val="00A4391A"/>
    <w:rsid w:val="00A43D1B"/>
    <w:rsid w:val="00A4598A"/>
    <w:rsid w:val="00A504EB"/>
    <w:rsid w:val="00A50C64"/>
    <w:rsid w:val="00A6353A"/>
    <w:rsid w:val="00A70874"/>
    <w:rsid w:val="00A71504"/>
    <w:rsid w:val="00A720CB"/>
    <w:rsid w:val="00A747D2"/>
    <w:rsid w:val="00A77084"/>
    <w:rsid w:val="00A83F70"/>
    <w:rsid w:val="00A90177"/>
    <w:rsid w:val="00A91723"/>
    <w:rsid w:val="00A941CC"/>
    <w:rsid w:val="00A94A73"/>
    <w:rsid w:val="00A94BE4"/>
    <w:rsid w:val="00A94ED3"/>
    <w:rsid w:val="00A97398"/>
    <w:rsid w:val="00AA192C"/>
    <w:rsid w:val="00AA60D2"/>
    <w:rsid w:val="00AC048E"/>
    <w:rsid w:val="00AC6638"/>
    <w:rsid w:val="00AD0E5C"/>
    <w:rsid w:val="00AD3182"/>
    <w:rsid w:val="00AD63C9"/>
    <w:rsid w:val="00AD7287"/>
    <w:rsid w:val="00AD756C"/>
    <w:rsid w:val="00AF20FE"/>
    <w:rsid w:val="00AF6D88"/>
    <w:rsid w:val="00AF7904"/>
    <w:rsid w:val="00AF7BEA"/>
    <w:rsid w:val="00B04B87"/>
    <w:rsid w:val="00B07154"/>
    <w:rsid w:val="00B11108"/>
    <w:rsid w:val="00B23805"/>
    <w:rsid w:val="00B25507"/>
    <w:rsid w:val="00B35A61"/>
    <w:rsid w:val="00B36CB3"/>
    <w:rsid w:val="00B36E68"/>
    <w:rsid w:val="00B47373"/>
    <w:rsid w:val="00B50F51"/>
    <w:rsid w:val="00B57106"/>
    <w:rsid w:val="00B63562"/>
    <w:rsid w:val="00B63F2C"/>
    <w:rsid w:val="00B660E7"/>
    <w:rsid w:val="00B70948"/>
    <w:rsid w:val="00B70A0C"/>
    <w:rsid w:val="00B70ADB"/>
    <w:rsid w:val="00B728F0"/>
    <w:rsid w:val="00B75111"/>
    <w:rsid w:val="00B8115B"/>
    <w:rsid w:val="00B82902"/>
    <w:rsid w:val="00B86A29"/>
    <w:rsid w:val="00B87195"/>
    <w:rsid w:val="00BA07B9"/>
    <w:rsid w:val="00BA3560"/>
    <w:rsid w:val="00BA5CBE"/>
    <w:rsid w:val="00BB6103"/>
    <w:rsid w:val="00BB754B"/>
    <w:rsid w:val="00BC2085"/>
    <w:rsid w:val="00BC7961"/>
    <w:rsid w:val="00BD1832"/>
    <w:rsid w:val="00BD411F"/>
    <w:rsid w:val="00BF32B7"/>
    <w:rsid w:val="00C02B7D"/>
    <w:rsid w:val="00C0497A"/>
    <w:rsid w:val="00C204CC"/>
    <w:rsid w:val="00C21B43"/>
    <w:rsid w:val="00C21B6E"/>
    <w:rsid w:val="00C21E33"/>
    <w:rsid w:val="00C2520C"/>
    <w:rsid w:val="00C25500"/>
    <w:rsid w:val="00C25B67"/>
    <w:rsid w:val="00C40488"/>
    <w:rsid w:val="00C41691"/>
    <w:rsid w:val="00C42BC2"/>
    <w:rsid w:val="00C45B0A"/>
    <w:rsid w:val="00C51B6F"/>
    <w:rsid w:val="00C613A2"/>
    <w:rsid w:val="00C73A67"/>
    <w:rsid w:val="00C81149"/>
    <w:rsid w:val="00C8733A"/>
    <w:rsid w:val="00C91962"/>
    <w:rsid w:val="00C9292D"/>
    <w:rsid w:val="00C94985"/>
    <w:rsid w:val="00CB684F"/>
    <w:rsid w:val="00CC0E31"/>
    <w:rsid w:val="00CC25D8"/>
    <w:rsid w:val="00CC4F50"/>
    <w:rsid w:val="00CC7A13"/>
    <w:rsid w:val="00CD3F87"/>
    <w:rsid w:val="00CD5788"/>
    <w:rsid w:val="00CD6EE7"/>
    <w:rsid w:val="00CE6E91"/>
    <w:rsid w:val="00CE7076"/>
    <w:rsid w:val="00D079E1"/>
    <w:rsid w:val="00D07D7E"/>
    <w:rsid w:val="00D109AD"/>
    <w:rsid w:val="00D11B23"/>
    <w:rsid w:val="00D13CBA"/>
    <w:rsid w:val="00D158EF"/>
    <w:rsid w:val="00D27316"/>
    <w:rsid w:val="00D27BF9"/>
    <w:rsid w:val="00D31510"/>
    <w:rsid w:val="00D34C06"/>
    <w:rsid w:val="00D35507"/>
    <w:rsid w:val="00D47661"/>
    <w:rsid w:val="00D51BD4"/>
    <w:rsid w:val="00D543AD"/>
    <w:rsid w:val="00D7342B"/>
    <w:rsid w:val="00D8325C"/>
    <w:rsid w:val="00D87F0F"/>
    <w:rsid w:val="00DA52FA"/>
    <w:rsid w:val="00DB2A25"/>
    <w:rsid w:val="00DB3C22"/>
    <w:rsid w:val="00DD0262"/>
    <w:rsid w:val="00DD31A2"/>
    <w:rsid w:val="00DD5987"/>
    <w:rsid w:val="00DE1264"/>
    <w:rsid w:val="00DE4709"/>
    <w:rsid w:val="00DE481A"/>
    <w:rsid w:val="00DF226F"/>
    <w:rsid w:val="00DF2D20"/>
    <w:rsid w:val="00DF4237"/>
    <w:rsid w:val="00DF65F5"/>
    <w:rsid w:val="00E02D89"/>
    <w:rsid w:val="00E055CD"/>
    <w:rsid w:val="00E1141C"/>
    <w:rsid w:val="00E154AE"/>
    <w:rsid w:val="00E16EE6"/>
    <w:rsid w:val="00E242C8"/>
    <w:rsid w:val="00E26205"/>
    <w:rsid w:val="00E304F4"/>
    <w:rsid w:val="00E3149C"/>
    <w:rsid w:val="00E33ACC"/>
    <w:rsid w:val="00E437D7"/>
    <w:rsid w:val="00E47C3A"/>
    <w:rsid w:val="00E611DA"/>
    <w:rsid w:val="00E64958"/>
    <w:rsid w:val="00E9113A"/>
    <w:rsid w:val="00E979E1"/>
    <w:rsid w:val="00EA0874"/>
    <w:rsid w:val="00EA6836"/>
    <w:rsid w:val="00EB7253"/>
    <w:rsid w:val="00EC2736"/>
    <w:rsid w:val="00EC767F"/>
    <w:rsid w:val="00ED6DFB"/>
    <w:rsid w:val="00EF379F"/>
    <w:rsid w:val="00F018C3"/>
    <w:rsid w:val="00F033AE"/>
    <w:rsid w:val="00F1522F"/>
    <w:rsid w:val="00F21F4F"/>
    <w:rsid w:val="00F22B77"/>
    <w:rsid w:val="00F239E8"/>
    <w:rsid w:val="00F26698"/>
    <w:rsid w:val="00F30E76"/>
    <w:rsid w:val="00F34D36"/>
    <w:rsid w:val="00F35DB8"/>
    <w:rsid w:val="00F4538F"/>
    <w:rsid w:val="00F476DC"/>
    <w:rsid w:val="00F47AB1"/>
    <w:rsid w:val="00F5179A"/>
    <w:rsid w:val="00F55643"/>
    <w:rsid w:val="00F55F03"/>
    <w:rsid w:val="00F702AC"/>
    <w:rsid w:val="00F72A32"/>
    <w:rsid w:val="00F81235"/>
    <w:rsid w:val="00F846CD"/>
    <w:rsid w:val="00F86A7E"/>
    <w:rsid w:val="00F86E0D"/>
    <w:rsid w:val="00F876B7"/>
    <w:rsid w:val="00F877AD"/>
    <w:rsid w:val="00F91292"/>
    <w:rsid w:val="00F93685"/>
    <w:rsid w:val="00FA5817"/>
    <w:rsid w:val="00FB061A"/>
    <w:rsid w:val="00FB29D2"/>
    <w:rsid w:val="00FB3584"/>
    <w:rsid w:val="00FB67EE"/>
    <w:rsid w:val="00FC3E5B"/>
    <w:rsid w:val="00FD2CDA"/>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D7C2DC"/>
  <w15:chartTrackingRefBased/>
  <w15:docId w15:val="{A9852C89-4060-4891-B5EF-AD4B80C4C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04CE"/>
    <w:rPr>
      <w:rFonts w:eastAsiaTheme="minorHAnsi"/>
      <w:lang w:eastAsia="en-US"/>
    </w:rPr>
  </w:style>
  <w:style w:type="paragraph" w:styleId="Heading1">
    <w:name w:val="heading 1"/>
    <w:basedOn w:val="Normal"/>
    <w:next w:val="Normal"/>
    <w:link w:val="Heading1Char"/>
    <w:uiPriority w:val="9"/>
    <w:qFormat/>
    <w:rsid w:val="005F50AE"/>
    <w:pPr>
      <w:keepNext/>
      <w:keepLines/>
      <w:spacing w:before="24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5F50AE"/>
    <w:pPr>
      <w:keepNext/>
      <w:keepLines/>
      <w:spacing w:before="40"/>
      <w:outlineLvl w:val="1"/>
    </w:pPr>
    <w:rPr>
      <w:rFonts w:ascii="Times New Roman" w:eastAsiaTheme="majorEastAsia" w:hAnsi="Times New Roman" w:cstheme="majorBidi"/>
      <w:i/>
      <w:color w:val="000000" w:themeColor="text1"/>
      <w:sz w:val="24"/>
      <w:szCs w:val="26"/>
    </w:rPr>
  </w:style>
  <w:style w:type="paragraph" w:styleId="Heading3">
    <w:name w:val="heading 3"/>
    <w:basedOn w:val="Normal"/>
    <w:next w:val="Normal"/>
    <w:link w:val="Heading3Char"/>
    <w:uiPriority w:val="9"/>
    <w:unhideWhenUsed/>
    <w:qFormat/>
    <w:rsid w:val="00CD6EE7"/>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904CE"/>
    <w:rPr>
      <w:sz w:val="20"/>
      <w:szCs w:val="20"/>
    </w:rPr>
  </w:style>
  <w:style w:type="character" w:customStyle="1" w:styleId="FootnoteTextChar">
    <w:name w:val="Footnote Text Char"/>
    <w:basedOn w:val="DefaultParagraphFont"/>
    <w:link w:val="FootnoteText"/>
    <w:uiPriority w:val="99"/>
    <w:qFormat/>
    <w:rsid w:val="000904CE"/>
    <w:rPr>
      <w:rFonts w:eastAsiaTheme="minorHAnsi"/>
      <w:sz w:val="20"/>
      <w:szCs w:val="20"/>
      <w:lang w:eastAsia="en-US"/>
    </w:rPr>
  </w:style>
  <w:style w:type="character" w:styleId="FootnoteReference">
    <w:name w:val="footnote reference"/>
    <w:basedOn w:val="DefaultParagraphFont"/>
    <w:uiPriority w:val="99"/>
    <w:semiHidden/>
    <w:unhideWhenUsed/>
    <w:qFormat/>
    <w:rsid w:val="000904CE"/>
    <w:rPr>
      <w:vertAlign w:val="superscript"/>
    </w:rPr>
  </w:style>
  <w:style w:type="character" w:styleId="Hyperlink">
    <w:name w:val="Hyperlink"/>
    <w:basedOn w:val="DefaultParagraphFont"/>
    <w:uiPriority w:val="99"/>
    <w:unhideWhenUsed/>
    <w:rsid w:val="000904CE"/>
    <w:rPr>
      <w:color w:val="0563C1" w:themeColor="hyperlink"/>
      <w:u w:val="single"/>
    </w:rPr>
  </w:style>
  <w:style w:type="paragraph" w:styleId="Caption">
    <w:name w:val="caption"/>
    <w:basedOn w:val="Normal"/>
    <w:next w:val="Normal"/>
    <w:uiPriority w:val="35"/>
    <w:unhideWhenUsed/>
    <w:qFormat/>
    <w:rsid w:val="000904CE"/>
    <w:pPr>
      <w:spacing w:after="200"/>
    </w:pPr>
    <w:rPr>
      <w:i/>
      <w:iCs/>
      <w:color w:val="44546A" w:themeColor="text2"/>
      <w:sz w:val="18"/>
      <w:szCs w:val="18"/>
    </w:rPr>
  </w:style>
  <w:style w:type="paragraph" w:styleId="Quote">
    <w:name w:val="Quote"/>
    <w:basedOn w:val="Normal"/>
    <w:next w:val="Normal"/>
    <w:link w:val="QuoteChar"/>
    <w:uiPriority w:val="29"/>
    <w:qFormat/>
    <w:rsid w:val="000904CE"/>
    <w:pPr>
      <w:spacing w:before="200" w:after="160" w:line="256" w:lineRule="auto"/>
      <w:ind w:left="864" w:right="864"/>
      <w:jc w:val="center"/>
    </w:pPr>
    <w:rPr>
      <w:i/>
      <w:iCs/>
      <w:color w:val="404040" w:themeColor="text1" w:themeTint="BF"/>
    </w:rPr>
  </w:style>
  <w:style w:type="character" w:customStyle="1" w:styleId="QuoteChar">
    <w:name w:val="Quote Char"/>
    <w:basedOn w:val="DefaultParagraphFont"/>
    <w:link w:val="Quote"/>
    <w:uiPriority w:val="29"/>
    <w:rsid w:val="000904CE"/>
    <w:rPr>
      <w:rFonts w:eastAsiaTheme="minorHAnsi"/>
      <w:i/>
      <w:iCs/>
      <w:color w:val="404040" w:themeColor="text1" w:themeTint="BF"/>
      <w:lang w:eastAsia="en-US"/>
    </w:rPr>
  </w:style>
  <w:style w:type="character" w:customStyle="1" w:styleId="fontstyle01">
    <w:name w:val="fontstyle01"/>
    <w:basedOn w:val="DefaultParagraphFont"/>
    <w:rsid w:val="000904CE"/>
    <w:rPr>
      <w:rFonts w:ascii="ArialUnicodeMS" w:hAnsi="ArialUnicodeMS" w:hint="default"/>
      <w:b w:val="0"/>
      <w:bCs w:val="0"/>
      <w:i w:val="0"/>
      <w:iCs w:val="0"/>
      <w:color w:val="000000"/>
      <w:sz w:val="14"/>
      <w:szCs w:val="14"/>
    </w:rPr>
  </w:style>
  <w:style w:type="paragraph" w:styleId="NoSpacing">
    <w:name w:val="No Spacing"/>
    <w:uiPriority w:val="1"/>
    <w:qFormat/>
    <w:rsid w:val="000904CE"/>
    <w:rPr>
      <w:rFonts w:eastAsiaTheme="minorHAnsi"/>
      <w:lang w:eastAsia="en-US"/>
    </w:rPr>
  </w:style>
  <w:style w:type="paragraph" w:styleId="ListParagraph">
    <w:name w:val="List Paragraph"/>
    <w:basedOn w:val="Normal"/>
    <w:uiPriority w:val="34"/>
    <w:qFormat/>
    <w:rsid w:val="000904CE"/>
    <w:pPr>
      <w:spacing w:after="160" w:line="256" w:lineRule="auto"/>
      <w:ind w:left="720"/>
      <w:contextualSpacing/>
    </w:pPr>
  </w:style>
  <w:style w:type="table" w:styleId="TableGrid">
    <w:name w:val="Table Grid"/>
    <w:basedOn w:val="TableNormal"/>
    <w:uiPriority w:val="39"/>
    <w:rsid w:val="000904CE"/>
    <w:rPr>
      <w:rFonts w:eastAsiaTheme="minorHAns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904CE"/>
    <w:rPr>
      <w:b/>
      <w:bCs/>
    </w:rPr>
  </w:style>
  <w:style w:type="paragraph" w:customStyle="1" w:styleId="Standard">
    <w:name w:val="Standard"/>
    <w:rsid w:val="000904CE"/>
    <w:pPr>
      <w:suppressAutoHyphens/>
      <w:autoSpaceDN w:val="0"/>
      <w:textAlignment w:val="baseline"/>
    </w:pPr>
    <w:rPr>
      <w:rFonts w:ascii="Liberation Serif" w:eastAsia="Noto Sans CJK SC Regular" w:hAnsi="Liberation Serif" w:cs="FreeSans"/>
      <w:kern w:val="3"/>
      <w:sz w:val="24"/>
      <w:szCs w:val="24"/>
      <w:lang w:bidi="hi-IN"/>
    </w:rPr>
  </w:style>
  <w:style w:type="character" w:customStyle="1" w:styleId="italic">
    <w:name w:val="italic"/>
    <w:basedOn w:val="DefaultParagraphFont"/>
    <w:rsid w:val="000904CE"/>
  </w:style>
  <w:style w:type="character" w:customStyle="1" w:styleId="FootnoteAnchor">
    <w:name w:val="Footnote Anchor"/>
    <w:rsid w:val="000904CE"/>
    <w:rPr>
      <w:vertAlign w:val="superscript"/>
    </w:rPr>
  </w:style>
  <w:style w:type="paragraph" w:customStyle="1" w:styleId="Footnote">
    <w:name w:val="Footnote"/>
    <w:basedOn w:val="Standard"/>
    <w:rsid w:val="000904CE"/>
    <w:pPr>
      <w:suppressLineNumbers/>
      <w:ind w:left="339" w:hanging="339"/>
    </w:pPr>
    <w:rPr>
      <w:sz w:val="20"/>
      <w:szCs w:val="20"/>
    </w:rPr>
  </w:style>
  <w:style w:type="character" w:styleId="CommentReference">
    <w:name w:val="annotation reference"/>
    <w:basedOn w:val="DefaultParagraphFont"/>
    <w:uiPriority w:val="99"/>
    <w:semiHidden/>
    <w:unhideWhenUsed/>
    <w:rsid w:val="000904CE"/>
    <w:rPr>
      <w:sz w:val="16"/>
      <w:szCs w:val="16"/>
    </w:rPr>
  </w:style>
  <w:style w:type="paragraph" w:styleId="CommentText">
    <w:name w:val="annotation text"/>
    <w:basedOn w:val="Normal"/>
    <w:link w:val="CommentTextChar"/>
    <w:uiPriority w:val="99"/>
    <w:semiHidden/>
    <w:unhideWhenUsed/>
    <w:rsid w:val="000904CE"/>
    <w:pPr>
      <w:spacing w:after="160"/>
    </w:pPr>
    <w:rPr>
      <w:sz w:val="20"/>
      <w:szCs w:val="20"/>
    </w:rPr>
  </w:style>
  <w:style w:type="character" w:customStyle="1" w:styleId="CommentTextChar">
    <w:name w:val="Comment Text Char"/>
    <w:basedOn w:val="DefaultParagraphFont"/>
    <w:link w:val="CommentText"/>
    <w:uiPriority w:val="99"/>
    <w:semiHidden/>
    <w:rsid w:val="000904CE"/>
    <w:rPr>
      <w:rFonts w:eastAsiaTheme="minorHAnsi"/>
      <w:sz w:val="20"/>
      <w:szCs w:val="20"/>
      <w:lang w:eastAsia="en-US"/>
    </w:rPr>
  </w:style>
  <w:style w:type="paragraph" w:styleId="HTMLPreformatted">
    <w:name w:val="HTML Preformatted"/>
    <w:basedOn w:val="Normal"/>
    <w:link w:val="HTMLPreformattedChar"/>
    <w:uiPriority w:val="99"/>
    <w:unhideWhenUsed/>
    <w:rsid w:val="000904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zh-CN" w:bidi="he-IL"/>
    </w:rPr>
  </w:style>
  <w:style w:type="character" w:customStyle="1" w:styleId="HTMLPreformattedChar">
    <w:name w:val="HTML Preformatted Char"/>
    <w:basedOn w:val="DefaultParagraphFont"/>
    <w:link w:val="HTMLPreformatted"/>
    <w:uiPriority w:val="99"/>
    <w:rsid w:val="000904CE"/>
    <w:rPr>
      <w:rFonts w:ascii="Courier New" w:eastAsia="Times New Roman" w:hAnsi="Courier New" w:cs="Courier New"/>
      <w:sz w:val="20"/>
      <w:szCs w:val="20"/>
      <w:lang w:bidi="he-IL"/>
    </w:rPr>
  </w:style>
  <w:style w:type="paragraph" w:styleId="BalloonText">
    <w:name w:val="Balloon Text"/>
    <w:basedOn w:val="Normal"/>
    <w:link w:val="BalloonTextChar"/>
    <w:uiPriority w:val="99"/>
    <w:semiHidden/>
    <w:unhideWhenUsed/>
    <w:rsid w:val="000904C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4CE"/>
    <w:rPr>
      <w:rFonts w:ascii="Segoe UI" w:eastAsiaTheme="minorHAnsi" w:hAnsi="Segoe UI" w:cs="Segoe UI"/>
      <w:sz w:val="18"/>
      <w:szCs w:val="18"/>
      <w:lang w:eastAsia="en-US"/>
    </w:rPr>
  </w:style>
  <w:style w:type="paragraph" w:styleId="Header">
    <w:name w:val="header"/>
    <w:basedOn w:val="Normal"/>
    <w:link w:val="HeaderChar"/>
    <w:uiPriority w:val="99"/>
    <w:unhideWhenUsed/>
    <w:rsid w:val="00005A95"/>
    <w:pPr>
      <w:tabs>
        <w:tab w:val="center" w:pos="4680"/>
        <w:tab w:val="right" w:pos="9360"/>
      </w:tabs>
    </w:pPr>
  </w:style>
  <w:style w:type="character" w:customStyle="1" w:styleId="HeaderChar">
    <w:name w:val="Header Char"/>
    <w:basedOn w:val="DefaultParagraphFont"/>
    <w:link w:val="Header"/>
    <w:uiPriority w:val="99"/>
    <w:rsid w:val="00005A95"/>
    <w:rPr>
      <w:rFonts w:eastAsiaTheme="minorHAnsi"/>
      <w:lang w:eastAsia="en-US"/>
    </w:rPr>
  </w:style>
  <w:style w:type="paragraph" w:styleId="Footer">
    <w:name w:val="footer"/>
    <w:basedOn w:val="Normal"/>
    <w:link w:val="FooterChar"/>
    <w:uiPriority w:val="99"/>
    <w:unhideWhenUsed/>
    <w:rsid w:val="00005A95"/>
    <w:pPr>
      <w:tabs>
        <w:tab w:val="center" w:pos="4680"/>
        <w:tab w:val="right" w:pos="9360"/>
      </w:tabs>
    </w:pPr>
  </w:style>
  <w:style w:type="character" w:customStyle="1" w:styleId="FooterChar">
    <w:name w:val="Footer Char"/>
    <w:basedOn w:val="DefaultParagraphFont"/>
    <w:link w:val="Footer"/>
    <w:uiPriority w:val="99"/>
    <w:rsid w:val="00005A95"/>
    <w:rPr>
      <w:rFonts w:eastAsiaTheme="minorHAnsi"/>
      <w:lang w:eastAsia="en-US"/>
    </w:rPr>
  </w:style>
  <w:style w:type="paragraph" w:styleId="CommentSubject">
    <w:name w:val="annotation subject"/>
    <w:basedOn w:val="CommentText"/>
    <w:next w:val="CommentText"/>
    <w:link w:val="CommentSubjectChar"/>
    <w:uiPriority w:val="99"/>
    <w:semiHidden/>
    <w:unhideWhenUsed/>
    <w:rsid w:val="00FB29D2"/>
    <w:pPr>
      <w:spacing w:after="0"/>
    </w:pPr>
    <w:rPr>
      <w:b/>
      <w:bCs/>
    </w:rPr>
  </w:style>
  <w:style w:type="character" w:customStyle="1" w:styleId="CommentSubjectChar">
    <w:name w:val="Comment Subject Char"/>
    <w:basedOn w:val="CommentTextChar"/>
    <w:link w:val="CommentSubject"/>
    <w:uiPriority w:val="99"/>
    <w:semiHidden/>
    <w:rsid w:val="00FB29D2"/>
    <w:rPr>
      <w:rFonts w:eastAsiaTheme="minorHAnsi"/>
      <w:b/>
      <w:bCs/>
      <w:sz w:val="20"/>
      <w:szCs w:val="20"/>
      <w:lang w:eastAsia="en-US"/>
    </w:rPr>
  </w:style>
  <w:style w:type="character" w:styleId="Emphasis">
    <w:name w:val="Emphasis"/>
    <w:basedOn w:val="DefaultParagraphFont"/>
    <w:uiPriority w:val="20"/>
    <w:qFormat/>
    <w:rsid w:val="00F4538F"/>
    <w:rPr>
      <w:i/>
      <w:iCs/>
    </w:rPr>
  </w:style>
  <w:style w:type="character" w:styleId="UnresolvedMention">
    <w:name w:val="Unresolved Mention"/>
    <w:basedOn w:val="DefaultParagraphFont"/>
    <w:uiPriority w:val="99"/>
    <w:semiHidden/>
    <w:unhideWhenUsed/>
    <w:rsid w:val="00945A79"/>
    <w:rPr>
      <w:color w:val="605E5C"/>
      <w:shd w:val="clear" w:color="auto" w:fill="E1DFDD"/>
    </w:rPr>
  </w:style>
  <w:style w:type="character" w:styleId="FollowedHyperlink">
    <w:name w:val="FollowedHyperlink"/>
    <w:basedOn w:val="DefaultParagraphFont"/>
    <w:uiPriority w:val="99"/>
    <w:semiHidden/>
    <w:unhideWhenUsed/>
    <w:rsid w:val="00585093"/>
    <w:rPr>
      <w:color w:val="954F72" w:themeColor="followedHyperlink"/>
      <w:u w:val="single"/>
    </w:rPr>
  </w:style>
  <w:style w:type="paragraph" w:customStyle="1" w:styleId="xmsonormal">
    <w:name w:val="x_msonormal"/>
    <w:basedOn w:val="Normal"/>
    <w:rsid w:val="00910879"/>
    <w:pPr>
      <w:spacing w:before="100" w:beforeAutospacing="1" w:after="100" w:afterAutospacing="1"/>
    </w:pPr>
    <w:rPr>
      <w:rFonts w:ascii="Times New Roman" w:eastAsia="Times New Roman" w:hAnsi="Times New Roman" w:cs="Times New Roman"/>
      <w:sz w:val="24"/>
      <w:szCs w:val="24"/>
      <w:lang w:eastAsia="zh-CN"/>
    </w:rPr>
  </w:style>
  <w:style w:type="character" w:customStyle="1" w:styleId="Heading1Char">
    <w:name w:val="Heading 1 Char"/>
    <w:basedOn w:val="DefaultParagraphFont"/>
    <w:link w:val="Heading1"/>
    <w:uiPriority w:val="9"/>
    <w:rsid w:val="005F50AE"/>
    <w:rPr>
      <w:rFonts w:ascii="Times New Roman" w:eastAsiaTheme="majorEastAsia" w:hAnsi="Times New Roman" w:cstheme="majorBidi"/>
      <w:b/>
      <w:color w:val="000000" w:themeColor="text1"/>
      <w:sz w:val="24"/>
      <w:szCs w:val="32"/>
      <w:lang w:eastAsia="en-US"/>
    </w:rPr>
  </w:style>
  <w:style w:type="character" w:customStyle="1" w:styleId="Heading2Char">
    <w:name w:val="Heading 2 Char"/>
    <w:basedOn w:val="DefaultParagraphFont"/>
    <w:link w:val="Heading2"/>
    <w:uiPriority w:val="9"/>
    <w:rsid w:val="005F50AE"/>
    <w:rPr>
      <w:rFonts w:ascii="Times New Roman" w:eastAsiaTheme="majorEastAsia" w:hAnsi="Times New Roman" w:cstheme="majorBidi"/>
      <w:i/>
      <w:color w:val="000000" w:themeColor="text1"/>
      <w:sz w:val="24"/>
      <w:szCs w:val="26"/>
      <w:lang w:eastAsia="en-US"/>
    </w:rPr>
  </w:style>
  <w:style w:type="paragraph" w:styleId="Title">
    <w:name w:val="Title"/>
    <w:basedOn w:val="Normal"/>
    <w:next w:val="Normal"/>
    <w:link w:val="TitleChar"/>
    <w:uiPriority w:val="10"/>
    <w:qFormat/>
    <w:rsid w:val="005F50AE"/>
    <w:pPr>
      <w:contextualSpacing/>
    </w:pPr>
    <w:rPr>
      <w:rFonts w:ascii="Times New Roman" w:eastAsiaTheme="majorEastAsia" w:hAnsi="Times New Roman" w:cstheme="majorBidi"/>
      <w:b/>
      <w:spacing w:val="-10"/>
      <w:kern w:val="28"/>
      <w:sz w:val="28"/>
      <w:szCs w:val="56"/>
    </w:rPr>
  </w:style>
  <w:style w:type="character" w:customStyle="1" w:styleId="TitleChar">
    <w:name w:val="Title Char"/>
    <w:basedOn w:val="DefaultParagraphFont"/>
    <w:link w:val="Title"/>
    <w:uiPriority w:val="10"/>
    <w:rsid w:val="005F50AE"/>
    <w:rPr>
      <w:rFonts w:ascii="Times New Roman" w:eastAsiaTheme="majorEastAsia" w:hAnsi="Times New Roman" w:cstheme="majorBidi"/>
      <w:b/>
      <w:spacing w:val="-10"/>
      <w:kern w:val="28"/>
      <w:sz w:val="28"/>
      <w:szCs w:val="56"/>
      <w:lang w:eastAsia="en-US"/>
    </w:rPr>
  </w:style>
  <w:style w:type="character" w:customStyle="1" w:styleId="Heading3Char">
    <w:name w:val="Heading 3 Char"/>
    <w:basedOn w:val="DefaultParagraphFont"/>
    <w:link w:val="Heading3"/>
    <w:uiPriority w:val="9"/>
    <w:rsid w:val="00CD6EE7"/>
    <w:rPr>
      <w:rFonts w:asciiTheme="majorHAnsi" w:eastAsiaTheme="majorEastAsia" w:hAnsiTheme="majorHAnsi" w:cstheme="majorBidi"/>
      <w:color w:val="1F3763" w:themeColor="accent1" w:themeShade="7F"/>
      <w:sz w:val="24"/>
      <w:szCs w:val="24"/>
      <w:lang w:eastAsia="en-US"/>
    </w:rPr>
  </w:style>
  <w:style w:type="paragraph" w:styleId="TOCHeading">
    <w:name w:val="TOC Heading"/>
    <w:basedOn w:val="Heading1"/>
    <w:next w:val="Normal"/>
    <w:uiPriority w:val="39"/>
    <w:unhideWhenUsed/>
    <w:qFormat/>
    <w:rsid w:val="006D6E05"/>
    <w:pPr>
      <w:spacing w:line="259" w:lineRule="auto"/>
      <w:outlineLvl w:val="9"/>
    </w:pPr>
    <w:rPr>
      <w:rFonts w:asciiTheme="majorHAnsi" w:hAnsiTheme="majorHAnsi"/>
      <w:b w:val="0"/>
      <w:color w:val="2F5496" w:themeColor="accent1" w:themeShade="BF"/>
      <w:sz w:val="32"/>
    </w:rPr>
  </w:style>
  <w:style w:type="paragraph" w:styleId="TOC1">
    <w:name w:val="toc 1"/>
    <w:basedOn w:val="Normal"/>
    <w:next w:val="Normal"/>
    <w:autoRedefine/>
    <w:uiPriority w:val="39"/>
    <w:unhideWhenUsed/>
    <w:rsid w:val="006D6E05"/>
    <w:pPr>
      <w:spacing w:after="100"/>
    </w:pPr>
  </w:style>
  <w:style w:type="paragraph" w:styleId="TOC2">
    <w:name w:val="toc 2"/>
    <w:basedOn w:val="Normal"/>
    <w:next w:val="Normal"/>
    <w:autoRedefine/>
    <w:uiPriority w:val="39"/>
    <w:unhideWhenUsed/>
    <w:rsid w:val="006D6E05"/>
    <w:pPr>
      <w:spacing w:after="100"/>
      <w:ind w:left="220"/>
    </w:pPr>
  </w:style>
  <w:style w:type="paragraph" w:styleId="TOC3">
    <w:name w:val="toc 3"/>
    <w:basedOn w:val="Normal"/>
    <w:next w:val="Normal"/>
    <w:autoRedefine/>
    <w:uiPriority w:val="39"/>
    <w:unhideWhenUsed/>
    <w:rsid w:val="006D6E05"/>
    <w:pPr>
      <w:spacing w:after="100"/>
      <w:ind w:left="440"/>
    </w:pPr>
  </w:style>
  <w:style w:type="paragraph" w:styleId="TOC5">
    <w:name w:val="toc 5"/>
    <w:basedOn w:val="Normal"/>
    <w:next w:val="Normal"/>
    <w:autoRedefine/>
    <w:uiPriority w:val="39"/>
    <w:unhideWhenUsed/>
    <w:rsid w:val="006D6E05"/>
    <w:pPr>
      <w:spacing w:after="100"/>
      <w:ind w:left="880"/>
    </w:pPr>
  </w:style>
  <w:style w:type="character" w:customStyle="1" w:styleId="Date1">
    <w:name w:val="Date1"/>
    <w:basedOn w:val="DefaultParagraphFont"/>
    <w:rsid w:val="003E342A"/>
  </w:style>
  <w:style w:type="character" w:customStyle="1" w:styleId="highwire-cite-metadata-doi">
    <w:name w:val="highwire-cite-metadata-doi"/>
    <w:basedOn w:val="DefaultParagraphFont"/>
    <w:rsid w:val="000C48C1"/>
  </w:style>
  <w:style w:type="character" w:customStyle="1" w:styleId="highwire-cite-metadata-pages">
    <w:name w:val="highwire-cite-metadata-pages"/>
    <w:basedOn w:val="DefaultParagraphFont"/>
    <w:rsid w:val="000C48C1"/>
  </w:style>
  <w:style w:type="paragraph" w:customStyle="1" w:styleId="Default">
    <w:name w:val="Default"/>
    <w:rsid w:val="005A48BE"/>
    <w:pPr>
      <w:autoSpaceDE w:val="0"/>
      <w:autoSpaceDN w:val="0"/>
      <w:adjustRightInd w:val="0"/>
    </w:pPr>
    <w:rPr>
      <w:rFonts w:ascii="Calibri" w:hAnsi="Calibri" w:cs="Calibri"/>
      <w:color w:val="000000"/>
      <w:sz w:val="24"/>
      <w:szCs w:val="24"/>
    </w:rPr>
  </w:style>
  <w:style w:type="character" w:customStyle="1" w:styleId="A2">
    <w:name w:val="A2"/>
    <w:uiPriority w:val="99"/>
    <w:rsid w:val="00B57106"/>
    <w:rPr>
      <w:rFonts w:cs="Gotham"/>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0768096">
      <w:bodyDiv w:val="1"/>
      <w:marLeft w:val="0"/>
      <w:marRight w:val="0"/>
      <w:marTop w:val="0"/>
      <w:marBottom w:val="0"/>
      <w:divBdr>
        <w:top w:val="none" w:sz="0" w:space="0" w:color="auto"/>
        <w:left w:val="none" w:sz="0" w:space="0" w:color="auto"/>
        <w:bottom w:val="none" w:sz="0" w:space="0" w:color="auto"/>
        <w:right w:val="none" w:sz="0" w:space="0" w:color="auto"/>
      </w:divBdr>
    </w:div>
    <w:div w:id="985863311">
      <w:bodyDiv w:val="1"/>
      <w:marLeft w:val="0"/>
      <w:marRight w:val="0"/>
      <w:marTop w:val="0"/>
      <w:marBottom w:val="0"/>
      <w:divBdr>
        <w:top w:val="none" w:sz="0" w:space="0" w:color="auto"/>
        <w:left w:val="none" w:sz="0" w:space="0" w:color="auto"/>
        <w:bottom w:val="none" w:sz="0" w:space="0" w:color="auto"/>
        <w:right w:val="none" w:sz="0" w:space="0" w:color="auto"/>
      </w:divBdr>
      <w:divsChild>
        <w:div w:id="427308037">
          <w:marLeft w:val="0"/>
          <w:marRight w:val="0"/>
          <w:marTop w:val="0"/>
          <w:marBottom w:val="0"/>
          <w:divBdr>
            <w:top w:val="none" w:sz="0" w:space="0" w:color="auto"/>
            <w:left w:val="none" w:sz="0" w:space="0" w:color="auto"/>
            <w:bottom w:val="none" w:sz="0" w:space="0" w:color="auto"/>
            <w:right w:val="none" w:sz="0" w:space="0" w:color="auto"/>
          </w:divBdr>
        </w:div>
      </w:divsChild>
    </w:div>
    <w:div w:id="1112163501">
      <w:bodyDiv w:val="1"/>
      <w:marLeft w:val="0"/>
      <w:marRight w:val="0"/>
      <w:marTop w:val="0"/>
      <w:marBottom w:val="0"/>
      <w:divBdr>
        <w:top w:val="none" w:sz="0" w:space="0" w:color="auto"/>
        <w:left w:val="none" w:sz="0" w:space="0" w:color="auto"/>
        <w:bottom w:val="none" w:sz="0" w:space="0" w:color="auto"/>
        <w:right w:val="none" w:sz="0" w:space="0" w:color="auto"/>
      </w:divBdr>
      <w:divsChild>
        <w:div w:id="1806005466">
          <w:marLeft w:val="0"/>
          <w:marRight w:val="0"/>
          <w:marTop w:val="0"/>
          <w:marBottom w:val="0"/>
          <w:divBdr>
            <w:top w:val="none" w:sz="0" w:space="0" w:color="auto"/>
            <w:left w:val="none" w:sz="0" w:space="0" w:color="auto"/>
            <w:bottom w:val="none" w:sz="0" w:space="0" w:color="auto"/>
            <w:right w:val="none" w:sz="0" w:space="0" w:color="auto"/>
          </w:divBdr>
        </w:div>
      </w:divsChild>
    </w:div>
    <w:div w:id="1169444258">
      <w:bodyDiv w:val="1"/>
      <w:marLeft w:val="0"/>
      <w:marRight w:val="0"/>
      <w:marTop w:val="0"/>
      <w:marBottom w:val="0"/>
      <w:divBdr>
        <w:top w:val="none" w:sz="0" w:space="0" w:color="auto"/>
        <w:left w:val="none" w:sz="0" w:space="0" w:color="auto"/>
        <w:bottom w:val="none" w:sz="0" w:space="0" w:color="auto"/>
        <w:right w:val="none" w:sz="0" w:space="0" w:color="auto"/>
      </w:divBdr>
    </w:div>
    <w:div w:id="1337271114">
      <w:bodyDiv w:val="1"/>
      <w:marLeft w:val="0"/>
      <w:marRight w:val="0"/>
      <w:marTop w:val="0"/>
      <w:marBottom w:val="0"/>
      <w:divBdr>
        <w:top w:val="none" w:sz="0" w:space="0" w:color="auto"/>
        <w:left w:val="none" w:sz="0" w:space="0" w:color="auto"/>
        <w:bottom w:val="none" w:sz="0" w:space="0" w:color="auto"/>
        <w:right w:val="none" w:sz="0" w:space="0" w:color="auto"/>
      </w:divBdr>
    </w:div>
    <w:div w:id="1497841086">
      <w:bodyDiv w:val="1"/>
      <w:marLeft w:val="0"/>
      <w:marRight w:val="0"/>
      <w:marTop w:val="0"/>
      <w:marBottom w:val="0"/>
      <w:divBdr>
        <w:top w:val="none" w:sz="0" w:space="0" w:color="auto"/>
        <w:left w:val="none" w:sz="0" w:space="0" w:color="auto"/>
        <w:bottom w:val="none" w:sz="0" w:space="0" w:color="auto"/>
        <w:right w:val="none" w:sz="0" w:space="0" w:color="auto"/>
      </w:divBdr>
    </w:div>
    <w:div w:id="1549217044">
      <w:bodyDiv w:val="1"/>
      <w:marLeft w:val="0"/>
      <w:marRight w:val="0"/>
      <w:marTop w:val="0"/>
      <w:marBottom w:val="0"/>
      <w:divBdr>
        <w:top w:val="none" w:sz="0" w:space="0" w:color="auto"/>
        <w:left w:val="none" w:sz="0" w:space="0" w:color="auto"/>
        <w:bottom w:val="none" w:sz="0" w:space="0" w:color="auto"/>
        <w:right w:val="none" w:sz="0" w:space="0" w:color="auto"/>
      </w:divBdr>
    </w:div>
    <w:div w:id="1576893735">
      <w:bodyDiv w:val="1"/>
      <w:marLeft w:val="0"/>
      <w:marRight w:val="0"/>
      <w:marTop w:val="0"/>
      <w:marBottom w:val="0"/>
      <w:divBdr>
        <w:top w:val="none" w:sz="0" w:space="0" w:color="auto"/>
        <w:left w:val="none" w:sz="0" w:space="0" w:color="auto"/>
        <w:bottom w:val="none" w:sz="0" w:space="0" w:color="auto"/>
        <w:right w:val="none" w:sz="0" w:space="0" w:color="auto"/>
      </w:divBdr>
    </w:div>
    <w:div w:id="1697005259">
      <w:bodyDiv w:val="1"/>
      <w:marLeft w:val="0"/>
      <w:marRight w:val="0"/>
      <w:marTop w:val="0"/>
      <w:marBottom w:val="0"/>
      <w:divBdr>
        <w:top w:val="none" w:sz="0" w:space="0" w:color="auto"/>
        <w:left w:val="none" w:sz="0" w:space="0" w:color="auto"/>
        <w:bottom w:val="none" w:sz="0" w:space="0" w:color="auto"/>
        <w:right w:val="none" w:sz="0" w:space="0" w:color="auto"/>
      </w:divBdr>
      <w:divsChild>
        <w:div w:id="847450149">
          <w:marLeft w:val="360"/>
          <w:marRight w:val="0"/>
          <w:marTop w:val="0"/>
          <w:marBottom w:val="0"/>
          <w:divBdr>
            <w:top w:val="none" w:sz="0" w:space="0" w:color="auto"/>
            <w:left w:val="none" w:sz="0" w:space="0" w:color="auto"/>
            <w:bottom w:val="none" w:sz="0" w:space="0" w:color="auto"/>
            <w:right w:val="none" w:sz="0" w:space="0" w:color="auto"/>
          </w:divBdr>
        </w:div>
      </w:divsChild>
    </w:div>
    <w:div w:id="1736665520">
      <w:bodyDiv w:val="1"/>
      <w:marLeft w:val="0"/>
      <w:marRight w:val="0"/>
      <w:marTop w:val="0"/>
      <w:marBottom w:val="0"/>
      <w:divBdr>
        <w:top w:val="none" w:sz="0" w:space="0" w:color="auto"/>
        <w:left w:val="none" w:sz="0" w:space="0" w:color="auto"/>
        <w:bottom w:val="none" w:sz="0" w:space="0" w:color="auto"/>
        <w:right w:val="none" w:sz="0" w:space="0" w:color="auto"/>
      </w:divBdr>
    </w:div>
    <w:div w:id="1777210875">
      <w:bodyDiv w:val="1"/>
      <w:marLeft w:val="0"/>
      <w:marRight w:val="0"/>
      <w:marTop w:val="0"/>
      <w:marBottom w:val="0"/>
      <w:divBdr>
        <w:top w:val="none" w:sz="0" w:space="0" w:color="auto"/>
        <w:left w:val="none" w:sz="0" w:space="0" w:color="auto"/>
        <w:bottom w:val="none" w:sz="0" w:space="0" w:color="auto"/>
        <w:right w:val="none" w:sz="0" w:space="0" w:color="auto"/>
      </w:divBdr>
    </w:div>
    <w:div w:id="193523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ejbiotechnology.info/index.php/ejbiotechnology/article/view/v6n1-4/573" TargetMode="External"/><Relationship Id="rId26" Type="http://schemas.openxmlformats.org/officeDocument/2006/relationships/hyperlink" Target="file:///C:\Users\Scott\Desktop\Thesis\ec.europa.eu\smart-regulation\better_regulation\documents\com_2015_215_en.pdf" TargetMode="External"/><Relationship Id="rId39" Type="http://schemas.openxmlformats.org/officeDocument/2006/relationships/hyperlink" Target="http://europa.eu/rapid/press-release_MEMO-17-273_en.htm" TargetMode="External"/><Relationship Id="rId21" Type="http://schemas.openxmlformats.org/officeDocument/2006/relationships/hyperlink" Target="https://www.dw.com/en/nineteen-eu-countries-seek-gmo-opt-out/a-18760718" TargetMode="External"/><Relationship Id="rId34" Type="http://schemas.openxmlformats.org/officeDocument/2006/relationships/hyperlink" Target="https://ec.europa.eu/food/sites/food/files/plant/.../sc_plant-health_20170126_sum.pdf" TargetMode="External"/><Relationship Id="rId42" Type="http://schemas.openxmlformats.org/officeDocument/2006/relationships/hyperlink" Target="http://europa.eu/rapid/press-release_MEX-17-5421_en.htm" TargetMode="External"/><Relationship Id="rId47" Type="http://schemas.openxmlformats.org/officeDocument/2006/relationships/hyperlink" Target="http://www.europarl.europa.eu/news/en/press-room/20151022IPR98805/parliament-rejects-national-gmo-bans-proposal" TargetMode="External"/><Relationship Id="rId50" Type="http://schemas.openxmlformats.org/officeDocument/2006/relationships/hyperlink" Target="https://europa.eu/european-union/about-eu/institutions-bodies/european-commission_en" TargetMode="External"/><Relationship Id="rId55" Type="http://schemas.openxmlformats.org/officeDocument/2006/relationships/hyperlink" Target="https://www.greenpeace.org/eu-unit/en/Publications/2015/Juncker-breaks-promise-to-make-EU-GMO-decisions-more-democratic/" TargetMode="External"/><Relationship Id="rId63" Type="http://schemas.openxmlformats.org/officeDocument/2006/relationships/hyperlink" Target="https://ec.europa.eu/commission/sites/beta-political/files/state_of_the_union_2015_en.pdf" TargetMode="External"/><Relationship Id="rId68" Type="http://schemas.openxmlformats.org/officeDocument/2006/relationships/hyperlink" Target="https://euobserver.com/institutional/140583" TargetMode="External"/><Relationship Id="rId76" Type="http://schemas.openxmlformats.org/officeDocument/2006/relationships/hyperlink" Target="https://www.wto.org/english/tratop_e/dispu_e/cases_e/ds267_e.htm" TargetMode="External"/><Relationship Id="rId7" Type="http://schemas.openxmlformats.org/officeDocument/2006/relationships/endnotes" Target="endnotes.xml"/><Relationship Id="rId71" Type="http://schemas.openxmlformats.org/officeDocument/2006/relationships/hyperlink" Target="http://www.fda.gov/AdvisoryCommittees/AboutAdvisoryCommittees/default.htm" TargetMode="External"/><Relationship Id="rId2" Type="http://schemas.openxmlformats.org/officeDocument/2006/relationships/numbering" Target="numbering.xml"/><Relationship Id="rId16" Type="http://schemas.openxmlformats.org/officeDocument/2006/relationships/hyperlink" Target="https://www.bio.org/press-release/eu%E2%80%99s-anti-science-comitology-reform-threatens-innovation" TargetMode="External"/><Relationship Id="rId29" Type="http://schemas.openxmlformats.org/officeDocument/2006/relationships/hyperlink" Target="https://eur-lex.europa.eu/legal-content/EN/TXT/?uri=celex:52015PC0177" TargetMode="External"/><Relationship Id="rId11" Type="http://schemas.openxmlformats.org/officeDocument/2006/relationships/image" Target="media/image2.png"/><Relationship Id="rId24" Type="http://schemas.openxmlformats.org/officeDocument/2006/relationships/hyperlink" Target="http://ec.europa.eu/food/safety/general_food_law/principles/index_en.htm" TargetMode="External"/><Relationship Id="rId32" Type="http://schemas.openxmlformats.org/officeDocument/2006/relationships/hyperlink" Target="https://european-biotechnology.com/euro-guide-2019.html" TargetMode="External"/><Relationship Id="rId37" Type="http://schemas.openxmlformats.org/officeDocument/2006/relationships/hyperlink" Target="http://europa.eu/rapid/press-release_IP-16-829_en.htm" TargetMode="External"/><Relationship Id="rId40" Type="http://schemas.openxmlformats.org/officeDocument/2006/relationships/hyperlink" Target="https://ec.europa.eu/info/implementing-and-delegated-acts/comitology_en" TargetMode="External"/><Relationship Id="rId45" Type="http://schemas.openxmlformats.org/officeDocument/2006/relationships/hyperlink" Target="http://curia.europa.eu/juris/document/document_print.jsf;jsessionid=9ea7d2dc30d692a45d3ac71e48c3834cb31c14de1ec4.e34KaxiLc3qMb40Rch0SaxyMbxj0?doclang=EN&amp;text=&amp;pageIndex=0&amp;part=1&amp;mode=DOC&amp;docid=194406&amp;occ=first&amp;dir=&amp;cid=230658" TargetMode="External"/><Relationship Id="rId53" Type="http://schemas.openxmlformats.org/officeDocument/2006/relationships/hyperlink" Target="https://ec.europa.eu/eurostat/web/education-and-training/data/database" TargetMode="External"/><Relationship Id="rId58" Type="http://schemas.openxmlformats.org/officeDocument/2006/relationships/hyperlink" Target="https://www.ft.com/content/7b045aa2-7cef-11e8-bc55-50daf11b720d" TargetMode="External"/><Relationship Id="rId66" Type="http://schemas.openxmlformats.org/officeDocument/2006/relationships/hyperlink" Target="https://www.theparliamentmagazine.eu/articles/news/meps-reject-half-baked-eu-commission-gmo-opt-out-plans" TargetMode="External"/><Relationship Id="rId74" Type="http://schemas.openxmlformats.org/officeDocument/2006/relationships/hyperlink" Target="https://data.worldbank.org/" TargetMode="External"/><Relationship Id="rId79"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s://ec.europa.eu/commission/commissioners/2014-2019/andriukaitis/announcements/opening-speech-gmos-plenary-meeting-28102015-european-parliament-strasbourg_en" TargetMode="External"/><Relationship Id="rId10" Type="http://schemas.microsoft.com/office/2007/relationships/hdphoto" Target="media/hdphoto1.wdp"/><Relationship Id="rId19" Type="http://schemas.openxmlformats.org/officeDocument/2006/relationships/hyperlink" Target="https://www.ecowatch.com/eu-nations-vote-against-gmo-crops-2332080511.html" TargetMode="External"/><Relationship Id="rId31" Type="http://schemas.openxmlformats.org/officeDocument/2006/relationships/hyperlink" Target="http://www.europarl.europa.eu/pdf/eurobarometre/2018/oneyearbefore2019/eb89_one_year_before_2019_eurobarometer_en_opt.pdf" TargetMode="External"/><Relationship Id="rId44" Type="http://schemas.openxmlformats.org/officeDocument/2006/relationships/hyperlink" Target="https://ec.europa.eu/home-affairs/what-we-do/policies/borders-and-visas/schengen/reintroduction-border-control_en.htm" TargetMode="External"/><Relationship Id="rId52" Type="http://schemas.openxmlformats.org/officeDocument/2006/relationships/hyperlink" Target="https://eur-lex.europa.eu/legal-content/EN/TXT/PDF/?uri=CELEX:32015L0412&amp;from=EN" TargetMode="External"/><Relationship Id="rId60" Type="http://schemas.openxmlformats.org/officeDocument/2006/relationships/hyperlink" Target="https://www.ethz.ch/content/dam/ethz/special-interest/gess/cis/cis-dam/CIS_DAM_2015/WorkingPapers/Living_Reviews_Democracy/Jensen.pdf" TargetMode="External"/><Relationship Id="rId65" Type="http://schemas.openxmlformats.org/officeDocument/2006/relationships/hyperlink" Target="http://science.sciencemag.org/content/286/5447/2065" TargetMode="External"/><Relationship Id="rId73" Type="http://schemas.openxmlformats.org/officeDocument/2006/relationships/hyperlink" Target="https://doi.org/10.1073/pnas.1213532110" TargetMode="External"/><Relationship Id="rId78"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afd.de/umwelt-agrar-verbraucher/" TargetMode="External"/><Relationship Id="rId22" Type="http://schemas.openxmlformats.org/officeDocument/2006/relationships/hyperlink" Target="https://www.efsa.europa.eu/sites/default/files/assets/gmoauthorisation.pdf" TargetMode="External"/><Relationship Id="rId27" Type="http://schemas.openxmlformats.org/officeDocument/2006/relationships/hyperlink" Target="http://www.europarl.europa.eu/factsheets/en/sheet/25/the-european-commission" TargetMode="External"/><Relationship Id="rId30" Type="http://schemas.openxmlformats.org/officeDocument/2006/relationships/hyperlink" Target="file:///C:\Users\Scott\Desktop\Thesis\ec.europa.eu\commfrontoffice\publicopinion\archives\ebs\ebs_341_en.pdf" TargetMode="External"/><Relationship Id="rId35" Type="http://schemas.openxmlformats.org/officeDocument/2006/relationships/hyperlink" Target="http://europa.eu/rapid/press-release_IP-11-1497_en.htm" TargetMode="External"/><Relationship Id="rId43" Type="http://schemas.openxmlformats.org/officeDocument/2006/relationships/hyperlink" Target="https://ec.europa.eu/food/plant/gmo/authorisation/decision_making_process_en" TargetMode="External"/><Relationship Id="rId48" Type="http://schemas.openxmlformats.org/officeDocument/2006/relationships/hyperlink" Target="http://www.europarl.europa.eu/RegData/etudes/etudes/join/2012/488798/IPOL-JOIN_ET(2012)488798_EN.pdf" TargetMode="External"/><Relationship Id="rId56" Type="http://schemas.openxmlformats.org/officeDocument/2006/relationships/hyperlink" Target="http://www.greenpeace.org/eu-unit/Global/eu-unit/reports-briefings/2014/20140722%20NGO%20letter%20on%20EU%20chief%20scientific%20adviser.pdf" TargetMode="External"/><Relationship Id="rId64" Type="http://schemas.openxmlformats.org/officeDocument/2006/relationships/hyperlink" Target="https://cordis.europa.eu/docs/publications/7078/70781441-6_en.pdf" TargetMode="External"/><Relationship Id="rId69" Type="http://schemas.openxmlformats.org/officeDocument/2006/relationships/hyperlink" Target="https://www.weforum.org/agenda/2015/09/is-this-the-end-of-schengen/" TargetMode="External"/><Relationship Id="rId77" Type="http://schemas.openxmlformats.org/officeDocument/2006/relationships/hyperlink" Target="https://www.wto.org/english/tratop_e/dispu_e/cases_e/1pagesum_e/ds392sum_e.pdf" TargetMode="External"/><Relationship Id="rId8" Type="http://schemas.openxmlformats.org/officeDocument/2006/relationships/footer" Target="footer1.xml"/><Relationship Id="rId51" Type="http://schemas.openxmlformats.org/officeDocument/2006/relationships/hyperlink" Target="https://europa.eu/european-union/about-eu/institutions-bodies/european-council_en" TargetMode="External"/><Relationship Id="rId72" Type="http://schemas.openxmlformats.org/officeDocument/2006/relationships/hyperlink" Target="http://www.telegraph.co.uk/news/worldnews/europe/eu/11229774/Jean-Claude-Juncker-sacks-EU-scientific-adviser-over-her-pro-GM-views.html" TargetMode="External"/><Relationship Id="rId80"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bbi-europe.eu/about/about-bbi" TargetMode="External"/><Relationship Id="rId25" Type="http://schemas.openxmlformats.org/officeDocument/2006/relationships/hyperlink" Target="http://www.agweb.com/article/why-the-eus-gmo-vote-matters-to-farmers-naa-tanner-ehmke/" TargetMode="External"/><Relationship Id="rId33" Type="http://schemas.openxmlformats.org/officeDocument/2006/relationships/hyperlink" Target="https://circabc.europa.eu/w/browse/8440f2ea-e2ad-4ce2-b520-d2f3b03f8c22" TargetMode="External"/><Relationship Id="rId38" Type="http://schemas.openxmlformats.org/officeDocument/2006/relationships/hyperlink" Target="http://ec.europa.eu/programmes/horizon2020/en/area/key-enabling-technologies" TargetMode="External"/><Relationship Id="rId46" Type="http://schemas.openxmlformats.org/officeDocument/2006/relationships/hyperlink" Target="http://www.europarl.europa.eu/factsheets/en/sheet/38/free-movement-of-goods" TargetMode="External"/><Relationship Id="rId59" Type="http://schemas.openxmlformats.org/officeDocument/2006/relationships/hyperlink" Target="https://www.isaaa.org/resources/publications/briefs/53/" TargetMode="External"/><Relationship Id="rId67" Type="http://schemas.openxmlformats.org/officeDocument/2006/relationships/hyperlink" Target="http://www.nytimes.com/2015/10/25/opinion/sunday/with-gmo-policies-europe-turns-against-science.html" TargetMode="External"/><Relationship Id="rId20" Type="http://schemas.openxmlformats.org/officeDocument/2006/relationships/hyperlink" Target="http://foresight.jrc.ec.europa.eu/fta/papers/Session%201%20Methodological%20Selection/Optimising%20the%20Impact.pdf" TargetMode="External"/><Relationship Id="rId41" Type="http://schemas.openxmlformats.org/officeDocument/2006/relationships/hyperlink" Target="http://europa.eu/rapid/press-release_MEX-17-1908_en.htm" TargetMode="External"/><Relationship Id="rId54" Type="http://schemas.openxmlformats.org/officeDocument/2006/relationships/hyperlink" Target="https://www.greenpeace.fr/le-luxembourg-interdit-la-pomme-de-terre-ogm-amflora/" TargetMode="External"/><Relationship Id="rId62" Type="http://schemas.openxmlformats.org/officeDocument/2006/relationships/hyperlink" Target="https://ec.europa.eu/commission/publications/president-junckers-political-guidelines_en" TargetMode="External"/><Relationship Id="rId70" Type="http://schemas.openxmlformats.org/officeDocument/2006/relationships/hyperlink" Target="https://www.ubs.com/global/en/wealth-management/chief-investment-office/our-research/discover-more/2017/china-biotech.html" TargetMode="External"/><Relationship Id="rId75" Type="http://schemas.openxmlformats.org/officeDocument/2006/relationships/hyperlink" Target="https://www.wto.org/english/tratop_e/dispu_e/cases_e/ds291_e.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57/s41599-017-0013-4" TargetMode="External"/><Relationship Id="rId23" Type="http://schemas.openxmlformats.org/officeDocument/2006/relationships/hyperlink" Target="http://www.efsa.europa.eu/en/aboutefsa" TargetMode="External"/><Relationship Id="rId28" Type="http://schemas.openxmlformats.org/officeDocument/2006/relationships/hyperlink" Target="https://eur-lex.europa.eu/legal-content/EN/TXT/?uri=CELEX%3A61978CJ0120" TargetMode="External"/><Relationship Id="rId36" Type="http://schemas.openxmlformats.org/officeDocument/2006/relationships/hyperlink" Target="http://europa.eu/rapid/press-release_IP-17-264_en.htm" TargetMode="External"/><Relationship Id="rId49" Type="http://schemas.openxmlformats.org/officeDocument/2006/relationships/hyperlink" Target="http://www.europarl.europa.eu/factsheets/en/sheet/7/the-principle-of-subsidiarity" TargetMode="External"/><Relationship Id="rId57" Type="http://schemas.openxmlformats.org/officeDocument/2006/relationships/hyperlink" Target="https://www.euractiv.com/section/public-affairs/opinion/comitology-reform-doing-undoing-and-redoing-is-still-hard-work/"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www.fda.gov/AdvisoryCommittees/AboutAdvisoryCommittees/default.htm" TargetMode="External"/><Relationship Id="rId18" Type="http://schemas.openxmlformats.org/officeDocument/2006/relationships/hyperlink" Target="http://www.efsa.europa.eu/en/aboutefsa" TargetMode="External"/><Relationship Id="rId26" Type="http://schemas.openxmlformats.org/officeDocument/2006/relationships/hyperlink" Target="http://www.europarl.europa.eu/news/en/press-room/20151022IPR98805/parliament-rejects-national-gmo-bans-proposal" TargetMode="External"/><Relationship Id="rId39" Type="http://schemas.openxmlformats.org/officeDocument/2006/relationships/hyperlink" Target="http://www.europarl.europa.eu/factsheets/en/sheet/7/the-principle-of-subsidiarity" TargetMode="External"/><Relationship Id="rId21" Type="http://schemas.openxmlformats.org/officeDocument/2006/relationships/hyperlink" Target="https://ec.europa.eu/commission/commissioners/2014-2019/andriukaitis/announcements/opening-speech-gmos-plenary-meeting-28102015-european-parliament-strasbourg_en" TargetMode="External"/><Relationship Id="rId34" Type="http://schemas.openxmlformats.org/officeDocument/2006/relationships/hyperlink" Target="https://www.ecowatch.com/eu-nations-vote-against-gmo-crops-2332080511.html" TargetMode="External"/><Relationship Id="rId42" Type="http://schemas.openxmlformats.org/officeDocument/2006/relationships/hyperlink" Target="http://www.europarl.europa.eu/news/en/press-room/20151022IPR98805/parliament-rejects-national-gmo-bans-proposal" TargetMode="External"/><Relationship Id="rId47" Type="http://schemas.openxmlformats.org/officeDocument/2006/relationships/hyperlink" Target="https://ec.europa.eu/home-affairs/sites/homeaffairs/files/what-we-do/policies/borders-and-visas/schengen/reintroduction-border-control/docs/ms_notifications_-_reintroduction_of_border_control_en.pdf" TargetMode="External"/><Relationship Id="rId50" Type="http://schemas.openxmlformats.org/officeDocument/2006/relationships/hyperlink" Target="https://www.ubs.com/global/en/wealth-management/chief-investment-office/our-research/discover-more/2017/china-biotech.html" TargetMode="External"/><Relationship Id="rId55" Type="http://schemas.openxmlformats.org/officeDocument/2006/relationships/hyperlink" Target="https://www.greenpeace.org/eu-unit/en/Publications/2015/Juncker-breaks-promise-to-make-EU-GMO-decisions-more-democratic/" TargetMode="External"/><Relationship Id="rId7" Type="http://schemas.openxmlformats.org/officeDocument/2006/relationships/hyperlink" Target="https://www.euractiv.com/section/science-policymaking/interview/nobelist-eu-politicians-ignore-politically-unwelcome-science/" TargetMode="External"/><Relationship Id="rId2" Type="http://schemas.openxmlformats.org/officeDocument/2006/relationships/hyperlink" Target="http://europa.eu/rapid/press-release_IP-11-1497_en.htm" TargetMode="External"/><Relationship Id="rId16" Type="http://schemas.openxmlformats.org/officeDocument/2006/relationships/hyperlink" Target="http://www.europarl.europa.eu/factsheets/en/sheet/25/the-european-commission" TargetMode="External"/><Relationship Id="rId20" Type="http://schemas.openxmlformats.org/officeDocument/2006/relationships/hyperlink" Target="https://eur-lex.europa.eu/legal-content/EN/TXT/?uri=uriserv:OJ.L_.2011.055.01.0013.01.ENG&amp;toc=OJ:L:2011:055:TOC13&#8211;18" TargetMode="External"/><Relationship Id="rId29" Type="http://schemas.openxmlformats.org/officeDocument/2006/relationships/hyperlink" Target="http://europa.eu/rapid/press-release_MEMO-17-273_en.htm" TargetMode="External"/><Relationship Id="rId41" Type="http://schemas.openxmlformats.org/officeDocument/2006/relationships/hyperlink" Target="http://www.europarl.europa.eu/pdf/eurobarometre/2018/oneyearbefore2019/eb89_one_year_before_2019_eurobarometer_en_opt.pdf" TargetMode="External"/><Relationship Id="rId54" Type="http://schemas.openxmlformats.org/officeDocument/2006/relationships/hyperlink" Target="https://euobserver.com/institutional/140583" TargetMode="External"/><Relationship Id="rId1" Type="http://schemas.openxmlformats.org/officeDocument/2006/relationships/hyperlink" Target="https://www.wto.org/english/tratop_e/dispu_e/cases_e/ds292_e.htm" TargetMode="External"/><Relationship Id="rId6" Type="http://schemas.openxmlformats.org/officeDocument/2006/relationships/hyperlink" Target="https://european-biotechnology.com/euro-guide-2019.html" TargetMode="External"/><Relationship Id="rId11" Type="http://schemas.openxmlformats.org/officeDocument/2006/relationships/hyperlink" Target="http://curia.europa.eu/juris/document/document_print.jsf;jsessionid=9ea7d2dc30d692a45d3ac71e48c3834cb31c14de1ec4.e34KaxiLc3qMb40Rch0SaxyMbxj0?doclang=EN&amp;text=&amp;pageIndex=0&amp;part=1&amp;mode=DOC&amp;docid=194406&amp;occ=first&amp;dir=&amp;cid=230658" TargetMode="External"/><Relationship Id="rId24" Type="http://schemas.openxmlformats.org/officeDocument/2006/relationships/hyperlink" Target="https://www.dw.com/en/nineteen-eu-countries-seek-gmo-opt-out/a-18760718" TargetMode="External"/><Relationship Id="rId32" Type="http://schemas.openxmlformats.org/officeDocument/2006/relationships/hyperlink" Target="https://www.euractiv.com/section/public-affairs/opinion/comitology-reform-doing-undoing-and-redoing-is-still-hard-work/" TargetMode="External"/><Relationship Id="rId37" Type="http://schemas.openxmlformats.org/officeDocument/2006/relationships/hyperlink" Target="https://www.greenpeace.fr/le-luxembourg-interdit-la-pomme-de-terre-ogm-amflora/" TargetMode="External"/><Relationship Id="rId40" Type="http://schemas.openxmlformats.org/officeDocument/2006/relationships/hyperlink" Target="http://europa.eu/rapid/press-release_IP-16-829_en.htm" TargetMode="External"/><Relationship Id="rId45" Type="http://schemas.openxmlformats.org/officeDocument/2006/relationships/hyperlink" Target="https://www.weforum.org/agenda/2015/09/is-this-the-end-of-schengen/" TargetMode="External"/><Relationship Id="rId53" Type="http://schemas.openxmlformats.org/officeDocument/2006/relationships/hyperlink" Target="http://foresight.jrc.ec.europa.eu/fta/papers/Session%201%20Methodological%20Selection/Optimising%20the%20Impact.pdf" TargetMode="External"/><Relationship Id="rId58" Type="http://schemas.openxmlformats.org/officeDocument/2006/relationships/hyperlink" Target="https://www.isaaa.org/resources/publications/briefs/53/" TargetMode="External"/><Relationship Id="rId5" Type="http://schemas.openxmlformats.org/officeDocument/2006/relationships/hyperlink" Target="http://ec.europa.eu/programmes/horizon2020/en/area/key-enabling-technologies" TargetMode="External"/><Relationship Id="rId15" Type="http://schemas.openxmlformats.org/officeDocument/2006/relationships/hyperlink" Target="https://europa.eu/european-union/about-eu/institutions-bodies/european-council_en" TargetMode="External"/><Relationship Id="rId23" Type="http://schemas.openxmlformats.org/officeDocument/2006/relationships/hyperlink" Target="https://ec.europa.eu/commission/sites/beta-political/files/state_of_the_union_2015_en.pdf" TargetMode="External"/><Relationship Id="rId28" Type="http://schemas.openxmlformats.org/officeDocument/2006/relationships/hyperlink" Target="https://ec.europa.eu/food/sites/food/files/plant/.../sc_plant-health_20170126_sum.pdf" TargetMode="External"/><Relationship Id="rId36" Type="http://schemas.openxmlformats.org/officeDocument/2006/relationships/hyperlink" Target="http://europa.eu/rapid/press-release_MEX-17-5421_en.htm" TargetMode="External"/><Relationship Id="rId49" Type="http://schemas.openxmlformats.org/officeDocument/2006/relationships/hyperlink" Target="https://www.wto.org/english/tratop_e/dispu_e/cases_e/ds291_e.htm" TargetMode="External"/><Relationship Id="rId57" Type="http://schemas.openxmlformats.org/officeDocument/2006/relationships/hyperlink" Target="https://www.wto.org/english/tratop_e/dispu_e/cases_e/ds267_e.htm" TargetMode="External"/><Relationship Id="rId61" Type="http://schemas.openxmlformats.org/officeDocument/2006/relationships/hyperlink" Target="https://ec.europa.eu/eurostat/web/education-and-training/data/database" TargetMode="External"/><Relationship Id="rId10" Type="http://schemas.openxmlformats.org/officeDocument/2006/relationships/hyperlink" Target="http://www.europarl.europa.eu/pdf/eurobarometre/2018/oneyearbefore2019/eb89_one_year_before_2019_eurobarometer_en_opt.pdf" TargetMode="External"/><Relationship Id="rId19" Type="http://schemas.openxmlformats.org/officeDocument/2006/relationships/hyperlink" Target="http://ec.europa.eu/food/safety/general_food_law/principles/index_en.htm" TargetMode="External"/><Relationship Id="rId31" Type="http://schemas.openxmlformats.org/officeDocument/2006/relationships/hyperlink" Target="https://www.bio.org/press-release/eu%E2%80%99s-anti-science-comitology-reform-threatens-innovation" TargetMode="External"/><Relationship Id="rId44" Type="http://schemas.openxmlformats.org/officeDocument/2006/relationships/hyperlink" Target="http://www.europarl.europa.eu/factsheets/en/sheet/38/free-movement-of-goods" TargetMode="External"/><Relationship Id="rId52" Type="http://schemas.openxmlformats.org/officeDocument/2006/relationships/hyperlink" Target="https://data.worldbank.org/" TargetMode="External"/><Relationship Id="rId60" Type="http://schemas.openxmlformats.org/officeDocument/2006/relationships/hyperlink" Target="https://www.nytimes.com/2006/07/17/business/media/17stevens.html" TargetMode="External"/><Relationship Id="rId4" Type="http://schemas.openxmlformats.org/officeDocument/2006/relationships/hyperlink" Target="http://www.greenpeace.org/eu-unit/Global/eu-unit/reports-briefings/2014/20140722%20NGO%20letter%20on%20EU%20chief%20scientific%20adviser.pdf" TargetMode="External"/><Relationship Id="rId9" Type="http://schemas.openxmlformats.org/officeDocument/2006/relationships/hyperlink" Target="file:///C:\Users\Scott\Desktop\Thesis\ec.europa.eu\commfrontoffice\publicopinion\archives\ebs\ebs_341_en.pdf" TargetMode="External"/><Relationship Id="rId14" Type="http://schemas.openxmlformats.org/officeDocument/2006/relationships/hyperlink" Target="http://www.europarl.europa.eu/RegData/etudes/etudes/join/2012/488798/IPOL-JOIN_ET(2012)488798_EN.pdf" TargetMode="External"/><Relationship Id="rId22" Type="http://schemas.openxmlformats.org/officeDocument/2006/relationships/hyperlink" Target="http://www.agweb.com/article/why-the-eus-gmo-vote-matters-to-farmers-naa-tanner-ehmke/" TargetMode="External"/><Relationship Id="rId27" Type="http://schemas.openxmlformats.org/officeDocument/2006/relationships/hyperlink" Target="https://www.theparliamentmagazine.eu/articles/news/meps-reject-half-baked-eu-commission-gmo-opt-out-plans" TargetMode="External"/><Relationship Id="rId30" Type="http://schemas.openxmlformats.org/officeDocument/2006/relationships/hyperlink" Target="http://europa.eu/rapid/press-release_IP-17-264_en.htm" TargetMode="External"/><Relationship Id="rId35" Type="http://schemas.openxmlformats.org/officeDocument/2006/relationships/hyperlink" Target="http://europa.eu/rapid/press-release_MEX-17-1908_en.htm" TargetMode="External"/><Relationship Id="rId43" Type="http://schemas.openxmlformats.org/officeDocument/2006/relationships/hyperlink" Target="https://eur-lex.europa.eu/legal-content/EN/TXT/?uri=CELEX%3A61978CJ0120" TargetMode="External"/><Relationship Id="rId48" Type="http://schemas.openxmlformats.org/officeDocument/2006/relationships/hyperlink" Target="https://www.wto.org/english/tratop_e/dispu_e/cases_e/1pagesum_e/ds392sum_e.pdf" TargetMode="External"/><Relationship Id="rId56" Type="http://schemas.openxmlformats.org/officeDocument/2006/relationships/hyperlink" Target="https://www.efsa.europa.eu/sites/default/files/assets/gmoauthorisation.pdf" TargetMode="External"/><Relationship Id="rId8" Type="http://schemas.openxmlformats.org/officeDocument/2006/relationships/hyperlink" Target="https://www.ouest-france.fr/europe/france/sondage-les-ogm-inquietent-de-plus-en-plus-les-francais-420229" TargetMode="External"/><Relationship Id="rId51" Type="http://schemas.openxmlformats.org/officeDocument/2006/relationships/hyperlink" Target="https://www.oecd.org/sti/inno/keybiotechnologyindicators.htm" TargetMode="External"/><Relationship Id="rId3" Type="http://schemas.openxmlformats.org/officeDocument/2006/relationships/hyperlink" Target="file:///C:\Users\Scott\Desktop\Thesis\ec.europa.eu\smart-regulation\better_regulation\documents\com_2015_215_en.pdf" TargetMode="External"/><Relationship Id="rId12" Type="http://schemas.openxmlformats.org/officeDocument/2006/relationships/hyperlink" Target="https://cordis.europa.eu/docs/publications/7078/70781441-6_en.pdf" TargetMode="External"/><Relationship Id="rId17" Type="http://schemas.openxmlformats.org/officeDocument/2006/relationships/hyperlink" Target="https://ec.europa.eu/info/implementing-and-delegated-acts/comitology_en" TargetMode="External"/><Relationship Id="rId25" Type="http://schemas.openxmlformats.org/officeDocument/2006/relationships/hyperlink" Target="http://www.nytimes.com/2015/10/25/opinion/sunday/with-gmo-policies-europe-turns-against-science.html" TargetMode="External"/><Relationship Id="rId33" Type="http://schemas.openxmlformats.org/officeDocument/2006/relationships/hyperlink" Target="https://circabc.europa.eu/w/browse/8440f2ea-e2ad-4ce2-b520-d2f3b03f8c22" TargetMode="External"/><Relationship Id="rId38" Type="http://schemas.openxmlformats.org/officeDocument/2006/relationships/hyperlink" Target="https://www.ethz.ch/content/dam/ethz/special-interest/gess/cis/cis-dam/CIS_DAM_2015/WorkingPapers/Living_Reviews_Democracy/Jensen.pdf" TargetMode="External"/><Relationship Id="rId46" Type="http://schemas.openxmlformats.org/officeDocument/2006/relationships/hyperlink" Target="https://ec.europa.eu/home-affairs/what-we-do/policies/borders-and-visas/schengen/reintroduction-border-control_en" TargetMode="External"/><Relationship Id="rId59" Type="http://schemas.openxmlformats.org/officeDocument/2006/relationships/hyperlink" Target="https://www.japantimes.co.jp/news/2018/11/23/national/politics-diplomacy/japan-cybersecurity-minister-doesnt-use-computers-says-hes-not-familiar-cybersecu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0F85C6-08EB-4D3C-A5C4-ACAFF5FF28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26818</Words>
  <Characters>152866</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Scott Mauldin</cp:lastModifiedBy>
  <cp:revision>4</cp:revision>
  <cp:lastPrinted>2018-12-11T00:40:00Z</cp:lastPrinted>
  <dcterms:created xsi:type="dcterms:W3CDTF">2018-12-11T00:40:00Z</dcterms:created>
  <dcterms:modified xsi:type="dcterms:W3CDTF">2018-12-11T00:40:00Z</dcterms:modified>
</cp:coreProperties>
</file>